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CF" w:rsidRDefault="00460ECF">
      <w:pPr>
        <w:spacing w:line="240" w:lineRule="auto"/>
        <w:jc w:val="center"/>
        <w:rPr>
          <w:b/>
          <w:sz w:val="32"/>
          <w:szCs w:val="32"/>
          <w:highlight w:val="white"/>
        </w:rPr>
      </w:pPr>
    </w:p>
    <w:p w:rsidR="00460ECF" w:rsidRDefault="00A73238">
      <w:pPr>
        <w:spacing w:line="240" w:lineRule="auto"/>
        <w:jc w:val="center"/>
        <w:rPr>
          <w:b/>
          <w:sz w:val="32"/>
          <w:szCs w:val="32"/>
          <w:highlight w:val="white"/>
        </w:rPr>
      </w:pPr>
      <w:r>
        <w:rPr>
          <w:b/>
          <w:sz w:val="32"/>
          <w:szCs w:val="32"/>
          <w:highlight w:val="white"/>
        </w:rPr>
        <w:t>COMUNICATO STAMPA</w:t>
      </w:r>
    </w:p>
    <w:p w:rsidR="00460ECF" w:rsidRDefault="00460ECF">
      <w:pPr>
        <w:spacing w:line="240" w:lineRule="auto"/>
        <w:rPr>
          <w:b/>
          <w:sz w:val="28"/>
          <w:szCs w:val="28"/>
          <w:highlight w:val="white"/>
        </w:rPr>
      </w:pPr>
    </w:p>
    <w:p w:rsidR="00460ECF" w:rsidRDefault="00A7323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 l’aiuto dell’IA un’analisi dei temi sociali e ambientali su cui le Società Benefit hanno scelto di impegnarsi</w:t>
      </w:r>
    </w:p>
    <w:p w:rsidR="00460ECF" w:rsidRDefault="00460ECF">
      <w:pPr>
        <w:spacing w:line="240" w:lineRule="auto"/>
        <w:rPr>
          <w:b/>
          <w:sz w:val="28"/>
          <w:szCs w:val="28"/>
          <w:highlight w:val="yellow"/>
        </w:rPr>
      </w:pPr>
    </w:p>
    <w:p w:rsidR="00460ECF" w:rsidRDefault="00A73238">
      <w:pPr>
        <w:spacing w:line="240" w:lineRule="auto"/>
        <w:jc w:val="center"/>
      </w:pPr>
      <w:r>
        <w:rPr>
          <w:sz w:val="28"/>
          <w:szCs w:val="28"/>
        </w:rPr>
        <w:t xml:space="preserve">Presentati i risultati della prima analisi delle finalità indicate negli statuti societari di oltre 3600 aziende </w:t>
      </w:r>
    </w:p>
    <w:p w:rsidR="00460ECF" w:rsidRDefault="00460ECF">
      <w:pPr>
        <w:spacing w:line="240" w:lineRule="auto"/>
        <w:rPr>
          <w:b/>
          <w:sz w:val="28"/>
          <w:szCs w:val="28"/>
        </w:rPr>
      </w:pPr>
    </w:p>
    <w:p w:rsidR="00460ECF" w:rsidRDefault="00A73238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Mappati per la prima volta, anche tramite il supporto dell’intelligenza artificiale, gli impegni assunti dalle 3.619 Società Benefit italiane (dati 2023) per generare, oltre al profitto, un impatto sociale e ambientale positivo:</w:t>
      </w:r>
    </w:p>
    <w:p w:rsidR="00460ECF" w:rsidRDefault="00A732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sz w:val="22"/>
          <w:szCs w:val="22"/>
        </w:rPr>
        <w:t>il 32,5%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delle finalità di </w:t>
      </w:r>
      <w:r>
        <w:rPr>
          <w:b/>
          <w:sz w:val="22"/>
          <w:szCs w:val="22"/>
        </w:rPr>
        <w:t xml:space="preserve">beneficio comune è incentrato sull’impatto verso la comunità locale e il territorio </w:t>
      </w:r>
    </w:p>
    <w:p w:rsidR="00460ECF" w:rsidRDefault="00A732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sz w:val="22"/>
          <w:szCs w:val="22"/>
        </w:rPr>
        <w:t>impatto ESG, più della metà delle finalità (51,9%) si focalizza su impegni nell’area sociale, seguita da ambiente e governance</w:t>
      </w:r>
    </w:p>
    <w:p w:rsidR="00460ECF" w:rsidRDefault="00A732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</w:rPr>
        <w:t xml:space="preserve">8 aziende su 10 dimostrano consapevolezza </w:t>
      </w:r>
      <w:r>
        <w:rPr>
          <w:b/>
          <w:sz w:val="22"/>
          <w:szCs w:val="22"/>
        </w:rPr>
        <w:t>su</w:t>
      </w:r>
      <w:r>
        <w:rPr>
          <w:b/>
          <w:sz w:val="22"/>
          <w:szCs w:val="22"/>
        </w:rPr>
        <w:t>i temi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>materiali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>che influenzano maggiormente le performance di sostenibilità nel proprio settore</w:t>
      </w:r>
    </w:p>
    <w:p w:rsidR="00460ECF" w:rsidRDefault="00460E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Una ricerca di:</w:t>
      </w:r>
    </w:p>
    <w:p w:rsidR="00460ECF" w:rsidRDefault="00460ECF">
      <w:pPr>
        <w:spacing w:line="240" w:lineRule="auto"/>
        <w:jc w:val="both"/>
      </w:pPr>
    </w:p>
    <w:p w:rsidR="00460ECF" w:rsidRDefault="00A73238">
      <w:pPr>
        <w:spacing w:line="240" w:lineRule="auto"/>
        <w:jc w:val="both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>NATIVA, Research Department di Intesa Sanpaolo, InfoCamere, Dipartimento di Scienze Economiche e Aziendali dell’Università di Padova, Camera</w:t>
      </w:r>
      <w:r>
        <w:rPr>
          <w:b/>
          <w:sz w:val="22"/>
          <w:szCs w:val="22"/>
        </w:rPr>
        <w:t xml:space="preserve"> di commercio di Brindisi-Taranto </w:t>
      </w:r>
      <w:r>
        <w:rPr>
          <w:sz w:val="22"/>
          <w:szCs w:val="22"/>
        </w:rPr>
        <w:t>e</w:t>
      </w:r>
      <w:r>
        <w:rPr>
          <w:b/>
          <w:sz w:val="22"/>
          <w:szCs w:val="22"/>
        </w:rPr>
        <w:t xml:space="preserve"> Assobenefit</w:t>
      </w:r>
      <w:r>
        <w:t xml:space="preserve"> </w:t>
      </w:r>
    </w:p>
    <w:p w:rsidR="00460ECF" w:rsidRDefault="00460ECF">
      <w:pPr>
        <w:spacing w:line="240" w:lineRule="auto"/>
        <w:jc w:val="both"/>
      </w:pPr>
    </w:p>
    <w:p w:rsidR="00460ECF" w:rsidRDefault="00A73238">
      <w:pPr>
        <w:spacing w:line="240" w:lineRule="auto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Milano/Roma, </w:t>
      </w:r>
      <w:r>
        <w:rPr>
          <w:sz w:val="22"/>
          <w:szCs w:val="22"/>
        </w:rPr>
        <w:t xml:space="preserve">30 settembre </w:t>
      </w:r>
      <w:r>
        <w:rPr>
          <w:sz w:val="22"/>
          <w:szCs w:val="22"/>
          <w:highlight w:val="white"/>
        </w:rPr>
        <w:t>2024</w:t>
      </w:r>
    </w:p>
    <w:p w:rsidR="00460ECF" w:rsidRDefault="00460ECF">
      <w:pPr>
        <w:spacing w:line="276" w:lineRule="auto"/>
        <w:jc w:val="both"/>
        <w:rPr>
          <w:sz w:val="22"/>
          <w:szCs w:val="22"/>
        </w:rPr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Anche grazie all’utilizzo di strumenti di IA applicati all’analisi testuale, per la prima volta è stato possibile analizzare in modo sistemico gli statuti di tutte le Società Benefit italiane (3.619 a fine 2023), identificando le 18.618 finalità specifiche</w:t>
      </w:r>
      <w:r>
        <w:rPr>
          <w:sz w:val="22"/>
          <w:szCs w:val="22"/>
        </w:rPr>
        <w:t xml:space="preserve"> di beneficio comune, </w:t>
      </w:r>
      <w:r>
        <w:rPr>
          <w:b/>
          <w:sz w:val="22"/>
          <w:szCs w:val="22"/>
        </w:rPr>
        <w:t>in media 5,8 per azienda</w:t>
      </w:r>
      <w:r>
        <w:rPr>
          <w:sz w:val="22"/>
          <w:szCs w:val="22"/>
        </w:rPr>
        <w:t xml:space="preserve">. Tali finalità sono state categorizzate secondo uno standard internazionale, evidenziando così gli impegni concreti e pubblici che queste aziende assumono nei confronti delle persone, delle comunità e dell’ambiente. </w:t>
      </w:r>
    </w:p>
    <w:p w:rsidR="00460ECF" w:rsidRDefault="00460ECF">
      <w:pPr>
        <w:spacing w:line="276" w:lineRule="auto"/>
        <w:jc w:val="both"/>
        <w:rPr>
          <w:sz w:val="22"/>
          <w:szCs w:val="22"/>
        </w:rPr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bookmarkStart w:id="0" w:name="_heading=h.30j0zll" w:colFirst="0" w:colLast="0"/>
      <w:bookmarkEnd w:id="0"/>
      <w:r>
        <w:rPr>
          <w:sz w:val="22"/>
          <w:szCs w:val="22"/>
        </w:rPr>
        <w:t>Le Società Benefit italiane dimostran</w:t>
      </w:r>
      <w:r>
        <w:rPr>
          <w:sz w:val="22"/>
          <w:szCs w:val="22"/>
        </w:rPr>
        <w:t>o così un impegno per generare un impatto positivo sui propri stakeholder, caratterizzato da senso di appartenenza al territorio, consapevolezza organizzativa e orientamento all’equità. Più in particolare, dalla classificazione delle finalità emerge che:</w:t>
      </w:r>
    </w:p>
    <w:p w:rsidR="00460ECF" w:rsidRDefault="00460ECF">
      <w:pPr>
        <w:spacing w:line="276" w:lineRule="auto"/>
        <w:jc w:val="both"/>
        <w:rPr>
          <w:sz w:val="22"/>
          <w:szCs w:val="22"/>
        </w:rPr>
      </w:pPr>
    </w:p>
    <w:p w:rsidR="00460ECF" w:rsidRDefault="00A732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</w:t>
      </w:r>
      <w:r>
        <w:rPr>
          <w:b/>
          <w:color w:val="000000"/>
          <w:sz w:val="22"/>
          <w:szCs w:val="22"/>
        </w:rPr>
        <w:t>32,5%</w:t>
      </w:r>
      <w:r>
        <w:rPr>
          <w:color w:val="000000"/>
          <w:sz w:val="22"/>
          <w:szCs w:val="22"/>
        </w:rPr>
        <w:t xml:space="preserve"> (6.04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finalità) </w:t>
      </w:r>
      <w:r>
        <w:rPr>
          <w:sz w:val="22"/>
          <w:szCs w:val="22"/>
        </w:rPr>
        <w:t>ha come argomento il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Capitale Sociale</w:t>
      </w:r>
      <w:r>
        <w:rPr>
          <w:color w:val="000000"/>
          <w:sz w:val="22"/>
          <w:szCs w:val="22"/>
        </w:rPr>
        <w:t xml:space="preserve">, a evidenziare il forte legame con la comunità locale e il territorio in cui le aziende sono inserite. Un approccio che, riprendendo il motto olivettiano, si può tradurre con il principio che </w:t>
      </w:r>
      <w:r>
        <w:rPr>
          <w:color w:val="000000"/>
          <w:sz w:val="22"/>
          <w:szCs w:val="22"/>
        </w:rPr>
        <w:t>«L’impresa è Comunità».</w:t>
      </w:r>
      <w:r>
        <w:t xml:space="preserve">     </w:t>
      </w:r>
    </w:p>
    <w:p w:rsidR="00460ECF" w:rsidRDefault="00A732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il </w:t>
      </w:r>
      <w:r>
        <w:rPr>
          <w:b/>
          <w:color w:val="000000"/>
          <w:sz w:val="22"/>
          <w:szCs w:val="22"/>
        </w:rPr>
        <w:t>24,4%</w:t>
      </w:r>
      <w:r>
        <w:rPr>
          <w:color w:val="000000"/>
          <w:sz w:val="22"/>
          <w:szCs w:val="22"/>
        </w:rPr>
        <w:t xml:space="preserve"> (4.54</w:t>
      </w:r>
      <w:r>
        <w:rPr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 finalità) riguarda l’innovazione del</w:t>
      </w:r>
      <w:r>
        <w:rPr>
          <w:b/>
          <w:color w:val="000000"/>
          <w:sz w:val="22"/>
          <w:szCs w:val="22"/>
        </w:rPr>
        <w:t xml:space="preserve"> Modello di Business,</w:t>
      </w:r>
      <w:r>
        <w:rPr>
          <w:color w:val="000000"/>
          <w:sz w:val="22"/>
          <w:szCs w:val="22"/>
        </w:rPr>
        <w:t xml:space="preserve"> con impegni relativi al ridisegno dei processi interni e lungo la catena di fornitura, delle logiche di progettazione di prodotti e servizi in ottica di </w:t>
      </w:r>
      <w:r>
        <w:rPr>
          <w:color w:val="000000"/>
          <w:sz w:val="22"/>
          <w:szCs w:val="22"/>
        </w:rPr>
        <w:t>sostenibilità;</w:t>
      </w:r>
      <w:r>
        <w:t xml:space="preserve">     </w:t>
      </w:r>
    </w:p>
    <w:p w:rsidR="00460ECF" w:rsidRDefault="00A732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</w:t>
      </w:r>
      <w:r>
        <w:rPr>
          <w:b/>
          <w:color w:val="000000"/>
          <w:sz w:val="22"/>
          <w:szCs w:val="22"/>
        </w:rPr>
        <w:t>17,6%</w:t>
      </w:r>
      <w:r>
        <w:rPr>
          <w:color w:val="000000"/>
          <w:sz w:val="22"/>
          <w:szCs w:val="22"/>
        </w:rPr>
        <w:t xml:space="preserve"> (3.27</w:t>
      </w:r>
      <w:r>
        <w:rPr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finalità) afferisce alle politiche di gestione del </w:t>
      </w:r>
      <w:r>
        <w:rPr>
          <w:b/>
          <w:color w:val="000000"/>
          <w:sz w:val="22"/>
          <w:szCs w:val="22"/>
        </w:rPr>
        <w:t>Capitale Umano</w:t>
      </w:r>
      <w:r>
        <w:rPr>
          <w:color w:val="000000"/>
          <w:sz w:val="22"/>
          <w:szCs w:val="22"/>
        </w:rPr>
        <w:t>, che incide sull’equità, sull’organizzazione del lavoro, sul benessere e la valorizzazione delle persone, sui processi di formazione e sviluppo e sui mode</w:t>
      </w:r>
      <w:r>
        <w:rPr>
          <w:color w:val="000000"/>
          <w:sz w:val="22"/>
          <w:szCs w:val="22"/>
        </w:rPr>
        <w:t>lli di welfare aziendale;</w:t>
      </w:r>
    </w:p>
    <w:p w:rsidR="00460ECF" w:rsidRDefault="00A732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</w:t>
      </w:r>
      <w:r>
        <w:rPr>
          <w:b/>
          <w:color w:val="000000"/>
          <w:sz w:val="22"/>
          <w:szCs w:val="22"/>
        </w:rPr>
        <w:t xml:space="preserve"> 13,4%</w:t>
      </w:r>
      <w:r>
        <w:rPr>
          <w:color w:val="000000"/>
          <w:sz w:val="22"/>
          <w:szCs w:val="22"/>
        </w:rPr>
        <w:t xml:space="preserve"> (2.49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finalità) </w:t>
      </w:r>
      <w:r>
        <w:rPr>
          <w:sz w:val="22"/>
          <w:szCs w:val="22"/>
        </w:rPr>
        <w:t>rientra nell’area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Leadership e Governance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e riguarda le pratiche di gestione aziendale (del rischio, la sicurezza, i conflitti di interesse) e la diffusione del modello benefit</w:t>
      </w:r>
      <w:r>
        <w:rPr>
          <w:color w:val="000000"/>
          <w:sz w:val="22"/>
          <w:szCs w:val="22"/>
        </w:rPr>
        <w:t>;</w:t>
      </w:r>
    </w:p>
    <w:p w:rsidR="00460ECF" w:rsidRDefault="00A732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 infine con il </w:t>
      </w:r>
      <w:r>
        <w:rPr>
          <w:b/>
          <w:color w:val="000000"/>
          <w:sz w:val="22"/>
          <w:szCs w:val="22"/>
        </w:rPr>
        <w:t>12,2%</w:t>
      </w:r>
      <w:r>
        <w:rPr>
          <w:color w:val="000000"/>
          <w:sz w:val="22"/>
          <w:szCs w:val="22"/>
        </w:rPr>
        <w:t xml:space="preserve"> (2.2</w:t>
      </w:r>
      <w:r>
        <w:rPr>
          <w:color w:val="000000"/>
          <w:sz w:val="22"/>
          <w:szCs w:val="22"/>
        </w:rPr>
        <w:t>66 finalità) gli impegni per l’</w:t>
      </w:r>
      <w:r>
        <w:rPr>
          <w:b/>
          <w:color w:val="000000"/>
          <w:sz w:val="22"/>
          <w:szCs w:val="22"/>
        </w:rPr>
        <w:t xml:space="preserve">Ambiente. </w:t>
      </w:r>
      <w:r>
        <w:rPr>
          <w:sz w:val="22"/>
          <w:szCs w:val="22"/>
        </w:rPr>
        <w:t>P</w:t>
      </w:r>
      <w:r>
        <w:rPr>
          <w:color w:val="000000"/>
          <w:sz w:val="22"/>
          <w:szCs w:val="22"/>
        </w:rPr>
        <w:t>ercentuale</w:t>
      </w:r>
      <w:r>
        <w:rPr>
          <w:sz w:val="22"/>
          <w:szCs w:val="22"/>
        </w:rPr>
        <w:t xml:space="preserve"> dovuta al fatto che il 30,5% delle Società Benefit italiane appartiene al settore dei servizi, in cui gli impatti ambientali sono prevalentemente indiretti e quindi meno controllabili; inoltre nello stan</w:t>
      </w:r>
      <w:r>
        <w:rPr>
          <w:sz w:val="22"/>
          <w:szCs w:val="22"/>
        </w:rPr>
        <w:t>dard adottato il lavoro di ottimizzazione dell’impatto anche ambientale dei processi e prodotti ricade nell’area Modello di Business.</w:t>
      </w:r>
    </w:p>
    <w:p w:rsidR="00460ECF" w:rsidRDefault="00460ECF">
      <w:pPr>
        <w:spacing w:line="350" w:lineRule="auto"/>
        <w:ind w:right="-120"/>
        <w:jc w:val="both"/>
        <w:rPr>
          <w:sz w:val="22"/>
          <w:szCs w:val="22"/>
        </w:rPr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Questa la fotografia che emerge dalla parte 2</w:t>
      </w:r>
      <w:r>
        <w:t xml:space="preserve"> </w:t>
      </w:r>
      <w:r>
        <w:rPr>
          <w:sz w:val="22"/>
          <w:szCs w:val="22"/>
        </w:rPr>
        <w:t xml:space="preserve">della </w:t>
      </w:r>
      <w:r>
        <w:rPr>
          <w:b/>
          <w:i/>
          <w:sz w:val="22"/>
          <w:szCs w:val="22"/>
        </w:rPr>
        <w:t>Ricerca Nazionale sulle Società Benefit</w:t>
      </w:r>
      <w:r>
        <w:rPr>
          <w:b/>
          <w:sz w:val="22"/>
          <w:szCs w:val="22"/>
        </w:rPr>
        <w:t xml:space="preserve"> 2024</w:t>
      </w:r>
      <w:r>
        <w:t xml:space="preserve"> </w:t>
      </w:r>
      <w:r>
        <w:rPr>
          <w:b/>
          <w:sz w:val="22"/>
          <w:szCs w:val="22"/>
        </w:rPr>
        <w:t>–</w:t>
      </w:r>
      <w:r>
        <w:rPr>
          <w:sz w:val="22"/>
          <w:szCs w:val="22"/>
        </w:rPr>
        <w:t xml:space="preserve"> realizzata da: </w:t>
      </w:r>
      <w:r>
        <w:rPr>
          <w:b/>
          <w:sz w:val="22"/>
          <w:szCs w:val="22"/>
        </w:rPr>
        <w:t>NATIVA,</w:t>
      </w:r>
      <w:r>
        <w:rPr>
          <w:b/>
          <w:sz w:val="22"/>
          <w:szCs w:val="22"/>
        </w:rPr>
        <w:t xml:space="preserve"> Research Department di Intesa Sanpaolo, InfoCamere, Dipartimento di Scienze Economiche e Aziendali dell’Università di Padova, Camera di commercio di Brindisi-Taranto </w:t>
      </w:r>
      <w:r>
        <w:rPr>
          <w:sz w:val="22"/>
          <w:szCs w:val="22"/>
        </w:rPr>
        <w:t>e</w:t>
      </w:r>
      <w:r>
        <w:rPr>
          <w:b/>
          <w:sz w:val="22"/>
          <w:szCs w:val="22"/>
        </w:rPr>
        <w:t xml:space="preserve"> Assobenefit</w:t>
      </w:r>
      <w:r>
        <w:rPr>
          <w:sz w:val="22"/>
          <w:szCs w:val="22"/>
        </w:rPr>
        <w:t>.</w:t>
      </w:r>
    </w:p>
    <w:p w:rsidR="00460ECF" w:rsidRDefault="00460ECF">
      <w:pPr>
        <w:spacing w:line="276" w:lineRule="auto"/>
        <w:jc w:val="both"/>
        <w:rPr>
          <w:sz w:val="22"/>
          <w:szCs w:val="22"/>
        </w:rPr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Entrando nei dettagli, le categorie delle finalità specifiche di benefici</w:t>
      </w:r>
      <w:r>
        <w:rPr>
          <w:sz w:val="22"/>
          <w:szCs w:val="22"/>
        </w:rPr>
        <w:t>o comune rivelano una forte attenzione alle relazioni con la comunità (28,2%), seguite dal coinvolgimento, dalla diversità e dall’inclusione delle persone (14,7%) e dalla diffusione del modello benefit (10,4%). Completano le prime cinque posizioni la resil</w:t>
      </w:r>
      <w:r>
        <w:rPr>
          <w:sz w:val="22"/>
          <w:szCs w:val="22"/>
        </w:rPr>
        <w:t>ienza del modello di business (8,2%) e la progettazione del prodotto e la gestione del suo ciclo di vita (8,2%).</w:t>
      </w:r>
    </w:p>
    <w:p w:rsidR="00460ECF" w:rsidRDefault="00A73238">
      <w:pPr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 conferma dell’attaccamento alla comunità e al territorio, raggruppando le finalità secondo l'</w:t>
      </w:r>
      <w:r>
        <w:rPr>
          <w:b/>
          <w:sz w:val="22"/>
          <w:szCs w:val="22"/>
        </w:rPr>
        <w:t>approccio ESG</w:t>
      </w:r>
      <w:r>
        <w:rPr>
          <w:sz w:val="22"/>
          <w:szCs w:val="22"/>
        </w:rPr>
        <w:t xml:space="preserve"> (Environmental, Social, Governance</w:t>
      </w:r>
      <w:r>
        <w:rPr>
          <w:sz w:val="22"/>
          <w:szCs w:val="22"/>
        </w:rPr>
        <w:t>), si evidenzia una particolare attenzione alle attività che producono un impatto sociale positivo (9.671 finalità, 51,9%), seguite da quelle legate all’ambiente (4.832 finalità, 25,6%) e infine alla governance (4.115 finalità, 22,1%). Come prevedibile, la</w:t>
      </w:r>
      <w:r>
        <w:rPr>
          <w:sz w:val="22"/>
          <w:szCs w:val="22"/>
        </w:rPr>
        <w:t xml:space="preserve"> propensione a prendere impegni verso l'ambiente aumenta nelle aziende dei settori più </w:t>
      </w:r>
      <w:r>
        <w:rPr>
          <w:i/>
          <w:sz w:val="22"/>
          <w:szCs w:val="22"/>
        </w:rPr>
        <w:t xml:space="preserve">hard, </w:t>
      </w:r>
      <w:r>
        <w:rPr>
          <w:sz w:val="22"/>
          <w:szCs w:val="22"/>
        </w:rPr>
        <w:t>come la trasformazione delle materie prime, prodotti, infrastrutture e trasporti, in cui gli impatti ambientali sono diretta conseguenza delle scelte ambientali, mentre è minore nelle imprese di servizi.</w:t>
      </w:r>
    </w:p>
    <w:p w:rsidR="00460ECF" w:rsidRDefault="00A73238">
      <w:pPr>
        <w:spacing w:before="240" w:after="240" w:line="276" w:lineRule="auto"/>
        <w:jc w:val="both"/>
        <w:rPr>
          <w:sz w:val="23"/>
          <w:szCs w:val="23"/>
          <w:highlight w:val="yellow"/>
        </w:rPr>
      </w:pPr>
      <w:r>
        <w:rPr>
          <w:sz w:val="22"/>
          <w:szCs w:val="22"/>
        </w:rPr>
        <w:t>La mappatura delle finalità di beneficio comune è st</w:t>
      </w:r>
      <w:r>
        <w:rPr>
          <w:sz w:val="22"/>
          <w:szCs w:val="22"/>
        </w:rPr>
        <w:t xml:space="preserve">ata realizzata utilizzando lo standard internazionale </w:t>
      </w:r>
      <w:r>
        <w:rPr>
          <w:b/>
          <w:i/>
          <w:sz w:val="22"/>
          <w:szCs w:val="22"/>
        </w:rPr>
        <w:t>Sustainability Accounting Standards Board</w:t>
      </w:r>
      <w:r>
        <w:rPr>
          <w:b/>
          <w:sz w:val="22"/>
          <w:szCs w:val="22"/>
        </w:rPr>
        <w:t xml:space="preserve"> (SASB)</w:t>
      </w:r>
      <w:r>
        <w:rPr>
          <w:sz w:val="22"/>
          <w:szCs w:val="22"/>
        </w:rPr>
        <w:t>, riconosciuto a livello mondiale per la classificazione di questioni ambientali, sociali e di governance più rilevanti relativamente ai rischi finanziari</w:t>
      </w:r>
      <w:r>
        <w:rPr>
          <w:sz w:val="22"/>
          <w:szCs w:val="22"/>
        </w:rPr>
        <w:t xml:space="preserve"> associati in 77 diversi settori. Per ogni settore, </w:t>
      </w:r>
      <w:r>
        <w:rPr>
          <w:sz w:val="22"/>
          <w:szCs w:val="22"/>
        </w:rPr>
        <w:lastRenderedPageBreak/>
        <w:t xml:space="preserve">lo standard SASB permette di analizzare anche la </w:t>
      </w:r>
      <w:r>
        <w:rPr>
          <w:b/>
          <w:sz w:val="22"/>
          <w:szCs w:val="22"/>
        </w:rPr>
        <w:t>materialità</w:t>
      </w:r>
      <w:r>
        <w:rPr>
          <w:b/>
          <w:i/>
          <w:sz w:val="22"/>
          <w:szCs w:val="22"/>
        </w:rPr>
        <w:t>,</w:t>
      </w:r>
      <w:r>
        <w:rPr>
          <w:sz w:val="22"/>
          <w:szCs w:val="22"/>
        </w:rPr>
        <w:t xml:space="preserve"> ovvero quanto un certo tema influenza le performance di sostenibilità dell’azienda in uno specifico settore.</w:t>
      </w: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bookmarkStart w:id="1" w:name="_heading=h.gjdgxs" w:colFirst="0" w:colLast="0"/>
      <w:bookmarkEnd w:id="1"/>
      <w:r>
        <w:rPr>
          <w:sz w:val="22"/>
          <w:szCs w:val="22"/>
        </w:rPr>
        <w:t xml:space="preserve">Tra le Società Benefit, circa </w:t>
      </w:r>
      <w:r>
        <w:rPr>
          <w:b/>
          <w:sz w:val="22"/>
          <w:szCs w:val="22"/>
        </w:rPr>
        <w:t>8 su 10 (il 78,0%) hanno indicato almeno una finalità specifica di beneficio comune materiale</w:t>
      </w:r>
      <w:r>
        <w:rPr>
          <w:sz w:val="22"/>
          <w:szCs w:val="22"/>
        </w:rPr>
        <w:t>, dimostrando consapevolezza su quali siano i fattori critici globali per aumentare l’impatto nel proprio settore. Il dato aumenta al crescere della dimensione azi</w:t>
      </w:r>
      <w:r>
        <w:rPr>
          <w:sz w:val="22"/>
          <w:szCs w:val="22"/>
        </w:rPr>
        <w:t>endale: 75,5% per le micro aziende rispetto all’87,7% per le grandi, più strutturate. A queste finalità materiali (in media 2 per ogni azienda), le Società Benefit ne aggiungono altre che meglio interpretano la propria specifica vocazione e che ritengono r</w:t>
      </w:r>
      <w:r>
        <w:rPr>
          <w:sz w:val="22"/>
          <w:szCs w:val="22"/>
        </w:rPr>
        <w:t>ilevanti per il particolare contesto economico, sociale e ambientale in cui operano.</w:t>
      </w:r>
    </w:p>
    <w:p w:rsidR="00460ECF" w:rsidRDefault="00460ECF">
      <w:pPr>
        <w:spacing w:line="240" w:lineRule="auto"/>
        <w:jc w:val="both"/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progetto di ricerca è unico nel suo genere.</w:t>
      </w:r>
      <w:r w:rsidR="00136408">
        <w:rPr>
          <w:sz w:val="22"/>
          <w:szCs w:val="22"/>
        </w:rPr>
        <w:t xml:space="preserve"> Per la prima volta l’incrocio tra i dati sulle</w:t>
      </w:r>
      <w:r>
        <w:rPr>
          <w:sz w:val="22"/>
          <w:szCs w:val="22"/>
        </w:rPr>
        <w:t xml:space="preserve"> Società Benefit contenuti nel Registro delle Imprese e forniti dalla Came</w:t>
      </w:r>
      <w:r>
        <w:rPr>
          <w:sz w:val="22"/>
          <w:szCs w:val="22"/>
        </w:rPr>
        <w:t>ra di Commercio di Brindisi - Taranto con il supporto di InfoCamere, ha permesso un’analisi sistematica di tutte le Società Benefit su scala nazionale. Inoltre l’approccio di “intelligenza umana aumentata”, ha integrato strumenti di intelligenza artificial</w:t>
      </w:r>
      <w:r w:rsidR="00136408">
        <w:rPr>
          <w:sz w:val="22"/>
          <w:szCs w:val="22"/>
        </w:rPr>
        <w:t xml:space="preserve">e per la </w:t>
      </w:r>
      <w:r>
        <w:rPr>
          <w:sz w:val="22"/>
          <w:szCs w:val="22"/>
        </w:rPr>
        <w:t>prima f</w:t>
      </w:r>
      <w:bookmarkStart w:id="2" w:name="_GoBack"/>
      <w:bookmarkEnd w:id="2"/>
      <w:r>
        <w:rPr>
          <w:sz w:val="22"/>
          <w:szCs w:val="22"/>
        </w:rPr>
        <w:t>ase di assegnazione delle finalità affiancati dalla verifica manuale effettuata da un team di esperti del settore.</w:t>
      </w:r>
    </w:p>
    <w:p w:rsidR="00460ECF" w:rsidRDefault="00460ECF">
      <w:pPr>
        <w:spacing w:line="240" w:lineRule="auto"/>
        <w:jc w:val="both"/>
        <w:rPr>
          <w:strike/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ricerca completa è disponibile </w:t>
      </w:r>
      <w:hyperlink r:id="rId8">
        <w:r>
          <w:rPr>
            <w:color w:val="1155CC"/>
            <w:sz w:val="22"/>
            <w:szCs w:val="22"/>
            <w:u w:val="single"/>
          </w:rPr>
          <w:t>a questo link</w:t>
        </w:r>
      </w:hyperlink>
      <w:r>
        <w:rPr>
          <w:sz w:val="22"/>
          <w:szCs w:val="22"/>
        </w:rPr>
        <w:t xml:space="preserve">. </w:t>
      </w: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Numero di finalità specifico di beneficio comune per Società Benefit</w:t>
      </w:r>
    </w:p>
    <w:p w:rsidR="00460ECF" w:rsidRDefault="00A73238">
      <w:pPr>
        <w:spacing w:before="40" w:after="40" w:line="240" w:lineRule="auto"/>
        <w:jc w:val="both"/>
        <w:rPr>
          <w:b/>
          <w:sz w:val="22"/>
          <w:szCs w:val="22"/>
        </w:rPr>
      </w:pPr>
      <w:r>
        <w:rPr>
          <w:rFonts w:ascii="Verdana" w:eastAsia="Verdana" w:hAnsi="Verdana" w:cs="Verdana"/>
          <w:noProof/>
          <w:sz w:val="22"/>
          <w:szCs w:val="22"/>
        </w:rPr>
        <w:drawing>
          <wp:inline distT="114300" distB="114300" distL="114300" distR="114300">
            <wp:extent cx="5399730" cy="2819400"/>
            <wp:effectExtent l="0" t="0" r="0" b="0"/>
            <wp:docPr id="194583577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Frequenza delle finalità nelle diverse ar</w:t>
      </w:r>
      <w:r>
        <w:rPr>
          <w:b/>
          <w:sz w:val="22"/>
          <w:szCs w:val="22"/>
        </w:rPr>
        <w:t>ee SASB (# e %)</w:t>
      </w:r>
    </w:p>
    <w:p w:rsidR="00460ECF" w:rsidRDefault="00A73238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19050" distB="19050" distL="19050" distR="19050">
            <wp:extent cx="3859050" cy="3814073"/>
            <wp:effectExtent l="0" t="0" r="0" b="0"/>
            <wp:docPr id="194583576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l="6085" t="4751" b="2810"/>
                    <a:stretch>
                      <a:fillRect/>
                    </a:stretch>
                  </pic:blipFill>
                  <pic:spPr>
                    <a:xfrm>
                      <a:off x="0" y="0"/>
                      <a:ext cx="3859050" cy="3814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b/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Distribuzione delle finalità specifiche di beneficio comune nelle aree ESG</w:t>
      </w:r>
    </w:p>
    <w:p w:rsidR="00460ECF" w:rsidRDefault="00A73238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114300" distB="114300" distL="114300" distR="114300">
            <wp:extent cx="2830350" cy="3224824"/>
            <wp:effectExtent l="0" t="0" r="0" b="0"/>
            <wp:docPr id="194583577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t="1371"/>
                    <a:stretch>
                      <a:fillRect/>
                    </a:stretch>
                  </pic:blipFill>
                  <pic:spPr>
                    <a:xfrm>
                      <a:off x="0" y="0"/>
                      <a:ext cx="2830350" cy="3224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0ECF" w:rsidRDefault="00460ECF">
      <w:pPr>
        <w:spacing w:line="240" w:lineRule="auto"/>
        <w:jc w:val="both"/>
        <w:rPr>
          <w:b/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Frequenza delle top 10 categorie delle finalità specifiche di beneficio comune</w:t>
      </w:r>
    </w:p>
    <w:p w:rsidR="00460ECF" w:rsidRDefault="00A73238">
      <w:pPr>
        <w:spacing w:before="240" w:after="240" w:line="240" w:lineRule="auto"/>
        <w:jc w:val="both"/>
        <w:rPr>
          <w:sz w:val="22"/>
          <w:szCs w:val="22"/>
        </w:rPr>
      </w:pPr>
      <w:r>
        <w:rPr>
          <w:rFonts w:ascii="Verdana" w:eastAsia="Verdana" w:hAnsi="Verdana" w:cs="Verdana"/>
          <w:noProof/>
          <w:sz w:val="22"/>
          <w:szCs w:val="22"/>
        </w:rPr>
        <w:lastRenderedPageBreak/>
        <w:drawing>
          <wp:inline distT="114300" distB="114300" distL="114300" distR="114300">
            <wp:extent cx="4925378" cy="4599433"/>
            <wp:effectExtent l="0" t="0" r="0" b="0"/>
            <wp:docPr id="194583577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378" cy="45994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0ECF" w:rsidRDefault="00460ECF">
      <w:pPr>
        <w:spacing w:line="240" w:lineRule="auto"/>
        <w:jc w:val="both"/>
        <w:rPr>
          <w:b/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Materialità delle finalità specifiche di beneficio comune</w:t>
      </w:r>
    </w:p>
    <w:p w:rsidR="00460ECF" w:rsidRDefault="00A73238">
      <w:pPr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114300" distB="114300" distL="114300" distR="114300">
            <wp:extent cx="5399730" cy="2578100"/>
            <wp:effectExtent l="0" t="0" r="0" b="0"/>
            <wp:docPr id="194583577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57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A73238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COSA SONO LE SOCIETÀ BENEFIT</w:t>
      </w:r>
    </w:p>
    <w:p w:rsidR="00460ECF" w:rsidRDefault="00460ECF">
      <w:pPr>
        <w:spacing w:line="240" w:lineRule="auto"/>
        <w:jc w:val="both"/>
        <w:rPr>
          <w:sz w:val="22"/>
          <w:szCs w:val="22"/>
        </w:rPr>
      </w:pPr>
    </w:p>
    <w:p w:rsidR="00460ECF" w:rsidRDefault="00A732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Società Benefit è uno status giuridico adottato da imprese che, oltre allo scopo di dividere gli utili, perseguono una o più finalità di beneficio comune e operano in modo responsabile, sostenibile e trasparente nei confronti </w:t>
      </w:r>
      <w:r>
        <w:rPr>
          <w:sz w:val="22"/>
          <w:szCs w:val="22"/>
        </w:rPr>
        <w:t>di persone, ambiente e stakeholder, impegnandosi a valutare in maniera trasparente il proprio impatto.</w:t>
      </w:r>
    </w:p>
    <w:p w:rsidR="00460ECF" w:rsidRDefault="00A73238">
      <w:pPr>
        <w:jc w:val="both"/>
        <w:rPr>
          <w:sz w:val="22"/>
          <w:szCs w:val="22"/>
        </w:rPr>
      </w:pPr>
      <w:r>
        <w:rPr>
          <w:sz w:val="22"/>
          <w:szCs w:val="22"/>
        </w:rPr>
        <w:t>I principi costitutivi delle Società Benefit sono definiti nella legge 28 dicembre 2015, n. 208. Nel 2016 l’Italia è diventata il primo Paese, dopo gli S</w:t>
      </w:r>
      <w:r>
        <w:rPr>
          <w:sz w:val="22"/>
          <w:szCs w:val="22"/>
        </w:rPr>
        <w:t>tati Uniti, a introdurre nella propria legislazione la possibilità per le aziende di adottare la qualifica di Società Benefit. Secondo la norma, le Società Benefit presentano alcune sostanziali novità:</w:t>
      </w:r>
      <w:r>
        <w:rPr>
          <w:sz w:val="22"/>
          <w:szCs w:val="22"/>
        </w:rPr>
        <w:br/>
      </w:r>
    </w:p>
    <w:p w:rsidR="00460ECF" w:rsidRDefault="00A73238">
      <w:pPr>
        <w:numPr>
          <w:ilvl w:val="0"/>
          <w:numId w:val="3"/>
        </w:numPr>
      </w:pPr>
      <w:r>
        <w:rPr>
          <w:sz w:val="22"/>
          <w:szCs w:val="22"/>
        </w:rPr>
        <w:t>Una o più finalità di beneficio comune indicate nell’</w:t>
      </w:r>
      <w:r>
        <w:rPr>
          <w:sz w:val="22"/>
          <w:szCs w:val="22"/>
        </w:rPr>
        <w:t>oggetto sociale. La realizzazione di un beneficio comune viene pertanto a configurarsi come un obbligo giuridico di natura statutaria.</w:t>
      </w:r>
    </w:p>
    <w:p w:rsidR="00460ECF" w:rsidRDefault="00A73238">
      <w:pPr>
        <w:numPr>
          <w:ilvl w:val="0"/>
          <w:numId w:val="3"/>
        </w:numPr>
      </w:pPr>
      <w:r>
        <w:rPr>
          <w:sz w:val="22"/>
          <w:szCs w:val="22"/>
        </w:rPr>
        <w:t>L’obbligo, nella gestione, di bilanciare l’interesse dei soci con il perseguimento delle finalità di beneficio comune e g</w:t>
      </w:r>
      <w:r>
        <w:rPr>
          <w:sz w:val="22"/>
          <w:szCs w:val="22"/>
        </w:rPr>
        <w:t>li interessi degli stakeholder.</w:t>
      </w:r>
    </w:p>
    <w:p w:rsidR="00460ECF" w:rsidRDefault="00A73238">
      <w:pPr>
        <w:numPr>
          <w:ilvl w:val="0"/>
          <w:numId w:val="3"/>
        </w:numPr>
      </w:pPr>
      <w:r>
        <w:rPr>
          <w:sz w:val="22"/>
          <w:szCs w:val="22"/>
        </w:rPr>
        <w:t>L’obbligo di comunicare in maniera trasparente il perseguimento del beneficio comune con una relazione annuale che contempli anche la misurazione dell’impatto generato – secondo standard di valutazione esterni – su governanc</w:t>
      </w:r>
      <w:r>
        <w:rPr>
          <w:sz w:val="22"/>
          <w:szCs w:val="22"/>
        </w:rPr>
        <w:t>e, lavoratori, stakeholder del territorio e ambiente.</w:t>
      </w:r>
    </w:p>
    <w:p w:rsidR="00460ECF" w:rsidRDefault="00A73238">
      <w:pPr>
        <w:numPr>
          <w:ilvl w:val="0"/>
          <w:numId w:val="3"/>
        </w:numPr>
      </w:pPr>
      <w:r>
        <w:rPr>
          <w:sz w:val="22"/>
          <w:szCs w:val="22"/>
        </w:rPr>
        <w:t>La necessità di individuare un soggetto all’interno della società responsabile per il perseguimento del Beneficio comune.</w:t>
      </w:r>
    </w:p>
    <w:p w:rsidR="00460ECF" w:rsidRDefault="00460ECF">
      <w:pPr>
        <w:spacing w:line="240" w:lineRule="auto"/>
        <w:jc w:val="both"/>
        <w:rPr>
          <w:i/>
          <w:sz w:val="22"/>
          <w:szCs w:val="22"/>
        </w:rPr>
      </w:pP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A73238">
      <w:pPr>
        <w:spacing w:line="240" w:lineRule="auto"/>
        <w:jc w:val="both"/>
      </w:pPr>
      <w:r>
        <w:rPr>
          <w:b/>
        </w:rPr>
        <w:t xml:space="preserve">NATIVA </w:t>
      </w:r>
      <w:r>
        <w:t>è la Regenerative Design Company che da oltre dieci anni supporta alcun</w:t>
      </w:r>
      <w:r>
        <w:t>e delle più importanti aziende italiane ed europee in una radicale evoluzione del proprio business, accelerandone la transizione verso modelli che mettano al centro la sostenibilità e la rigenerazione.</w:t>
      </w:r>
    </w:p>
    <w:p w:rsidR="00460ECF" w:rsidRDefault="00A73238">
      <w:pPr>
        <w:spacing w:line="240" w:lineRule="auto"/>
        <w:jc w:val="both"/>
      </w:pPr>
      <w:r>
        <w:t>Prima Società Benefit in Europa e B Corp in Italia, da</w:t>
      </w:r>
      <w:r>
        <w:t xml:space="preserve">l 2014 ha per prima attivamente promosso l’introduzione delle Società Benefit in Italia e poi ha contribuito alla loro diffusione in Perù, Ecuador, Colombia, Uruguay, Panama e Spagna, come modello di governance efficace per accelerare l’integrazione della </w:t>
      </w:r>
      <w:r>
        <w:t>sostenibilità nei processi di business delle aziende.</w:t>
      </w:r>
    </w:p>
    <w:p w:rsidR="00460ECF" w:rsidRDefault="00A73238">
      <w:pPr>
        <w:spacing w:line="240" w:lineRule="auto"/>
        <w:jc w:val="both"/>
        <w:rPr>
          <w:color w:val="0000FF"/>
          <w:u w:val="single"/>
        </w:rPr>
      </w:pPr>
      <w:r>
        <w:t xml:space="preserve">Nel 2022 NATIVA, insieme alla Fondazione per lo Sviluppo Sostenibile, ha lanciato </w:t>
      </w:r>
      <w:hyperlink r:id="rId14">
        <w:r>
          <w:rPr>
            <w:color w:val="1155CC"/>
            <w:u w:val="single"/>
          </w:rPr>
          <w:t>CO2alizione</w:t>
        </w:r>
      </w:hyperlink>
      <w:r>
        <w:t>, iniziativa volta a supportare la transizione delle aziende vers</w:t>
      </w:r>
      <w:r>
        <w:t xml:space="preserve">o la neutralità climatica, a cui hanno aderito più di 90 imprese. </w:t>
      </w:r>
      <w:hyperlink r:id="rId15">
        <w:r>
          <w:rPr>
            <w:color w:val="0000FF"/>
            <w:u w:val="single"/>
          </w:rPr>
          <w:t>www.nativa.eco</w:t>
        </w:r>
      </w:hyperlink>
      <w:r>
        <w:rPr>
          <w:color w:val="0000FF"/>
          <w:u w:val="single"/>
        </w:rPr>
        <w:t xml:space="preserve"> </w:t>
      </w:r>
    </w:p>
    <w:p w:rsidR="00460ECF" w:rsidRDefault="00460ECF">
      <w:pPr>
        <w:spacing w:line="276" w:lineRule="auto"/>
        <w:jc w:val="both"/>
        <w:rPr>
          <w:sz w:val="22"/>
          <w:szCs w:val="22"/>
        </w:rPr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b/>
        </w:rPr>
        <w:t>Intesa Sanpaolo</w:t>
      </w:r>
      <w:r>
        <w:t xml:space="preserve">, è il maggior gruppo bancario in Italia con una significativa presenza internazionale. </w:t>
      </w:r>
      <w:r w:rsidR="00136408">
        <w:t>È</w:t>
      </w:r>
      <w:r>
        <w:t xml:space="preserve"> leader a livello europeo n</w:t>
      </w:r>
      <w:r>
        <w:t>el wealth management, con un forte orientamento al digitale e al fintech. In ambito ESG, entro il 2025, sono previsti 115 miliardi di euro di erogazioni Impact per la comunità e la transizione verde. Il programma a favore e a supporto delle persone in diff</w:t>
      </w:r>
      <w:r>
        <w:t>icoltà è di 1,5 miliardi di euro. La rete museale della Banca, le Gallerie d’Italia, è sede espositiva del patrimonio artistico di proprietà e di progetti culturali di riconosciuto valore. Intesa Sanpaolo, attraverso il suo Research Department, realizza an</w:t>
      </w:r>
      <w:r>
        <w:t>alisi e approfondimenti su settori industriali ed economie del territorio, con particolare attenzione ai temi della tecnologia e della sostenibilità ambientale, sociale ed economica.</w:t>
      </w:r>
    </w:p>
    <w:p w:rsidR="00460ECF" w:rsidRDefault="00460ECF">
      <w:pPr>
        <w:spacing w:line="276" w:lineRule="auto"/>
        <w:jc w:val="both"/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b/>
        </w:rPr>
        <w:t>InfoCamere</w:t>
      </w:r>
      <w:r>
        <w:t xml:space="preserve"> è la società delle Camere di Commercio italiane per l’innovaz</w:t>
      </w:r>
      <w:r>
        <w:t>ione digitale che, nell'interesse e per conto delle Camere di Commercio, gestisce il Registro Imprese (riconosciuto dall’AGID quale banca dati di interesse nazionale) ed altri rilevanti asset digitali del sistema camerale, sviluppando soluzioni per l’anali</w:t>
      </w:r>
      <w:r>
        <w:t>si evoluta dei fenomeni economici a supporto dei decisori pubblici, delle Camere di Commercio e del sistema produttivo nel suo insieme.</w:t>
      </w:r>
    </w:p>
    <w:p w:rsidR="00460ECF" w:rsidRDefault="00460ECF">
      <w:pPr>
        <w:spacing w:line="276" w:lineRule="auto"/>
        <w:jc w:val="both"/>
      </w:pPr>
    </w:p>
    <w:p w:rsidR="00460ECF" w:rsidRDefault="00A73238">
      <w:pPr>
        <w:spacing w:line="276" w:lineRule="auto"/>
        <w:jc w:val="both"/>
      </w:pPr>
      <w:r>
        <w:lastRenderedPageBreak/>
        <w:t>Il Dipartimento di Scienze Economiche e Aziendali dell’</w:t>
      </w:r>
      <w:r>
        <w:rPr>
          <w:b/>
        </w:rPr>
        <w:t>Università di Padova</w:t>
      </w:r>
      <w:r>
        <w:t xml:space="preserve"> integra docenti di area economia e di area </w:t>
      </w:r>
      <w:r>
        <w:t>management e nel corso degli anni ha maturato consolidate esperienze di ricerca nell’ambito dell’imprenditorialità, delle forme organizzative, della governance, dei modelli di business e della gestione delle risorse umane nell’ottica della sostenibilità. D</w:t>
      </w:r>
      <w:r>
        <w:t>al 2023, è accreditato Equis.</w:t>
      </w:r>
    </w:p>
    <w:p w:rsidR="00460ECF" w:rsidRDefault="00460ECF">
      <w:pPr>
        <w:spacing w:line="276" w:lineRule="auto"/>
        <w:jc w:val="both"/>
      </w:pPr>
    </w:p>
    <w:p w:rsidR="00460ECF" w:rsidRDefault="00A73238">
      <w:pPr>
        <w:spacing w:line="276" w:lineRule="auto"/>
        <w:jc w:val="both"/>
      </w:pPr>
      <w:r>
        <w:t xml:space="preserve">La </w:t>
      </w:r>
      <w:r>
        <w:rPr>
          <w:b/>
        </w:rPr>
        <w:t>Camera di commercio di Brindisi - Taranto</w:t>
      </w:r>
      <w:r>
        <w:t xml:space="preserve"> opera, sin dal 2016, a favore della diffusione della conoscenza e dell'adozione del modello imprenditoriale benefit, promuovendo il costante monitoraggio quali - quantitativo del f</w:t>
      </w:r>
      <w:r>
        <w:t>enomeno attraverso la creazione e la gestione, con l’indispensabile supporto tecnologico di InfoCamere, di un Osservatorio e di una dashboard di analisi statistica evoluta.</w:t>
      </w:r>
    </w:p>
    <w:p w:rsidR="00460ECF" w:rsidRDefault="00460ECF">
      <w:pPr>
        <w:spacing w:line="276" w:lineRule="auto"/>
        <w:jc w:val="both"/>
      </w:pPr>
    </w:p>
    <w:p w:rsidR="00460ECF" w:rsidRDefault="00A73238">
      <w:pPr>
        <w:spacing w:line="276" w:lineRule="auto"/>
        <w:jc w:val="both"/>
        <w:rPr>
          <w:sz w:val="22"/>
          <w:szCs w:val="22"/>
        </w:rPr>
      </w:pPr>
      <w:r>
        <w:rPr>
          <w:b/>
        </w:rPr>
        <w:t>Assobenefit</w:t>
      </w:r>
      <w:r>
        <w:t xml:space="preserve"> è la prima associazione rappresentativa delle Società Benefit in Itali</w:t>
      </w:r>
      <w:r>
        <w:t>a e affianca tutte le imprese diventate benefit e quelle che si riconoscono in un modello di mercato e di crescita sociale ed economica che pone al centro della propria azione il bene comune, svolgendo inoltre un ruolo di ispirazione della normativa in mer</w:t>
      </w:r>
      <w:r>
        <w:t>ito alle Società Benefit stesse, sia nel contesto italiano che in quello europeo e internazionale, nel quale il modello italiano ha fatto e continua a fare scuola. Insieme alle associate e attraverso attività di indirizzo, studio e ricerca, networking, for</w:t>
      </w:r>
      <w:r>
        <w:t>mazione e lobbying legislativa, Assobenefit opera per dare impulso alla crescita e all'evoluzione delle Società Benefit, imprimendo forza e riconoscimento al loro protagonismo nello sforzo collettivo verso l’obiettivo della sostenibilità.</w:t>
      </w:r>
    </w:p>
    <w:p w:rsidR="00460ECF" w:rsidRDefault="00460ECF">
      <w:pPr>
        <w:spacing w:line="240" w:lineRule="auto"/>
        <w:jc w:val="both"/>
        <w:rPr>
          <w:b/>
        </w:rPr>
      </w:pPr>
    </w:p>
    <w:p w:rsidR="00460ECF" w:rsidRDefault="00460ECF">
      <w:pPr>
        <w:spacing w:line="240" w:lineRule="auto"/>
        <w:jc w:val="both"/>
        <w:rPr>
          <w:b/>
        </w:rPr>
      </w:pPr>
    </w:p>
    <w:p w:rsidR="00460ECF" w:rsidRDefault="00A73238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Nota metodologica</w:t>
      </w:r>
    </w:p>
    <w:p w:rsidR="00460ECF" w:rsidRDefault="00A73238">
      <w:pPr>
        <w:spacing w:line="240" w:lineRule="auto"/>
        <w:jc w:val="both"/>
        <w:rPr>
          <w:strike/>
          <w:sz w:val="18"/>
          <w:szCs w:val="18"/>
          <w:highlight w:val="yellow"/>
        </w:rPr>
      </w:pPr>
      <w:r>
        <w:rPr>
          <w:strike/>
          <w:sz w:val="18"/>
          <w:szCs w:val="18"/>
          <w:highlight w:val="yellow"/>
        </w:rPr>
        <w:t xml:space="preserve"> </w:t>
      </w: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A7323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La mappatura delle finalità di beneficio comune è stata realizzata utilizzando lo standard internazionale Sustainability Accounting Standards Board (SASB), riconosciuto a livello mondiale come uno dei più completi modelli per classificare le questioni ambi</w:t>
      </w:r>
      <w:r>
        <w:rPr>
          <w:sz w:val="18"/>
          <w:szCs w:val="18"/>
        </w:rPr>
        <w:t>entali, sociali e di governance più rilevanti relativamente ai rischi finanziari associati in 77 diversi settori. Alle 26 categorie previste da SASB, sono state aggiunte 3 specifiche categorie emergenti, per catturare in modo appropriato l’ampiezza delle s</w:t>
      </w:r>
      <w:r>
        <w:rPr>
          <w:sz w:val="18"/>
          <w:szCs w:val="18"/>
        </w:rPr>
        <w:t>trategie e delle politiche per generare impatti positivi sul bene comune (il nuovo database è nominato SASB+). Su questa base sono state classificate le finalità secondo i settori e poi ne è stata valutata la materialità rispetto a quella definita da SASB+</w:t>
      </w:r>
      <w:r>
        <w:rPr>
          <w:sz w:val="18"/>
          <w:szCs w:val="18"/>
        </w:rPr>
        <w:t>. La classificazione delle finalità è stata portata avanti applicando un algoritmo che permette di effettuare una call a OpenAI (nello specifico, GPT3.5) per una prima ipotesi di assegnazione poi ciascuna controllata manualmente dal team di ricerca per gar</w:t>
      </w:r>
      <w:r>
        <w:rPr>
          <w:sz w:val="18"/>
          <w:szCs w:val="18"/>
        </w:rPr>
        <w:t>antirne l’accuratezza. A questo punto ogni finalità è stata valutata rispetto alla sua materialità per il settore specifico e infine è stato utilizzato un modello di Natural Language Processing (NLP) per confrontare semanticamente le descrizioni delle fina</w:t>
      </w:r>
      <w:r>
        <w:rPr>
          <w:sz w:val="18"/>
          <w:szCs w:val="18"/>
        </w:rPr>
        <w:t>lità con le definizioni delle categorie SASB+. Lo score varia da 1 (uguaglianza completa fra le frasi) a 0 (totale dissimilarità semantica).</w:t>
      </w: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460ECF">
      <w:pPr>
        <w:spacing w:line="240" w:lineRule="auto"/>
        <w:jc w:val="both"/>
        <w:rPr>
          <w:sz w:val="18"/>
          <w:szCs w:val="18"/>
        </w:rPr>
      </w:pPr>
    </w:p>
    <w:p w:rsidR="00460ECF" w:rsidRDefault="00A73238">
      <w:pPr>
        <w:spacing w:line="240" w:lineRule="auto"/>
      </w:pPr>
      <w:r>
        <w:t>Media contact:</w:t>
      </w:r>
    </w:p>
    <w:p w:rsidR="00460ECF" w:rsidRDefault="00460ECF">
      <w:pPr>
        <w:spacing w:line="240" w:lineRule="auto"/>
      </w:pPr>
    </w:p>
    <w:p w:rsidR="00460ECF" w:rsidRDefault="00A73238">
      <w:pPr>
        <w:spacing w:line="240" w:lineRule="auto"/>
      </w:pPr>
      <w:r>
        <w:t>Ufficio stampa NATIVA: Barabino&amp;Partners</w:t>
      </w:r>
    </w:p>
    <w:p w:rsidR="00460ECF" w:rsidRDefault="00A73238">
      <w:pPr>
        <w:spacing w:line="240" w:lineRule="auto"/>
      </w:pPr>
      <w:r>
        <w:t>Massimiliano Parboni – m.parboni@barabino.it</w:t>
      </w:r>
    </w:p>
    <w:p w:rsidR="00460ECF" w:rsidRDefault="00A73238">
      <w:pPr>
        <w:spacing w:line="240" w:lineRule="auto"/>
      </w:pPr>
      <w:r>
        <w:t>Francesc</w:t>
      </w:r>
      <w:r>
        <w:t>a Manco – f.manco@barabino.it</w:t>
      </w:r>
    </w:p>
    <w:p w:rsidR="00460ECF" w:rsidRDefault="00A73238">
      <w:pPr>
        <w:spacing w:line="240" w:lineRule="auto"/>
        <w:rPr>
          <w:sz w:val="22"/>
          <w:szCs w:val="22"/>
        </w:rPr>
      </w:pPr>
      <w:r>
        <w:t>Marta Reguzzoni – m.reguzzoni@barabino.it</w:t>
      </w:r>
      <w:r>
        <w:br/>
      </w:r>
    </w:p>
    <w:p w:rsidR="00460ECF" w:rsidRDefault="00A73238">
      <w:r>
        <w:t>Ufficio Stampa Intesa Sanpaolo</w:t>
      </w:r>
    </w:p>
    <w:p w:rsidR="00460ECF" w:rsidRDefault="00A73238">
      <w:r>
        <w:lastRenderedPageBreak/>
        <w:t>+39 331 578 6088</w:t>
      </w:r>
    </w:p>
    <w:p w:rsidR="00460ECF" w:rsidRDefault="00A73238">
      <w:pPr>
        <w:spacing w:after="240"/>
      </w:pPr>
      <w:hyperlink r:id="rId16">
        <w:r>
          <w:rPr>
            <w:color w:val="000000"/>
          </w:rPr>
          <w:t>pietro.balducci@intesasanpaolo.com</w:t>
        </w:r>
      </w:hyperlink>
    </w:p>
    <w:p w:rsidR="00460ECF" w:rsidRDefault="00A73238">
      <w:r>
        <w:t>Ufficio Stampa InfoCamere</w:t>
      </w:r>
    </w:p>
    <w:p w:rsidR="00460ECF" w:rsidRDefault="00A73238">
      <w:r>
        <w:t>06.44285403-3</w:t>
      </w:r>
      <w:r>
        <w:t>10</w:t>
      </w:r>
    </w:p>
    <w:p w:rsidR="00460ECF" w:rsidRDefault="00A73238">
      <w:hyperlink r:id="rId17">
        <w:r>
          <w:rPr>
            <w:color w:val="000000"/>
          </w:rPr>
          <w:t>ufficiostampa@infocamere.it</w:t>
        </w:r>
      </w:hyperlink>
    </w:p>
    <w:p w:rsidR="00460ECF" w:rsidRDefault="00460ECF"/>
    <w:p w:rsidR="00460ECF" w:rsidRDefault="00A73238">
      <w:r>
        <w:t>Ufficio Stampa Università degli Studi di Padova</w:t>
      </w:r>
    </w:p>
    <w:p w:rsidR="00460ECF" w:rsidRDefault="00A73238">
      <w:r>
        <w:t>+39 0498273041 - 3066 - 3520</w:t>
      </w:r>
    </w:p>
    <w:p w:rsidR="00460ECF" w:rsidRDefault="00A73238">
      <w:r>
        <w:t>stampa@unipd.it</w:t>
      </w:r>
    </w:p>
    <w:p w:rsidR="00460ECF" w:rsidRDefault="00460ECF"/>
    <w:p w:rsidR="00460ECF" w:rsidRDefault="00A73238">
      <w:pPr>
        <w:spacing w:line="240" w:lineRule="auto"/>
      </w:pPr>
      <w:r>
        <w:t>Ufficio Comunicazione Camera di commercio di Brindisi - Taranto</w:t>
      </w:r>
    </w:p>
    <w:p w:rsidR="00460ECF" w:rsidRDefault="00A73238">
      <w:pPr>
        <w:spacing w:line="240" w:lineRule="auto"/>
      </w:pPr>
      <w:r>
        <w:t xml:space="preserve">dr.ssa Francesca Sanesi - comunicazione@brta.camcom.it </w:t>
      </w:r>
    </w:p>
    <w:p w:rsidR="00460ECF" w:rsidRDefault="00460ECF">
      <w:pPr>
        <w:spacing w:line="240" w:lineRule="auto"/>
      </w:pPr>
    </w:p>
    <w:p w:rsidR="00460ECF" w:rsidRDefault="00A73238">
      <w:pPr>
        <w:spacing w:line="240" w:lineRule="auto"/>
      </w:pPr>
      <w:r>
        <w:t xml:space="preserve">Ufficio Stampa Assobenefit </w:t>
      </w:r>
    </w:p>
    <w:p w:rsidR="00460ECF" w:rsidRDefault="00A73238">
      <w:pPr>
        <w:spacing w:line="240" w:lineRule="auto"/>
      </w:pPr>
      <w:r>
        <w:t>+39 3397739697</w:t>
      </w:r>
    </w:p>
    <w:p w:rsidR="00460ECF" w:rsidRDefault="00A73238">
      <w:pPr>
        <w:spacing w:line="240" w:lineRule="auto"/>
      </w:pPr>
      <w:r>
        <w:t>comunicazione@assobenefit.org</w:t>
      </w:r>
    </w:p>
    <w:p w:rsidR="00460ECF" w:rsidRDefault="00460ECF">
      <w:pPr>
        <w:spacing w:line="240" w:lineRule="auto"/>
      </w:pPr>
    </w:p>
    <w:sectPr w:rsidR="00460ECF">
      <w:headerReference w:type="default" r:id="rId18"/>
      <w:pgSz w:w="11909" w:h="16834"/>
      <w:pgMar w:top="2268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238" w:rsidRDefault="00A73238">
      <w:pPr>
        <w:spacing w:line="240" w:lineRule="auto"/>
      </w:pPr>
      <w:r>
        <w:separator/>
      </w:r>
    </w:p>
  </w:endnote>
  <w:endnote w:type="continuationSeparator" w:id="0">
    <w:p w:rsidR="00A73238" w:rsidRDefault="00A73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238" w:rsidRDefault="00A73238">
      <w:pPr>
        <w:spacing w:line="240" w:lineRule="auto"/>
      </w:pPr>
      <w:r>
        <w:separator/>
      </w:r>
    </w:p>
  </w:footnote>
  <w:footnote w:type="continuationSeparator" w:id="0">
    <w:p w:rsidR="00A73238" w:rsidRDefault="00A73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CF" w:rsidRDefault="00A73238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64777</wp:posOffset>
          </wp:positionH>
          <wp:positionV relativeFrom="paragraph">
            <wp:posOffset>40592</wp:posOffset>
          </wp:positionV>
          <wp:extent cx="1053465" cy="278130"/>
          <wp:effectExtent l="0" t="0" r="0" b="0"/>
          <wp:wrapSquare wrapText="bothSides" distT="0" distB="0" distL="114300" distR="114300"/>
          <wp:docPr id="194583577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3465" cy="278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4747895</wp:posOffset>
          </wp:positionH>
          <wp:positionV relativeFrom="paragraph">
            <wp:posOffset>0</wp:posOffset>
          </wp:positionV>
          <wp:extent cx="659765" cy="396240"/>
          <wp:effectExtent l="0" t="0" r="0" b="0"/>
          <wp:wrapSquare wrapText="bothSides" distT="0" distB="0" distL="114300" distR="114300"/>
          <wp:docPr id="1945835775" name="image2.jpg" descr="Immagine che contiene testo, Elementi grafici, Carattere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Elementi grafici, Carattere, design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765" cy="396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2163014</wp:posOffset>
          </wp:positionH>
          <wp:positionV relativeFrom="paragraph">
            <wp:posOffset>115518</wp:posOffset>
          </wp:positionV>
          <wp:extent cx="1654810" cy="181610"/>
          <wp:effectExtent l="0" t="0" r="0" b="0"/>
          <wp:wrapSquare wrapText="bothSides" distT="0" distB="0" distL="114300" distR="114300"/>
          <wp:docPr id="194583576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4810" cy="181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0ECF" w:rsidRDefault="00460ECF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460ECF" w:rsidRDefault="00A73238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74078</wp:posOffset>
          </wp:positionH>
          <wp:positionV relativeFrom="paragraph">
            <wp:posOffset>96188</wp:posOffset>
          </wp:positionV>
          <wp:extent cx="810260" cy="370205"/>
          <wp:effectExtent l="0" t="0" r="0" b="0"/>
          <wp:wrapSquare wrapText="bothSides" distT="0" distB="0" distL="114300" distR="114300"/>
          <wp:docPr id="1945835768" name="image4.jpg" descr="Immagine che contiene testo, Carattere, logo, emblem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Immagine che contiene testo, Carattere, logo, emblema&#10;&#10;Descrizione generata automaticamente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260" cy="370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0ECF" w:rsidRDefault="00A73238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4429593</wp:posOffset>
          </wp:positionH>
          <wp:positionV relativeFrom="paragraph">
            <wp:posOffset>0</wp:posOffset>
          </wp:positionV>
          <wp:extent cx="1120140" cy="376555"/>
          <wp:effectExtent l="0" t="0" r="0" b="0"/>
          <wp:wrapSquare wrapText="bothSides" distT="0" distB="0" distL="114300" distR="114300"/>
          <wp:docPr id="1945835765" name="image1.jpg" descr="Immagine che contiene testo, Carattere, logo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arattere, logo, design&#10;&#10;Descrizione generata automaticamente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376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>
          <wp:simplePos x="0" y="0"/>
          <wp:positionH relativeFrom="column">
            <wp:posOffset>2286959</wp:posOffset>
          </wp:positionH>
          <wp:positionV relativeFrom="paragraph">
            <wp:posOffset>40640</wp:posOffset>
          </wp:positionV>
          <wp:extent cx="1391285" cy="251460"/>
          <wp:effectExtent l="0" t="0" r="0" b="0"/>
          <wp:wrapSquare wrapText="bothSides" distT="0" distB="0" distL="114300" distR="114300"/>
          <wp:docPr id="1945835769" name="image5.jpg" descr="Immagine che contiene testo, Carattere, Elementi grafici, calligrafi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Immagine che contiene testo, Carattere, Elementi grafici, calligrafia&#10;&#10;Descrizione generata automaticamente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1285" cy="251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0ECF" w:rsidRDefault="00460E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400"/>
    <w:multiLevelType w:val="multilevel"/>
    <w:tmpl w:val="446C7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3A0CD9"/>
    <w:multiLevelType w:val="multilevel"/>
    <w:tmpl w:val="22429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D1785D"/>
    <w:multiLevelType w:val="multilevel"/>
    <w:tmpl w:val="9514A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CF"/>
    <w:rsid w:val="00136408"/>
    <w:rsid w:val="00460ECF"/>
    <w:rsid w:val="00A7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2B8F"/>
  <w15:docId w15:val="{E9EC09CC-29CF-4B8A-908C-7C5AFDE0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line="2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125F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04F6A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2390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390E"/>
  </w:style>
  <w:style w:type="paragraph" w:styleId="Pidipagina">
    <w:name w:val="footer"/>
    <w:basedOn w:val="Normale"/>
    <w:link w:val="PidipaginaCarattere"/>
    <w:uiPriority w:val="99"/>
    <w:unhideWhenUsed/>
    <w:rsid w:val="0052390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390E"/>
  </w:style>
  <w:style w:type="paragraph" w:styleId="Revisione">
    <w:name w:val="Revision"/>
    <w:hidden/>
    <w:uiPriority w:val="99"/>
    <w:semiHidden/>
    <w:rsid w:val="00123451"/>
    <w:pPr>
      <w:spacing w:line="240" w:lineRule="auto"/>
    </w:p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17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17D8"/>
    <w:rPr>
      <w:b/>
      <w:bCs/>
    </w:rPr>
  </w:style>
  <w:style w:type="paragraph" w:customStyle="1" w:styleId="pf0">
    <w:name w:val="pf0"/>
    <w:basedOn w:val="Normale"/>
    <w:rsid w:val="00963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Carpredefinitoparagrafo"/>
    <w:rsid w:val="00963B73"/>
    <w:rPr>
      <w:rFonts w:ascii="Segoe UI" w:hAnsi="Segoe UI" w:cs="Segoe UI" w:hint="default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71CD0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71CD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6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etabenefit.net/ricerca-nazionale-sulle-societa-benefit-2024/?_gl=1*uha12y*_up*MQ..*_ga*MzExNzc2NDMwLjE3MjYyMTA4Mzk.*_ga_Z7L61HJ458*MTcyNjIxMDgzOC4xLjAuMTcyNjIxMDgzOC4wLjAuMA..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ufficiostampa@infocamer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etro.balducci@intesasanpaolo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ativa.eco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o2alizione.ec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jpg"/><Relationship Id="rId1" Type="http://schemas.openxmlformats.org/officeDocument/2006/relationships/image" Target="media/image6.png"/><Relationship Id="rId6" Type="http://schemas.openxmlformats.org/officeDocument/2006/relationships/image" Target="media/image11.jpg"/><Relationship Id="rId5" Type="http://schemas.openxmlformats.org/officeDocument/2006/relationships/image" Target="media/image10.jpg"/><Relationship Id="rId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NatKDRugohlJjYjhzvzc3jaXw==">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2187</Words>
  <Characters>12467</Characters>
  <Application>Microsoft Office Word</Application>
  <DocSecurity>0</DocSecurity>
  <Lines>103</Lines>
  <Paragraphs>29</Paragraphs>
  <ScaleCrop>false</ScaleCrop>
  <Company>InfoCamere</Company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Reguzzoni Marta</dc:creator>
  <cp:lastModifiedBy>De Vincentiis Carlo</cp:lastModifiedBy>
  <cp:revision>2</cp:revision>
  <dcterms:created xsi:type="dcterms:W3CDTF">2024-09-19T09:31:00Z</dcterms:created>
  <dcterms:modified xsi:type="dcterms:W3CDTF">2024-09-30T08:20:00Z</dcterms:modified>
</cp:coreProperties>
</file>