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B1EB9" w14:textId="4D3C49EE" w:rsidR="007E6EAA" w:rsidRPr="002A151D" w:rsidRDefault="009742D8" w:rsidP="007E6EAA">
      <w:pPr>
        <w:autoSpaceDE w:val="0"/>
        <w:autoSpaceDN w:val="0"/>
        <w:adjustRightInd w:val="0"/>
        <w:spacing w:after="120"/>
        <w:ind w:left="-426"/>
        <w:rPr>
          <w:rFonts w:ascii="Arial Narrow" w:hAnsi="Arial Narrow" w:cs="Arial"/>
          <w:bCs/>
          <w:color w:val="000000"/>
          <w:sz w:val="14"/>
          <w:szCs w:val="26"/>
        </w:rPr>
      </w:pPr>
      <w:bookmarkStart w:id="0" w:name="_Hlk116290747"/>
      <w:bookmarkEnd w:id="0"/>
      <w:r w:rsidRPr="002A151D">
        <w:rPr>
          <w:noProof/>
          <w:sz w:val="12"/>
        </w:rPr>
        <mc:AlternateContent>
          <mc:Choice Requires="wps">
            <w:drawing>
              <wp:anchor distT="0" distB="0" distL="114300" distR="114300" simplePos="0" relativeHeight="251708416" behindDoc="0" locked="0" layoutInCell="1" allowOverlap="1" wp14:anchorId="4E436F19" wp14:editId="6DC7AEB1">
                <wp:simplePos x="0" y="0"/>
                <wp:positionH relativeFrom="column">
                  <wp:posOffset>5340821</wp:posOffset>
                </wp:positionH>
                <wp:positionV relativeFrom="paragraph">
                  <wp:posOffset>-1638300</wp:posOffset>
                </wp:positionV>
                <wp:extent cx="1640066" cy="396240"/>
                <wp:effectExtent l="0" t="0" r="0" b="38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066" cy="396240"/>
                        </a:xfrm>
                        <a:prstGeom prst="rect">
                          <a:avLst/>
                        </a:prstGeom>
                        <a:solidFill>
                          <a:schemeClr val="tx2"/>
                        </a:solidFill>
                        <a:ln>
                          <a:noFill/>
                        </a:ln>
                      </wps:spPr>
                      <wps:txbx>
                        <w:txbxContent>
                          <w:p w14:paraId="09C6CD7B" w14:textId="2F1166C7" w:rsidR="00F679D2" w:rsidRPr="00B90C1F" w:rsidRDefault="000A2C16" w:rsidP="000A2C16">
                            <w:pPr>
                              <w:autoSpaceDE w:val="0"/>
                              <w:autoSpaceDN w:val="0"/>
                              <w:adjustRightInd w:val="0"/>
                              <w:spacing w:before="80"/>
                              <w:rPr>
                                <w:rFonts w:ascii="Arial Narrow" w:hAnsi="Arial Narrow" w:cs="Arial"/>
                                <w:b/>
                                <w:bCs/>
                                <w:color w:val="FFFFFF" w:themeColor="background1"/>
                                <w:sz w:val="26"/>
                                <w:szCs w:val="26"/>
                              </w:rPr>
                            </w:pPr>
                            <w:r>
                              <w:rPr>
                                <w:rFonts w:ascii="Arial Narrow" w:hAnsi="Arial Narrow" w:cs="Arial"/>
                                <w:b/>
                                <w:bCs/>
                                <w:color w:val="FFFFFF" w:themeColor="background1"/>
                                <w:sz w:val="26"/>
                                <w:szCs w:val="26"/>
                              </w:rPr>
                              <w:t xml:space="preserve">  28</w:t>
                            </w:r>
                            <w:r w:rsidR="00F679D2">
                              <w:rPr>
                                <w:rFonts w:ascii="Arial Narrow" w:hAnsi="Arial Narrow" w:cs="Arial"/>
                                <w:b/>
                                <w:bCs/>
                                <w:color w:val="FFFFFF" w:themeColor="background1"/>
                                <w:sz w:val="26"/>
                                <w:szCs w:val="26"/>
                              </w:rPr>
                              <w:t xml:space="preserve"> </w:t>
                            </w:r>
                            <w:r w:rsidR="00F679D2" w:rsidRPr="00AE1AE3">
                              <w:rPr>
                                <w:rFonts w:ascii="Arial Narrow" w:hAnsi="Arial Narrow" w:cs="Arial"/>
                                <w:b/>
                                <w:bCs/>
                                <w:color w:val="FFFFFF" w:themeColor="background1"/>
                                <w:sz w:val="26"/>
                                <w:szCs w:val="26"/>
                              </w:rPr>
                              <w:t>OTTOBRE</w:t>
                            </w:r>
                            <w:r w:rsidR="00F679D2">
                              <w:rPr>
                                <w:rFonts w:ascii="Arial Narrow" w:hAnsi="Arial Narrow" w:cs="Arial"/>
                                <w:b/>
                                <w:bCs/>
                                <w:color w:val="FFFFFF" w:themeColor="background1"/>
                                <w:sz w:val="26"/>
                                <w:szCs w:val="26"/>
                              </w:rPr>
                              <w:t xml:space="preserve"> 2025</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36F19" id="_x0000_t202" coordsize="21600,21600" o:spt="202" path="m,l,21600r21600,l21600,xe">
                <v:stroke joinstyle="miter"/>
                <v:path gradientshapeok="t" o:connecttype="rect"/>
              </v:shapetype>
              <v:shape id="Text Box 2" o:spid="_x0000_s1026" type="#_x0000_t202" style="position:absolute;left:0;text-align:left;margin-left:420.55pt;margin-top:-129pt;width:129.15pt;height:3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" fillcolor="#1f497d [3215]" stroked="f">
                <v:textbox inset="1.5mm,,1.5mm">
                  <w:txbxContent>
                    <w:p w14:paraId="09C6CD7B" w14:textId="2F1166C7" w:rsidR="00F679D2" w:rsidRPr="00B90C1F" w:rsidRDefault="000A2C16" w:rsidP="000A2C16">
                      <w:pPr>
                        <w:autoSpaceDE w:val="0"/>
                        <w:autoSpaceDN w:val="0"/>
                        <w:adjustRightInd w:val="0"/>
                        <w:spacing w:before="80"/>
                        <w:rPr>
                          <w:rFonts w:ascii="Arial Narrow" w:hAnsi="Arial Narrow" w:cs="Arial"/>
                          <w:b/>
                          <w:bCs/>
                          <w:color w:val="FFFFFF" w:themeColor="background1"/>
                          <w:sz w:val="26"/>
                          <w:szCs w:val="26"/>
                        </w:rPr>
                      </w:pPr>
                      <w:r>
                        <w:rPr>
                          <w:rFonts w:ascii="Arial Narrow" w:hAnsi="Arial Narrow" w:cs="Arial"/>
                          <w:b/>
                          <w:bCs/>
                          <w:color w:val="FFFFFF" w:themeColor="background1"/>
                          <w:sz w:val="26"/>
                          <w:szCs w:val="26"/>
                        </w:rPr>
                        <w:t xml:space="preserve">  28</w:t>
                      </w:r>
                      <w:r w:rsidR="00F679D2">
                        <w:rPr>
                          <w:rFonts w:ascii="Arial Narrow" w:hAnsi="Arial Narrow" w:cs="Arial"/>
                          <w:b/>
                          <w:bCs/>
                          <w:color w:val="FFFFFF" w:themeColor="background1"/>
                          <w:sz w:val="26"/>
                          <w:szCs w:val="26"/>
                        </w:rPr>
                        <w:t xml:space="preserve"> </w:t>
                      </w:r>
                      <w:r w:rsidR="00F679D2" w:rsidRPr="00AE1AE3">
                        <w:rPr>
                          <w:rFonts w:ascii="Arial Narrow" w:hAnsi="Arial Narrow" w:cs="Arial"/>
                          <w:b/>
                          <w:bCs/>
                          <w:color w:val="FFFFFF" w:themeColor="background1"/>
                          <w:sz w:val="26"/>
                          <w:szCs w:val="26"/>
                        </w:rPr>
                        <w:t>OTTOBRE</w:t>
                      </w:r>
                      <w:r w:rsidR="00F679D2">
                        <w:rPr>
                          <w:rFonts w:ascii="Arial Narrow" w:hAnsi="Arial Narrow" w:cs="Arial"/>
                          <w:b/>
                          <w:bCs/>
                          <w:color w:val="FFFFFF" w:themeColor="background1"/>
                          <w:sz w:val="26"/>
                          <w:szCs w:val="26"/>
                        </w:rPr>
                        <w:t xml:space="preserve"> 2025</w:t>
                      </w:r>
                    </w:p>
                  </w:txbxContent>
                </v:textbox>
              </v:shape>
            </w:pict>
          </mc:Fallback>
        </mc:AlternateContent>
      </w:r>
    </w:p>
    <w:p w14:paraId="245F3085" w14:textId="2B02EC63" w:rsidR="009E3001" w:rsidRPr="00A4707B" w:rsidRDefault="009E3001" w:rsidP="009E3001">
      <w:pPr>
        <w:spacing w:after="120"/>
        <w:rPr>
          <w:rFonts w:ascii="Arial Narrow" w:hAnsi="Arial Narrow" w:cs="Arial"/>
          <w:b/>
          <w:bCs/>
          <w:color w:val="E42618"/>
          <w:sz w:val="28"/>
          <w:szCs w:val="28"/>
        </w:rPr>
      </w:pPr>
      <w:r>
        <w:rPr>
          <w:rFonts w:ascii="Arial Narrow" w:hAnsi="Arial Narrow" w:cs="Arial"/>
          <w:b/>
          <w:bCs/>
          <w:color w:val="E42618"/>
          <w:sz w:val="28"/>
          <w:szCs w:val="28"/>
        </w:rPr>
        <w:t>C</w:t>
      </w:r>
      <w:r w:rsidR="00803716" w:rsidRPr="00803716">
        <w:rPr>
          <w:rFonts w:ascii="Arial Narrow" w:hAnsi="Arial Narrow" w:cs="Arial"/>
          <w:b/>
          <w:bCs/>
          <w:color w:val="E42618"/>
          <w:sz w:val="28"/>
          <w:szCs w:val="28"/>
        </w:rPr>
        <w:t>I</w:t>
      </w:r>
      <w:r>
        <w:rPr>
          <w:rFonts w:ascii="Arial Narrow" w:hAnsi="Arial Narrow" w:cs="Arial"/>
          <w:b/>
          <w:bCs/>
          <w:color w:val="E42618"/>
          <w:sz w:val="28"/>
          <w:szCs w:val="28"/>
        </w:rPr>
        <w:t xml:space="preserve">TTADINI NON COMUNITARI IN ITALIA </w:t>
      </w:r>
      <w:r w:rsidRPr="00C84AA0">
        <w:rPr>
          <w:rFonts w:ascii="Arial Narrow" w:hAnsi="Arial Narrow" w:cs="Arial"/>
          <w:b/>
          <w:bCs/>
          <w:color w:val="808080" w:themeColor="background1" w:themeShade="80"/>
          <w:sz w:val="28"/>
          <w:szCs w:val="28"/>
        </w:rPr>
        <w:t>|</w:t>
      </w:r>
      <w:r w:rsidRPr="00132A04">
        <w:rPr>
          <w:rFonts w:ascii="Arial Narrow" w:hAnsi="Arial Narrow" w:cs="Arial"/>
          <w:b/>
          <w:bCs/>
          <w:color w:val="E42618"/>
          <w:sz w:val="28"/>
          <w:szCs w:val="28"/>
        </w:rPr>
        <w:t xml:space="preserve"> </w:t>
      </w:r>
      <w:r>
        <w:rPr>
          <w:rFonts w:ascii="Arial Narrow" w:hAnsi="Arial Narrow" w:cs="Arial"/>
          <w:b/>
          <w:bCs/>
          <w:color w:val="E42618"/>
          <w:sz w:val="28"/>
          <w:szCs w:val="28"/>
        </w:rPr>
        <w:t>ANN</w:t>
      </w:r>
      <w:r w:rsidR="00787138">
        <w:rPr>
          <w:rFonts w:ascii="Arial Narrow" w:hAnsi="Arial Narrow" w:cs="Arial"/>
          <w:b/>
          <w:bCs/>
          <w:color w:val="E42618"/>
          <w:sz w:val="28"/>
          <w:szCs w:val="28"/>
        </w:rPr>
        <w:t>O</w:t>
      </w:r>
      <w:r>
        <w:rPr>
          <w:rFonts w:ascii="Arial Narrow" w:hAnsi="Arial Narrow" w:cs="Arial"/>
          <w:b/>
          <w:bCs/>
          <w:color w:val="E42618"/>
          <w:sz w:val="28"/>
          <w:szCs w:val="28"/>
        </w:rPr>
        <w:t xml:space="preserve"> 202</w:t>
      </w:r>
      <w:r w:rsidR="00F70EB9">
        <w:rPr>
          <w:rFonts w:ascii="Arial Narrow" w:hAnsi="Arial Narrow" w:cs="Arial"/>
          <w:b/>
          <w:bCs/>
          <w:color w:val="E42618"/>
          <w:sz w:val="28"/>
          <w:szCs w:val="28"/>
        </w:rPr>
        <w:t>4</w:t>
      </w:r>
    </w:p>
    <w:p w14:paraId="30E3B537" w14:textId="5D524674" w:rsidR="001D1845" w:rsidRPr="002A151D" w:rsidRDefault="000A2C16" w:rsidP="00BF6CA6">
      <w:pPr>
        <w:tabs>
          <w:tab w:val="left" w:pos="851"/>
        </w:tabs>
        <w:autoSpaceDE w:val="0"/>
        <w:autoSpaceDN w:val="0"/>
        <w:adjustRightInd w:val="0"/>
        <w:rPr>
          <w:rFonts w:ascii="Georgia" w:hAnsi="Georgia" w:cs="Arial"/>
          <w:bCs/>
          <w:color w:val="1F497D" w:themeColor="text2"/>
          <w:spacing w:val="-16"/>
          <w:sz w:val="56"/>
          <w:szCs w:val="44"/>
        </w:rPr>
      </w:pPr>
      <w:r>
        <w:rPr>
          <w:rFonts w:ascii="Georgia" w:hAnsi="Georgia" w:cs="Arial"/>
          <w:bCs/>
          <w:color w:val="1F497D" w:themeColor="text2"/>
          <w:spacing w:val="-16"/>
          <w:sz w:val="56"/>
          <w:szCs w:val="44"/>
        </w:rPr>
        <w:t>Crescono i permessi per lavoro</w:t>
      </w:r>
    </w:p>
    <w:p w14:paraId="0C4983A8" w14:textId="57E0E4AA" w:rsidR="00BF6CA6" w:rsidRPr="002A151D" w:rsidRDefault="00BF6CA6" w:rsidP="00BF6CA6">
      <w:pPr>
        <w:tabs>
          <w:tab w:val="left" w:pos="851"/>
        </w:tabs>
        <w:autoSpaceDE w:val="0"/>
        <w:autoSpaceDN w:val="0"/>
        <w:adjustRightInd w:val="0"/>
        <w:rPr>
          <w:rFonts w:ascii="Georgia" w:hAnsi="Georgia" w:cs="Arial"/>
          <w:bCs/>
          <w:color w:val="1F497D" w:themeColor="text2"/>
          <w:spacing w:val="-16"/>
          <w:sz w:val="72"/>
          <w:szCs w:val="48"/>
        </w:rPr>
      </w:pPr>
      <w:r w:rsidRPr="002A151D">
        <w:rPr>
          <w:rFonts w:ascii="Georgia" w:hAnsi="Georgia" w:cs="Arial"/>
          <w:bCs/>
          <w:color w:val="1F497D" w:themeColor="text2"/>
          <w:spacing w:val="-16"/>
          <w:sz w:val="56"/>
          <w:szCs w:val="44"/>
        </w:rPr>
        <w:t>e le domande di asilo</w:t>
      </w:r>
    </w:p>
    <w:p w14:paraId="662B6DBD" w14:textId="3023D8DF" w:rsidR="002D698C" w:rsidRPr="0023216A" w:rsidRDefault="008429C2" w:rsidP="00A4707B">
      <w:pPr>
        <w:tabs>
          <w:tab w:val="left" w:pos="851"/>
        </w:tabs>
        <w:autoSpaceDE w:val="0"/>
        <w:autoSpaceDN w:val="0"/>
        <w:adjustRightInd w:val="0"/>
        <w:rPr>
          <w:rFonts w:ascii="Georgia" w:hAnsi="Georgia" w:cs="Arial"/>
          <w:bCs/>
          <w:strike/>
          <w:color w:val="1F497D" w:themeColor="text2"/>
          <w:spacing w:val="-16"/>
          <w:sz w:val="26"/>
          <w:szCs w:val="26"/>
        </w:rPr>
      </w:pPr>
      <w:r w:rsidRPr="001D1845">
        <w:rPr>
          <w:rFonts w:ascii="Georgia" w:hAnsi="Georgia" w:cs="Arial"/>
          <w:bCs/>
          <w:strike/>
          <w:noProof/>
          <w:color w:val="1F497D" w:themeColor="text2"/>
          <w:sz w:val="44"/>
          <w:szCs w:val="44"/>
        </w:rPr>
        <mc:AlternateContent>
          <mc:Choice Requires="wps">
            <w:drawing>
              <wp:anchor distT="0" distB="0" distL="114300" distR="114300" simplePos="0" relativeHeight="251658752" behindDoc="0" locked="0" layoutInCell="1" allowOverlap="1" wp14:anchorId="78B61671" wp14:editId="5FBE5F90">
                <wp:simplePos x="0" y="0"/>
                <wp:positionH relativeFrom="page">
                  <wp:posOffset>-26397</wp:posOffset>
                </wp:positionH>
                <wp:positionV relativeFrom="paragraph">
                  <wp:posOffset>155711</wp:posOffset>
                </wp:positionV>
                <wp:extent cx="438150" cy="381000"/>
                <wp:effectExtent l="0" t="19050" r="38100" b="38100"/>
                <wp:wrapNone/>
                <wp:docPr id="8" name="Freccia a destra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38150" cy="381000"/>
                        </a:xfrm>
                        <a:prstGeom prst="rightArrow">
                          <a:avLst/>
                        </a:prstGeom>
                        <a:solidFill>
                          <a:srgbClr val="E42618"/>
                        </a:solidFill>
                        <a:ln>
                          <a:solidFill>
                            <a:srgbClr val="E4261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F5D7B1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8" o:spid="_x0000_s1026" type="#_x0000_t13" style="position:absolute;margin-left:-2.1pt;margin-top:12.25pt;width:34.5pt;height:3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" adj="12209" fillcolor="#e42618" strokecolor="#e42618" strokeweight="2pt">
                <v:path arrowok="t"/>
                <w10:wrap anchorx="page"/>
              </v:shape>
            </w:pict>
          </mc:Fallback>
        </mc:AlternateContent>
      </w:r>
    </w:p>
    <w:p w14:paraId="02C56A74" w14:textId="4F768A3F" w:rsidR="002C7425" w:rsidRPr="006A6903" w:rsidRDefault="002C7425" w:rsidP="002C7425">
      <w:pPr>
        <w:tabs>
          <w:tab w:val="left" w:pos="851"/>
        </w:tabs>
        <w:autoSpaceDE w:val="0"/>
        <w:autoSpaceDN w:val="0"/>
        <w:adjustRightInd w:val="0"/>
        <w:spacing w:after="120" w:line="360" w:lineRule="exact"/>
        <w:jc w:val="both"/>
        <w:rPr>
          <w:rFonts w:ascii="Georgia" w:hAnsi="Georgia" w:cs="Arial"/>
          <w:bCs/>
          <w:color w:val="1F497D" w:themeColor="text2"/>
          <w:sz w:val="28"/>
          <w:szCs w:val="28"/>
        </w:rPr>
      </w:pPr>
      <w:r>
        <w:rPr>
          <w:rFonts w:ascii="Georgia" w:hAnsi="Georgia" w:cs="Arial"/>
          <w:bCs/>
          <w:color w:val="1F497D" w:themeColor="text2"/>
          <w:sz w:val="28"/>
          <w:szCs w:val="28"/>
        </w:rPr>
        <w:t>I</w:t>
      </w:r>
      <w:r w:rsidRPr="006A6903">
        <w:rPr>
          <w:rFonts w:ascii="Georgia" w:hAnsi="Georgia" w:cs="Arial"/>
          <w:bCs/>
          <w:color w:val="1F497D" w:themeColor="text2"/>
          <w:sz w:val="28"/>
          <w:szCs w:val="28"/>
        </w:rPr>
        <w:t xml:space="preserve"> cittadini non comunitari con regolare permesso </w:t>
      </w:r>
      <w:r>
        <w:rPr>
          <w:rFonts w:ascii="Georgia" w:hAnsi="Georgia" w:cs="Arial"/>
          <w:bCs/>
          <w:color w:val="1F497D" w:themeColor="text2"/>
          <w:sz w:val="28"/>
          <w:szCs w:val="28"/>
        </w:rPr>
        <w:t>di soggiorno al 31 dicembre 202</w:t>
      </w:r>
      <w:r w:rsidR="000023A0">
        <w:rPr>
          <w:rFonts w:ascii="Georgia" w:hAnsi="Georgia" w:cs="Arial"/>
          <w:bCs/>
          <w:color w:val="1F497D" w:themeColor="text2"/>
          <w:sz w:val="28"/>
          <w:szCs w:val="28"/>
        </w:rPr>
        <w:t>4</w:t>
      </w:r>
      <w:r>
        <w:rPr>
          <w:rFonts w:ascii="Georgia" w:hAnsi="Georgia" w:cs="Arial"/>
          <w:bCs/>
          <w:color w:val="1F497D" w:themeColor="text2"/>
          <w:sz w:val="28"/>
          <w:szCs w:val="28"/>
        </w:rPr>
        <w:t xml:space="preserve"> </w:t>
      </w:r>
      <w:r w:rsidRPr="006A6903">
        <w:rPr>
          <w:rFonts w:ascii="Georgia" w:hAnsi="Georgia" w:cs="Arial"/>
          <w:bCs/>
          <w:color w:val="1F497D" w:themeColor="text2"/>
          <w:sz w:val="28"/>
          <w:szCs w:val="28"/>
        </w:rPr>
        <w:t xml:space="preserve">sono oltre </w:t>
      </w:r>
      <w:r w:rsidRPr="00D15544">
        <w:rPr>
          <w:rFonts w:ascii="Georgia" w:hAnsi="Georgia" w:cs="Arial"/>
          <w:b/>
          <w:bCs/>
          <w:color w:val="1F497D" w:themeColor="text2"/>
          <w:sz w:val="28"/>
          <w:szCs w:val="28"/>
        </w:rPr>
        <w:t xml:space="preserve">3 milioni e </w:t>
      </w:r>
      <w:r w:rsidR="00A36FBF" w:rsidRPr="00D15544">
        <w:rPr>
          <w:rFonts w:ascii="Georgia" w:hAnsi="Georgia" w:cs="Arial"/>
          <w:b/>
          <w:bCs/>
          <w:color w:val="1F497D" w:themeColor="text2"/>
          <w:sz w:val="28"/>
          <w:szCs w:val="28"/>
        </w:rPr>
        <w:t>8</w:t>
      </w:r>
      <w:r w:rsidRPr="00D15544">
        <w:rPr>
          <w:rFonts w:ascii="Georgia" w:hAnsi="Georgia" w:cs="Arial"/>
          <w:b/>
          <w:bCs/>
          <w:color w:val="1F497D" w:themeColor="text2"/>
          <w:sz w:val="28"/>
          <w:szCs w:val="28"/>
        </w:rPr>
        <w:t>00mila</w:t>
      </w:r>
      <w:r w:rsidR="00B42786">
        <w:rPr>
          <w:rFonts w:ascii="Georgia" w:hAnsi="Georgia" w:cs="Arial"/>
          <w:bCs/>
          <w:color w:val="1F497D" w:themeColor="text2"/>
          <w:sz w:val="28"/>
          <w:szCs w:val="28"/>
        </w:rPr>
        <w:t>.</w:t>
      </w:r>
    </w:p>
    <w:p w14:paraId="42F76F18" w14:textId="1C4684A3" w:rsidR="00B81530" w:rsidRDefault="00787138" w:rsidP="00787138">
      <w:pPr>
        <w:tabs>
          <w:tab w:val="left" w:pos="851"/>
        </w:tabs>
        <w:autoSpaceDE w:val="0"/>
        <w:autoSpaceDN w:val="0"/>
        <w:adjustRightInd w:val="0"/>
        <w:spacing w:after="120" w:line="360" w:lineRule="exact"/>
        <w:jc w:val="both"/>
        <w:rPr>
          <w:rFonts w:ascii="Georgia" w:hAnsi="Georgia" w:cs="Arial"/>
          <w:b/>
          <w:color w:val="1F497D" w:themeColor="text2"/>
          <w:sz w:val="28"/>
          <w:szCs w:val="28"/>
        </w:rPr>
      </w:pPr>
      <w:r>
        <w:rPr>
          <w:rFonts w:ascii="Georgia" w:hAnsi="Georgia" w:cs="Arial"/>
          <w:bCs/>
          <w:color w:val="1F497D" w:themeColor="text2"/>
          <w:sz w:val="28"/>
          <w:szCs w:val="28"/>
        </w:rPr>
        <w:t>S</w:t>
      </w:r>
      <w:r w:rsidRPr="007F3802">
        <w:rPr>
          <w:rFonts w:ascii="Georgia" w:hAnsi="Georgia" w:cs="Arial"/>
          <w:bCs/>
          <w:color w:val="1F497D" w:themeColor="text2"/>
          <w:sz w:val="28"/>
          <w:szCs w:val="28"/>
        </w:rPr>
        <w:t xml:space="preserve">ono </w:t>
      </w:r>
      <w:r w:rsidR="005C1272" w:rsidRPr="005C1272">
        <w:rPr>
          <w:rFonts w:ascii="Georgia" w:hAnsi="Georgia" w:cs="Arial"/>
          <w:b/>
          <w:bCs/>
          <w:color w:val="1F497D" w:themeColor="text2"/>
          <w:sz w:val="28"/>
          <w:szCs w:val="28"/>
        </w:rPr>
        <w:t>290</w:t>
      </w:r>
      <w:r w:rsidR="005C1272">
        <w:rPr>
          <w:rFonts w:ascii="Georgia" w:hAnsi="Georgia" w:cs="Arial"/>
          <w:b/>
          <w:bCs/>
          <w:color w:val="1F497D" w:themeColor="text2"/>
          <w:sz w:val="28"/>
          <w:szCs w:val="28"/>
        </w:rPr>
        <w:t>.</w:t>
      </w:r>
      <w:r w:rsidR="005C1272" w:rsidRPr="005C1272">
        <w:rPr>
          <w:rFonts w:ascii="Georgia" w:hAnsi="Georgia" w:cs="Arial"/>
          <w:b/>
          <w:bCs/>
          <w:color w:val="1F497D" w:themeColor="text2"/>
          <w:sz w:val="28"/>
          <w:szCs w:val="28"/>
        </w:rPr>
        <w:t>119</w:t>
      </w:r>
      <w:r>
        <w:rPr>
          <w:rFonts w:ascii="Georgia" w:hAnsi="Georgia" w:cs="Arial"/>
          <w:b/>
          <w:bCs/>
          <w:color w:val="1F497D" w:themeColor="text2"/>
          <w:sz w:val="28"/>
          <w:szCs w:val="28"/>
        </w:rPr>
        <w:t xml:space="preserve"> i</w:t>
      </w:r>
      <w:r w:rsidRPr="007F3802">
        <w:rPr>
          <w:rFonts w:ascii="Georgia" w:hAnsi="Georgia" w:cs="Arial"/>
          <w:b/>
          <w:bCs/>
          <w:color w:val="1F497D" w:themeColor="text2"/>
          <w:sz w:val="28"/>
          <w:szCs w:val="28"/>
        </w:rPr>
        <w:t xml:space="preserve"> permessi di soggiorno</w:t>
      </w:r>
      <w:r>
        <w:rPr>
          <w:rFonts w:ascii="Georgia" w:hAnsi="Georgia" w:cs="Arial"/>
          <w:bCs/>
          <w:color w:val="1F497D" w:themeColor="text2"/>
          <w:sz w:val="28"/>
          <w:szCs w:val="28"/>
        </w:rPr>
        <w:t xml:space="preserve"> rilasciati nel 202</w:t>
      </w:r>
      <w:r w:rsidR="005C1272">
        <w:rPr>
          <w:rFonts w:ascii="Georgia" w:hAnsi="Georgia" w:cs="Arial"/>
          <w:bCs/>
          <w:color w:val="1F497D" w:themeColor="text2"/>
          <w:sz w:val="28"/>
          <w:szCs w:val="28"/>
        </w:rPr>
        <w:t>4</w:t>
      </w:r>
      <w:r w:rsidR="00B12785">
        <w:rPr>
          <w:rFonts w:ascii="Georgia" w:hAnsi="Georgia" w:cs="Arial"/>
          <w:bCs/>
          <w:color w:val="1F497D" w:themeColor="text2"/>
          <w:sz w:val="28"/>
          <w:szCs w:val="28"/>
        </w:rPr>
        <w:t xml:space="preserve"> </w:t>
      </w:r>
      <w:r w:rsidR="007A6690">
        <w:rPr>
          <w:rFonts w:ascii="Georgia" w:hAnsi="Georgia" w:cs="Arial"/>
          <w:bCs/>
          <w:color w:val="1F497D" w:themeColor="text2"/>
          <w:sz w:val="28"/>
          <w:szCs w:val="28"/>
        </w:rPr>
        <w:t>(-12,3</w:t>
      </w:r>
      <w:r w:rsidR="00B12785">
        <w:rPr>
          <w:rFonts w:ascii="Georgia" w:hAnsi="Georgia" w:cs="Arial"/>
          <w:bCs/>
          <w:color w:val="1F497D" w:themeColor="text2"/>
          <w:sz w:val="28"/>
          <w:szCs w:val="28"/>
        </w:rPr>
        <w:t>%</w:t>
      </w:r>
      <w:r w:rsidR="00B12785" w:rsidRPr="00B12785">
        <w:rPr>
          <w:rFonts w:ascii="Georgia" w:hAnsi="Georgia" w:cs="Arial"/>
          <w:bCs/>
          <w:color w:val="1F497D" w:themeColor="text2"/>
          <w:sz w:val="28"/>
          <w:szCs w:val="28"/>
        </w:rPr>
        <w:t xml:space="preserve"> </w:t>
      </w:r>
      <w:r w:rsidR="00B12785">
        <w:rPr>
          <w:rFonts w:ascii="Georgia" w:hAnsi="Georgia" w:cs="Arial"/>
          <w:bCs/>
          <w:color w:val="1F497D" w:themeColor="text2"/>
          <w:sz w:val="28"/>
          <w:szCs w:val="28"/>
        </w:rPr>
        <w:t>dal 2023</w:t>
      </w:r>
      <w:r w:rsidR="007A6690">
        <w:rPr>
          <w:rFonts w:ascii="Georgia" w:hAnsi="Georgia" w:cs="Arial"/>
          <w:bCs/>
          <w:color w:val="1F497D" w:themeColor="text2"/>
          <w:sz w:val="28"/>
          <w:szCs w:val="28"/>
        </w:rPr>
        <w:t>)</w:t>
      </w:r>
      <w:r w:rsidR="00C628E5">
        <w:rPr>
          <w:rFonts w:ascii="Georgia" w:hAnsi="Georgia" w:cs="Arial"/>
          <w:bCs/>
          <w:color w:val="1F497D" w:themeColor="text2"/>
          <w:sz w:val="28"/>
          <w:szCs w:val="28"/>
        </w:rPr>
        <w:t xml:space="preserve">. </w:t>
      </w:r>
      <w:r w:rsidR="008D2970" w:rsidRPr="007B3947">
        <w:rPr>
          <w:rFonts w:ascii="Georgia" w:hAnsi="Georgia" w:cs="Arial"/>
          <w:b/>
          <w:color w:val="1F497D" w:themeColor="text2"/>
          <w:sz w:val="28"/>
          <w:szCs w:val="28"/>
        </w:rPr>
        <w:t>In netta diminuzione</w:t>
      </w:r>
      <w:r w:rsidR="0005369B">
        <w:rPr>
          <w:rFonts w:ascii="Georgia" w:hAnsi="Georgia" w:cs="Arial"/>
          <w:bCs/>
          <w:color w:val="1F497D" w:themeColor="text2"/>
          <w:sz w:val="28"/>
          <w:szCs w:val="28"/>
        </w:rPr>
        <w:t>, rispetto al 2023,</w:t>
      </w:r>
      <w:r w:rsidR="008D2970">
        <w:rPr>
          <w:rFonts w:ascii="Georgia" w:hAnsi="Georgia" w:cs="Arial"/>
          <w:bCs/>
          <w:color w:val="1F497D" w:themeColor="text2"/>
          <w:sz w:val="28"/>
          <w:szCs w:val="28"/>
        </w:rPr>
        <w:t xml:space="preserve"> gli arrivi dall’</w:t>
      </w:r>
      <w:r w:rsidR="008D2970" w:rsidRPr="007B3947">
        <w:rPr>
          <w:rFonts w:ascii="Georgia" w:hAnsi="Georgia" w:cs="Arial"/>
          <w:b/>
          <w:color w:val="1F497D" w:themeColor="text2"/>
          <w:sz w:val="28"/>
          <w:szCs w:val="28"/>
        </w:rPr>
        <w:t>Ucraina</w:t>
      </w:r>
      <w:r w:rsidR="008D2970">
        <w:rPr>
          <w:rFonts w:ascii="Georgia" w:hAnsi="Georgia" w:cs="Arial"/>
          <w:bCs/>
          <w:color w:val="1F497D" w:themeColor="text2"/>
          <w:sz w:val="28"/>
          <w:szCs w:val="28"/>
        </w:rPr>
        <w:t xml:space="preserve"> </w:t>
      </w:r>
      <w:r w:rsidR="0005369B" w:rsidRPr="00A13566">
        <w:rPr>
          <w:rFonts w:ascii="Georgia" w:hAnsi="Georgia" w:cs="Arial"/>
          <w:b/>
          <w:color w:val="1F497D" w:themeColor="text2"/>
          <w:sz w:val="28"/>
          <w:szCs w:val="28"/>
        </w:rPr>
        <w:t>(-54,2%)</w:t>
      </w:r>
      <w:r w:rsidR="00BD743A">
        <w:rPr>
          <w:rFonts w:ascii="Georgia" w:hAnsi="Georgia" w:cs="Arial"/>
          <w:b/>
          <w:color w:val="1F497D" w:themeColor="text2"/>
          <w:sz w:val="28"/>
          <w:szCs w:val="28"/>
        </w:rPr>
        <w:t xml:space="preserve">, mentre </w:t>
      </w:r>
      <w:r w:rsidR="007B3947" w:rsidRPr="00A13566">
        <w:rPr>
          <w:rFonts w:ascii="Georgia" w:hAnsi="Georgia" w:cs="Arial"/>
          <w:bCs/>
          <w:color w:val="1F497D" w:themeColor="text2"/>
          <w:sz w:val="28"/>
          <w:szCs w:val="28"/>
        </w:rPr>
        <w:t>crescono</w:t>
      </w:r>
      <w:r w:rsidR="007B3947" w:rsidRPr="006667EC">
        <w:rPr>
          <w:rFonts w:ascii="Georgia" w:hAnsi="Georgia" w:cs="Arial"/>
          <w:bCs/>
          <w:color w:val="1F497D" w:themeColor="text2"/>
          <w:sz w:val="28"/>
          <w:szCs w:val="28"/>
        </w:rPr>
        <w:t xml:space="preserve"> </w:t>
      </w:r>
      <w:r w:rsidR="00142ED4" w:rsidRPr="007B3947">
        <w:rPr>
          <w:rFonts w:ascii="Georgia" w:hAnsi="Georgia" w:cs="Arial"/>
          <w:bCs/>
          <w:color w:val="1F497D" w:themeColor="text2"/>
          <w:sz w:val="28"/>
          <w:szCs w:val="28"/>
        </w:rPr>
        <w:t>i nuovi permessi per</w:t>
      </w:r>
      <w:r w:rsidR="00142ED4" w:rsidRPr="00FF3005">
        <w:rPr>
          <w:rFonts w:ascii="Georgia" w:hAnsi="Georgia" w:cs="Arial"/>
          <w:b/>
          <w:color w:val="1F497D" w:themeColor="text2"/>
          <w:sz w:val="28"/>
          <w:szCs w:val="28"/>
        </w:rPr>
        <w:t xml:space="preserve"> tunisini</w:t>
      </w:r>
      <w:r w:rsidR="00FF3005">
        <w:rPr>
          <w:rFonts w:ascii="Georgia" w:hAnsi="Georgia" w:cs="Arial"/>
          <w:b/>
          <w:color w:val="1F497D" w:themeColor="text2"/>
          <w:sz w:val="28"/>
          <w:szCs w:val="28"/>
        </w:rPr>
        <w:t xml:space="preserve"> (+30,7%) </w:t>
      </w:r>
      <w:r w:rsidR="00142ED4" w:rsidRPr="00A13566">
        <w:rPr>
          <w:rFonts w:ascii="Georgia" w:hAnsi="Georgia" w:cs="Arial"/>
          <w:bCs/>
          <w:color w:val="1F497D" w:themeColor="text2"/>
          <w:sz w:val="28"/>
          <w:szCs w:val="28"/>
        </w:rPr>
        <w:t xml:space="preserve">e </w:t>
      </w:r>
      <w:r w:rsidR="00142ED4" w:rsidRPr="00FF3005">
        <w:rPr>
          <w:rFonts w:ascii="Georgia" w:hAnsi="Georgia" w:cs="Arial"/>
          <w:b/>
          <w:color w:val="1F497D" w:themeColor="text2"/>
          <w:sz w:val="28"/>
          <w:szCs w:val="28"/>
        </w:rPr>
        <w:t>peruviani</w:t>
      </w:r>
      <w:r w:rsidR="00FF3005">
        <w:rPr>
          <w:rFonts w:ascii="Georgia" w:hAnsi="Georgia" w:cs="Arial"/>
          <w:b/>
          <w:color w:val="1F497D" w:themeColor="text2"/>
          <w:sz w:val="28"/>
          <w:szCs w:val="28"/>
        </w:rPr>
        <w:t xml:space="preserve"> (+25,7%)</w:t>
      </w:r>
      <w:r w:rsidR="00D15544">
        <w:rPr>
          <w:rFonts w:ascii="Georgia" w:hAnsi="Georgia" w:cs="Arial"/>
          <w:b/>
          <w:color w:val="1F497D" w:themeColor="text2"/>
          <w:sz w:val="28"/>
          <w:szCs w:val="28"/>
        </w:rPr>
        <w:t>.</w:t>
      </w:r>
      <w:r w:rsidR="00B81530">
        <w:rPr>
          <w:rFonts w:ascii="Georgia" w:hAnsi="Georgia" w:cs="Arial"/>
          <w:b/>
          <w:color w:val="1F497D" w:themeColor="text2"/>
          <w:sz w:val="28"/>
          <w:szCs w:val="28"/>
        </w:rPr>
        <w:t xml:space="preserve"> </w:t>
      </w:r>
    </w:p>
    <w:p w14:paraId="793498CD" w14:textId="66D98CB2" w:rsidR="00787138" w:rsidRDefault="00264A23" w:rsidP="00787138">
      <w:pPr>
        <w:tabs>
          <w:tab w:val="left" w:pos="851"/>
        </w:tabs>
        <w:autoSpaceDE w:val="0"/>
        <w:autoSpaceDN w:val="0"/>
        <w:adjustRightInd w:val="0"/>
        <w:spacing w:after="120" w:line="360" w:lineRule="exact"/>
        <w:jc w:val="both"/>
        <w:rPr>
          <w:rFonts w:ascii="Georgia" w:hAnsi="Georgia" w:cs="Arial"/>
          <w:color w:val="1F497D" w:themeColor="text2"/>
          <w:sz w:val="28"/>
          <w:szCs w:val="28"/>
        </w:rPr>
      </w:pPr>
      <w:r>
        <w:rPr>
          <w:rFonts w:ascii="Georgia" w:hAnsi="Georgia" w:cs="Arial"/>
          <w:bCs/>
          <w:color w:val="1F497D" w:themeColor="text2"/>
          <w:sz w:val="28"/>
          <w:szCs w:val="28"/>
        </w:rPr>
        <w:t>La diminuzione ha riguardato</w:t>
      </w:r>
      <w:r w:rsidR="00610BB6">
        <w:rPr>
          <w:rFonts w:ascii="Georgia" w:hAnsi="Georgia" w:cs="Arial"/>
          <w:bCs/>
          <w:color w:val="1F497D" w:themeColor="text2"/>
          <w:sz w:val="28"/>
          <w:szCs w:val="28"/>
        </w:rPr>
        <w:t xml:space="preserve"> i permessi per famiglia e per studio mentre </w:t>
      </w:r>
      <w:r w:rsidR="00DA5873">
        <w:rPr>
          <w:rFonts w:ascii="Georgia" w:hAnsi="Georgia" w:cs="Arial"/>
          <w:bCs/>
          <w:color w:val="1F497D" w:themeColor="text2"/>
          <w:sz w:val="28"/>
          <w:szCs w:val="28"/>
        </w:rPr>
        <w:t>c</w:t>
      </w:r>
      <w:r w:rsidR="00787138" w:rsidRPr="006A6903">
        <w:rPr>
          <w:rFonts w:ascii="Georgia" w:hAnsi="Georgia" w:cs="Arial"/>
          <w:bCs/>
          <w:color w:val="1F497D" w:themeColor="text2"/>
          <w:sz w:val="28"/>
          <w:szCs w:val="28"/>
        </w:rPr>
        <w:t>resc</w:t>
      </w:r>
      <w:r w:rsidR="00787138">
        <w:rPr>
          <w:rFonts w:ascii="Georgia" w:hAnsi="Georgia" w:cs="Arial"/>
          <w:bCs/>
          <w:color w:val="1F497D" w:themeColor="text2"/>
          <w:sz w:val="28"/>
          <w:szCs w:val="28"/>
        </w:rPr>
        <w:t>ono</w:t>
      </w:r>
      <w:r w:rsidR="00787138" w:rsidRPr="006A6903">
        <w:rPr>
          <w:rFonts w:ascii="Georgia" w:hAnsi="Georgia" w:cs="Arial"/>
          <w:bCs/>
          <w:color w:val="1F497D" w:themeColor="text2"/>
          <w:sz w:val="28"/>
          <w:szCs w:val="28"/>
        </w:rPr>
        <w:t xml:space="preserve"> </w:t>
      </w:r>
      <w:r w:rsidR="00787138" w:rsidRPr="006A6903">
        <w:rPr>
          <w:rFonts w:ascii="Georgia" w:hAnsi="Georgia" w:cs="Arial"/>
          <w:b/>
          <w:bCs/>
          <w:color w:val="1F497D" w:themeColor="text2"/>
          <w:sz w:val="28"/>
          <w:szCs w:val="28"/>
        </w:rPr>
        <w:t xml:space="preserve">i permessi per </w:t>
      </w:r>
      <w:r w:rsidR="00610BB6">
        <w:rPr>
          <w:rFonts w:ascii="Georgia" w:hAnsi="Georgia" w:cs="Arial"/>
          <w:b/>
          <w:bCs/>
          <w:color w:val="1F497D" w:themeColor="text2"/>
          <w:sz w:val="28"/>
          <w:szCs w:val="28"/>
        </w:rPr>
        <w:t>lavoro</w:t>
      </w:r>
      <w:r w:rsidR="00866BC3">
        <w:rPr>
          <w:rFonts w:ascii="Georgia" w:hAnsi="Georgia" w:cs="Arial"/>
          <w:b/>
          <w:bCs/>
          <w:color w:val="1F497D" w:themeColor="text2"/>
          <w:sz w:val="28"/>
          <w:szCs w:val="28"/>
        </w:rPr>
        <w:t xml:space="preserve"> (+3,8%)</w:t>
      </w:r>
      <w:r w:rsidR="00C43C50">
        <w:rPr>
          <w:rFonts w:ascii="Georgia" w:hAnsi="Georgia" w:cs="Arial"/>
          <w:b/>
          <w:bCs/>
          <w:color w:val="1F497D" w:themeColor="text2"/>
          <w:sz w:val="28"/>
          <w:szCs w:val="28"/>
        </w:rPr>
        <w:t xml:space="preserve"> </w:t>
      </w:r>
      <w:r w:rsidR="00C43C50" w:rsidRPr="00C43C50">
        <w:rPr>
          <w:rFonts w:ascii="Georgia" w:hAnsi="Georgia" w:cs="Arial"/>
          <w:color w:val="1F497D" w:themeColor="text2"/>
          <w:sz w:val="28"/>
          <w:szCs w:val="28"/>
        </w:rPr>
        <w:t>rispetto al 2023</w:t>
      </w:r>
      <w:r w:rsidR="00866BC3">
        <w:rPr>
          <w:rFonts w:ascii="Georgia" w:hAnsi="Georgia" w:cs="Arial"/>
          <w:color w:val="1F497D" w:themeColor="text2"/>
          <w:sz w:val="28"/>
          <w:szCs w:val="28"/>
        </w:rPr>
        <w:t>.</w:t>
      </w:r>
    </w:p>
    <w:p w14:paraId="0468DFE2" w14:textId="51319D26" w:rsidR="006F48C8" w:rsidRDefault="00E12E12" w:rsidP="002107DD">
      <w:pPr>
        <w:tabs>
          <w:tab w:val="left" w:pos="851"/>
        </w:tabs>
        <w:autoSpaceDE w:val="0"/>
        <w:autoSpaceDN w:val="0"/>
        <w:adjustRightInd w:val="0"/>
        <w:spacing w:after="120" w:line="360" w:lineRule="exact"/>
        <w:jc w:val="both"/>
        <w:rPr>
          <w:rFonts w:ascii="Georgia" w:hAnsi="Georgia" w:cs="Arial"/>
          <w:bCs/>
          <w:color w:val="1F497D" w:themeColor="text2"/>
          <w:sz w:val="28"/>
          <w:szCs w:val="28"/>
        </w:rPr>
      </w:pPr>
      <w:r w:rsidRPr="00325DA1">
        <w:rPr>
          <w:rFonts w:ascii="Georgia" w:hAnsi="Georgia" w:cs="Arial"/>
          <w:bCs/>
          <w:color w:val="1F497D" w:themeColor="text2"/>
          <w:sz w:val="28"/>
          <w:szCs w:val="28"/>
        </w:rPr>
        <w:t xml:space="preserve">Nel 2024 sono state </w:t>
      </w:r>
      <w:r w:rsidR="00407E67">
        <w:rPr>
          <w:rFonts w:ascii="Georgia" w:hAnsi="Georgia" w:cs="Arial"/>
          <w:b/>
          <w:color w:val="1F497D" w:themeColor="text2"/>
          <w:sz w:val="28"/>
          <w:szCs w:val="28"/>
        </w:rPr>
        <w:t>151</w:t>
      </w:r>
      <w:r w:rsidRPr="00325DA1">
        <w:rPr>
          <w:rFonts w:ascii="Georgia" w:hAnsi="Georgia" w:cs="Arial"/>
          <w:b/>
          <w:color w:val="1F497D" w:themeColor="text2"/>
          <w:sz w:val="28"/>
          <w:szCs w:val="28"/>
        </w:rPr>
        <w:t>.</w:t>
      </w:r>
      <w:r w:rsidR="00407E67">
        <w:rPr>
          <w:rFonts w:ascii="Georgia" w:hAnsi="Georgia" w:cs="Arial"/>
          <w:b/>
          <w:color w:val="1F497D" w:themeColor="text2"/>
          <w:sz w:val="28"/>
          <w:szCs w:val="28"/>
        </w:rPr>
        <w:t>120</w:t>
      </w:r>
      <w:r w:rsidR="00407E67" w:rsidRPr="00325DA1">
        <w:rPr>
          <w:rFonts w:ascii="Georgia" w:hAnsi="Georgia" w:cs="Arial"/>
          <w:bCs/>
          <w:color w:val="1F497D" w:themeColor="text2"/>
          <w:sz w:val="28"/>
          <w:szCs w:val="28"/>
        </w:rPr>
        <w:t xml:space="preserve"> </w:t>
      </w:r>
      <w:r w:rsidRPr="00325DA1">
        <w:rPr>
          <w:rFonts w:ascii="Georgia" w:hAnsi="Georgia" w:cs="Arial"/>
          <w:bCs/>
          <w:color w:val="1F497D" w:themeColor="text2"/>
          <w:sz w:val="28"/>
          <w:szCs w:val="28"/>
        </w:rPr>
        <w:t xml:space="preserve">le persone che hanno presentato </w:t>
      </w:r>
      <w:r w:rsidRPr="00325DA1">
        <w:rPr>
          <w:rFonts w:ascii="Georgia" w:hAnsi="Georgia" w:cs="Arial"/>
          <w:b/>
          <w:color w:val="1F497D" w:themeColor="text2"/>
          <w:sz w:val="28"/>
          <w:szCs w:val="28"/>
        </w:rPr>
        <w:t>domanda di asilo</w:t>
      </w:r>
      <w:r w:rsidRPr="00325DA1">
        <w:rPr>
          <w:rFonts w:ascii="Georgia" w:hAnsi="Georgia" w:cs="Arial"/>
          <w:bCs/>
          <w:color w:val="1F497D" w:themeColor="text2"/>
          <w:sz w:val="28"/>
          <w:szCs w:val="28"/>
        </w:rPr>
        <w:t xml:space="preserve"> in Italia</w:t>
      </w:r>
      <w:r w:rsidR="009B47F0" w:rsidRPr="007E52E8">
        <w:rPr>
          <w:rFonts w:ascii="Georgia" w:hAnsi="Georgia" w:cs="Arial"/>
          <w:bCs/>
          <w:color w:val="1F497D" w:themeColor="text2"/>
          <w:sz w:val="28"/>
          <w:szCs w:val="28"/>
        </w:rPr>
        <w:t xml:space="preserve">, </w:t>
      </w:r>
      <w:r w:rsidR="00B81530" w:rsidRPr="007E52E8">
        <w:rPr>
          <w:rFonts w:ascii="Georgia" w:hAnsi="Georgia" w:cs="Arial"/>
          <w:bCs/>
          <w:color w:val="1F497D" w:themeColor="text2"/>
          <w:sz w:val="28"/>
          <w:szCs w:val="28"/>
        </w:rPr>
        <w:t>2</w:t>
      </w:r>
      <w:r w:rsidR="00407E67">
        <w:rPr>
          <w:rFonts w:ascii="Georgia" w:hAnsi="Georgia" w:cs="Arial"/>
          <w:bCs/>
          <w:color w:val="1F497D" w:themeColor="text2"/>
          <w:sz w:val="28"/>
          <w:szCs w:val="28"/>
        </w:rPr>
        <w:t>0</w:t>
      </w:r>
      <w:r w:rsidR="00B81530" w:rsidRPr="007E52E8">
        <w:rPr>
          <w:rFonts w:ascii="Georgia" w:hAnsi="Georgia" w:cs="Arial"/>
          <w:bCs/>
          <w:color w:val="1F497D" w:themeColor="text2"/>
          <w:sz w:val="28"/>
          <w:szCs w:val="28"/>
        </w:rPr>
        <w:t>.</w:t>
      </w:r>
      <w:r w:rsidR="00407E67">
        <w:rPr>
          <w:rFonts w:ascii="Georgia" w:hAnsi="Georgia" w:cs="Arial"/>
          <w:bCs/>
          <w:color w:val="1F497D" w:themeColor="text2"/>
          <w:sz w:val="28"/>
          <w:szCs w:val="28"/>
        </w:rPr>
        <w:t>555</w:t>
      </w:r>
      <w:r w:rsidR="00407E67" w:rsidRPr="007E52E8">
        <w:rPr>
          <w:rFonts w:ascii="Georgia" w:hAnsi="Georgia" w:cs="Arial"/>
          <w:bCs/>
          <w:color w:val="1F497D" w:themeColor="text2"/>
          <w:sz w:val="28"/>
          <w:szCs w:val="28"/>
        </w:rPr>
        <w:t xml:space="preserve"> </w:t>
      </w:r>
      <w:r w:rsidR="009B47F0" w:rsidRPr="007E52E8">
        <w:rPr>
          <w:rFonts w:ascii="Georgia" w:hAnsi="Georgia" w:cs="Arial"/>
          <w:bCs/>
          <w:color w:val="1F497D" w:themeColor="text2"/>
          <w:sz w:val="28"/>
          <w:szCs w:val="28"/>
        </w:rPr>
        <w:t xml:space="preserve">in più rispetto al </w:t>
      </w:r>
      <w:r w:rsidR="00480930" w:rsidRPr="007E52E8">
        <w:rPr>
          <w:rFonts w:ascii="Georgia" w:hAnsi="Georgia" w:cs="Arial"/>
          <w:bCs/>
          <w:color w:val="1F497D" w:themeColor="text2"/>
          <w:sz w:val="28"/>
          <w:szCs w:val="28"/>
        </w:rPr>
        <w:t>2023</w:t>
      </w:r>
      <w:r w:rsidRPr="007E52E8">
        <w:rPr>
          <w:rFonts w:ascii="Georgia" w:hAnsi="Georgia" w:cs="Arial"/>
          <w:bCs/>
          <w:color w:val="1F497D" w:themeColor="text2"/>
          <w:sz w:val="28"/>
          <w:szCs w:val="28"/>
        </w:rPr>
        <w:t>. Nello</w:t>
      </w:r>
      <w:r w:rsidRPr="00325DA1">
        <w:rPr>
          <w:rFonts w:ascii="Georgia" w:hAnsi="Georgia" w:cs="Arial"/>
          <w:bCs/>
          <w:color w:val="1F497D" w:themeColor="text2"/>
          <w:sz w:val="28"/>
          <w:szCs w:val="28"/>
        </w:rPr>
        <w:t xml:space="preserve"> stesso periodo le </w:t>
      </w:r>
      <w:r w:rsidR="00B81530">
        <w:rPr>
          <w:rFonts w:ascii="Georgia" w:hAnsi="Georgia" w:cs="Arial"/>
          <w:bCs/>
          <w:color w:val="1F497D" w:themeColor="text2"/>
          <w:sz w:val="28"/>
          <w:szCs w:val="28"/>
        </w:rPr>
        <w:t>Commissioni territoriali</w:t>
      </w:r>
      <w:r w:rsidR="00B81530" w:rsidRPr="00B81530">
        <w:rPr>
          <w:rFonts w:ascii="Georgia" w:hAnsi="Georgia" w:cs="Arial"/>
          <w:bCs/>
          <w:color w:val="1F497D" w:themeColor="text2"/>
          <w:sz w:val="28"/>
          <w:szCs w:val="28"/>
        </w:rPr>
        <w:t xml:space="preserve"> per la protezione internazionale</w:t>
      </w:r>
      <w:r w:rsidRPr="00325DA1">
        <w:rPr>
          <w:rFonts w:ascii="Georgia" w:hAnsi="Georgia" w:cs="Arial"/>
          <w:bCs/>
          <w:color w:val="1F497D" w:themeColor="text2"/>
          <w:sz w:val="28"/>
          <w:szCs w:val="28"/>
        </w:rPr>
        <w:t xml:space="preserve"> hanno esaminato </w:t>
      </w:r>
      <w:r w:rsidR="00407E67">
        <w:rPr>
          <w:rFonts w:ascii="Georgia" w:hAnsi="Georgia" w:cs="Arial"/>
          <w:b/>
          <w:color w:val="1F497D" w:themeColor="text2"/>
          <w:sz w:val="28"/>
          <w:szCs w:val="28"/>
        </w:rPr>
        <w:t>78</w:t>
      </w:r>
      <w:r w:rsidRPr="00325DA1">
        <w:rPr>
          <w:rFonts w:ascii="Georgia" w:hAnsi="Georgia" w:cs="Arial"/>
          <w:b/>
          <w:color w:val="1F497D" w:themeColor="text2"/>
          <w:sz w:val="28"/>
          <w:szCs w:val="28"/>
        </w:rPr>
        <w:t>.</w:t>
      </w:r>
      <w:r w:rsidR="00407E67">
        <w:rPr>
          <w:rFonts w:ascii="Georgia" w:hAnsi="Georgia" w:cs="Arial"/>
          <w:b/>
          <w:color w:val="1F497D" w:themeColor="text2"/>
          <w:sz w:val="28"/>
          <w:szCs w:val="28"/>
        </w:rPr>
        <w:t>565</w:t>
      </w:r>
      <w:r w:rsidR="00407E67" w:rsidRPr="00325DA1">
        <w:rPr>
          <w:rFonts w:ascii="Georgia" w:hAnsi="Georgia" w:cs="Arial"/>
          <w:b/>
          <w:color w:val="1F497D" w:themeColor="text2"/>
          <w:sz w:val="28"/>
          <w:szCs w:val="28"/>
        </w:rPr>
        <w:t xml:space="preserve"> </w:t>
      </w:r>
      <w:r w:rsidRPr="00325DA1">
        <w:rPr>
          <w:rFonts w:ascii="Georgia" w:hAnsi="Georgia" w:cs="Arial"/>
          <w:b/>
          <w:color w:val="1F497D" w:themeColor="text2"/>
          <w:sz w:val="28"/>
          <w:szCs w:val="28"/>
        </w:rPr>
        <w:t>prime istanze</w:t>
      </w:r>
      <w:r w:rsidR="00B12785">
        <w:rPr>
          <w:rFonts w:ascii="Georgia" w:hAnsi="Georgia" w:cs="Arial"/>
          <w:b/>
          <w:color w:val="1F497D" w:themeColor="text2"/>
          <w:sz w:val="28"/>
          <w:szCs w:val="28"/>
        </w:rPr>
        <w:t>,</w:t>
      </w:r>
      <w:r w:rsidRPr="00325DA1">
        <w:rPr>
          <w:rFonts w:ascii="Georgia" w:hAnsi="Georgia" w:cs="Arial"/>
          <w:bCs/>
          <w:color w:val="1F497D" w:themeColor="text2"/>
          <w:sz w:val="28"/>
          <w:szCs w:val="28"/>
        </w:rPr>
        <w:t xml:space="preserve"> </w:t>
      </w:r>
      <w:r w:rsidRPr="00325DA1">
        <w:rPr>
          <w:rFonts w:ascii="Georgia" w:hAnsi="Georgia" w:cs="Arial"/>
          <w:b/>
          <w:color w:val="1F497D" w:themeColor="text2"/>
          <w:sz w:val="28"/>
          <w:szCs w:val="28"/>
        </w:rPr>
        <w:t xml:space="preserve">respingendone il </w:t>
      </w:r>
      <w:r w:rsidR="00407E67" w:rsidRPr="00325DA1">
        <w:rPr>
          <w:rFonts w:ascii="Georgia" w:hAnsi="Georgia" w:cs="Arial"/>
          <w:b/>
          <w:color w:val="1F497D" w:themeColor="text2"/>
          <w:sz w:val="28"/>
          <w:szCs w:val="28"/>
        </w:rPr>
        <w:t>6</w:t>
      </w:r>
      <w:r w:rsidR="00407E67">
        <w:rPr>
          <w:rFonts w:ascii="Georgia" w:hAnsi="Georgia" w:cs="Arial"/>
          <w:b/>
          <w:color w:val="1F497D" w:themeColor="text2"/>
          <w:sz w:val="28"/>
          <w:szCs w:val="28"/>
        </w:rPr>
        <w:t>4,1</w:t>
      </w:r>
      <w:r w:rsidRPr="00325DA1">
        <w:rPr>
          <w:rFonts w:ascii="Georgia" w:hAnsi="Georgia" w:cs="Arial"/>
          <w:b/>
          <w:color w:val="1F497D" w:themeColor="text2"/>
          <w:sz w:val="28"/>
          <w:szCs w:val="28"/>
        </w:rPr>
        <w:t>%</w:t>
      </w:r>
      <w:r w:rsidR="00514DC4" w:rsidRPr="00325DA1">
        <w:rPr>
          <w:rFonts w:ascii="Georgia" w:hAnsi="Georgia" w:cs="Arial"/>
          <w:b/>
          <w:color w:val="1F497D" w:themeColor="text2"/>
          <w:sz w:val="28"/>
          <w:szCs w:val="28"/>
        </w:rPr>
        <w:t>.</w:t>
      </w:r>
    </w:p>
    <w:p w14:paraId="5C9FBCD2" w14:textId="561074FC" w:rsidR="00787138" w:rsidRDefault="00787138" w:rsidP="002107DD">
      <w:pPr>
        <w:tabs>
          <w:tab w:val="left" w:pos="851"/>
        </w:tabs>
        <w:autoSpaceDE w:val="0"/>
        <w:autoSpaceDN w:val="0"/>
        <w:adjustRightInd w:val="0"/>
        <w:spacing w:after="120" w:line="360" w:lineRule="exact"/>
        <w:jc w:val="both"/>
        <w:rPr>
          <w:rFonts w:ascii="Georgia" w:hAnsi="Georgia" w:cs="Arial"/>
          <w:bCs/>
          <w:color w:val="1F497D" w:themeColor="text2"/>
          <w:sz w:val="28"/>
          <w:szCs w:val="28"/>
        </w:rPr>
      </w:pPr>
      <w:r w:rsidRPr="005570BE">
        <w:rPr>
          <w:rFonts w:ascii="Georgia" w:hAnsi="Georgia" w:cs="Arial"/>
          <w:b/>
          <w:bCs/>
          <w:color w:val="1F497D" w:themeColor="text2"/>
          <w:sz w:val="28"/>
          <w:szCs w:val="28"/>
        </w:rPr>
        <w:t>Le acquisizioni di cittadinanza italiana</w:t>
      </w:r>
      <w:r>
        <w:rPr>
          <w:rFonts w:ascii="Georgia" w:hAnsi="Georgia" w:cs="Arial"/>
          <w:bCs/>
          <w:color w:val="1F497D" w:themeColor="text2"/>
          <w:sz w:val="28"/>
          <w:szCs w:val="28"/>
        </w:rPr>
        <w:t xml:space="preserve"> da parte di cittadini non comunitari nel 202</w:t>
      </w:r>
      <w:r w:rsidR="00436B0C">
        <w:rPr>
          <w:rFonts w:ascii="Georgia" w:hAnsi="Georgia" w:cs="Arial"/>
          <w:bCs/>
          <w:color w:val="1F497D" w:themeColor="text2"/>
          <w:sz w:val="28"/>
          <w:szCs w:val="28"/>
        </w:rPr>
        <w:t>4</w:t>
      </w:r>
      <w:r>
        <w:rPr>
          <w:rFonts w:ascii="Georgia" w:hAnsi="Georgia" w:cs="Arial"/>
          <w:bCs/>
          <w:color w:val="1F497D" w:themeColor="text2"/>
          <w:sz w:val="28"/>
          <w:szCs w:val="28"/>
        </w:rPr>
        <w:t xml:space="preserve"> sono state </w:t>
      </w:r>
      <w:r w:rsidRPr="006D7755">
        <w:rPr>
          <w:rFonts w:ascii="Georgia" w:hAnsi="Georgia" w:cs="Arial"/>
          <w:bCs/>
          <w:color w:val="1F497D" w:themeColor="text2"/>
          <w:sz w:val="28"/>
          <w:szCs w:val="28"/>
        </w:rPr>
        <w:t>oltre</w:t>
      </w:r>
      <w:r w:rsidR="00232935">
        <w:rPr>
          <w:rFonts w:ascii="Georgia" w:hAnsi="Georgia" w:cs="Arial"/>
          <w:bCs/>
          <w:color w:val="1F497D" w:themeColor="text2"/>
          <w:sz w:val="28"/>
          <w:szCs w:val="28"/>
        </w:rPr>
        <w:t xml:space="preserve"> </w:t>
      </w:r>
      <w:r w:rsidR="00A61B73" w:rsidRPr="005C7B1B">
        <w:rPr>
          <w:rFonts w:ascii="Georgia" w:hAnsi="Georgia" w:cs="Arial"/>
          <w:b/>
          <w:bCs/>
          <w:color w:val="1F497D" w:themeColor="text2"/>
          <w:sz w:val="28"/>
          <w:szCs w:val="28"/>
        </w:rPr>
        <w:t>217</w:t>
      </w:r>
      <w:r w:rsidRPr="006D7755">
        <w:rPr>
          <w:rFonts w:ascii="Georgia" w:hAnsi="Georgia" w:cs="Arial"/>
          <w:b/>
          <w:bCs/>
          <w:color w:val="1F497D" w:themeColor="text2"/>
          <w:sz w:val="28"/>
          <w:szCs w:val="28"/>
        </w:rPr>
        <w:t>mila</w:t>
      </w:r>
      <w:r w:rsidRPr="006D7755">
        <w:rPr>
          <w:rFonts w:ascii="Georgia" w:hAnsi="Georgia" w:cs="Arial"/>
          <w:bCs/>
          <w:color w:val="1F497D" w:themeColor="text2"/>
          <w:sz w:val="28"/>
          <w:szCs w:val="28"/>
        </w:rPr>
        <w:t xml:space="preserve">, </w:t>
      </w:r>
      <w:r w:rsidR="00A61B73" w:rsidRPr="006D7755">
        <w:rPr>
          <w:rFonts w:ascii="Georgia" w:hAnsi="Georgia" w:cs="Arial"/>
          <w:bCs/>
          <w:color w:val="1F497D" w:themeColor="text2"/>
          <w:sz w:val="28"/>
          <w:szCs w:val="28"/>
        </w:rPr>
        <w:t xml:space="preserve">in leggera crescita </w:t>
      </w:r>
      <w:r w:rsidRPr="006D7755">
        <w:rPr>
          <w:rFonts w:ascii="Georgia" w:hAnsi="Georgia" w:cs="Arial"/>
          <w:bCs/>
          <w:color w:val="1F497D" w:themeColor="text2"/>
          <w:sz w:val="28"/>
          <w:szCs w:val="28"/>
        </w:rPr>
        <w:t>rispetto all’anno precedente.</w:t>
      </w:r>
    </w:p>
    <w:p w14:paraId="66553E6C" w14:textId="77777777" w:rsidR="00B12785" w:rsidRPr="00A13566" w:rsidRDefault="00B12785" w:rsidP="00A13566">
      <w:pPr>
        <w:tabs>
          <w:tab w:val="left" w:pos="851"/>
        </w:tabs>
        <w:autoSpaceDE w:val="0"/>
        <w:autoSpaceDN w:val="0"/>
        <w:adjustRightInd w:val="0"/>
        <w:jc w:val="both"/>
        <w:rPr>
          <w:rFonts w:ascii="Georgia" w:hAnsi="Georgia" w:cs="Arial"/>
          <w:bCs/>
          <w:color w:val="1F497D" w:themeColor="text2"/>
          <w:sz w:val="14"/>
          <w:szCs w:val="14"/>
        </w:rPr>
      </w:pPr>
    </w:p>
    <w:tbl>
      <w:tblPr>
        <w:tblStyle w:val="Grigliatabella"/>
        <w:tblW w:w="12228" w:type="dxa"/>
        <w:tblInd w:w="-1003" w:type="dxa"/>
        <w:tblBorders>
          <w:top w:val="none" w:sz="0" w:space="0" w:color="auto"/>
          <w:left w:val="single" w:sz="8" w:space="0" w:color="FFFFFF" w:themeColor="background1"/>
          <w:bottom w:val="single" w:sz="8" w:space="0" w:color="FFFFFF" w:themeColor="background1"/>
          <w:right w:val="single" w:sz="8" w:space="0" w:color="FFFFFF" w:themeColor="background1"/>
          <w:insideH w:val="none" w:sz="0" w:space="0" w:color="auto"/>
          <w:insideV w:val="single" w:sz="8" w:space="0" w:color="FFFFFF" w:themeColor="background1"/>
        </w:tblBorders>
        <w:tblLayout w:type="fixed"/>
        <w:tblCellMar>
          <w:left w:w="113" w:type="dxa"/>
          <w:right w:w="113" w:type="dxa"/>
        </w:tblCellMar>
        <w:tblLook w:val="04A0" w:firstRow="1" w:lastRow="0" w:firstColumn="1" w:lastColumn="0" w:noHBand="0" w:noVBand="1"/>
      </w:tblPr>
      <w:tblGrid>
        <w:gridCol w:w="4079"/>
        <w:gridCol w:w="3956"/>
        <w:gridCol w:w="4193"/>
      </w:tblGrid>
      <w:tr w:rsidR="004071A4" w:rsidRPr="0023216A" w14:paraId="03D14407" w14:textId="77777777" w:rsidTr="00A13566">
        <w:trPr>
          <w:trHeight w:val="3402"/>
        </w:trPr>
        <w:tc>
          <w:tcPr>
            <w:tcW w:w="4079" w:type="dxa"/>
            <w:tcBorders>
              <w:right w:val="single" w:sz="12" w:space="0" w:color="FFFFFF" w:themeColor="background1"/>
            </w:tcBorders>
            <w:shd w:val="clear" w:color="auto" w:fill="D9D9D9" w:themeFill="background1" w:themeFillShade="D9"/>
          </w:tcPr>
          <w:p w14:paraId="2F131C68" w14:textId="77777777" w:rsidR="00A336A1" w:rsidRPr="00A336A1" w:rsidRDefault="00A336A1" w:rsidP="007E2A0C">
            <w:pPr>
              <w:tabs>
                <w:tab w:val="left" w:pos="851"/>
              </w:tabs>
              <w:autoSpaceDE w:val="0"/>
              <w:autoSpaceDN w:val="0"/>
              <w:adjustRightInd w:val="0"/>
              <w:ind w:left="176"/>
              <w:rPr>
                <w:rFonts w:ascii="Georgia" w:hAnsi="Georgia" w:cs="Arial"/>
                <w:bCs/>
                <w:color w:val="E42618"/>
                <w:sz w:val="88"/>
                <w:szCs w:val="88"/>
              </w:rPr>
            </w:pPr>
            <w:r w:rsidRPr="00A336A1">
              <w:rPr>
                <w:rFonts w:ascii="Georgia" w:hAnsi="Georgia" w:cs="Arial"/>
                <w:bCs/>
                <w:color w:val="E42618"/>
                <w:sz w:val="88"/>
                <w:szCs w:val="88"/>
              </w:rPr>
              <w:t>-20,8%</w:t>
            </w:r>
          </w:p>
          <w:p w14:paraId="7336CD8F" w14:textId="77777777" w:rsidR="006F108D" w:rsidRDefault="006F108D" w:rsidP="001D1845">
            <w:pPr>
              <w:tabs>
                <w:tab w:val="left" w:pos="743"/>
                <w:tab w:val="left" w:pos="851"/>
                <w:tab w:val="left" w:pos="2575"/>
              </w:tabs>
              <w:autoSpaceDE w:val="0"/>
              <w:autoSpaceDN w:val="0"/>
              <w:adjustRightInd w:val="0"/>
              <w:ind w:left="176" w:right="570"/>
              <w:rPr>
                <w:rFonts w:ascii="Georgia" w:hAnsi="Georgia" w:cs="Arial"/>
                <w:b/>
                <w:bCs/>
                <w:color w:val="EE0000"/>
                <w:sz w:val="26"/>
                <w:szCs w:val="26"/>
              </w:rPr>
            </w:pPr>
          </w:p>
          <w:p w14:paraId="1ECBC089" w14:textId="156F8B11" w:rsidR="00A336A1" w:rsidRPr="00A336A1" w:rsidRDefault="00B12785" w:rsidP="001D1845">
            <w:pPr>
              <w:tabs>
                <w:tab w:val="left" w:pos="743"/>
                <w:tab w:val="left" w:pos="851"/>
                <w:tab w:val="left" w:pos="2575"/>
              </w:tabs>
              <w:autoSpaceDE w:val="0"/>
              <w:autoSpaceDN w:val="0"/>
              <w:adjustRightInd w:val="0"/>
              <w:ind w:left="176" w:right="570"/>
              <w:rPr>
                <w:rFonts w:ascii="Georgia" w:hAnsi="Georgia" w:cs="Arial"/>
                <w:b/>
                <w:bCs/>
                <w:color w:val="EE0000"/>
                <w:sz w:val="26"/>
                <w:szCs w:val="26"/>
              </w:rPr>
            </w:pPr>
            <w:r>
              <w:rPr>
                <w:rFonts w:ascii="Georgia" w:hAnsi="Georgia" w:cs="Arial"/>
                <w:b/>
                <w:bCs/>
                <w:color w:val="EE0000"/>
                <w:sz w:val="26"/>
                <w:szCs w:val="26"/>
              </w:rPr>
              <w:t xml:space="preserve">Calo dei </w:t>
            </w:r>
            <w:r w:rsidR="00A336A1" w:rsidRPr="00A336A1">
              <w:rPr>
                <w:rFonts w:ascii="Georgia" w:hAnsi="Georgia" w:cs="Arial"/>
                <w:b/>
                <w:bCs/>
                <w:color w:val="EE0000"/>
                <w:sz w:val="26"/>
                <w:szCs w:val="26"/>
              </w:rPr>
              <w:t xml:space="preserve">nuovi permessi </w:t>
            </w:r>
            <w:r w:rsidR="00A336A1" w:rsidRPr="006D0DAE">
              <w:rPr>
                <w:rFonts w:ascii="Georgia" w:hAnsi="Georgia" w:cs="Arial"/>
                <w:b/>
                <w:bCs/>
                <w:color w:val="FF0000"/>
                <w:sz w:val="26"/>
                <w:szCs w:val="26"/>
              </w:rPr>
              <w:t>rilasciati</w:t>
            </w:r>
            <w:r w:rsidR="00A336A1" w:rsidRPr="00A336A1">
              <w:rPr>
                <w:rFonts w:ascii="Georgia" w:hAnsi="Georgia" w:cs="Arial"/>
                <w:b/>
                <w:bCs/>
                <w:color w:val="EE0000"/>
                <w:sz w:val="26"/>
                <w:szCs w:val="26"/>
              </w:rPr>
              <w:t xml:space="preserve"> a donne </w:t>
            </w:r>
            <w:r w:rsidR="00A336A1">
              <w:rPr>
                <w:rFonts w:ascii="Georgia" w:hAnsi="Georgia" w:cs="Arial"/>
                <w:b/>
                <w:bCs/>
                <w:color w:val="EE0000"/>
                <w:sz w:val="26"/>
                <w:szCs w:val="26"/>
              </w:rPr>
              <w:t xml:space="preserve">nel 2024 </w:t>
            </w:r>
            <w:r w:rsidR="00A336A1" w:rsidRPr="00A336A1">
              <w:rPr>
                <w:rFonts w:ascii="Georgia" w:hAnsi="Georgia" w:cs="Arial"/>
                <w:b/>
                <w:bCs/>
                <w:color w:val="EE0000"/>
                <w:sz w:val="26"/>
                <w:szCs w:val="26"/>
              </w:rPr>
              <w:t xml:space="preserve">rispetto al 2023 </w:t>
            </w:r>
          </w:p>
          <w:p w14:paraId="032181E9" w14:textId="58FD9C02" w:rsidR="002E5367" w:rsidRDefault="002E5367" w:rsidP="007E2A0C">
            <w:pPr>
              <w:tabs>
                <w:tab w:val="left" w:pos="851"/>
              </w:tabs>
              <w:autoSpaceDE w:val="0"/>
              <w:autoSpaceDN w:val="0"/>
              <w:adjustRightInd w:val="0"/>
              <w:ind w:left="176" w:firstLine="3"/>
              <w:rPr>
                <w:rFonts w:ascii="Georgia" w:hAnsi="Georgia" w:cs="Arial"/>
                <w:bCs/>
                <w:color w:val="1F497D" w:themeColor="text2"/>
                <w:sz w:val="26"/>
                <w:szCs w:val="26"/>
              </w:rPr>
            </w:pPr>
          </w:p>
          <w:p w14:paraId="6AE3BAEB" w14:textId="25FE4953" w:rsidR="00CE041B" w:rsidRPr="00A13566" w:rsidRDefault="00B12785" w:rsidP="007E2A0C">
            <w:pPr>
              <w:tabs>
                <w:tab w:val="left" w:pos="851"/>
              </w:tabs>
              <w:autoSpaceDE w:val="0"/>
              <w:autoSpaceDN w:val="0"/>
              <w:adjustRightInd w:val="0"/>
              <w:ind w:left="176"/>
              <w:rPr>
                <w:rFonts w:ascii="Arial Narrow" w:hAnsi="Arial Narrow" w:cs="Arial"/>
                <w:bCs/>
                <w:color w:val="1F497D"/>
                <w:sz w:val="22"/>
              </w:rPr>
            </w:pPr>
            <w:r>
              <w:rPr>
                <w:rFonts w:ascii="Arial Narrow" w:hAnsi="Arial Narrow" w:cs="Arial"/>
                <w:bCs/>
                <w:color w:val="1F497D"/>
                <w:sz w:val="22"/>
              </w:rPr>
              <w:t>La contrazione</w:t>
            </w:r>
            <w:r w:rsidR="00CE041B" w:rsidRPr="00A13566">
              <w:rPr>
                <w:rFonts w:ascii="Arial Narrow" w:hAnsi="Arial Narrow" w:cs="Arial"/>
                <w:bCs/>
                <w:color w:val="1F497D"/>
                <w:sz w:val="22"/>
              </w:rPr>
              <w:t xml:space="preserve"> è dovut</w:t>
            </w:r>
            <w:r>
              <w:rPr>
                <w:rFonts w:ascii="Arial Narrow" w:hAnsi="Arial Narrow" w:cs="Arial"/>
                <w:bCs/>
                <w:color w:val="1F497D"/>
                <w:sz w:val="22"/>
              </w:rPr>
              <w:t>a</w:t>
            </w:r>
            <w:r w:rsidR="00CE041B" w:rsidRPr="00A13566">
              <w:rPr>
                <w:rFonts w:ascii="Arial Narrow" w:hAnsi="Arial Narrow" w:cs="Arial"/>
                <w:bCs/>
                <w:color w:val="1F497D"/>
                <w:sz w:val="22"/>
              </w:rPr>
              <w:t xml:space="preserve"> principalmente al </w:t>
            </w:r>
            <w:r w:rsidR="003A05CF">
              <w:rPr>
                <w:rFonts w:ascii="Arial Narrow" w:hAnsi="Arial Narrow" w:cs="Arial"/>
                <w:bCs/>
                <w:color w:val="1F497D"/>
                <w:sz w:val="22"/>
              </w:rPr>
              <w:t>calo</w:t>
            </w:r>
            <w:r w:rsidR="003A05CF" w:rsidRPr="00A13566">
              <w:rPr>
                <w:rFonts w:ascii="Arial Narrow" w:hAnsi="Arial Narrow" w:cs="Arial"/>
                <w:bCs/>
                <w:color w:val="1F497D"/>
                <w:sz w:val="22"/>
              </w:rPr>
              <w:t xml:space="preserve"> </w:t>
            </w:r>
            <w:r w:rsidR="00CE041B" w:rsidRPr="00A13566">
              <w:rPr>
                <w:rFonts w:ascii="Arial Narrow" w:hAnsi="Arial Narrow" w:cs="Arial"/>
                <w:bCs/>
                <w:color w:val="1F497D"/>
                <w:sz w:val="22"/>
              </w:rPr>
              <w:t xml:space="preserve">dei flussi dall’Ucraina. </w:t>
            </w:r>
          </w:p>
          <w:p w14:paraId="5098489B" w14:textId="024B787E" w:rsidR="00672321" w:rsidRPr="00787138" w:rsidRDefault="006D0DAE" w:rsidP="00A13566">
            <w:pPr>
              <w:tabs>
                <w:tab w:val="left" w:pos="851"/>
              </w:tabs>
              <w:autoSpaceDE w:val="0"/>
              <w:autoSpaceDN w:val="0"/>
              <w:adjustRightInd w:val="0"/>
              <w:ind w:left="176"/>
              <w:rPr>
                <w:rFonts w:ascii="Arial Narrow" w:hAnsi="Arial Narrow" w:cs="Arial"/>
                <w:bCs/>
                <w:color w:val="244061" w:themeColor="accent1" w:themeShade="80"/>
              </w:rPr>
            </w:pPr>
            <w:r w:rsidRPr="00A13566">
              <w:rPr>
                <w:rFonts w:ascii="Arial Narrow" w:hAnsi="Arial Narrow" w:cs="Arial"/>
                <w:bCs/>
                <w:color w:val="1F497D"/>
                <w:sz w:val="22"/>
              </w:rPr>
              <w:t>Per gli uomini la diminuzione è del 6,3%</w:t>
            </w:r>
            <w:r w:rsidR="00B42786" w:rsidRPr="00A13566">
              <w:rPr>
                <w:rFonts w:ascii="Arial Narrow" w:hAnsi="Arial Narrow" w:cs="Arial"/>
                <w:bCs/>
                <w:color w:val="1F497D"/>
                <w:sz w:val="22"/>
              </w:rPr>
              <w:t>.</w:t>
            </w:r>
          </w:p>
        </w:tc>
        <w:tc>
          <w:tcPr>
            <w:tcW w:w="3956" w:type="dxa"/>
            <w:tcBorders>
              <w:left w:val="single" w:sz="12" w:space="0" w:color="FFFFFF" w:themeColor="background1"/>
              <w:right w:val="single" w:sz="12" w:space="0" w:color="FFFFFF" w:themeColor="background1"/>
            </w:tcBorders>
            <w:shd w:val="clear" w:color="auto" w:fill="D9D9D9" w:themeFill="background1" w:themeFillShade="D9"/>
          </w:tcPr>
          <w:p w14:paraId="3CA46E99" w14:textId="79A7446E" w:rsidR="00A336A1" w:rsidRPr="007E52E8" w:rsidRDefault="007619F7" w:rsidP="00A336A1">
            <w:pPr>
              <w:tabs>
                <w:tab w:val="left" w:pos="851"/>
              </w:tabs>
              <w:autoSpaceDE w:val="0"/>
              <w:autoSpaceDN w:val="0"/>
              <w:adjustRightInd w:val="0"/>
              <w:ind w:left="66"/>
              <w:rPr>
                <w:rFonts w:ascii="Georgia" w:hAnsi="Georgia" w:cs="Arial"/>
                <w:bCs/>
                <w:color w:val="1F497D" w:themeColor="text2"/>
                <w:sz w:val="16"/>
                <w:szCs w:val="16"/>
              </w:rPr>
            </w:pPr>
            <w:r w:rsidRPr="007E52E8">
              <w:rPr>
                <w:rFonts w:ascii="Georgia" w:hAnsi="Georgia" w:cs="Arial"/>
                <w:bCs/>
                <w:color w:val="1F497D" w:themeColor="text2"/>
                <w:sz w:val="88"/>
                <w:szCs w:val="88"/>
              </w:rPr>
              <w:t>+7,3%</w:t>
            </w:r>
          </w:p>
          <w:p w14:paraId="0B33C8F7" w14:textId="77777777" w:rsidR="00A336A1" w:rsidRPr="007E52E8" w:rsidRDefault="00A336A1" w:rsidP="00A336A1">
            <w:pPr>
              <w:tabs>
                <w:tab w:val="left" w:pos="851"/>
              </w:tabs>
              <w:autoSpaceDE w:val="0"/>
              <w:autoSpaceDN w:val="0"/>
              <w:adjustRightInd w:val="0"/>
              <w:ind w:left="66"/>
              <w:rPr>
                <w:rFonts w:ascii="Georgia" w:hAnsi="Georgia" w:cs="Arial"/>
                <w:b/>
                <w:bCs/>
                <w:color w:val="1F497D" w:themeColor="text2"/>
                <w:sz w:val="26"/>
                <w:szCs w:val="26"/>
              </w:rPr>
            </w:pPr>
          </w:p>
          <w:p w14:paraId="0AAACA2C" w14:textId="5F1ABC5C" w:rsidR="006D0DAE" w:rsidRPr="007E52E8" w:rsidRDefault="008579E9" w:rsidP="00480930">
            <w:pPr>
              <w:tabs>
                <w:tab w:val="left" w:pos="851"/>
              </w:tabs>
              <w:autoSpaceDE w:val="0"/>
              <w:autoSpaceDN w:val="0"/>
              <w:adjustRightInd w:val="0"/>
              <w:ind w:left="66"/>
              <w:rPr>
                <w:rFonts w:ascii="Arial Narrow" w:hAnsi="Arial Narrow" w:cs="Arial"/>
                <w:bCs/>
                <w:color w:val="002060"/>
              </w:rPr>
            </w:pPr>
            <w:r>
              <w:rPr>
                <w:rFonts w:ascii="Georgia" w:hAnsi="Georgia" w:cs="Arial"/>
                <w:b/>
                <w:bCs/>
                <w:color w:val="1F497D" w:themeColor="text2"/>
                <w:sz w:val="26"/>
                <w:szCs w:val="26"/>
              </w:rPr>
              <w:t>Aumento dei m</w:t>
            </w:r>
            <w:r w:rsidR="007619F7" w:rsidRPr="007E52E8">
              <w:rPr>
                <w:rFonts w:ascii="Georgia" w:hAnsi="Georgia" w:cs="Arial"/>
                <w:b/>
                <w:bCs/>
                <w:color w:val="1F497D" w:themeColor="text2"/>
                <w:sz w:val="26"/>
                <w:szCs w:val="26"/>
              </w:rPr>
              <w:t xml:space="preserve">inori non comunitari </w:t>
            </w:r>
            <w:r w:rsidR="007619F7" w:rsidRPr="00A13566">
              <w:rPr>
                <w:rFonts w:ascii="Georgia" w:hAnsi="Georgia" w:cs="Arial"/>
                <w:b/>
                <w:bCs/>
                <w:color w:val="1F497D"/>
                <w:sz w:val="26"/>
                <w:szCs w:val="26"/>
              </w:rPr>
              <w:t>divenuti</w:t>
            </w:r>
            <w:r w:rsidR="007619F7" w:rsidRPr="007E52E8">
              <w:rPr>
                <w:rFonts w:ascii="Georgia" w:hAnsi="Georgia" w:cs="Arial"/>
                <w:b/>
                <w:bCs/>
                <w:color w:val="1F497D" w:themeColor="text2"/>
                <w:sz w:val="26"/>
                <w:szCs w:val="26"/>
              </w:rPr>
              <w:t xml:space="preserve"> italiani nel 2024 </w:t>
            </w:r>
            <w:r w:rsidR="00FD7E9F">
              <w:rPr>
                <w:rFonts w:ascii="Georgia" w:hAnsi="Georgia" w:cs="Arial"/>
                <w:b/>
                <w:bCs/>
                <w:color w:val="1F497D" w:themeColor="text2"/>
                <w:sz w:val="26"/>
                <w:szCs w:val="26"/>
              </w:rPr>
              <w:br/>
            </w:r>
            <w:r w:rsidR="007619F7" w:rsidRPr="007E52E8">
              <w:rPr>
                <w:rFonts w:ascii="Georgia" w:hAnsi="Georgia" w:cs="Arial"/>
                <w:b/>
                <w:bCs/>
                <w:color w:val="1F497D" w:themeColor="text2"/>
                <w:sz w:val="26"/>
                <w:szCs w:val="26"/>
              </w:rPr>
              <w:t>rispetto al 2023</w:t>
            </w:r>
          </w:p>
          <w:p w14:paraId="1FAF347E" w14:textId="304AB82E" w:rsidR="00480930" w:rsidRDefault="00480930" w:rsidP="004A285B">
            <w:pPr>
              <w:tabs>
                <w:tab w:val="left" w:pos="851"/>
              </w:tabs>
              <w:autoSpaceDE w:val="0"/>
              <w:autoSpaceDN w:val="0"/>
              <w:adjustRightInd w:val="0"/>
              <w:ind w:left="66"/>
              <w:rPr>
                <w:rFonts w:ascii="Arial Narrow" w:hAnsi="Arial Narrow" w:cs="Arial"/>
                <w:bCs/>
                <w:color w:val="002060"/>
                <w:sz w:val="28"/>
                <w:szCs w:val="28"/>
              </w:rPr>
            </w:pPr>
          </w:p>
          <w:p w14:paraId="3D887C07" w14:textId="77777777" w:rsidR="006F108D" w:rsidRDefault="006F108D" w:rsidP="004A285B">
            <w:pPr>
              <w:tabs>
                <w:tab w:val="left" w:pos="851"/>
              </w:tabs>
              <w:autoSpaceDE w:val="0"/>
              <w:autoSpaceDN w:val="0"/>
              <w:adjustRightInd w:val="0"/>
              <w:ind w:left="66"/>
              <w:rPr>
                <w:rFonts w:ascii="Arial Narrow" w:hAnsi="Arial Narrow" w:cs="Arial"/>
                <w:bCs/>
                <w:color w:val="002060"/>
                <w:sz w:val="28"/>
                <w:szCs w:val="28"/>
              </w:rPr>
            </w:pPr>
          </w:p>
          <w:p w14:paraId="152E1E1D" w14:textId="7F240442" w:rsidR="004071A4" w:rsidRPr="006B1E51" w:rsidRDefault="002833BA" w:rsidP="006667EC">
            <w:pPr>
              <w:tabs>
                <w:tab w:val="left" w:pos="851"/>
              </w:tabs>
              <w:autoSpaceDE w:val="0"/>
              <w:autoSpaceDN w:val="0"/>
              <w:adjustRightInd w:val="0"/>
              <w:rPr>
                <w:rFonts w:ascii="Georgia" w:hAnsi="Georgia" w:cs="Arial"/>
                <w:b/>
                <w:bCs/>
                <w:color w:val="E42618"/>
                <w:sz w:val="28"/>
                <w:szCs w:val="28"/>
                <w:highlight w:val="yellow"/>
              </w:rPr>
            </w:pPr>
            <w:r w:rsidRPr="0018181F">
              <w:rPr>
                <w:rFonts w:ascii="Arial Narrow" w:hAnsi="Arial Narrow" w:cs="Arial"/>
                <w:bCs/>
                <w:color w:val="1F497D" w:themeColor="text2"/>
                <w:sz w:val="22"/>
              </w:rPr>
              <w:t>Quasi uno su tre vive in Lombardia</w:t>
            </w:r>
          </w:p>
        </w:tc>
        <w:tc>
          <w:tcPr>
            <w:tcW w:w="4193" w:type="dxa"/>
            <w:tcBorders>
              <w:left w:val="single" w:sz="12" w:space="0" w:color="FFFFFF" w:themeColor="background1"/>
            </w:tcBorders>
            <w:shd w:val="clear" w:color="auto" w:fill="D9D9D9" w:themeFill="background1" w:themeFillShade="D9"/>
            <w:tcMar>
              <w:left w:w="284" w:type="dxa"/>
              <w:right w:w="284" w:type="dxa"/>
            </w:tcMar>
          </w:tcPr>
          <w:p w14:paraId="64D30B17" w14:textId="0E0B02F4" w:rsidR="00A336A1" w:rsidRPr="00414DFB" w:rsidRDefault="00A336A1" w:rsidP="00A13566">
            <w:pPr>
              <w:tabs>
                <w:tab w:val="left" w:pos="851"/>
              </w:tabs>
              <w:autoSpaceDE w:val="0"/>
              <w:autoSpaceDN w:val="0"/>
              <w:adjustRightInd w:val="0"/>
              <w:ind w:left="51"/>
              <w:rPr>
                <w:rFonts w:ascii="Georgia" w:hAnsi="Georgia" w:cs="Arial"/>
                <w:bCs/>
                <w:color w:val="E42618"/>
                <w:sz w:val="88"/>
                <w:szCs w:val="88"/>
              </w:rPr>
            </w:pPr>
            <w:r>
              <w:rPr>
                <w:rFonts w:ascii="Georgia" w:hAnsi="Georgia" w:cs="Arial"/>
                <w:bCs/>
                <w:color w:val="E42618"/>
                <w:sz w:val="88"/>
                <w:szCs w:val="88"/>
              </w:rPr>
              <w:t>2</w:t>
            </w:r>
            <w:r w:rsidR="00470D1B">
              <w:rPr>
                <w:rFonts w:ascii="Georgia" w:hAnsi="Georgia" w:cs="Arial"/>
                <w:bCs/>
                <w:color w:val="E42618"/>
                <w:sz w:val="88"/>
                <w:szCs w:val="88"/>
              </w:rPr>
              <w:t>1</w:t>
            </w:r>
            <w:r>
              <w:rPr>
                <w:rFonts w:ascii="Georgia" w:hAnsi="Georgia" w:cs="Arial"/>
                <w:bCs/>
                <w:color w:val="E42618"/>
                <w:sz w:val="88"/>
                <w:szCs w:val="88"/>
              </w:rPr>
              <w:t>,</w:t>
            </w:r>
            <w:r w:rsidR="00470D1B">
              <w:rPr>
                <w:rFonts w:ascii="Georgia" w:hAnsi="Georgia" w:cs="Arial"/>
                <w:bCs/>
                <w:color w:val="E42618"/>
                <w:sz w:val="88"/>
                <w:szCs w:val="88"/>
              </w:rPr>
              <w:t>7</w:t>
            </w:r>
            <w:r>
              <w:rPr>
                <w:rFonts w:ascii="Georgia" w:hAnsi="Georgia" w:cs="Arial"/>
                <w:bCs/>
                <w:color w:val="E42618"/>
                <w:sz w:val="88"/>
                <w:szCs w:val="88"/>
              </w:rPr>
              <w:t>%</w:t>
            </w:r>
          </w:p>
          <w:p w14:paraId="0F5D4C06" w14:textId="77777777" w:rsidR="00A336A1" w:rsidRPr="00414DFB" w:rsidRDefault="00A336A1" w:rsidP="00A13566">
            <w:pPr>
              <w:tabs>
                <w:tab w:val="left" w:pos="851"/>
              </w:tabs>
              <w:autoSpaceDE w:val="0"/>
              <w:autoSpaceDN w:val="0"/>
              <w:adjustRightInd w:val="0"/>
              <w:ind w:left="51"/>
              <w:rPr>
                <w:rFonts w:ascii="Georgia" w:hAnsi="Georgia" w:cs="Arial"/>
                <w:b/>
                <w:bCs/>
                <w:color w:val="E42618"/>
                <w:sz w:val="26"/>
                <w:szCs w:val="26"/>
              </w:rPr>
            </w:pPr>
          </w:p>
          <w:p w14:paraId="69011103" w14:textId="3F90F074" w:rsidR="00787138" w:rsidRPr="006D7755" w:rsidRDefault="00A336A1" w:rsidP="00A13566">
            <w:pPr>
              <w:tabs>
                <w:tab w:val="left" w:pos="743"/>
                <w:tab w:val="left" w:pos="851"/>
                <w:tab w:val="left" w:pos="2575"/>
              </w:tabs>
              <w:autoSpaceDE w:val="0"/>
              <w:autoSpaceDN w:val="0"/>
              <w:adjustRightInd w:val="0"/>
              <w:ind w:left="51" w:right="570"/>
              <w:rPr>
                <w:rFonts w:ascii="Georgia" w:hAnsi="Georgia" w:cs="Arial"/>
                <w:b/>
                <w:bCs/>
                <w:color w:val="E42618"/>
                <w:sz w:val="26"/>
                <w:szCs w:val="26"/>
              </w:rPr>
            </w:pPr>
            <w:r>
              <w:rPr>
                <w:rFonts w:ascii="Georgia" w:hAnsi="Georgia" w:cs="Arial"/>
                <w:b/>
                <w:bCs/>
                <w:color w:val="E42618"/>
                <w:sz w:val="26"/>
                <w:szCs w:val="26"/>
              </w:rPr>
              <w:t xml:space="preserve">I richiedenti asilo provenienti dal Bangladesh sul totale dei </w:t>
            </w:r>
            <w:r w:rsidRPr="00A336A1">
              <w:rPr>
                <w:rFonts w:ascii="Georgia" w:hAnsi="Georgia" w:cs="Arial"/>
                <w:b/>
                <w:bCs/>
                <w:color w:val="EE0000"/>
                <w:sz w:val="26"/>
                <w:szCs w:val="26"/>
              </w:rPr>
              <w:t>richiedenti</w:t>
            </w:r>
            <w:r>
              <w:rPr>
                <w:rFonts w:ascii="Georgia" w:hAnsi="Georgia" w:cs="Arial"/>
                <w:b/>
                <w:bCs/>
                <w:color w:val="E42618"/>
                <w:sz w:val="26"/>
                <w:szCs w:val="26"/>
              </w:rPr>
              <w:t xml:space="preserve"> asilo nel 2024</w:t>
            </w:r>
          </w:p>
          <w:p w14:paraId="027CAAB3" w14:textId="15365B02" w:rsidR="002E5367" w:rsidRDefault="002E5367" w:rsidP="002E5367">
            <w:pPr>
              <w:tabs>
                <w:tab w:val="left" w:pos="851"/>
              </w:tabs>
              <w:autoSpaceDE w:val="0"/>
              <w:autoSpaceDN w:val="0"/>
              <w:adjustRightInd w:val="0"/>
              <w:rPr>
                <w:rFonts w:ascii="Georgia" w:hAnsi="Georgia" w:cs="Arial"/>
                <w:bCs/>
                <w:color w:val="E42618"/>
                <w:szCs w:val="26"/>
              </w:rPr>
            </w:pPr>
          </w:p>
          <w:p w14:paraId="36EED795" w14:textId="427DF024" w:rsidR="002E5367" w:rsidRPr="00787138" w:rsidRDefault="00A13566" w:rsidP="00BF195C">
            <w:pPr>
              <w:tabs>
                <w:tab w:val="left" w:pos="851"/>
              </w:tabs>
              <w:autoSpaceDE w:val="0"/>
              <w:autoSpaceDN w:val="0"/>
              <w:adjustRightInd w:val="0"/>
              <w:rPr>
                <w:rFonts w:ascii="Georgia" w:hAnsi="Georgia" w:cs="Arial"/>
                <w:bCs/>
                <w:color w:val="244061" w:themeColor="accent1" w:themeShade="80"/>
                <w:sz w:val="28"/>
                <w:szCs w:val="28"/>
              </w:rPr>
            </w:pPr>
            <w:r w:rsidRPr="0018181F">
              <w:rPr>
                <w:rFonts w:ascii="Arial Narrow" w:hAnsi="Arial Narrow" w:cs="Arial"/>
                <w:bCs/>
                <w:color w:val="1F497D" w:themeColor="text2"/>
                <w:sz w:val="22"/>
              </w:rPr>
              <w:t>Seguono i cittadini di Perù e Pakistan</w:t>
            </w:r>
          </w:p>
        </w:tc>
      </w:tr>
      <w:tr w:rsidR="004071A4" w14:paraId="32E6A2CF" w14:textId="77777777" w:rsidTr="001511FA">
        <w:trPr>
          <w:trHeight w:hRule="exact" w:val="56"/>
        </w:trPr>
        <w:tc>
          <w:tcPr>
            <w:tcW w:w="12228" w:type="dxa"/>
            <w:gridSpan w:val="3"/>
            <w:tcBorders>
              <w:bottom w:val="nil"/>
            </w:tcBorders>
            <w:shd w:val="clear" w:color="auto" w:fill="D9D9D9" w:themeFill="background1" w:themeFillShade="D9"/>
          </w:tcPr>
          <w:p w14:paraId="0E2B6C4E" w14:textId="77777777" w:rsidR="004071A4" w:rsidRPr="000467F2" w:rsidRDefault="004071A4" w:rsidP="004071A4">
            <w:pPr>
              <w:tabs>
                <w:tab w:val="left" w:pos="8441"/>
              </w:tabs>
              <w:ind w:left="797"/>
              <w:rPr>
                <w:rFonts w:ascii="Georgia" w:hAnsi="Georgia" w:cs="Arial"/>
                <w:sz w:val="16"/>
                <w:szCs w:val="16"/>
              </w:rPr>
            </w:pPr>
          </w:p>
        </w:tc>
      </w:tr>
    </w:tbl>
    <w:p w14:paraId="03413CE6" w14:textId="65D69660" w:rsidR="00446AF4" w:rsidRPr="008A1851" w:rsidRDefault="00662883" w:rsidP="006667EC">
      <w:pPr>
        <w:spacing w:after="120"/>
        <w:rPr>
          <w:rFonts w:ascii="Arial" w:hAnsi="Arial" w:cs="Arial"/>
          <w:b/>
          <w:color w:val="1F497D" w:themeColor="text2"/>
          <w:szCs w:val="26"/>
        </w:rPr>
      </w:pPr>
      <w:r>
        <w:rPr>
          <w:rFonts w:ascii="Arial" w:hAnsi="Arial" w:cs="Arial"/>
          <w:b/>
          <w:color w:val="1F497D" w:themeColor="text2"/>
          <w:szCs w:val="26"/>
        </w:rPr>
        <w:lastRenderedPageBreak/>
        <w:t>Diminuisc</w:t>
      </w:r>
      <w:r w:rsidR="00351D85">
        <w:rPr>
          <w:rFonts w:ascii="Arial" w:hAnsi="Arial" w:cs="Arial"/>
          <w:b/>
          <w:color w:val="1F497D" w:themeColor="text2"/>
          <w:szCs w:val="26"/>
        </w:rPr>
        <w:t xml:space="preserve">ono i </w:t>
      </w:r>
      <w:r w:rsidR="004A285B" w:rsidRPr="008A1851">
        <w:rPr>
          <w:rFonts w:ascii="Arial" w:hAnsi="Arial" w:cs="Arial"/>
          <w:b/>
          <w:color w:val="1F497D" w:themeColor="text2"/>
          <w:szCs w:val="26"/>
        </w:rPr>
        <w:t xml:space="preserve">nuovi permessi di soggiorno </w:t>
      </w:r>
      <w:r w:rsidR="00351D85">
        <w:rPr>
          <w:rFonts w:ascii="Arial" w:hAnsi="Arial" w:cs="Arial"/>
          <w:b/>
          <w:color w:val="1F497D" w:themeColor="text2"/>
          <w:szCs w:val="26"/>
        </w:rPr>
        <w:t xml:space="preserve">rilasciati </w:t>
      </w:r>
      <w:r w:rsidR="004A285B" w:rsidRPr="008A1851">
        <w:rPr>
          <w:rFonts w:ascii="Arial" w:hAnsi="Arial" w:cs="Arial"/>
          <w:b/>
          <w:color w:val="1F497D" w:themeColor="text2"/>
          <w:szCs w:val="26"/>
        </w:rPr>
        <w:t>rispetto al 2023</w:t>
      </w:r>
    </w:p>
    <w:p w14:paraId="5567EE6B" w14:textId="6F21E770" w:rsidR="00104C97" w:rsidRPr="00104C97" w:rsidRDefault="005279C8" w:rsidP="00A13566">
      <w:pPr>
        <w:autoSpaceDE w:val="0"/>
        <w:autoSpaceDN w:val="0"/>
        <w:adjustRightInd w:val="0"/>
        <w:spacing w:after="120"/>
        <w:jc w:val="both"/>
        <w:rPr>
          <w:rFonts w:ascii="Arial" w:hAnsi="Arial" w:cs="Arial"/>
          <w:sz w:val="22"/>
          <w:szCs w:val="22"/>
        </w:rPr>
      </w:pPr>
      <w:r>
        <w:rPr>
          <w:rFonts w:ascii="Arial" w:hAnsi="Arial" w:cs="Arial"/>
          <w:sz w:val="22"/>
          <w:szCs w:val="22"/>
        </w:rPr>
        <w:t xml:space="preserve">Nel 2024 i rilasci di nuovi permessi di soggiorno </w:t>
      </w:r>
      <w:r w:rsidR="00104C97" w:rsidRPr="00104C97">
        <w:rPr>
          <w:rFonts w:ascii="Arial" w:hAnsi="Arial" w:cs="Arial"/>
          <w:sz w:val="22"/>
          <w:szCs w:val="22"/>
        </w:rPr>
        <w:t>sono 290.119</w:t>
      </w:r>
      <w:r>
        <w:rPr>
          <w:rFonts w:ascii="Arial" w:hAnsi="Arial" w:cs="Arial"/>
          <w:sz w:val="22"/>
          <w:szCs w:val="22"/>
        </w:rPr>
        <w:t>,</w:t>
      </w:r>
      <w:r w:rsidR="00104C97" w:rsidRPr="00104C97">
        <w:rPr>
          <w:rFonts w:ascii="Arial" w:hAnsi="Arial" w:cs="Arial"/>
          <w:sz w:val="22"/>
          <w:szCs w:val="22"/>
        </w:rPr>
        <w:t xml:space="preserve"> con una flessione</w:t>
      </w:r>
      <w:r>
        <w:rPr>
          <w:rFonts w:ascii="Arial" w:hAnsi="Arial" w:cs="Arial"/>
          <w:sz w:val="22"/>
          <w:szCs w:val="22"/>
        </w:rPr>
        <w:t xml:space="preserve"> del 12,3% rispetto al 2023</w:t>
      </w:r>
      <w:r w:rsidR="00662883">
        <w:rPr>
          <w:rFonts w:ascii="Arial" w:hAnsi="Arial" w:cs="Arial"/>
          <w:sz w:val="22"/>
          <w:szCs w:val="22"/>
        </w:rPr>
        <w:t>. L</w:t>
      </w:r>
      <w:r w:rsidR="00104C97" w:rsidRPr="00104C97">
        <w:rPr>
          <w:rFonts w:ascii="Arial" w:hAnsi="Arial" w:cs="Arial"/>
          <w:sz w:val="22"/>
          <w:szCs w:val="22"/>
        </w:rPr>
        <w:t>a diminuzione riguarda tutte le motivazioni</w:t>
      </w:r>
      <w:r>
        <w:rPr>
          <w:rFonts w:ascii="Arial" w:hAnsi="Arial" w:cs="Arial"/>
          <w:sz w:val="22"/>
          <w:szCs w:val="22"/>
        </w:rPr>
        <w:t xml:space="preserve"> di ingresso, con l’eccezione de</w:t>
      </w:r>
      <w:r w:rsidR="00943566">
        <w:rPr>
          <w:rFonts w:ascii="Arial" w:hAnsi="Arial" w:cs="Arial"/>
          <w:sz w:val="22"/>
          <w:szCs w:val="22"/>
        </w:rPr>
        <w:t>i nuovi permessi per</w:t>
      </w:r>
      <w:r>
        <w:rPr>
          <w:rFonts w:ascii="Arial" w:hAnsi="Arial" w:cs="Arial"/>
          <w:sz w:val="22"/>
          <w:szCs w:val="22"/>
        </w:rPr>
        <w:t xml:space="preserve"> lavoro </w:t>
      </w:r>
      <w:r w:rsidR="00241950">
        <w:rPr>
          <w:rFonts w:ascii="Arial" w:hAnsi="Arial" w:cs="Arial"/>
          <w:sz w:val="22"/>
          <w:szCs w:val="22"/>
        </w:rPr>
        <w:t xml:space="preserve">che </w:t>
      </w:r>
      <w:r>
        <w:rPr>
          <w:rFonts w:ascii="Arial" w:hAnsi="Arial" w:cs="Arial"/>
          <w:sz w:val="22"/>
          <w:szCs w:val="22"/>
        </w:rPr>
        <w:t>registra</w:t>
      </w:r>
      <w:r w:rsidR="00662883">
        <w:rPr>
          <w:rFonts w:ascii="Arial" w:hAnsi="Arial" w:cs="Arial"/>
          <w:sz w:val="22"/>
          <w:szCs w:val="22"/>
        </w:rPr>
        <w:t>no</w:t>
      </w:r>
      <w:r w:rsidR="00104C97" w:rsidRPr="00104C97">
        <w:rPr>
          <w:rFonts w:ascii="Arial" w:hAnsi="Arial" w:cs="Arial"/>
          <w:sz w:val="22"/>
          <w:szCs w:val="22"/>
        </w:rPr>
        <w:t xml:space="preserve"> un incremento del 3,8% rispetto all’anno precedente. Le diminuzioni più importanti riguarda</w:t>
      </w:r>
      <w:r w:rsidR="00662883">
        <w:rPr>
          <w:rFonts w:ascii="Arial" w:hAnsi="Arial" w:cs="Arial"/>
          <w:sz w:val="22"/>
          <w:szCs w:val="22"/>
        </w:rPr>
        <w:t>n</w:t>
      </w:r>
      <w:r w:rsidR="00104C97" w:rsidRPr="00104C97">
        <w:rPr>
          <w:rFonts w:ascii="Arial" w:hAnsi="Arial" w:cs="Arial"/>
          <w:sz w:val="22"/>
          <w:szCs w:val="22"/>
        </w:rPr>
        <w:t xml:space="preserve">o i nuovi permessi rilasciati per studio </w:t>
      </w:r>
      <w:r w:rsidR="007F0C5F">
        <w:rPr>
          <w:rFonts w:ascii="Arial" w:hAnsi="Arial" w:cs="Arial"/>
          <w:sz w:val="22"/>
          <w:szCs w:val="22"/>
        </w:rPr>
        <w:t>(</w:t>
      </w:r>
      <w:r w:rsidR="00104C97" w:rsidRPr="00104C97">
        <w:rPr>
          <w:rFonts w:ascii="Arial" w:hAnsi="Arial" w:cs="Arial"/>
          <w:sz w:val="22"/>
          <w:szCs w:val="22"/>
        </w:rPr>
        <w:t>-26</w:t>
      </w:r>
      <w:r w:rsidR="001C033A">
        <w:rPr>
          <w:rFonts w:ascii="Arial" w:hAnsi="Arial" w:cs="Arial"/>
          <w:sz w:val="22"/>
          <w:szCs w:val="22"/>
        </w:rPr>
        <w:t>,7</w:t>
      </w:r>
      <w:r w:rsidR="00104C97" w:rsidRPr="00104C97">
        <w:rPr>
          <w:rFonts w:ascii="Arial" w:hAnsi="Arial" w:cs="Arial"/>
          <w:sz w:val="22"/>
          <w:szCs w:val="22"/>
        </w:rPr>
        <w:t>%</w:t>
      </w:r>
      <w:r w:rsidR="007F0C5F">
        <w:rPr>
          <w:rFonts w:ascii="Arial" w:hAnsi="Arial" w:cs="Arial"/>
          <w:sz w:val="22"/>
          <w:szCs w:val="22"/>
        </w:rPr>
        <w:t>)</w:t>
      </w:r>
      <w:r w:rsidR="00104C97" w:rsidRPr="00104C97">
        <w:rPr>
          <w:rFonts w:ascii="Arial" w:hAnsi="Arial" w:cs="Arial"/>
          <w:sz w:val="22"/>
          <w:szCs w:val="22"/>
        </w:rPr>
        <w:t xml:space="preserve"> e i permessi per famiglia </w:t>
      </w:r>
      <w:r w:rsidR="00B4122B">
        <w:rPr>
          <w:rFonts w:ascii="Arial" w:hAnsi="Arial" w:cs="Arial"/>
          <w:sz w:val="22"/>
          <w:szCs w:val="22"/>
        </w:rPr>
        <w:t>(-</w:t>
      </w:r>
      <w:r w:rsidR="00104C97" w:rsidRPr="00104C97">
        <w:rPr>
          <w:rFonts w:ascii="Arial" w:hAnsi="Arial" w:cs="Arial"/>
          <w:sz w:val="22"/>
          <w:szCs w:val="22"/>
        </w:rPr>
        <w:t>18</w:t>
      </w:r>
      <w:r w:rsidR="001C033A">
        <w:rPr>
          <w:rFonts w:ascii="Arial" w:hAnsi="Arial" w:cs="Arial"/>
          <w:sz w:val="22"/>
          <w:szCs w:val="22"/>
        </w:rPr>
        <w:t>,8</w:t>
      </w:r>
      <w:r w:rsidR="00104C97" w:rsidRPr="00104C97">
        <w:rPr>
          <w:rFonts w:ascii="Arial" w:hAnsi="Arial" w:cs="Arial"/>
          <w:sz w:val="22"/>
          <w:szCs w:val="22"/>
        </w:rPr>
        <w:t>%</w:t>
      </w:r>
      <w:r w:rsidR="00B4122B">
        <w:rPr>
          <w:rFonts w:ascii="Arial" w:hAnsi="Arial" w:cs="Arial"/>
          <w:sz w:val="22"/>
          <w:szCs w:val="22"/>
        </w:rPr>
        <w:t>)</w:t>
      </w:r>
      <w:r w:rsidR="00104C97" w:rsidRPr="00104C97">
        <w:rPr>
          <w:rFonts w:ascii="Arial" w:hAnsi="Arial" w:cs="Arial"/>
          <w:sz w:val="22"/>
          <w:szCs w:val="22"/>
        </w:rPr>
        <w:t xml:space="preserve">. </w:t>
      </w:r>
      <w:r>
        <w:rPr>
          <w:rFonts w:ascii="Arial" w:hAnsi="Arial" w:cs="Arial"/>
          <w:sz w:val="22"/>
          <w:szCs w:val="22"/>
        </w:rPr>
        <w:t xml:space="preserve">La contrazione dei </w:t>
      </w:r>
      <w:r w:rsidR="00D86322">
        <w:rPr>
          <w:rFonts w:ascii="Arial" w:hAnsi="Arial" w:cs="Arial"/>
          <w:sz w:val="22"/>
          <w:szCs w:val="22"/>
        </w:rPr>
        <w:t xml:space="preserve">rilasci per ricongiungimento familiare </w:t>
      </w:r>
      <w:r w:rsidR="00104C97" w:rsidRPr="00104C97">
        <w:rPr>
          <w:rFonts w:ascii="Arial" w:hAnsi="Arial" w:cs="Arial"/>
          <w:sz w:val="22"/>
          <w:szCs w:val="22"/>
        </w:rPr>
        <w:t>porta nel 2024 il numero di ingressi per questa motivazione molto vicino a quello dei nuovi permessi per richiesta di protezione</w:t>
      </w:r>
      <w:r w:rsidR="00CF3CCB">
        <w:rPr>
          <w:rFonts w:ascii="Arial" w:hAnsi="Arial" w:cs="Arial"/>
          <w:sz w:val="22"/>
          <w:szCs w:val="22"/>
        </w:rPr>
        <w:t>,</w:t>
      </w:r>
      <w:r w:rsidR="00104C97" w:rsidRPr="00104C97">
        <w:rPr>
          <w:rFonts w:ascii="Arial" w:hAnsi="Arial" w:cs="Arial"/>
          <w:sz w:val="22"/>
          <w:szCs w:val="22"/>
        </w:rPr>
        <w:t xml:space="preserve"> che </w:t>
      </w:r>
      <w:r w:rsidR="00662883">
        <w:rPr>
          <w:rFonts w:ascii="Arial" w:hAnsi="Arial" w:cs="Arial"/>
          <w:sz w:val="22"/>
          <w:szCs w:val="22"/>
        </w:rPr>
        <w:t>registrano</w:t>
      </w:r>
      <w:r>
        <w:rPr>
          <w:rFonts w:ascii="Arial" w:hAnsi="Arial" w:cs="Arial"/>
          <w:sz w:val="22"/>
          <w:szCs w:val="22"/>
        </w:rPr>
        <w:t xml:space="preserve"> </w:t>
      </w:r>
      <w:r w:rsidR="00104C97" w:rsidRPr="00104C97">
        <w:rPr>
          <w:rFonts w:ascii="Arial" w:hAnsi="Arial" w:cs="Arial"/>
          <w:sz w:val="22"/>
          <w:szCs w:val="22"/>
        </w:rPr>
        <w:t>un decremento più contenuto (-2</w:t>
      </w:r>
      <w:r w:rsidR="001C033A">
        <w:rPr>
          <w:rFonts w:ascii="Arial" w:hAnsi="Arial" w:cs="Arial"/>
          <w:sz w:val="22"/>
          <w:szCs w:val="22"/>
        </w:rPr>
        <w:t>,0</w:t>
      </w:r>
      <w:r w:rsidR="00104C97" w:rsidRPr="00104C97">
        <w:rPr>
          <w:rFonts w:ascii="Arial" w:hAnsi="Arial" w:cs="Arial"/>
          <w:sz w:val="22"/>
          <w:szCs w:val="22"/>
        </w:rPr>
        <w:t>%).</w:t>
      </w:r>
    </w:p>
    <w:p w14:paraId="43EB4FC4" w14:textId="3F77DBD2" w:rsidR="009955BE" w:rsidRPr="00104C97" w:rsidRDefault="009955BE" w:rsidP="00A13566">
      <w:pPr>
        <w:autoSpaceDE w:val="0"/>
        <w:autoSpaceDN w:val="0"/>
        <w:adjustRightInd w:val="0"/>
        <w:spacing w:after="120"/>
        <w:jc w:val="both"/>
        <w:rPr>
          <w:rFonts w:ascii="Arial" w:hAnsi="Arial" w:cs="Arial"/>
          <w:sz w:val="22"/>
          <w:szCs w:val="22"/>
        </w:rPr>
      </w:pPr>
      <w:r w:rsidRPr="00104C97">
        <w:rPr>
          <w:rFonts w:ascii="Arial" w:hAnsi="Arial" w:cs="Arial"/>
          <w:sz w:val="22"/>
          <w:szCs w:val="22"/>
        </w:rPr>
        <w:t xml:space="preserve">La diminuzione </w:t>
      </w:r>
      <w:r>
        <w:rPr>
          <w:rFonts w:ascii="Arial" w:hAnsi="Arial" w:cs="Arial"/>
          <w:sz w:val="22"/>
          <w:szCs w:val="22"/>
        </w:rPr>
        <w:t xml:space="preserve">degli arrivi nel 2024 </w:t>
      </w:r>
      <w:r w:rsidR="00B971A2">
        <w:rPr>
          <w:rFonts w:ascii="Arial" w:hAnsi="Arial" w:cs="Arial"/>
          <w:sz w:val="22"/>
          <w:szCs w:val="22"/>
        </w:rPr>
        <w:t>interessa</w:t>
      </w:r>
      <w:r w:rsidRPr="00104C97">
        <w:rPr>
          <w:rFonts w:ascii="Arial" w:hAnsi="Arial" w:cs="Arial"/>
          <w:sz w:val="22"/>
          <w:szCs w:val="22"/>
        </w:rPr>
        <w:t xml:space="preserve"> soprattutto la componente femminile</w:t>
      </w:r>
      <w:r w:rsidR="00B971A2">
        <w:rPr>
          <w:rFonts w:ascii="Arial" w:hAnsi="Arial" w:cs="Arial"/>
          <w:sz w:val="22"/>
          <w:szCs w:val="22"/>
        </w:rPr>
        <w:t xml:space="preserve"> (-</w:t>
      </w:r>
      <w:r w:rsidRPr="00104C97">
        <w:rPr>
          <w:rFonts w:ascii="Arial" w:hAnsi="Arial" w:cs="Arial"/>
          <w:sz w:val="22"/>
          <w:szCs w:val="22"/>
        </w:rPr>
        <w:t>20,8</w:t>
      </w:r>
      <w:r>
        <w:rPr>
          <w:rFonts w:ascii="Arial" w:hAnsi="Arial" w:cs="Arial"/>
          <w:sz w:val="22"/>
          <w:szCs w:val="22"/>
        </w:rPr>
        <w:t>% rispetto all’anno precedente</w:t>
      </w:r>
      <w:r w:rsidR="00B971A2">
        <w:rPr>
          <w:rFonts w:ascii="Arial" w:hAnsi="Arial" w:cs="Arial"/>
          <w:sz w:val="22"/>
          <w:szCs w:val="22"/>
        </w:rPr>
        <w:t xml:space="preserve">; </w:t>
      </w:r>
      <w:r w:rsidR="00153BB8">
        <w:rPr>
          <w:rFonts w:ascii="Arial" w:hAnsi="Arial" w:cs="Arial"/>
          <w:sz w:val="22"/>
          <w:szCs w:val="22"/>
        </w:rPr>
        <w:t>28.384</w:t>
      </w:r>
      <w:r w:rsidRPr="00104C97">
        <w:rPr>
          <w:rFonts w:ascii="Arial" w:hAnsi="Arial" w:cs="Arial"/>
          <w:sz w:val="22"/>
          <w:szCs w:val="22"/>
        </w:rPr>
        <w:t xml:space="preserve"> permessi</w:t>
      </w:r>
      <w:r>
        <w:rPr>
          <w:rFonts w:ascii="Arial" w:hAnsi="Arial" w:cs="Arial"/>
          <w:sz w:val="22"/>
          <w:szCs w:val="22"/>
        </w:rPr>
        <w:t xml:space="preserve"> in meno)</w:t>
      </w:r>
      <w:r w:rsidR="0062462F">
        <w:rPr>
          <w:rFonts w:ascii="Arial" w:hAnsi="Arial" w:cs="Arial"/>
          <w:sz w:val="22"/>
          <w:szCs w:val="22"/>
        </w:rPr>
        <w:t xml:space="preserve"> </w:t>
      </w:r>
      <w:r w:rsidR="00B971A2">
        <w:rPr>
          <w:rFonts w:ascii="Arial" w:hAnsi="Arial" w:cs="Arial"/>
          <w:sz w:val="22"/>
          <w:szCs w:val="22"/>
        </w:rPr>
        <w:t xml:space="preserve">ed è dovuta </w:t>
      </w:r>
      <w:r w:rsidR="0062462F">
        <w:rPr>
          <w:rFonts w:ascii="Arial" w:hAnsi="Arial" w:cs="Arial"/>
          <w:sz w:val="22"/>
          <w:szCs w:val="22"/>
        </w:rPr>
        <w:t>in larga misura al calo di ingressi dall’Ucraina</w:t>
      </w:r>
      <w:r>
        <w:rPr>
          <w:rFonts w:ascii="Arial" w:hAnsi="Arial" w:cs="Arial"/>
          <w:sz w:val="22"/>
          <w:szCs w:val="22"/>
        </w:rPr>
        <w:t>;</w:t>
      </w:r>
      <w:r w:rsidRPr="00104C97">
        <w:rPr>
          <w:rFonts w:ascii="Arial" w:hAnsi="Arial" w:cs="Arial"/>
          <w:sz w:val="22"/>
          <w:szCs w:val="22"/>
        </w:rPr>
        <w:t xml:space="preserve"> per gli uomini </w:t>
      </w:r>
      <w:r>
        <w:rPr>
          <w:rFonts w:ascii="Arial" w:hAnsi="Arial" w:cs="Arial"/>
          <w:sz w:val="22"/>
          <w:szCs w:val="22"/>
        </w:rPr>
        <w:t xml:space="preserve">invece </w:t>
      </w:r>
      <w:r w:rsidRPr="00104C97">
        <w:rPr>
          <w:rFonts w:ascii="Arial" w:hAnsi="Arial" w:cs="Arial"/>
          <w:sz w:val="22"/>
          <w:szCs w:val="22"/>
        </w:rPr>
        <w:t xml:space="preserve">la contrazione è del 6,3%. </w:t>
      </w:r>
    </w:p>
    <w:p w14:paraId="0F325EA2" w14:textId="1FB9013F" w:rsidR="00104C97" w:rsidRPr="00104C97" w:rsidRDefault="00104C97" w:rsidP="00A13566">
      <w:pPr>
        <w:autoSpaceDE w:val="0"/>
        <w:autoSpaceDN w:val="0"/>
        <w:adjustRightInd w:val="0"/>
        <w:spacing w:after="120"/>
        <w:jc w:val="both"/>
        <w:rPr>
          <w:rFonts w:ascii="Arial" w:hAnsi="Arial" w:cs="Arial"/>
          <w:sz w:val="22"/>
          <w:szCs w:val="22"/>
        </w:rPr>
      </w:pPr>
      <w:r w:rsidRPr="00104C97">
        <w:rPr>
          <w:rFonts w:ascii="Arial" w:hAnsi="Arial" w:cs="Arial"/>
          <w:sz w:val="22"/>
          <w:szCs w:val="22"/>
        </w:rPr>
        <w:t>I dati del 2024 evidenziano anche una rilevante novità in termini di cittadinanze in arrivo nel nostro Paese</w:t>
      </w:r>
      <w:r w:rsidR="005C338E">
        <w:rPr>
          <w:rFonts w:ascii="Arial" w:hAnsi="Arial" w:cs="Arial"/>
          <w:sz w:val="22"/>
          <w:szCs w:val="22"/>
        </w:rPr>
        <w:t>:</w:t>
      </w:r>
      <w:r w:rsidRPr="00104C97">
        <w:rPr>
          <w:rFonts w:ascii="Arial" w:hAnsi="Arial" w:cs="Arial"/>
          <w:sz w:val="22"/>
          <w:szCs w:val="22"/>
        </w:rPr>
        <w:t xml:space="preserve"> per la prima volta</w:t>
      </w:r>
      <w:r w:rsidR="00760785">
        <w:rPr>
          <w:rFonts w:ascii="Arial" w:hAnsi="Arial" w:cs="Arial"/>
          <w:sz w:val="22"/>
          <w:szCs w:val="22"/>
        </w:rPr>
        <w:t>,</w:t>
      </w:r>
      <w:r w:rsidRPr="00104C97">
        <w:rPr>
          <w:rFonts w:ascii="Arial" w:hAnsi="Arial" w:cs="Arial"/>
          <w:sz w:val="22"/>
          <w:szCs w:val="22"/>
        </w:rPr>
        <w:t xml:space="preserve"> infatti, nonostante un lieve decremento rispetto al 2023, in vetta alla graduatoria ci sono i cittadini del Bangladesh con 28.045 nuovi p</w:t>
      </w:r>
      <w:r w:rsidR="009955BE">
        <w:rPr>
          <w:rFonts w:ascii="Arial" w:hAnsi="Arial" w:cs="Arial"/>
          <w:sz w:val="22"/>
          <w:szCs w:val="22"/>
        </w:rPr>
        <w:t>ermessi (9,7% dei primi rilasci</w:t>
      </w:r>
      <w:r w:rsidRPr="00104C97">
        <w:rPr>
          <w:rFonts w:ascii="Arial" w:hAnsi="Arial" w:cs="Arial"/>
          <w:sz w:val="22"/>
          <w:szCs w:val="22"/>
        </w:rPr>
        <w:t>). Seguono i marocchini che, nonostante una lieve crescita, si fermano a 25.776 nuovi ingressi (8,9% del totale). Al terzo posto si collocano gli albanesi con un numero di nuovi ingressi molto inferiore a quello registrato nel 2023</w:t>
      </w:r>
      <w:r w:rsidR="00B971A2">
        <w:rPr>
          <w:rFonts w:ascii="Arial" w:hAnsi="Arial" w:cs="Arial"/>
          <w:sz w:val="22"/>
          <w:szCs w:val="22"/>
        </w:rPr>
        <w:t xml:space="preserve"> </w:t>
      </w:r>
      <w:r w:rsidR="00FD7E9F">
        <w:rPr>
          <w:rFonts w:ascii="Arial" w:hAnsi="Arial" w:cs="Arial"/>
          <w:sz w:val="22"/>
          <w:szCs w:val="22"/>
        </w:rPr>
        <w:br/>
      </w:r>
      <w:r w:rsidR="00B971A2">
        <w:rPr>
          <w:rFonts w:ascii="Arial" w:hAnsi="Arial" w:cs="Arial"/>
          <w:sz w:val="22"/>
          <w:szCs w:val="22"/>
        </w:rPr>
        <w:t>(</w:t>
      </w:r>
      <w:r w:rsidRPr="00104C97">
        <w:rPr>
          <w:rFonts w:ascii="Arial" w:hAnsi="Arial" w:cs="Arial"/>
          <w:sz w:val="22"/>
          <w:szCs w:val="22"/>
        </w:rPr>
        <w:t>-26</w:t>
      </w:r>
      <w:r w:rsidR="009955BE">
        <w:rPr>
          <w:rFonts w:ascii="Arial" w:hAnsi="Arial" w:cs="Arial"/>
          <w:sz w:val="22"/>
          <w:szCs w:val="22"/>
        </w:rPr>
        <w:t>,0</w:t>
      </w:r>
      <w:r w:rsidRPr="00104C97">
        <w:rPr>
          <w:rFonts w:ascii="Arial" w:hAnsi="Arial" w:cs="Arial"/>
          <w:sz w:val="22"/>
          <w:szCs w:val="22"/>
        </w:rPr>
        <w:t>%</w:t>
      </w:r>
      <w:r w:rsidR="00B971A2">
        <w:rPr>
          <w:rFonts w:ascii="Arial" w:hAnsi="Arial" w:cs="Arial"/>
          <w:sz w:val="22"/>
          <w:szCs w:val="22"/>
        </w:rPr>
        <w:t>)</w:t>
      </w:r>
      <w:r w:rsidRPr="00104C97">
        <w:rPr>
          <w:rFonts w:ascii="Arial" w:hAnsi="Arial" w:cs="Arial"/>
          <w:sz w:val="22"/>
          <w:szCs w:val="22"/>
        </w:rPr>
        <w:t>. Crescono notevolmente gli ingressi di tunisini (+30,1) e peruviani (+25</w:t>
      </w:r>
      <w:r w:rsidR="003A05CF">
        <w:rPr>
          <w:rFonts w:ascii="Arial" w:hAnsi="Arial" w:cs="Arial"/>
          <w:sz w:val="22"/>
          <w:szCs w:val="22"/>
        </w:rPr>
        <w:t>,</w:t>
      </w:r>
      <w:r w:rsidRPr="00104C97">
        <w:rPr>
          <w:rFonts w:ascii="Arial" w:hAnsi="Arial" w:cs="Arial"/>
          <w:sz w:val="22"/>
          <w:szCs w:val="22"/>
        </w:rPr>
        <w:t>7)</w:t>
      </w:r>
      <w:r w:rsidR="005C338E">
        <w:rPr>
          <w:rFonts w:ascii="Arial" w:hAnsi="Arial" w:cs="Arial"/>
          <w:sz w:val="22"/>
          <w:szCs w:val="22"/>
        </w:rPr>
        <w:t>,</w:t>
      </w:r>
      <w:r w:rsidRPr="00104C97">
        <w:rPr>
          <w:rFonts w:ascii="Arial" w:hAnsi="Arial" w:cs="Arial"/>
          <w:sz w:val="22"/>
          <w:szCs w:val="22"/>
        </w:rPr>
        <w:t xml:space="preserve"> </w:t>
      </w:r>
      <w:r w:rsidR="005C338E">
        <w:rPr>
          <w:rFonts w:ascii="Arial" w:hAnsi="Arial" w:cs="Arial"/>
          <w:sz w:val="22"/>
          <w:szCs w:val="22"/>
        </w:rPr>
        <w:t>m</w:t>
      </w:r>
      <w:r w:rsidRPr="00104C97">
        <w:rPr>
          <w:rFonts w:ascii="Arial" w:hAnsi="Arial" w:cs="Arial"/>
          <w:sz w:val="22"/>
          <w:szCs w:val="22"/>
        </w:rPr>
        <w:t>entre continua la riduzione degli arrivi dall’Ucraina (-54,2%).</w:t>
      </w:r>
    </w:p>
    <w:p w14:paraId="57B475F6" w14:textId="5B6CC7C3" w:rsidR="00E7157F" w:rsidRDefault="006E5B43" w:rsidP="00A13566">
      <w:pPr>
        <w:autoSpaceDE w:val="0"/>
        <w:autoSpaceDN w:val="0"/>
        <w:adjustRightInd w:val="0"/>
        <w:spacing w:after="120"/>
        <w:jc w:val="both"/>
        <w:rPr>
          <w:rFonts w:ascii="Arial" w:hAnsi="Arial" w:cs="Arial"/>
          <w:sz w:val="22"/>
          <w:szCs w:val="22"/>
        </w:rPr>
      </w:pPr>
      <w:r>
        <w:rPr>
          <w:rFonts w:ascii="Arial" w:hAnsi="Arial" w:cs="Arial"/>
          <w:sz w:val="22"/>
          <w:szCs w:val="22"/>
        </w:rPr>
        <w:t xml:space="preserve">Il </w:t>
      </w:r>
      <w:r w:rsidR="00153BB8">
        <w:rPr>
          <w:rFonts w:ascii="Arial" w:hAnsi="Arial" w:cs="Arial"/>
          <w:sz w:val="22"/>
          <w:szCs w:val="22"/>
        </w:rPr>
        <w:t>20,9</w:t>
      </w:r>
      <w:r>
        <w:rPr>
          <w:rFonts w:ascii="Arial" w:hAnsi="Arial" w:cs="Arial"/>
          <w:sz w:val="22"/>
          <w:szCs w:val="22"/>
        </w:rPr>
        <w:t>% dei nuovi permessi nel 2024 è rilasciato in Lombardia (60.738)</w:t>
      </w:r>
      <w:r w:rsidR="005C338E">
        <w:rPr>
          <w:rFonts w:ascii="Arial" w:hAnsi="Arial" w:cs="Arial"/>
          <w:sz w:val="22"/>
          <w:szCs w:val="22"/>
        </w:rPr>
        <w:t>,</w:t>
      </w:r>
      <w:r>
        <w:rPr>
          <w:rFonts w:ascii="Arial" w:hAnsi="Arial" w:cs="Arial"/>
          <w:sz w:val="22"/>
          <w:szCs w:val="22"/>
        </w:rPr>
        <w:t xml:space="preserve"> la seconda regione per numero di nuovi ingressi è</w:t>
      </w:r>
      <w:r w:rsidR="00EE3A13">
        <w:rPr>
          <w:rFonts w:ascii="Arial" w:hAnsi="Arial" w:cs="Arial"/>
          <w:sz w:val="22"/>
          <w:szCs w:val="22"/>
        </w:rPr>
        <w:t>,</w:t>
      </w:r>
      <w:r>
        <w:rPr>
          <w:rFonts w:ascii="Arial" w:hAnsi="Arial" w:cs="Arial"/>
          <w:sz w:val="22"/>
          <w:szCs w:val="22"/>
        </w:rPr>
        <w:t xml:space="preserve"> a distanza</w:t>
      </w:r>
      <w:r w:rsidR="00EE3A13">
        <w:rPr>
          <w:rFonts w:ascii="Arial" w:hAnsi="Arial" w:cs="Arial"/>
          <w:sz w:val="22"/>
          <w:szCs w:val="22"/>
        </w:rPr>
        <w:t>,</w:t>
      </w:r>
      <w:r>
        <w:rPr>
          <w:rFonts w:ascii="Arial" w:hAnsi="Arial" w:cs="Arial"/>
          <w:sz w:val="22"/>
          <w:szCs w:val="22"/>
        </w:rPr>
        <w:t xml:space="preserve"> </w:t>
      </w:r>
      <w:r w:rsidR="007F39F6">
        <w:rPr>
          <w:rFonts w:ascii="Arial" w:hAnsi="Arial" w:cs="Arial"/>
          <w:sz w:val="22"/>
          <w:szCs w:val="22"/>
        </w:rPr>
        <w:t>l’Emilia-</w:t>
      </w:r>
      <w:r>
        <w:rPr>
          <w:rFonts w:ascii="Arial" w:hAnsi="Arial" w:cs="Arial"/>
          <w:sz w:val="22"/>
          <w:szCs w:val="22"/>
        </w:rPr>
        <w:t xml:space="preserve">Romagna (9,5%, </w:t>
      </w:r>
      <w:r w:rsidRPr="006E5B43">
        <w:rPr>
          <w:rFonts w:ascii="Arial" w:hAnsi="Arial" w:cs="Arial"/>
          <w:sz w:val="22"/>
          <w:szCs w:val="22"/>
        </w:rPr>
        <w:t>27</w:t>
      </w:r>
      <w:r>
        <w:rPr>
          <w:rFonts w:ascii="Arial" w:hAnsi="Arial" w:cs="Arial"/>
          <w:sz w:val="22"/>
          <w:szCs w:val="22"/>
        </w:rPr>
        <w:t>.</w:t>
      </w:r>
      <w:r w:rsidRPr="006E5B43">
        <w:rPr>
          <w:rFonts w:ascii="Arial" w:hAnsi="Arial" w:cs="Arial"/>
          <w:sz w:val="22"/>
          <w:szCs w:val="22"/>
        </w:rPr>
        <w:t>584</w:t>
      </w:r>
      <w:r>
        <w:rPr>
          <w:rFonts w:ascii="Arial" w:hAnsi="Arial" w:cs="Arial"/>
          <w:sz w:val="22"/>
          <w:szCs w:val="22"/>
        </w:rPr>
        <w:t xml:space="preserve"> documenti)</w:t>
      </w:r>
      <w:r w:rsidR="00C24EAF">
        <w:rPr>
          <w:rFonts w:ascii="Arial" w:hAnsi="Arial" w:cs="Arial"/>
          <w:sz w:val="22"/>
          <w:szCs w:val="22"/>
        </w:rPr>
        <w:t>.</w:t>
      </w:r>
    </w:p>
    <w:p w14:paraId="5FEB8EBD" w14:textId="77777777" w:rsidR="008429C2" w:rsidRPr="00671DB9" w:rsidRDefault="008429C2" w:rsidP="00A13566">
      <w:pPr>
        <w:autoSpaceDE w:val="0"/>
        <w:autoSpaceDN w:val="0"/>
        <w:adjustRightInd w:val="0"/>
        <w:spacing w:after="120"/>
        <w:jc w:val="both"/>
        <w:rPr>
          <w:rFonts w:ascii="Arial" w:hAnsi="Arial" w:cs="Arial"/>
          <w:b/>
          <w:bCs/>
        </w:rPr>
      </w:pPr>
    </w:p>
    <w:p w14:paraId="56211D79" w14:textId="77777777" w:rsidR="00104C97" w:rsidRPr="00A13566" w:rsidRDefault="00104C97" w:rsidP="006667EC">
      <w:pPr>
        <w:spacing w:after="120"/>
        <w:rPr>
          <w:rFonts w:ascii="Arial" w:hAnsi="Arial" w:cs="Arial"/>
          <w:b/>
          <w:color w:val="1F497D" w:themeColor="text2"/>
          <w:szCs w:val="26"/>
        </w:rPr>
      </w:pPr>
      <w:r w:rsidRPr="00A13566">
        <w:rPr>
          <w:rFonts w:ascii="Arial" w:hAnsi="Arial" w:cs="Arial"/>
          <w:b/>
          <w:color w:val="1F497D" w:themeColor="text2"/>
          <w:szCs w:val="26"/>
        </w:rPr>
        <w:t>Aumentano i permessi per lavoro ma non per le donne</w:t>
      </w:r>
    </w:p>
    <w:p w14:paraId="4F7481A6" w14:textId="092F0649" w:rsidR="00104C97" w:rsidRPr="00104C97" w:rsidRDefault="00104C97">
      <w:pPr>
        <w:spacing w:after="120"/>
        <w:jc w:val="both"/>
        <w:rPr>
          <w:rFonts w:ascii="Arial" w:hAnsi="Arial" w:cs="Arial"/>
          <w:sz w:val="22"/>
          <w:szCs w:val="22"/>
        </w:rPr>
      </w:pPr>
      <w:r w:rsidRPr="00104C97">
        <w:rPr>
          <w:rFonts w:ascii="Arial" w:hAnsi="Arial" w:cs="Arial"/>
          <w:sz w:val="22"/>
          <w:szCs w:val="22"/>
        </w:rPr>
        <w:t xml:space="preserve">In generale nel 2024 si rileva, anche in corrispondenza della ripresa </w:t>
      </w:r>
      <w:r w:rsidR="00241950">
        <w:rPr>
          <w:rFonts w:ascii="Arial" w:hAnsi="Arial" w:cs="Arial"/>
          <w:sz w:val="22"/>
          <w:szCs w:val="22"/>
        </w:rPr>
        <w:t xml:space="preserve">della </w:t>
      </w:r>
      <w:r w:rsidRPr="00104C97">
        <w:rPr>
          <w:rFonts w:ascii="Arial" w:hAnsi="Arial" w:cs="Arial"/>
          <w:sz w:val="22"/>
          <w:szCs w:val="22"/>
        </w:rPr>
        <w:t xml:space="preserve">programmazione dei flussi </w:t>
      </w:r>
      <w:r w:rsidR="00F77D08">
        <w:rPr>
          <w:rFonts w:ascii="Arial" w:hAnsi="Arial" w:cs="Arial"/>
          <w:sz w:val="22"/>
          <w:szCs w:val="22"/>
        </w:rPr>
        <w:t xml:space="preserve">di ingresso </w:t>
      </w:r>
      <w:r w:rsidRPr="00104C97">
        <w:rPr>
          <w:rFonts w:ascii="Arial" w:hAnsi="Arial" w:cs="Arial"/>
          <w:sz w:val="22"/>
          <w:szCs w:val="22"/>
        </w:rPr>
        <w:t>per lavoro, un incremento dei permessi rilasciati per questa motivazione</w:t>
      </w:r>
      <w:r w:rsidR="00F77D08">
        <w:rPr>
          <w:rFonts w:ascii="Arial" w:hAnsi="Arial" w:cs="Arial"/>
          <w:sz w:val="22"/>
          <w:szCs w:val="22"/>
        </w:rPr>
        <w:t xml:space="preserve"> (</w:t>
      </w:r>
      <w:r w:rsidRPr="00104C97">
        <w:rPr>
          <w:rFonts w:ascii="Arial" w:hAnsi="Arial" w:cs="Arial"/>
          <w:sz w:val="22"/>
          <w:szCs w:val="22"/>
        </w:rPr>
        <w:t>40.451</w:t>
      </w:r>
      <w:r w:rsidR="00F77D08">
        <w:rPr>
          <w:rFonts w:ascii="Arial" w:hAnsi="Arial" w:cs="Arial"/>
          <w:sz w:val="22"/>
          <w:szCs w:val="22"/>
        </w:rPr>
        <w:t xml:space="preserve">, </w:t>
      </w:r>
      <w:r w:rsidRPr="00104C97">
        <w:rPr>
          <w:rFonts w:ascii="Arial" w:hAnsi="Arial" w:cs="Arial"/>
          <w:sz w:val="22"/>
          <w:szCs w:val="22"/>
        </w:rPr>
        <w:t>+3,8% ris</w:t>
      </w:r>
      <w:r w:rsidR="009955BE">
        <w:rPr>
          <w:rFonts w:ascii="Arial" w:hAnsi="Arial" w:cs="Arial"/>
          <w:sz w:val="22"/>
          <w:szCs w:val="22"/>
        </w:rPr>
        <w:t>petto al 2023)</w:t>
      </w:r>
      <w:r w:rsidR="00330BD2">
        <w:rPr>
          <w:rFonts w:ascii="Arial" w:hAnsi="Arial" w:cs="Arial"/>
          <w:sz w:val="22"/>
          <w:szCs w:val="22"/>
        </w:rPr>
        <w:t>, che arrivano a rappresentare il 13,9% dei nuovi permessi</w:t>
      </w:r>
      <w:r w:rsidR="009955BE">
        <w:rPr>
          <w:rFonts w:ascii="Arial" w:hAnsi="Arial" w:cs="Arial"/>
          <w:sz w:val="22"/>
          <w:szCs w:val="22"/>
        </w:rPr>
        <w:t xml:space="preserve">. </w:t>
      </w:r>
      <w:r w:rsidRPr="00104C97">
        <w:rPr>
          <w:rFonts w:ascii="Arial" w:hAnsi="Arial" w:cs="Arial"/>
          <w:sz w:val="22"/>
          <w:szCs w:val="22"/>
        </w:rPr>
        <w:t xml:space="preserve">Si tratta dell’unica tipologia di permesso per la quale </w:t>
      </w:r>
      <w:r w:rsidR="00FE11F5">
        <w:rPr>
          <w:rFonts w:ascii="Arial" w:hAnsi="Arial" w:cs="Arial"/>
          <w:sz w:val="22"/>
          <w:szCs w:val="22"/>
        </w:rPr>
        <w:t xml:space="preserve">crescono </w:t>
      </w:r>
      <w:r w:rsidRPr="00104C97">
        <w:rPr>
          <w:rFonts w:ascii="Arial" w:hAnsi="Arial" w:cs="Arial"/>
          <w:sz w:val="22"/>
          <w:szCs w:val="22"/>
        </w:rPr>
        <w:t>i flussi nel nostro Paese</w:t>
      </w:r>
      <w:r w:rsidR="00F77D08">
        <w:rPr>
          <w:rFonts w:ascii="Arial" w:hAnsi="Arial" w:cs="Arial"/>
          <w:sz w:val="22"/>
          <w:szCs w:val="22"/>
        </w:rPr>
        <w:t xml:space="preserve"> </w:t>
      </w:r>
      <w:r w:rsidR="009B47F0" w:rsidRPr="006A6C86">
        <w:rPr>
          <w:rFonts w:ascii="Arial" w:hAnsi="Arial" w:cs="Arial"/>
          <w:sz w:val="22"/>
          <w:szCs w:val="22"/>
        </w:rPr>
        <w:t>(</w:t>
      </w:r>
      <w:r w:rsidR="006A6C86" w:rsidRPr="006A6C86">
        <w:rPr>
          <w:rFonts w:ascii="Arial" w:hAnsi="Arial" w:cs="Arial"/>
          <w:sz w:val="22"/>
          <w:szCs w:val="22"/>
        </w:rPr>
        <w:t>F</w:t>
      </w:r>
      <w:r w:rsidR="009B47F0" w:rsidRPr="006A6C86">
        <w:rPr>
          <w:rFonts w:ascii="Arial" w:hAnsi="Arial" w:cs="Arial"/>
          <w:sz w:val="22"/>
          <w:szCs w:val="22"/>
        </w:rPr>
        <w:t>igura 1)</w:t>
      </w:r>
      <w:r w:rsidRPr="006A6C86">
        <w:rPr>
          <w:rFonts w:ascii="Arial" w:hAnsi="Arial" w:cs="Arial"/>
          <w:sz w:val="22"/>
          <w:szCs w:val="22"/>
        </w:rPr>
        <w:t xml:space="preserve">. </w:t>
      </w:r>
      <w:r w:rsidR="00F77D08">
        <w:rPr>
          <w:rFonts w:ascii="Arial" w:hAnsi="Arial" w:cs="Arial"/>
          <w:sz w:val="22"/>
          <w:szCs w:val="22"/>
        </w:rPr>
        <w:t>In particolare, s</w:t>
      </w:r>
      <w:r w:rsidRPr="006A6C86">
        <w:rPr>
          <w:rFonts w:ascii="Arial" w:hAnsi="Arial" w:cs="Arial"/>
          <w:sz w:val="22"/>
          <w:szCs w:val="22"/>
        </w:rPr>
        <w:t xml:space="preserve">i registra </w:t>
      </w:r>
      <w:r w:rsidR="00FE11F5">
        <w:rPr>
          <w:rFonts w:ascii="Arial" w:hAnsi="Arial" w:cs="Arial"/>
          <w:sz w:val="22"/>
          <w:szCs w:val="22"/>
        </w:rPr>
        <w:t>p</w:t>
      </w:r>
      <w:r w:rsidR="00FE11F5" w:rsidRPr="006A6C86">
        <w:rPr>
          <w:rFonts w:ascii="Arial" w:hAnsi="Arial" w:cs="Arial"/>
          <w:sz w:val="22"/>
          <w:szCs w:val="22"/>
        </w:rPr>
        <w:t xml:space="preserve">er le donne </w:t>
      </w:r>
      <w:r w:rsidRPr="006A6C86">
        <w:rPr>
          <w:rFonts w:ascii="Arial" w:hAnsi="Arial" w:cs="Arial"/>
          <w:sz w:val="22"/>
          <w:szCs w:val="22"/>
        </w:rPr>
        <w:t xml:space="preserve">un decremento </w:t>
      </w:r>
      <w:r w:rsidR="00DF5F63" w:rsidRPr="006A6C86">
        <w:rPr>
          <w:rFonts w:ascii="Arial" w:hAnsi="Arial" w:cs="Arial"/>
          <w:sz w:val="22"/>
          <w:szCs w:val="22"/>
        </w:rPr>
        <w:t>pari a</w:t>
      </w:r>
      <w:r w:rsidRPr="006A6C86">
        <w:rPr>
          <w:rFonts w:ascii="Arial" w:hAnsi="Arial" w:cs="Arial"/>
          <w:sz w:val="22"/>
          <w:szCs w:val="22"/>
        </w:rPr>
        <w:t xml:space="preserve"> -30,3% rispetto al 2023 </w:t>
      </w:r>
      <w:r w:rsidR="00FE11F5">
        <w:rPr>
          <w:rFonts w:ascii="Arial" w:hAnsi="Arial" w:cs="Arial"/>
          <w:sz w:val="22"/>
          <w:szCs w:val="22"/>
        </w:rPr>
        <w:t>e</w:t>
      </w:r>
      <w:r w:rsidR="00830F1C">
        <w:rPr>
          <w:rFonts w:ascii="Arial" w:hAnsi="Arial" w:cs="Arial"/>
          <w:sz w:val="22"/>
          <w:szCs w:val="22"/>
        </w:rPr>
        <w:t xml:space="preserve"> </w:t>
      </w:r>
      <w:r w:rsidR="00FE11F5" w:rsidRPr="00104C97">
        <w:rPr>
          <w:rFonts w:ascii="Arial" w:hAnsi="Arial" w:cs="Arial"/>
          <w:sz w:val="22"/>
          <w:szCs w:val="22"/>
        </w:rPr>
        <w:t xml:space="preserve">per gli uomini </w:t>
      </w:r>
      <w:r w:rsidRPr="00104C97">
        <w:rPr>
          <w:rFonts w:ascii="Arial" w:hAnsi="Arial" w:cs="Arial"/>
          <w:sz w:val="22"/>
          <w:szCs w:val="22"/>
        </w:rPr>
        <w:t xml:space="preserve">un aumento del 16,7%. </w:t>
      </w:r>
    </w:p>
    <w:p w14:paraId="439E9D37" w14:textId="0BAB0E4C" w:rsidR="00104C97" w:rsidRPr="00104C97" w:rsidRDefault="00104C97">
      <w:pPr>
        <w:spacing w:after="120"/>
        <w:jc w:val="both"/>
        <w:rPr>
          <w:rFonts w:ascii="Arial" w:hAnsi="Arial" w:cs="Arial"/>
          <w:sz w:val="22"/>
          <w:szCs w:val="22"/>
        </w:rPr>
      </w:pPr>
      <w:r w:rsidRPr="00104C97">
        <w:rPr>
          <w:rFonts w:ascii="Arial" w:hAnsi="Arial" w:cs="Arial"/>
          <w:sz w:val="22"/>
          <w:szCs w:val="22"/>
        </w:rPr>
        <w:t>Le tendenze sono molto differenti per le diverse cittadinanze. A crescere fortemente sono soprattutto gli ingressi per lavoro di cittadini tunisini (+79,7% rispetto al 2023) e indiani (+48</w:t>
      </w:r>
      <w:r w:rsidR="00A81EB6">
        <w:rPr>
          <w:rFonts w:ascii="Arial" w:hAnsi="Arial" w:cs="Arial"/>
          <w:sz w:val="22"/>
          <w:szCs w:val="22"/>
        </w:rPr>
        <w:t>,0</w:t>
      </w:r>
      <w:r w:rsidRPr="00104C97">
        <w:rPr>
          <w:rFonts w:ascii="Arial" w:hAnsi="Arial" w:cs="Arial"/>
          <w:sz w:val="22"/>
          <w:szCs w:val="22"/>
        </w:rPr>
        <w:t xml:space="preserve">%). Queste due collettività coprono da sole il 68,2% dei nuovi </w:t>
      </w:r>
      <w:r w:rsidR="009955BE">
        <w:rPr>
          <w:rFonts w:ascii="Arial" w:hAnsi="Arial" w:cs="Arial"/>
          <w:sz w:val="22"/>
          <w:szCs w:val="22"/>
        </w:rPr>
        <w:t>permessi</w:t>
      </w:r>
      <w:r w:rsidRPr="00104C97">
        <w:rPr>
          <w:rFonts w:ascii="Arial" w:hAnsi="Arial" w:cs="Arial"/>
          <w:sz w:val="22"/>
          <w:szCs w:val="22"/>
        </w:rPr>
        <w:t xml:space="preserve"> per attività lavorativa</w:t>
      </w:r>
      <w:r w:rsidR="00FE11F5">
        <w:rPr>
          <w:rFonts w:ascii="Arial" w:hAnsi="Arial" w:cs="Arial"/>
          <w:sz w:val="22"/>
          <w:szCs w:val="22"/>
        </w:rPr>
        <w:t xml:space="preserve"> </w:t>
      </w:r>
      <w:r w:rsidR="00FE11F5" w:rsidRPr="00104C97">
        <w:rPr>
          <w:rFonts w:ascii="Arial" w:hAnsi="Arial" w:cs="Arial"/>
          <w:sz w:val="22"/>
          <w:szCs w:val="22"/>
        </w:rPr>
        <w:t>(50,6% gli indiani e 17,6% i tunisini)</w:t>
      </w:r>
      <w:r w:rsidRPr="00104C97">
        <w:rPr>
          <w:rFonts w:ascii="Arial" w:hAnsi="Arial" w:cs="Arial"/>
          <w:sz w:val="22"/>
          <w:szCs w:val="22"/>
        </w:rPr>
        <w:t>. All’opposto, oltre agli ucraini (-65,8%)</w:t>
      </w:r>
      <w:r w:rsidR="009955BE">
        <w:rPr>
          <w:rFonts w:ascii="Arial" w:hAnsi="Arial" w:cs="Arial"/>
          <w:sz w:val="22"/>
          <w:szCs w:val="22"/>
        </w:rPr>
        <w:t>,</w:t>
      </w:r>
      <w:r w:rsidRPr="00104C97">
        <w:rPr>
          <w:rFonts w:ascii="Arial" w:hAnsi="Arial" w:cs="Arial"/>
          <w:sz w:val="22"/>
          <w:szCs w:val="22"/>
        </w:rPr>
        <w:t xml:space="preserve"> sono </w:t>
      </w:r>
      <w:r w:rsidR="00FE11F5">
        <w:rPr>
          <w:rFonts w:ascii="Arial" w:hAnsi="Arial" w:cs="Arial"/>
          <w:sz w:val="22"/>
          <w:szCs w:val="22"/>
        </w:rPr>
        <w:t xml:space="preserve">in calo </w:t>
      </w:r>
      <w:r w:rsidR="009955BE">
        <w:rPr>
          <w:rFonts w:ascii="Arial" w:hAnsi="Arial" w:cs="Arial"/>
          <w:sz w:val="22"/>
          <w:szCs w:val="22"/>
        </w:rPr>
        <w:t xml:space="preserve">i lavoratori </w:t>
      </w:r>
      <w:r w:rsidRPr="00104C97">
        <w:rPr>
          <w:rFonts w:ascii="Arial" w:hAnsi="Arial" w:cs="Arial"/>
          <w:sz w:val="22"/>
          <w:szCs w:val="22"/>
        </w:rPr>
        <w:t xml:space="preserve">provenienti da Perù (-43,5%) e Pakistan (-34,3%). </w:t>
      </w:r>
    </w:p>
    <w:p w14:paraId="08DF9CD7" w14:textId="60DD9C9E" w:rsidR="00B078FB" w:rsidRDefault="006E5B43">
      <w:pPr>
        <w:jc w:val="both"/>
        <w:rPr>
          <w:rFonts w:ascii="Arial" w:hAnsi="Arial" w:cs="Arial"/>
          <w:sz w:val="22"/>
          <w:szCs w:val="22"/>
        </w:rPr>
      </w:pPr>
      <w:r>
        <w:rPr>
          <w:rFonts w:ascii="Arial" w:hAnsi="Arial" w:cs="Arial"/>
          <w:sz w:val="22"/>
          <w:szCs w:val="22"/>
        </w:rPr>
        <w:t>Quasi il</w:t>
      </w:r>
      <w:r w:rsidR="00C24EAF">
        <w:rPr>
          <w:rFonts w:ascii="Arial" w:hAnsi="Arial" w:cs="Arial"/>
          <w:sz w:val="22"/>
          <w:szCs w:val="22"/>
        </w:rPr>
        <w:t xml:space="preserve"> </w:t>
      </w:r>
      <w:r>
        <w:rPr>
          <w:rFonts w:ascii="Arial" w:hAnsi="Arial" w:cs="Arial"/>
          <w:sz w:val="22"/>
          <w:szCs w:val="22"/>
        </w:rPr>
        <w:t>18% dei nuovi permessi per lavoro è rilasciato in Lombardia</w:t>
      </w:r>
      <w:r w:rsidR="00DF47E0">
        <w:rPr>
          <w:rFonts w:ascii="Arial" w:hAnsi="Arial" w:cs="Arial"/>
          <w:sz w:val="22"/>
          <w:szCs w:val="22"/>
        </w:rPr>
        <w:t xml:space="preserve"> (7.259)</w:t>
      </w:r>
      <w:r w:rsidR="009955BE">
        <w:rPr>
          <w:rFonts w:ascii="Arial" w:hAnsi="Arial" w:cs="Arial"/>
          <w:sz w:val="22"/>
          <w:szCs w:val="22"/>
        </w:rPr>
        <w:t>; s</w:t>
      </w:r>
      <w:r>
        <w:rPr>
          <w:rFonts w:ascii="Arial" w:hAnsi="Arial" w:cs="Arial"/>
          <w:sz w:val="22"/>
          <w:szCs w:val="22"/>
        </w:rPr>
        <w:t xml:space="preserve">eguono </w:t>
      </w:r>
      <w:r w:rsidR="009955BE">
        <w:rPr>
          <w:rFonts w:ascii="Arial" w:hAnsi="Arial" w:cs="Arial"/>
          <w:sz w:val="22"/>
          <w:szCs w:val="22"/>
        </w:rPr>
        <w:t xml:space="preserve">la </w:t>
      </w:r>
      <w:r>
        <w:rPr>
          <w:rFonts w:ascii="Arial" w:hAnsi="Arial" w:cs="Arial"/>
          <w:sz w:val="22"/>
          <w:szCs w:val="22"/>
        </w:rPr>
        <w:t xml:space="preserve">Campania </w:t>
      </w:r>
      <w:r w:rsidR="001A509B">
        <w:rPr>
          <w:rFonts w:ascii="Arial" w:hAnsi="Arial" w:cs="Arial"/>
          <w:sz w:val="22"/>
          <w:szCs w:val="22"/>
        </w:rPr>
        <w:t>(11,2</w:t>
      </w:r>
      <w:r>
        <w:rPr>
          <w:rFonts w:ascii="Arial" w:hAnsi="Arial" w:cs="Arial"/>
          <w:sz w:val="22"/>
          <w:szCs w:val="22"/>
        </w:rPr>
        <w:t>%</w:t>
      </w:r>
      <w:r w:rsidR="00FE11F5">
        <w:rPr>
          <w:rFonts w:ascii="Arial" w:hAnsi="Arial" w:cs="Arial"/>
          <w:sz w:val="22"/>
          <w:szCs w:val="22"/>
        </w:rPr>
        <w:t>;</w:t>
      </w:r>
      <w:r>
        <w:rPr>
          <w:rFonts w:ascii="Arial" w:hAnsi="Arial" w:cs="Arial"/>
          <w:sz w:val="22"/>
          <w:szCs w:val="22"/>
        </w:rPr>
        <w:t xml:space="preserve"> </w:t>
      </w:r>
      <w:r w:rsidRPr="00A336A1">
        <w:rPr>
          <w:rFonts w:ascii="Arial" w:hAnsi="Arial" w:cs="Arial"/>
          <w:sz w:val="22"/>
          <w:szCs w:val="22"/>
        </w:rPr>
        <w:t>4.</w:t>
      </w:r>
      <w:r w:rsidR="001A509B" w:rsidRPr="00A336A1">
        <w:rPr>
          <w:rFonts w:ascii="Arial" w:hAnsi="Arial" w:cs="Arial"/>
          <w:sz w:val="22"/>
          <w:szCs w:val="22"/>
        </w:rPr>
        <w:t>549</w:t>
      </w:r>
      <w:r w:rsidRPr="00A336A1">
        <w:rPr>
          <w:rFonts w:ascii="Arial" w:hAnsi="Arial" w:cs="Arial"/>
          <w:sz w:val="22"/>
          <w:szCs w:val="22"/>
        </w:rPr>
        <w:t>)</w:t>
      </w:r>
      <w:r>
        <w:rPr>
          <w:rFonts w:ascii="Arial" w:hAnsi="Arial" w:cs="Arial"/>
          <w:color w:val="000000"/>
          <w:sz w:val="19"/>
          <w:szCs w:val="19"/>
        </w:rPr>
        <w:t xml:space="preserve"> </w:t>
      </w:r>
      <w:r>
        <w:rPr>
          <w:rFonts w:ascii="Arial" w:hAnsi="Arial" w:cs="Arial"/>
          <w:sz w:val="22"/>
          <w:szCs w:val="22"/>
        </w:rPr>
        <w:t xml:space="preserve">e </w:t>
      </w:r>
      <w:r w:rsidR="009955BE">
        <w:rPr>
          <w:rFonts w:ascii="Arial" w:hAnsi="Arial" w:cs="Arial"/>
          <w:sz w:val="22"/>
          <w:szCs w:val="22"/>
        </w:rPr>
        <w:t xml:space="preserve">il </w:t>
      </w:r>
      <w:r>
        <w:rPr>
          <w:rFonts w:ascii="Arial" w:hAnsi="Arial" w:cs="Arial"/>
          <w:sz w:val="22"/>
          <w:szCs w:val="22"/>
        </w:rPr>
        <w:t xml:space="preserve">Veneto </w:t>
      </w:r>
      <w:r w:rsidR="001A509B">
        <w:rPr>
          <w:rFonts w:ascii="Arial" w:hAnsi="Arial" w:cs="Arial"/>
          <w:sz w:val="22"/>
          <w:szCs w:val="22"/>
        </w:rPr>
        <w:t>(10,8</w:t>
      </w:r>
      <w:r>
        <w:rPr>
          <w:rFonts w:ascii="Arial" w:hAnsi="Arial" w:cs="Arial"/>
          <w:sz w:val="22"/>
          <w:szCs w:val="22"/>
        </w:rPr>
        <w:t>%</w:t>
      </w:r>
      <w:r w:rsidR="00FE11F5">
        <w:rPr>
          <w:rFonts w:ascii="Arial" w:hAnsi="Arial" w:cs="Arial"/>
          <w:sz w:val="22"/>
          <w:szCs w:val="22"/>
        </w:rPr>
        <w:t>;</w:t>
      </w:r>
      <w:r w:rsidR="001A509B">
        <w:rPr>
          <w:rFonts w:ascii="Arial" w:hAnsi="Arial" w:cs="Arial"/>
          <w:sz w:val="22"/>
          <w:szCs w:val="22"/>
        </w:rPr>
        <w:t xml:space="preserve"> 4.350)</w:t>
      </w:r>
      <w:r w:rsidR="009955BE">
        <w:rPr>
          <w:rFonts w:ascii="Arial" w:hAnsi="Arial" w:cs="Arial"/>
          <w:sz w:val="22"/>
          <w:szCs w:val="22"/>
        </w:rPr>
        <w:t xml:space="preserve">. </w:t>
      </w:r>
      <w:r w:rsidR="004D5BEA" w:rsidRPr="00B76956">
        <w:rPr>
          <w:rFonts w:ascii="Arial" w:hAnsi="Arial" w:cs="Arial"/>
          <w:sz w:val="22"/>
          <w:szCs w:val="22"/>
        </w:rPr>
        <w:t xml:space="preserve">I permessi per lavoro stagionale </w:t>
      </w:r>
      <w:r w:rsidR="006E231B" w:rsidRPr="00B76956">
        <w:rPr>
          <w:rFonts w:ascii="Arial" w:hAnsi="Arial" w:cs="Arial"/>
          <w:sz w:val="22"/>
          <w:szCs w:val="22"/>
        </w:rPr>
        <w:t>r</w:t>
      </w:r>
      <w:r w:rsidR="00906033" w:rsidRPr="00B76956">
        <w:rPr>
          <w:rFonts w:ascii="Arial" w:hAnsi="Arial" w:cs="Arial"/>
          <w:sz w:val="22"/>
          <w:szCs w:val="22"/>
        </w:rPr>
        <w:t xml:space="preserve">estano prevalenti anche se di poco, </w:t>
      </w:r>
      <w:r w:rsidR="00906033" w:rsidRPr="009B47F0">
        <w:rPr>
          <w:rFonts w:ascii="Arial" w:hAnsi="Arial" w:cs="Arial"/>
          <w:sz w:val="22"/>
          <w:szCs w:val="22"/>
        </w:rPr>
        <w:t xml:space="preserve">nel 2024 ne sono emessi </w:t>
      </w:r>
      <w:r w:rsidR="003B40A3" w:rsidRPr="009B47F0">
        <w:rPr>
          <w:rFonts w:ascii="Arial" w:hAnsi="Arial" w:cs="Arial"/>
          <w:sz w:val="22"/>
          <w:szCs w:val="22"/>
        </w:rPr>
        <w:t>16.</w:t>
      </w:r>
      <w:r w:rsidR="003B40A3" w:rsidRPr="00565639">
        <w:rPr>
          <w:rFonts w:ascii="Arial" w:hAnsi="Arial" w:cs="Arial"/>
          <w:sz w:val="22"/>
          <w:szCs w:val="22"/>
        </w:rPr>
        <w:t>739 (</w:t>
      </w:r>
      <w:r w:rsidR="003831D9" w:rsidRPr="00565639">
        <w:rPr>
          <w:rFonts w:ascii="Arial" w:hAnsi="Arial" w:cs="Arial"/>
          <w:sz w:val="22"/>
          <w:szCs w:val="22"/>
        </w:rPr>
        <w:t>4</w:t>
      </w:r>
      <w:r w:rsidR="009403BF" w:rsidRPr="00565639">
        <w:rPr>
          <w:rFonts w:ascii="Arial" w:hAnsi="Arial" w:cs="Arial"/>
          <w:sz w:val="22"/>
          <w:szCs w:val="22"/>
        </w:rPr>
        <w:t>5</w:t>
      </w:r>
      <w:r w:rsidR="003831D9" w:rsidRPr="00565639">
        <w:rPr>
          <w:rFonts w:ascii="Arial" w:hAnsi="Arial" w:cs="Arial"/>
          <w:sz w:val="22"/>
          <w:szCs w:val="22"/>
        </w:rPr>
        <w:t>,</w:t>
      </w:r>
      <w:r w:rsidR="009403BF" w:rsidRPr="00565639">
        <w:rPr>
          <w:rFonts w:ascii="Arial" w:hAnsi="Arial" w:cs="Arial"/>
          <w:sz w:val="22"/>
          <w:szCs w:val="22"/>
        </w:rPr>
        <w:t>9</w:t>
      </w:r>
      <w:r w:rsidR="003B40A3" w:rsidRPr="00565639">
        <w:rPr>
          <w:rFonts w:ascii="Arial" w:hAnsi="Arial" w:cs="Arial"/>
          <w:sz w:val="22"/>
          <w:szCs w:val="22"/>
        </w:rPr>
        <w:t xml:space="preserve">% dei nuovi rilasci per lavoro); seguono a stretta distanza </w:t>
      </w:r>
      <w:r w:rsidR="008E0289" w:rsidRPr="00565639">
        <w:rPr>
          <w:rFonts w:ascii="Arial" w:hAnsi="Arial" w:cs="Arial"/>
          <w:sz w:val="22"/>
          <w:szCs w:val="22"/>
        </w:rPr>
        <w:t xml:space="preserve">i permessi per lavoro dipendente </w:t>
      </w:r>
      <w:r w:rsidR="00CE5997" w:rsidRPr="00565639">
        <w:rPr>
          <w:rFonts w:ascii="Arial" w:hAnsi="Arial" w:cs="Arial"/>
          <w:sz w:val="22"/>
          <w:szCs w:val="22"/>
        </w:rPr>
        <w:t>16.420 (</w:t>
      </w:r>
      <w:r w:rsidR="003831D9" w:rsidRPr="00565639">
        <w:rPr>
          <w:rFonts w:ascii="Arial" w:hAnsi="Arial" w:cs="Arial"/>
          <w:sz w:val="22"/>
          <w:szCs w:val="22"/>
        </w:rPr>
        <w:t>4</w:t>
      </w:r>
      <w:r w:rsidR="009403BF" w:rsidRPr="00565639">
        <w:rPr>
          <w:rFonts w:ascii="Arial" w:hAnsi="Arial" w:cs="Arial"/>
          <w:sz w:val="22"/>
          <w:szCs w:val="22"/>
        </w:rPr>
        <w:t>5</w:t>
      </w:r>
      <w:r w:rsidR="003831D9" w:rsidRPr="00565639">
        <w:rPr>
          <w:rFonts w:ascii="Arial" w:hAnsi="Arial" w:cs="Arial"/>
          <w:sz w:val="22"/>
          <w:szCs w:val="22"/>
        </w:rPr>
        <w:t>,</w:t>
      </w:r>
      <w:r w:rsidR="009403BF" w:rsidRPr="00565639">
        <w:rPr>
          <w:rFonts w:ascii="Arial" w:hAnsi="Arial" w:cs="Arial"/>
          <w:sz w:val="22"/>
          <w:szCs w:val="22"/>
        </w:rPr>
        <w:t>1</w:t>
      </w:r>
      <w:r w:rsidR="004E2894" w:rsidRPr="00565639">
        <w:rPr>
          <w:rFonts w:ascii="Arial" w:hAnsi="Arial" w:cs="Arial"/>
          <w:sz w:val="22"/>
          <w:szCs w:val="22"/>
        </w:rPr>
        <w:t>%)</w:t>
      </w:r>
      <w:r w:rsidR="002F5530" w:rsidRPr="00565639">
        <w:rPr>
          <w:rFonts w:ascii="Arial" w:hAnsi="Arial" w:cs="Arial"/>
          <w:sz w:val="22"/>
          <w:szCs w:val="22"/>
        </w:rPr>
        <w:t>.</w:t>
      </w:r>
    </w:p>
    <w:p w14:paraId="4B424184" w14:textId="155269AF" w:rsidR="00825BEE" w:rsidRDefault="00825BEE" w:rsidP="003D5ABC">
      <w:pPr>
        <w:jc w:val="both"/>
        <w:rPr>
          <w:rFonts w:ascii="Arial" w:hAnsi="Arial" w:cs="Arial"/>
          <w:sz w:val="22"/>
          <w:szCs w:val="22"/>
        </w:rPr>
      </w:pPr>
    </w:p>
    <w:p w14:paraId="15AD1773" w14:textId="77777777" w:rsidR="00662883" w:rsidRPr="00B56BE5" w:rsidRDefault="00662883" w:rsidP="003D5ABC">
      <w:pPr>
        <w:jc w:val="both"/>
        <w:rPr>
          <w:rFonts w:ascii="Arial" w:hAnsi="Arial" w:cs="Arial"/>
          <w:sz w:val="12"/>
          <w:szCs w:val="12"/>
        </w:rPr>
      </w:pPr>
    </w:p>
    <w:p w14:paraId="25F6D865" w14:textId="5AA1A160" w:rsidR="00B46F80" w:rsidRDefault="005971CC" w:rsidP="00CF5F5F">
      <w:pPr>
        <w:spacing w:after="120"/>
        <w:jc w:val="both"/>
        <w:rPr>
          <w:rFonts w:ascii="Arial Narrow" w:hAnsi="Arial Narrow" w:cs="Arial"/>
          <w:color w:val="1F497D" w:themeColor="text2"/>
          <w:sz w:val="22"/>
          <w:szCs w:val="26"/>
        </w:rPr>
      </w:pPr>
      <w:r w:rsidRPr="005971CC">
        <w:rPr>
          <w:rFonts w:ascii="Arial Black" w:hAnsi="Arial Black" w:cs="Arial"/>
          <w:b/>
          <w:color w:val="1F497D" w:themeColor="text2"/>
          <w:sz w:val="22"/>
          <w:szCs w:val="26"/>
        </w:rPr>
        <w:t>PRIME 10 COLLETTIVIT</w:t>
      </w:r>
      <w:r w:rsidR="006F6FF1">
        <w:rPr>
          <w:rFonts w:ascii="Arial Black" w:hAnsi="Arial Black" w:cs="Arial"/>
          <w:b/>
          <w:color w:val="1F497D" w:themeColor="text2"/>
          <w:sz w:val="22"/>
          <w:szCs w:val="26"/>
        </w:rPr>
        <w:t>À</w:t>
      </w:r>
      <w:r w:rsidRPr="005971CC">
        <w:rPr>
          <w:rFonts w:ascii="Arial Black" w:hAnsi="Arial Black" w:cs="Arial"/>
          <w:b/>
          <w:color w:val="1F497D" w:themeColor="text2"/>
          <w:sz w:val="22"/>
          <w:szCs w:val="26"/>
        </w:rPr>
        <w:t xml:space="preserve"> DI CITTADINI NON COMUNITARI ENTRATI IN IT</w:t>
      </w:r>
      <w:r>
        <w:rPr>
          <w:rFonts w:ascii="Arial Black" w:hAnsi="Arial Black" w:cs="Arial"/>
          <w:b/>
          <w:color w:val="1F497D" w:themeColor="text2"/>
          <w:sz w:val="22"/>
          <w:szCs w:val="26"/>
        </w:rPr>
        <w:t xml:space="preserve">ALIA, </w:t>
      </w:r>
      <w:r w:rsidR="008C3863">
        <w:rPr>
          <w:rFonts w:ascii="Arial Black" w:hAnsi="Arial Black" w:cs="Arial"/>
          <w:b/>
          <w:color w:val="1F497D" w:themeColor="text2"/>
          <w:sz w:val="22"/>
          <w:szCs w:val="26"/>
        </w:rPr>
        <w:br/>
      </w:r>
      <w:r>
        <w:rPr>
          <w:rFonts w:ascii="Arial Black" w:hAnsi="Arial Black" w:cs="Arial"/>
          <w:b/>
          <w:color w:val="1F497D" w:themeColor="text2"/>
          <w:sz w:val="22"/>
          <w:szCs w:val="26"/>
        </w:rPr>
        <w:t xml:space="preserve">PER MOTIVO DEL PERMESSO. </w:t>
      </w:r>
      <w:r w:rsidRPr="00CF5F5F">
        <w:rPr>
          <w:rFonts w:ascii="Arial Narrow" w:hAnsi="Arial Narrow" w:cs="Arial"/>
          <w:color w:val="1F497D" w:themeColor="text2"/>
          <w:sz w:val="22"/>
          <w:szCs w:val="26"/>
        </w:rPr>
        <w:t>Anno 202</w:t>
      </w:r>
      <w:r w:rsidR="00104C97">
        <w:rPr>
          <w:rFonts w:ascii="Arial Narrow" w:hAnsi="Arial Narrow" w:cs="Arial"/>
          <w:color w:val="1F497D" w:themeColor="text2"/>
          <w:sz w:val="22"/>
          <w:szCs w:val="26"/>
        </w:rPr>
        <w:t>4</w:t>
      </w:r>
      <w:r w:rsidRPr="00CF5F5F">
        <w:rPr>
          <w:rFonts w:ascii="Arial Narrow" w:hAnsi="Arial Narrow" w:cs="Arial"/>
          <w:color w:val="1F497D" w:themeColor="text2"/>
          <w:sz w:val="22"/>
          <w:szCs w:val="26"/>
        </w:rPr>
        <w:t>, variazioni percentuali sul 202</w:t>
      </w:r>
      <w:r w:rsidR="00104C97">
        <w:rPr>
          <w:rFonts w:ascii="Arial Narrow" w:hAnsi="Arial Narrow" w:cs="Arial"/>
          <w:color w:val="1F497D" w:themeColor="text2"/>
          <w:sz w:val="22"/>
          <w:szCs w:val="26"/>
        </w:rPr>
        <w:t>3</w:t>
      </w:r>
      <w:r w:rsidRPr="00CF5F5F">
        <w:rPr>
          <w:rFonts w:ascii="Arial Narrow" w:hAnsi="Arial Narrow" w:cs="Arial"/>
          <w:color w:val="1F497D" w:themeColor="text2"/>
          <w:sz w:val="22"/>
          <w:szCs w:val="26"/>
        </w:rPr>
        <w:t>, valori assoluti e percentuali</w:t>
      </w:r>
    </w:p>
    <w:p w14:paraId="658845C2" w14:textId="6ACEA1C5" w:rsidR="00104C97" w:rsidRDefault="0090070B" w:rsidP="00154EB9">
      <w:pPr>
        <w:spacing w:after="120"/>
        <w:ind w:left="-284"/>
        <w:jc w:val="both"/>
        <w:rPr>
          <w:rFonts w:ascii="Arial Narrow" w:hAnsi="Arial Narrow" w:cs="Arial"/>
          <w:color w:val="1F497D" w:themeColor="text2"/>
          <w:sz w:val="22"/>
          <w:szCs w:val="26"/>
        </w:rPr>
      </w:pPr>
      <w:r w:rsidRPr="0090070B">
        <w:rPr>
          <w:noProof/>
        </w:rPr>
        <w:drawing>
          <wp:inline distT="0" distB="0" distL="0" distR="0" wp14:anchorId="657E728A" wp14:editId="2565072F">
            <wp:extent cx="6656625" cy="2322464"/>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3467" cy="2324851"/>
                    </a:xfrm>
                    <a:prstGeom prst="rect">
                      <a:avLst/>
                    </a:prstGeom>
                    <a:noFill/>
                    <a:ln>
                      <a:noFill/>
                    </a:ln>
                  </pic:spPr>
                </pic:pic>
              </a:graphicData>
            </a:graphic>
          </wp:inline>
        </w:drawing>
      </w:r>
    </w:p>
    <w:p w14:paraId="030A9397" w14:textId="395782F4" w:rsidR="00241950" w:rsidRDefault="00241950" w:rsidP="00A13566">
      <w:pPr>
        <w:spacing w:after="120"/>
        <w:jc w:val="both"/>
        <w:rPr>
          <w:rFonts w:ascii="Arial" w:hAnsi="Arial" w:cs="Arial"/>
          <w:sz w:val="22"/>
          <w:szCs w:val="22"/>
        </w:rPr>
      </w:pPr>
      <w:r w:rsidRPr="00B76956">
        <w:rPr>
          <w:rFonts w:ascii="Arial" w:hAnsi="Arial" w:cs="Arial"/>
          <w:sz w:val="22"/>
          <w:szCs w:val="22"/>
        </w:rPr>
        <w:lastRenderedPageBreak/>
        <w:t xml:space="preserve">Il lavoro </w:t>
      </w:r>
      <w:r w:rsidRPr="00565639">
        <w:rPr>
          <w:rFonts w:ascii="Arial" w:hAnsi="Arial" w:cs="Arial"/>
          <w:sz w:val="22"/>
          <w:szCs w:val="22"/>
        </w:rPr>
        <w:t>autonomo rappresenta poco più dell’1,</w:t>
      </w:r>
      <w:r w:rsidR="009403BF" w:rsidRPr="00565639">
        <w:rPr>
          <w:rFonts w:ascii="Arial" w:hAnsi="Arial" w:cs="Arial"/>
          <w:sz w:val="22"/>
          <w:szCs w:val="22"/>
        </w:rPr>
        <w:t>1</w:t>
      </w:r>
      <w:r w:rsidRPr="00565639">
        <w:rPr>
          <w:rFonts w:ascii="Arial" w:hAnsi="Arial" w:cs="Arial"/>
          <w:sz w:val="22"/>
          <w:szCs w:val="22"/>
        </w:rPr>
        <w:t>% dei nuovi permessi concessi per attività lavorativa nel 2024, mentre il 7,</w:t>
      </w:r>
      <w:r w:rsidR="009403BF" w:rsidRPr="00565639">
        <w:rPr>
          <w:rFonts w:ascii="Arial" w:hAnsi="Arial" w:cs="Arial"/>
          <w:sz w:val="22"/>
          <w:szCs w:val="22"/>
        </w:rPr>
        <w:t>9</w:t>
      </w:r>
      <w:r w:rsidRPr="00565639">
        <w:rPr>
          <w:rFonts w:ascii="Arial" w:hAnsi="Arial" w:cs="Arial"/>
          <w:sz w:val="22"/>
          <w:szCs w:val="22"/>
        </w:rPr>
        <w:t>% è costituito</w:t>
      </w:r>
      <w:r w:rsidRPr="009B47F0">
        <w:rPr>
          <w:rFonts w:ascii="Arial" w:hAnsi="Arial" w:cs="Arial"/>
          <w:sz w:val="22"/>
          <w:szCs w:val="22"/>
        </w:rPr>
        <w:t xml:space="preserve"> da</w:t>
      </w:r>
      <w:r w:rsidRPr="00B76956">
        <w:rPr>
          <w:rFonts w:ascii="Arial" w:hAnsi="Arial" w:cs="Arial"/>
          <w:sz w:val="22"/>
          <w:szCs w:val="22"/>
        </w:rPr>
        <w:t xml:space="preserve"> permessi per ricerca lavoro.</w:t>
      </w:r>
    </w:p>
    <w:p w14:paraId="086AA8AF" w14:textId="14337354" w:rsidR="00CD2C44" w:rsidRDefault="0029738C" w:rsidP="009E5E5E">
      <w:pPr>
        <w:spacing w:after="80"/>
        <w:jc w:val="both"/>
        <w:rPr>
          <w:rFonts w:ascii="Arial" w:hAnsi="Arial" w:cs="Arial"/>
          <w:sz w:val="22"/>
          <w:szCs w:val="22"/>
        </w:rPr>
      </w:pPr>
      <w:r w:rsidRPr="0029738C">
        <w:rPr>
          <w:rFonts w:ascii="Arial" w:hAnsi="Arial" w:cs="Arial"/>
          <w:sz w:val="22"/>
          <w:szCs w:val="22"/>
        </w:rPr>
        <w:t xml:space="preserve">Il tipo di permesso </w:t>
      </w:r>
      <w:r>
        <w:rPr>
          <w:rFonts w:ascii="Arial" w:hAnsi="Arial" w:cs="Arial"/>
          <w:sz w:val="22"/>
          <w:szCs w:val="22"/>
        </w:rPr>
        <w:t>per lavoro prevalente è diverso a seconda delle cittadinanze</w:t>
      </w:r>
      <w:r w:rsidR="00933A97">
        <w:rPr>
          <w:rFonts w:ascii="Arial" w:hAnsi="Arial" w:cs="Arial"/>
          <w:sz w:val="22"/>
          <w:szCs w:val="22"/>
        </w:rPr>
        <w:t>. Per l’India e il Marocco</w:t>
      </w:r>
      <w:r w:rsidR="00B01A19">
        <w:rPr>
          <w:rFonts w:ascii="Arial" w:hAnsi="Arial" w:cs="Arial"/>
          <w:sz w:val="22"/>
          <w:szCs w:val="22"/>
        </w:rPr>
        <w:t>,</w:t>
      </w:r>
      <w:r w:rsidR="00933A97">
        <w:rPr>
          <w:rFonts w:ascii="Arial" w:hAnsi="Arial" w:cs="Arial"/>
          <w:sz w:val="22"/>
          <w:szCs w:val="22"/>
        </w:rPr>
        <w:t xml:space="preserve"> i primi due </w:t>
      </w:r>
      <w:r w:rsidR="00337EDD">
        <w:rPr>
          <w:rFonts w:ascii="Arial" w:hAnsi="Arial" w:cs="Arial"/>
          <w:sz w:val="22"/>
          <w:szCs w:val="22"/>
        </w:rPr>
        <w:t>P</w:t>
      </w:r>
      <w:r w:rsidR="00933A97">
        <w:rPr>
          <w:rFonts w:ascii="Arial" w:hAnsi="Arial" w:cs="Arial"/>
          <w:sz w:val="22"/>
          <w:szCs w:val="22"/>
        </w:rPr>
        <w:t xml:space="preserve">aesi </w:t>
      </w:r>
      <w:r w:rsidR="00B53BA7">
        <w:rPr>
          <w:rFonts w:ascii="Arial" w:hAnsi="Arial" w:cs="Arial"/>
          <w:sz w:val="22"/>
          <w:szCs w:val="22"/>
        </w:rPr>
        <w:t xml:space="preserve">per numero di permessi per lavoro emessi nel 2024 </w:t>
      </w:r>
      <w:r w:rsidR="00B01A19">
        <w:rPr>
          <w:rFonts w:ascii="Arial" w:hAnsi="Arial" w:cs="Arial"/>
          <w:sz w:val="22"/>
          <w:szCs w:val="22"/>
        </w:rPr>
        <w:t>(</w:t>
      </w:r>
      <w:r w:rsidR="00B53BA7">
        <w:rPr>
          <w:rFonts w:ascii="Arial" w:hAnsi="Arial" w:cs="Arial"/>
          <w:sz w:val="22"/>
          <w:szCs w:val="22"/>
        </w:rPr>
        <w:t xml:space="preserve">rispettivamente </w:t>
      </w:r>
      <w:r w:rsidR="00030092">
        <w:rPr>
          <w:rFonts w:ascii="Arial" w:hAnsi="Arial" w:cs="Arial"/>
          <w:sz w:val="22"/>
          <w:szCs w:val="22"/>
        </w:rPr>
        <w:t>8.558</w:t>
      </w:r>
      <w:r w:rsidR="00B53BA7">
        <w:rPr>
          <w:rFonts w:ascii="Arial" w:hAnsi="Arial" w:cs="Arial"/>
          <w:sz w:val="22"/>
          <w:szCs w:val="22"/>
        </w:rPr>
        <w:t xml:space="preserve"> e </w:t>
      </w:r>
      <w:r w:rsidR="00030092">
        <w:rPr>
          <w:rFonts w:ascii="Arial" w:hAnsi="Arial" w:cs="Arial"/>
          <w:sz w:val="22"/>
          <w:szCs w:val="22"/>
        </w:rPr>
        <w:t>6.468</w:t>
      </w:r>
      <w:r w:rsidR="00B01A19">
        <w:rPr>
          <w:rFonts w:ascii="Arial" w:hAnsi="Arial" w:cs="Arial"/>
          <w:sz w:val="22"/>
          <w:szCs w:val="22"/>
        </w:rPr>
        <w:t>),</w:t>
      </w:r>
      <w:r w:rsidR="00B53BA7">
        <w:rPr>
          <w:rFonts w:ascii="Arial" w:hAnsi="Arial" w:cs="Arial"/>
          <w:sz w:val="22"/>
          <w:szCs w:val="22"/>
        </w:rPr>
        <w:t xml:space="preserve"> il lavoro stagionale è ampiamente prevalente</w:t>
      </w:r>
      <w:r w:rsidR="00753FBC">
        <w:rPr>
          <w:rFonts w:ascii="Arial" w:hAnsi="Arial" w:cs="Arial"/>
          <w:sz w:val="22"/>
          <w:szCs w:val="22"/>
        </w:rPr>
        <w:t xml:space="preserve"> con percentuali del </w:t>
      </w:r>
      <w:r w:rsidR="00030092">
        <w:rPr>
          <w:rFonts w:ascii="Arial" w:hAnsi="Arial" w:cs="Arial"/>
          <w:sz w:val="22"/>
          <w:szCs w:val="22"/>
        </w:rPr>
        <w:t>70,3</w:t>
      </w:r>
      <w:r w:rsidR="00753FBC">
        <w:rPr>
          <w:rFonts w:ascii="Arial" w:hAnsi="Arial" w:cs="Arial"/>
          <w:sz w:val="22"/>
          <w:szCs w:val="22"/>
        </w:rPr>
        <w:t xml:space="preserve">% e del </w:t>
      </w:r>
      <w:r w:rsidR="00030092">
        <w:rPr>
          <w:rFonts w:ascii="Arial" w:hAnsi="Arial" w:cs="Arial"/>
          <w:sz w:val="22"/>
          <w:szCs w:val="22"/>
        </w:rPr>
        <w:t>65,3</w:t>
      </w:r>
      <w:r w:rsidR="00753FBC">
        <w:rPr>
          <w:rFonts w:ascii="Arial" w:hAnsi="Arial" w:cs="Arial"/>
          <w:sz w:val="22"/>
          <w:szCs w:val="22"/>
        </w:rPr>
        <w:t xml:space="preserve">% sul totale delle motivazioni </w:t>
      </w:r>
      <w:r w:rsidR="007E02CF">
        <w:rPr>
          <w:rFonts w:ascii="Arial" w:hAnsi="Arial" w:cs="Arial"/>
          <w:sz w:val="22"/>
          <w:szCs w:val="22"/>
        </w:rPr>
        <w:t>legate al lavoro.</w:t>
      </w:r>
      <w:r w:rsidR="00D06AA5">
        <w:rPr>
          <w:rFonts w:ascii="Arial" w:hAnsi="Arial" w:cs="Arial"/>
          <w:sz w:val="22"/>
          <w:szCs w:val="22"/>
        </w:rPr>
        <w:t xml:space="preserve"> Per Bangladesh ed Egitto prevale invece il lavoro dipendente</w:t>
      </w:r>
      <w:r w:rsidR="0014787D">
        <w:rPr>
          <w:rFonts w:ascii="Arial" w:hAnsi="Arial" w:cs="Arial"/>
          <w:sz w:val="22"/>
          <w:szCs w:val="22"/>
        </w:rPr>
        <w:t>,</w:t>
      </w:r>
      <w:r w:rsidR="00D06AA5">
        <w:rPr>
          <w:rFonts w:ascii="Arial" w:hAnsi="Arial" w:cs="Arial"/>
          <w:sz w:val="22"/>
          <w:szCs w:val="22"/>
        </w:rPr>
        <w:t xml:space="preserve"> con percentuali </w:t>
      </w:r>
      <w:r w:rsidR="00157DDF">
        <w:rPr>
          <w:rFonts w:ascii="Arial" w:hAnsi="Arial" w:cs="Arial"/>
          <w:sz w:val="22"/>
          <w:szCs w:val="22"/>
        </w:rPr>
        <w:t xml:space="preserve">rispettivamente del </w:t>
      </w:r>
      <w:r w:rsidR="00030092">
        <w:rPr>
          <w:rFonts w:ascii="Arial" w:hAnsi="Arial" w:cs="Arial"/>
          <w:sz w:val="22"/>
          <w:szCs w:val="22"/>
        </w:rPr>
        <w:t>51,1</w:t>
      </w:r>
      <w:r w:rsidR="00157DDF">
        <w:rPr>
          <w:rFonts w:ascii="Arial" w:hAnsi="Arial" w:cs="Arial"/>
          <w:sz w:val="22"/>
          <w:szCs w:val="22"/>
        </w:rPr>
        <w:t xml:space="preserve">% e del </w:t>
      </w:r>
      <w:r w:rsidR="00030092">
        <w:rPr>
          <w:rFonts w:ascii="Arial" w:hAnsi="Arial" w:cs="Arial"/>
          <w:sz w:val="22"/>
          <w:szCs w:val="22"/>
        </w:rPr>
        <w:t>49,4</w:t>
      </w:r>
      <w:r w:rsidR="00157DDF">
        <w:rPr>
          <w:rFonts w:ascii="Arial" w:hAnsi="Arial" w:cs="Arial"/>
          <w:sz w:val="22"/>
          <w:szCs w:val="22"/>
        </w:rPr>
        <w:t>%.</w:t>
      </w:r>
    </w:p>
    <w:p w14:paraId="557D9224" w14:textId="77777777" w:rsidR="00337EDD" w:rsidRPr="009E5E5E" w:rsidRDefault="00337EDD" w:rsidP="009E5E5E">
      <w:pPr>
        <w:spacing w:after="80"/>
        <w:jc w:val="both"/>
        <w:rPr>
          <w:rFonts w:ascii="Arial" w:hAnsi="Arial" w:cs="Arial"/>
          <w:sz w:val="4"/>
          <w:szCs w:val="22"/>
        </w:rPr>
      </w:pPr>
    </w:p>
    <w:p w14:paraId="1C6C1534" w14:textId="62B202C5" w:rsidR="00104C97" w:rsidRPr="00A13566" w:rsidRDefault="00104C97" w:rsidP="009E5E5E">
      <w:pPr>
        <w:spacing w:after="80"/>
        <w:rPr>
          <w:rFonts w:ascii="Arial" w:hAnsi="Arial" w:cs="Arial"/>
          <w:b/>
          <w:color w:val="1F497D" w:themeColor="text2"/>
          <w:szCs w:val="26"/>
        </w:rPr>
      </w:pPr>
      <w:r w:rsidRPr="00A13566">
        <w:rPr>
          <w:rFonts w:ascii="Arial" w:hAnsi="Arial" w:cs="Arial"/>
          <w:b/>
          <w:color w:val="1F497D" w:themeColor="text2"/>
          <w:szCs w:val="26"/>
        </w:rPr>
        <w:t xml:space="preserve">In diminuzione i permessi per ricongiungimento familiare e per studio </w:t>
      </w:r>
    </w:p>
    <w:p w14:paraId="79763A6A" w14:textId="6C0FB379" w:rsidR="00104C97" w:rsidRPr="00104C97" w:rsidRDefault="00104C97" w:rsidP="009E5E5E">
      <w:pPr>
        <w:spacing w:after="80"/>
        <w:jc w:val="both"/>
        <w:rPr>
          <w:rFonts w:ascii="Arial" w:hAnsi="Arial" w:cs="Arial"/>
          <w:sz w:val="22"/>
          <w:szCs w:val="22"/>
        </w:rPr>
      </w:pPr>
      <w:r w:rsidRPr="00104C97">
        <w:rPr>
          <w:rFonts w:ascii="Arial" w:hAnsi="Arial" w:cs="Arial"/>
          <w:sz w:val="22"/>
          <w:szCs w:val="22"/>
        </w:rPr>
        <w:t>Dopo tre anni di rilasci record, i permessi per famiglia registrano un brusco decremento (-18,8% rispetto al 2023)</w:t>
      </w:r>
      <w:r w:rsidR="00330BD2">
        <w:rPr>
          <w:rFonts w:ascii="Arial" w:hAnsi="Arial" w:cs="Arial"/>
          <w:sz w:val="22"/>
          <w:szCs w:val="22"/>
        </w:rPr>
        <w:t>, pur continuando a rappresentare il principale motivo di rilascio dei permessi (36,1%)</w:t>
      </w:r>
      <w:r w:rsidRPr="00104C97">
        <w:rPr>
          <w:rFonts w:ascii="Arial" w:hAnsi="Arial" w:cs="Arial"/>
          <w:sz w:val="22"/>
          <w:szCs w:val="22"/>
        </w:rPr>
        <w:t xml:space="preserve">. Calano del 44,9% i ricongiungimenti degli ucraini e del 37,8% quelli degli indiani. Anche per i cittadini di Albania e Bangladesh si registrano diminuzioni superiori al 28% rispetto all’anno precedente. </w:t>
      </w:r>
      <w:r w:rsidR="00A81768">
        <w:rPr>
          <w:rFonts w:ascii="Arial" w:hAnsi="Arial" w:cs="Arial"/>
          <w:sz w:val="22"/>
          <w:szCs w:val="22"/>
        </w:rPr>
        <w:t>I</w:t>
      </w:r>
      <w:r w:rsidRPr="00104C97">
        <w:rPr>
          <w:rFonts w:ascii="Arial" w:hAnsi="Arial" w:cs="Arial"/>
          <w:sz w:val="22"/>
          <w:szCs w:val="22"/>
        </w:rPr>
        <w:t xml:space="preserve">n controtendenza i dati per tunisini, cinesi ed egiziani per i quali si evidenzia un incremento degli arrivi per famiglia </w:t>
      </w:r>
      <w:r w:rsidR="00F834AA">
        <w:rPr>
          <w:rFonts w:ascii="Arial" w:hAnsi="Arial" w:cs="Arial"/>
          <w:sz w:val="22"/>
          <w:szCs w:val="22"/>
        </w:rPr>
        <w:t>(</w:t>
      </w:r>
      <w:r w:rsidR="00464867">
        <w:rPr>
          <w:rFonts w:ascii="Arial" w:hAnsi="Arial" w:cs="Arial"/>
          <w:sz w:val="22"/>
          <w:szCs w:val="22"/>
        </w:rPr>
        <w:t>rispettivamente 11,6%, 11,5% e 5,7%</w:t>
      </w:r>
      <w:r w:rsidR="00F834AA">
        <w:rPr>
          <w:rFonts w:ascii="Arial" w:hAnsi="Arial" w:cs="Arial"/>
          <w:sz w:val="22"/>
          <w:szCs w:val="22"/>
        </w:rPr>
        <w:t>)</w:t>
      </w:r>
      <w:r w:rsidR="00464867">
        <w:rPr>
          <w:rFonts w:ascii="Arial" w:hAnsi="Arial" w:cs="Arial"/>
          <w:sz w:val="22"/>
          <w:szCs w:val="22"/>
        </w:rPr>
        <w:t>.</w:t>
      </w:r>
      <w:r w:rsidRPr="00104C97">
        <w:rPr>
          <w:rFonts w:ascii="Arial" w:hAnsi="Arial" w:cs="Arial"/>
          <w:sz w:val="22"/>
          <w:szCs w:val="22"/>
        </w:rPr>
        <w:t xml:space="preserve"> </w:t>
      </w:r>
      <w:r w:rsidR="00F834AA">
        <w:rPr>
          <w:rFonts w:ascii="Arial" w:hAnsi="Arial" w:cs="Arial"/>
          <w:sz w:val="22"/>
          <w:szCs w:val="22"/>
        </w:rPr>
        <w:t>Il calo</w:t>
      </w:r>
      <w:r w:rsidRPr="00104C97">
        <w:rPr>
          <w:rFonts w:ascii="Arial" w:hAnsi="Arial" w:cs="Arial"/>
          <w:sz w:val="22"/>
          <w:szCs w:val="22"/>
        </w:rPr>
        <w:t xml:space="preserve"> dei ricongiungimenti familiari riguarda </w:t>
      </w:r>
      <w:r w:rsidR="00264A23">
        <w:rPr>
          <w:rFonts w:ascii="Arial" w:hAnsi="Arial" w:cs="Arial"/>
          <w:sz w:val="22"/>
          <w:szCs w:val="22"/>
        </w:rPr>
        <w:t>più o meno in egual misura uomini e donne</w:t>
      </w:r>
      <w:r w:rsidR="00FB6866">
        <w:rPr>
          <w:rFonts w:ascii="Arial" w:hAnsi="Arial" w:cs="Arial"/>
          <w:sz w:val="22"/>
          <w:szCs w:val="22"/>
        </w:rPr>
        <w:t xml:space="preserve"> (</w:t>
      </w:r>
      <w:r w:rsidR="007F39F6">
        <w:rPr>
          <w:rFonts w:ascii="Arial" w:hAnsi="Arial" w:cs="Arial"/>
          <w:sz w:val="22"/>
          <w:szCs w:val="22"/>
        </w:rPr>
        <w:t>-</w:t>
      </w:r>
      <w:r w:rsidRPr="00104C97">
        <w:rPr>
          <w:rFonts w:ascii="Arial" w:hAnsi="Arial" w:cs="Arial"/>
          <w:sz w:val="22"/>
          <w:szCs w:val="22"/>
        </w:rPr>
        <w:t xml:space="preserve">18,4% </w:t>
      </w:r>
      <w:r w:rsidR="00FB6866">
        <w:rPr>
          <w:rFonts w:ascii="Arial" w:hAnsi="Arial" w:cs="Arial"/>
          <w:sz w:val="22"/>
          <w:szCs w:val="22"/>
        </w:rPr>
        <w:t xml:space="preserve">per i primi </w:t>
      </w:r>
      <w:r w:rsidRPr="00104C97">
        <w:rPr>
          <w:rFonts w:ascii="Arial" w:hAnsi="Arial" w:cs="Arial"/>
          <w:sz w:val="22"/>
          <w:szCs w:val="22"/>
        </w:rPr>
        <w:t xml:space="preserve">e -19,0% </w:t>
      </w:r>
      <w:r w:rsidR="00FB6866">
        <w:rPr>
          <w:rFonts w:ascii="Arial" w:hAnsi="Arial" w:cs="Arial"/>
          <w:sz w:val="22"/>
          <w:szCs w:val="22"/>
        </w:rPr>
        <w:t>per le seconde</w:t>
      </w:r>
      <w:r w:rsidR="00B55DC6">
        <w:rPr>
          <w:rFonts w:ascii="Arial" w:hAnsi="Arial" w:cs="Arial"/>
          <w:sz w:val="22"/>
          <w:szCs w:val="22"/>
        </w:rPr>
        <w:t>)</w:t>
      </w:r>
      <w:r w:rsidRPr="00104C97">
        <w:rPr>
          <w:rFonts w:ascii="Arial" w:hAnsi="Arial" w:cs="Arial"/>
          <w:sz w:val="22"/>
          <w:szCs w:val="22"/>
        </w:rPr>
        <w:t>.</w:t>
      </w:r>
    </w:p>
    <w:p w14:paraId="47ABDC22" w14:textId="156543FE" w:rsidR="00104C97" w:rsidRPr="00104C97" w:rsidRDefault="00750B40" w:rsidP="009E5E5E">
      <w:pPr>
        <w:spacing w:after="80"/>
        <w:jc w:val="both"/>
        <w:rPr>
          <w:rFonts w:ascii="Arial" w:hAnsi="Arial" w:cs="Arial"/>
          <w:sz w:val="22"/>
          <w:szCs w:val="22"/>
        </w:rPr>
      </w:pPr>
      <w:r>
        <w:rPr>
          <w:rFonts w:ascii="Arial" w:hAnsi="Arial" w:cs="Arial"/>
          <w:sz w:val="22"/>
          <w:szCs w:val="22"/>
        </w:rPr>
        <w:t>Le regi</w:t>
      </w:r>
      <w:r w:rsidR="00FB6866">
        <w:rPr>
          <w:rFonts w:ascii="Arial" w:hAnsi="Arial" w:cs="Arial"/>
          <w:sz w:val="22"/>
          <w:szCs w:val="22"/>
        </w:rPr>
        <w:t>o</w:t>
      </w:r>
      <w:r>
        <w:rPr>
          <w:rFonts w:ascii="Arial" w:hAnsi="Arial" w:cs="Arial"/>
          <w:sz w:val="22"/>
          <w:szCs w:val="22"/>
        </w:rPr>
        <w:t xml:space="preserve">ni </w:t>
      </w:r>
      <w:r w:rsidR="00B55DC6">
        <w:rPr>
          <w:rFonts w:ascii="Arial" w:hAnsi="Arial" w:cs="Arial"/>
          <w:sz w:val="22"/>
          <w:szCs w:val="22"/>
        </w:rPr>
        <w:t>con</w:t>
      </w:r>
      <w:r>
        <w:rPr>
          <w:rFonts w:ascii="Arial" w:hAnsi="Arial" w:cs="Arial"/>
          <w:sz w:val="22"/>
          <w:szCs w:val="22"/>
        </w:rPr>
        <w:t xml:space="preserve"> il maggior numero di ricongiungimenti familiari sono Lombardia (24,2%) e</w:t>
      </w:r>
      <w:r w:rsidR="00B55DC6">
        <w:rPr>
          <w:rFonts w:ascii="Arial" w:hAnsi="Arial" w:cs="Arial"/>
          <w:sz w:val="22"/>
          <w:szCs w:val="22"/>
        </w:rPr>
        <w:t>d</w:t>
      </w:r>
      <w:r w:rsidR="009955BE">
        <w:rPr>
          <w:rFonts w:ascii="Arial" w:hAnsi="Arial" w:cs="Arial"/>
          <w:sz w:val="22"/>
          <w:szCs w:val="22"/>
        </w:rPr>
        <w:t xml:space="preserve"> </w:t>
      </w:r>
      <w:r w:rsidR="00972A89">
        <w:rPr>
          <w:rFonts w:ascii="Arial" w:hAnsi="Arial" w:cs="Arial"/>
          <w:sz w:val="22"/>
          <w:szCs w:val="22"/>
        </w:rPr>
        <w:br/>
      </w:r>
      <w:r>
        <w:rPr>
          <w:rFonts w:ascii="Arial" w:hAnsi="Arial" w:cs="Arial"/>
          <w:sz w:val="22"/>
          <w:szCs w:val="22"/>
        </w:rPr>
        <w:t>Emilia-Romagna (</w:t>
      </w:r>
      <w:r w:rsidR="00042E4A">
        <w:rPr>
          <w:rFonts w:ascii="Arial" w:hAnsi="Arial" w:cs="Arial"/>
          <w:sz w:val="22"/>
          <w:szCs w:val="22"/>
        </w:rPr>
        <w:t>10,5</w:t>
      </w:r>
      <w:r>
        <w:rPr>
          <w:rFonts w:ascii="Arial" w:hAnsi="Arial" w:cs="Arial"/>
          <w:sz w:val="22"/>
          <w:szCs w:val="22"/>
        </w:rPr>
        <w:t xml:space="preserve">%). </w:t>
      </w:r>
    </w:p>
    <w:p w14:paraId="2728E649" w14:textId="66796AF3" w:rsidR="00104C97" w:rsidRPr="00104C97" w:rsidRDefault="00104C97" w:rsidP="009E5E5E">
      <w:pPr>
        <w:spacing w:after="80"/>
        <w:jc w:val="both"/>
        <w:rPr>
          <w:rFonts w:ascii="Arial" w:hAnsi="Arial" w:cs="Arial"/>
          <w:sz w:val="22"/>
          <w:szCs w:val="22"/>
        </w:rPr>
      </w:pPr>
      <w:r w:rsidRPr="00104C97">
        <w:rPr>
          <w:rFonts w:ascii="Arial" w:hAnsi="Arial" w:cs="Arial"/>
          <w:sz w:val="22"/>
          <w:szCs w:val="22"/>
        </w:rPr>
        <w:t xml:space="preserve">Anche i permessi rilasciati per studio nel corso del 2024 </w:t>
      </w:r>
      <w:r w:rsidR="00E1371A">
        <w:rPr>
          <w:rFonts w:ascii="Arial" w:hAnsi="Arial" w:cs="Arial"/>
          <w:sz w:val="22"/>
          <w:szCs w:val="22"/>
        </w:rPr>
        <w:t>(</w:t>
      </w:r>
      <w:r w:rsidRPr="00104C97">
        <w:rPr>
          <w:rFonts w:ascii="Arial" w:hAnsi="Arial" w:cs="Arial"/>
          <w:sz w:val="22"/>
          <w:szCs w:val="22"/>
        </w:rPr>
        <w:t>dopo tre anni di continuo aumento</w:t>
      </w:r>
      <w:r w:rsidR="00E1371A">
        <w:rPr>
          <w:rFonts w:ascii="Arial" w:hAnsi="Arial" w:cs="Arial"/>
          <w:sz w:val="22"/>
          <w:szCs w:val="22"/>
        </w:rPr>
        <w:t>)</w:t>
      </w:r>
      <w:r w:rsidRPr="00104C97">
        <w:rPr>
          <w:rFonts w:ascii="Arial" w:hAnsi="Arial" w:cs="Arial"/>
          <w:sz w:val="22"/>
          <w:szCs w:val="22"/>
        </w:rPr>
        <w:t xml:space="preserve"> diminu</w:t>
      </w:r>
      <w:r w:rsidR="00E1371A">
        <w:rPr>
          <w:rFonts w:ascii="Arial" w:hAnsi="Arial" w:cs="Arial"/>
          <w:sz w:val="22"/>
          <w:szCs w:val="22"/>
        </w:rPr>
        <w:t>iscono</w:t>
      </w:r>
      <w:r w:rsidRPr="00104C97">
        <w:rPr>
          <w:rFonts w:ascii="Arial" w:hAnsi="Arial" w:cs="Arial"/>
          <w:sz w:val="22"/>
          <w:szCs w:val="22"/>
        </w:rPr>
        <w:t xml:space="preserve"> rispetto all’anno precedente: </w:t>
      </w:r>
      <w:r w:rsidR="009955BE">
        <w:rPr>
          <w:rFonts w:ascii="Arial" w:hAnsi="Arial" w:cs="Arial"/>
          <w:sz w:val="22"/>
          <w:szCs w:val="22"/>
        </w:rPr>
        <w:t>20.130 permessi con una variazione negativa del</w:t>
      </w:r>
      <w:r w:rsidRPr="00104C97">
        <w:rPr>
          <w:rFonts w:ascii="Arial" w:hAnsi="Arial" w:cs="Arial"/>
          <w:sz w:val="22"/>
          <w:szCs w:val="22"/>
        </w:rPr>
        <w:t xml:space="preserve"> </w:t>
      </w:r>
      <w:r w:rsidR="009955BE">
        <w:rPr>
          <w:rFonts w:ascii="Arial" w:hAnsi="Arial" w:cs="Arial"/>
          <w:sz w:val="22"/>
          <w:szCs w:val="22"/>
        </w:rPr>
        <w:t xml:space="preserve">-26,7% </w:t>
      </w:r>
      <w:r w:rsidRPr="00104C97">
        <w:rPr>
          <w:rFonts w:ascii="Arial" w:hAnsi="Arial" w:cs="Arial"/>
          <w:sz w:val="22"/>
          <w:szCs w:val="22"/>
        </w:rPr>
        <w:t>rispetto al 2023. Decresce anche l’importanza di questa motivazione sul totale dei n</w:t>
      </w:r>
      <w:r w:rsidR="00317081">
        <w:rPr>
          <w:rFonts w:ascii="Arial" w:hAnsi="Arial" w:cs="Arial"/>
          <w:sz w:val="22"/>
          <w:szCs w:val="22"/>
        </w:rPr>
        <w:t xml:space="preserve">uovi documenti rilasciati nell’anno: </w:t>
      </w:r>
      <w:r w:rsidRPr="00104C97">
        <w:rPr>
          <w:rFonts w:ascii="Arial" w:hAnsi="Arial" w:cs="Arial"/>
          <w:sz w:val="22"/>
          <w:szCs w:val="22"/>
        </w:rPr>
        <w:t>dall’8,3% nel 2023 al 6,9% nel 2024. La distribuzione per sesso di questo tipo di permessi vede leggermente avvantaggiate le donne che ottengono quasi il 54</w:t>
      </w:r>
      <w:r w:rsidR="00317081">
        <w:rPr>
          <w:rFonts w:ascii="Arial" w:hAnsi="Arial" w:cs="Arial"/>
          <w:sz w:val="22"/>
          <w:szCs w:val="22"/>
        </w:rPr>
        <w:t xml:space="preserve">% dei nuovi permessi emessi </w:t>
      </w:r>
      <w:r w:rsidRPr="00104C97">
        <w:rPr>
          <w:rFonts w:ascii="Arial" w:hAnsi="Arial" w:cs="Arial"/>
          <w:sz w:val="22"/>
          <w:szCs w:val="22"/>
        </w:rPr>
        <w:t xml:space="preserve">nel 2024. </w:t>
      </w:r>
    </w:p>
    <w:p w14:paraId="0238DA8B" w14:textId="135F5416" w:rsidR="00104C97" w:rsidRDefault="00304079" w:rsidP="009E5E5E">
      <w:pPr>
        <w:spacing w:after="80"/>
        <w:jc w:val="both"/>
        <w:rPr>
          <w:rFonts w:ascii="Arial" w:hAnsi="Arial" w:cs="Arial"/>
          <w:sz w:val="22"/>
          <w:szCs w:val="22"/>
        </w:rPr>
      </w:pPr>
      <w:r w:rsidRPr="00104C97">
        <w:rPr>
          <w:rFonts w:ascii="Arial" w:hAnsi="Arial" w:cs="Arial"/>
          <w:sz w:val="22"/>
          <w:szCs w:val="22"/>
        </w:rPr>
        <w:t>Il principale</w:t>
      </w:r>
      <w:r w:rsidR="00104C97" w:rsidRPr="00104C97">
        <w:rPr>
          <w:rFonts w:ascii="Arial" w:hAnsi="Arial" w:cs="Arial"/>
          <w:sz w:val="22"/>
          <w:szCs w:val="22"/>
        </w:rPr>
        <w:t xml:space="preserve"> </w:t>
      </w:r>
      <w:r w:rsidR="00972A89">
        <w:rPr>
          <w:rFonts w:ascii="Arial" w:hAnsi="Arial" w:cs="Arial"/>
          <w:sz w:val="22"/>
          <w:szCs w:val="22"/>
        </w:rPr>
        <w:t>P</w:t>
      </w:r>
      <w:r w:rsidR="00104C97" w:rsidRPr="00104C97">
        <w:rPr>
          <w:rFonts w:ascii="Arial" w:hAnsi="Arial" w:cs="Arial"/>
          <w:sz w:val="22"/>
          <w:szCs w:val="22"/>
        </w:rPr>
        <w:t>aese di cittadinanza dei gi</w:t>
      </w:r>
      <w:r w:rsidR="004A285B">
        <w:rPr>
          <w:rFonts w:ascii="Arial" w:hAnsi="Arial" w:cs="Arial"/>
          <w:sz w:val="22"/>
          <w:szCs w:val="22"/>
        </w:rPr>
        <w:t xml:space="preserve">ovani non comunitari che hanno </w:t>
      </w:r>
      <w:r w:rsidR="004A285B" w:rsidRPr="00F8500B">
        <w:rPr>
          <w:rFonts w:ascii="Arial" w:hAnsi="Arial" w:cs="Arial"/>
          <w:sz w:val="22"/>
          <w:szCs w:val="22"/>
        </w:rPr>
        <w:t>avuto un permesso per</w:t>
      </w:r>
      <w:r w:rsidR="00104C97" w:rsidRPr="00F8500B">
        <w:rPr>
          <w:rFonts w:ascii="Arial" w:hAnsi="Arial" w:cs="Arial"/>
          <w:sz w:val="22"/>
          <w:szCs w:val="22"/>
        </w:rPr>
        <w:t xml:space="preserve"> studiare</w:t>
      </w:r>
      <w:r w:rsidR="00104C97" w:rsidRPr="00104C97">
        <w:rPr>
          <w:rFonts w:ascii="Arial" w:hAnsi="Arial" w:cs="Arial"/>
          <w:sz w:val="22"/>
          <w:szCs w:val="22"/>
        </w:rPr>
        <w:t xml:space="preserve"> in Italia nel 2024 è l’Iran (3.083</w:t>
      </w:r>
      <w:r w:rsidR="00042E4A">
        <w:rPr>
          <w:rFonts w:ascii="Arial" w:hAnsi="Arial" w:cs="Arial"/>
          <w:sz w:val="22"/>
          <w:szCs w:val="22"/>
        </w:rPr>
        <w:t>)</w:t>
      </w:r>
      <w:r w:rsidR="00104C97" w:rsidRPr="00104C97">
        <w:rPr>
          <w:rFonts w:ascii="Arial" w:hAnsi="Arial" w:cs="Arial"/>
          <w:sz w:val="22"/>
          <w:szCs w:val="22"/>
        </w:rPr>
        <w:t>, seguono Cina (2.557), Turchia (1.722), India (1.031) e Pakistan (833). Diversa è la distribuzione di genere per le diverse cittadinanz</w:t>
      </w:r>
      <w:r w:rsidR="007F39F6">
        <w:rPr>
          <w:rFonts w:ascii="Arial" w:hAnsi="Arial" w:cs="Arial"/>
          <w:sz w:val="22"/>
          <w:szCs w:val="22"/>
        </w:rPr>
        <w:t>e</w:t>
      </w:r>
      <w:r w:rsidR="00104C97" w:rsidRPr="00104C97">
        <w:rPr>
          <w:rFonts w:ascii="Arial" w:hAnsi="Arial" w:cs="Arial"/>
          <w:sz w:val="22"/>
          <w:szCs w:val="22"/>
        </w:rPr>
        <w:t xml:space="preserve">: i permessi vengono rilasciati soprattutto a studentesse nel caso di Iran, Cina e Turchia; per l’India e il Pakistan prevalgono i ragazzi e in particolare per quest’ultimo </w:t>
      </w:r>
      <w:r w:rsidR="00A81768">
        <w:rPr>
          <w:rFonts w:ascii="Arial" w:hAnsi="Arial" w:cs="Arial"/>
          <w:sz w:val="22"/>
          <w:szCs w:val="22"/>
        </w:rPr>
        <w:t>p</w:t>
      </w:r>
      <w:r w:rsidR="00104C97" w:rsidRPr="00104C97">
        <w:rPr>
          <w:rFonts w:ascii="Arial" w:hAnsi="Arial" w:cs="Arial"/>
          <w:sz w:val="22"/>
          <w:szCs w:val="22"/>
        </w:rPr>
        <w:t xml:space="preserve">aese le ragazze rappresentano solo il 27% di chi arriva </w:t>
      </w:r>
      <w:r w:rsidR="00317081">
        <w:rPr>
          <w:rFonts w:ascii="Arial" w:hAnsi="Arial" w:cs="Arial"/>
          <w:sz w:val="22"/>
          <w:szCs w:val="22"/>
        </w:rPr>
        <w:t xml:space="preserve">in Italia </w:t>
      </w:r>
      <w:r w:rsidR="00104C97" w:rsidRPr="00104C97">
        <w:rPr>
          <w:rFonts w:ascii="Arial" w:hAnsi="Arial" w:cs="Arial"/>
          <w:sz w:val="22"/>
          <w:szCs w:val="22"/>
        </w:rPr>
        <w:t>per studio.</w:t>
      </w:r>
      <w:r w:rsidR="00E1371A">
        <w:rPr>
          <w:rFonts w:ascii="Arial" w:hAnsi="Arial" w:cs="Arial"/>
          <w:sz w:val="22"/>
          <w:szCs w:val="22"/>
        </w:rPr>
        <w:t xml:space="preserve"> </w:t>
      </w:r>
      <w:r w:rsidR="00104C97" w:rsidRPr="00104C97">
        <w:rPr>
          <w:rFonts w:ascii="Arial" w:hAnsi="Arial" w:cs="Arial"/>
          <w:sz w:val="22"/>
          <w:szCs w:val="22"/>
        </w:rPr>
        <w:t xml:space="preserve">Gli atenei che attirano maggiormente </w:t>
      </w:r>
      <w:r w:rsidR="00CE041B">
        <w:rPr>
          <w:rFonts w:ascii="Arial" w:hAnsi="Arial" w:cs="Arial"/>
          <w:sz w:val="22"/>
          <w:szCs w:val="22"/>
        </w:rPr>
        <w:t xml:space="preserve">gli studenti non comunitari </w:t>
      </w:r>
      <w:r w:rsidR="00750B40">
        <w:rPr>
          <w:rFonts w:ascii="Arial" w:hAnsi="Arial" w:cs="Arial"/>
          <w:sz w:val="22"/>
          <w:szCs w:val="22"/>
        </w:rPr>
        <w:t>sono in Lombardia (23,2%</w:t>
      </w:r>
      <w:r w:rsidR="00317081">
        <w:rPr>
          <w:rFonts w:ascii="Arial" w:hAnsi="Arial" w:cs="Arial"/>
          <w:sz w:val="22"/>
          <w:szCs w:val="22"/>
        </w:rPr>
        <w:t>)</w:t>
      </w:r>
      <w:r w:rsidR="00750B40">
        <w:rPr>
          <w:rFonts w:ascii="Arial" w:hAnsi="Arial" w:cs="Arial"/>
          <w:sz w:val="22"/>
          <w:szCs w:val="22"/>
        </w:rPr>
        <w:t xml:space="preserve"> e nel Lazio </w:t>
      </w:r>
      <w:r w:rsidR="00317081">
        <w:rPr>
          <w:rFonts w:ascii="Arial" w:hAnsi="Arial" w:cs="Arial"/>
          <w:sz w:val="22"/>
          <w:szCs w:val="22"/>
        </w:rPr>
        <w:t>(</w:t>
      </w:r>
      <w:r w:rsidR="00750B40">
        <w:rPr>
          <w:rFonts w:ascii="Arial" w:hAnsi="Arial" w:cs="Arial"/>
          <w:sz w:val="22"/>
          <w:szCs w:val="22"/>
        </w:rPr>
        <w:t>16,4%).</w:t>
      </w:r>
    </w:p>
    <w:p w14:paraId="55752F84" w14:textId="77777777" w:rsidR="00E1371A" w:rsidRPr="009E5E5E" w:rsidRDefault="00E1371A" w:rsidP="009E5E5E">
      <w:pPr>
        <w:spacing w:after="80"/>
        <w:jc w:val="both"/>
        <w:rPr>
          <w:rFonts w:ascii="Arial" w:hAnsi="Arial" w:cs="Arial"/>
          <w:sz w:val="8"/>
          <w:szCs w:val="22"/>
        </w:rPr>
      </w:pPr>
    </w:p>
    <w:p w14:paraId="4C92478E" w14:textId="77777777" w:rsidR="00104C97" w:rsidRPr="00A13566" w:rsidRDefault="00104C97" w:rsidP="009E5E5E">
      <w:pPr>
        <w:spacing w:after="80"/>
        <w:rPr>
          <w:rFonts w:ascii="Arial" w:hAnsi="Arial" w:cs="Arial"/>
          <w:b/>
          <w:color w:val="1F497D" w:themeColor="text2"/>
          <w:szCs w:val="26"/>
        </w:rPr>
      </w:pPr>
      <w:r w:rsidRPr="00A13566">
        <w:rPr>
          <w:rFonts w:ascii="Arial" w:hAnsi="Arial" w:cs="Arial"/>
          <w:b/>
          <w:color w:val="1F497D" w:themeColor="text2"/>
          <w:szCs w:val="26"/>
        </w:rPr>
        <w:t>Lieve flessione dei permessi per protezione</w:t>
      </w:r>
    </w:p>
    <w:p w14:paraId="22CFF545" w14:textId="597DAEF2" w:rsidR="00104C97" w:rsidRDefault="00104C97" w:rsidP="009E5E5E">
      <w:pPr>
        <w:spacing w:after="80"/>
        <w:jc w:val="both"/>
        <w:rPr>
          <w:rFonts w:ascii="Arial" w:hAnsi="Arial" w:cs="Arial"/>
          <w:sz w:val="22"/>
          <w:szCs w:val="22"/>
        </w:rPr>
      </w:pPr>
      <w:r w:rsidRPr="00104C97">
        <w:rPr>
          <w:rFonts w:ascii="Arial" w:hAnsi="Arial" w:cs="Arial"/>
          <w:sz w:val="22"/>
          <w:szCs w:val="22"/>
        </w:rPr>
        <w:t>I permessi rilasciati a persone in cerca di protezione risultano in leggera diminuzione: 2.177 in meno rispetto all’anno precedente</w:t>
      </w:r>
      <w:r w:rsidR="00330BD2">
        <w:rPr>
          <w:rFonts w:ascii="Arial" w:hAnsi="Arial" w:cs="Arial"/>
          <w:sz w:val="22"/>
          <w:szCs w:val="22"/>
        </w:rPr>
        <w:t xml:space="preserve">, </w:t>
      </w:r>
      <w:r w:rsidR="008B64DD">
        <w:rPr>
          <w:rFonts w:ascii="Arial" w:hAnsi="Arial" w:cs="Arial"/>
          <w:sz w:val="22"/>
          <w:szCs w:val="22"/>
        </w:rPr>
        <w:t>e rimangono</w:t>
      </w:r>
      <w:r w:rsidR="00330BD2">
        <w:rPr>
          <w:rFonts w:ascii="Arial" w:hAnsi="Arial" w:cs="Arial"/>
          <w:sz w:val="22"/>
          <w:szCs w:val="22"/>
        </w:rPr>
        <w:t xml:space="preserve"> una </w:t>
      </w:r>
      <w:r w:rsidR="008B64DD">
        <w:rPr>
          <w:rFonts w:ascii="Arial" w:hAnsi="Arial" w:cs="Arial"/>
          <w:sz w:val="22"/>
          <w:szCs w:val="22"/>
        </w:rPr>
        <w:t>quota rilevante</w:t>
      </w:r>
      <w:r w:rsidR="00330BD2">
        <w:rPr>
          <w:rFonts w:ascii="Arial" w:hAnsi="Arial" w:cs="Arial"/>
          <w:sz w:val="22"/>
          <w:szCs w:val="22"/>
        </w:rPr>
        <w:t xml:space="preserve"> (35,9% dei permessi)</w:t>
      </w:r>
      <w:r w:rsidRPr="00104C97">
        <w:rPr>
          <w:rFonts w:ascii="Arial" w:hAnsi="Arial" w:cs="Arial"/>
          <w:sz w:val="22"/>
          <w:szCs w:val="22"/>
        </w:rPr>
        <w:t>. Per questa motivazione la diminuzione riguarda solo le donne</w:t>
      </w:r>
      <w:r w:rsidR="007F4B6C">
        <w:rPr>
          <w:rFonts w:ascii="Arial" w:hAnsi="Arial" w:cs="Arial"/>
          <w:sz w:val="22"/>
          <w:szCs w:val="22"/>
        </w:rPr>
        <w:t xml:space="preserve"> (</w:t>
      </w:r>
      <w:r w:rsidRPr="00104C97">
        <w:rPr>
          <w:rFonts w:ascii="Arial" w:hAnsi="Arial" w:cs="Arial"/>
          <w:sz w:val="22"/>
          <w:szCs w:val="22"/>
        </w:rPr>
        <w:t>-17,3%</w:t>
      </w:r>
      <w:r w:rsidR="007F4B6C">
        <w:rPr>
          <w:rFonts w:ascii="Arial" w:hAnsi="Arial" w:cs="Arial"/>
          <w:sz w:val="22"/>
          <w:szCs w:val="22"/>
        </w:rPr>
        <w:t>)</w:t>
      </w:r>
      <w:r w:rsidRPr="00104C97">
        <w:rPr>
          <w:rFonts w:ascii="Arial" w:hAnsi="Arial" w:cs="Arial"/>
          <w:sz w:val="22"/>
          <w:szCs w:val="22"/>
        </w:rPr>
        <w:t xml:space="preserve"> </w:t>
      </w:r>
      <w:r w:rsidR="00317081">
        <w:rPr>
          <w:rFonts w:ascii="Arial" w:hAnsi="Arial" w:cs="Arial"/>
          <w:sz w:val="22"/>
          <w:szCs w:val="22"/>
        </w:rPr>
        <w:t>ed è ampiamente riconducibile alla contrazione dei flussi dall’Ucraina. P</w:t>
      </w:r>
      <w:r w:rsidRPr="00104C97">
        <w:rPr>
          <w:rFonts w:ascii="Arial" w:hAnsi="Arial" w:cs="Arial"/>
          <w:sz w:val="22"/>
          <w:szCs w:val="22"/>
        </w:rPr>
        <w:t>er gli uomini</w:t>
      </w:r>
      <w:r w:rsidR="00317081">
        <w:rPr>
          <w:rFonts w:ascii="Arial" w:hAnsi="Arial" w:cs="Arial"/>
          <w:sz w:val="22"/>
          <w:szCs w:val="22"/>
        </w:rPr>
        <w:t>, invece,</w:t>
      </w:r>
      <w:r w:rsidRPr="00104C97">
        <w:rPr>
          <w:rFonts w:ascii="Arial" w:hAnsi="Arial" w:cs="Arial"/>
          <w:sz w:val="22"/>
          <w:szCs w:val="22"/>
        </w:rPr>
        <w:t xml:space="preserve"> </w:t>
      </w:r>
      <w:r w:rsidR="007F4B6C">
        <w:rPr>
          <w:rFonts w:ascii="Arial" w:hAnsi="Arial" w:cs="Arial"/>
          <w:sz w:val="22"/>
          <w:szCs w:val="22"/>
        </w:rPr>
        <w:t>l’</w:t>
      </w:r>
      <w:r w:rsidRPr="00104C97">
        <w:rPr>
          <w:rFonts w:ascii="Arial" w:hAnsi="Arial" w:cs="Arial"/>
          <w:sz w:val="22"/>
          <w:szCs w:val="22"/>
        </w:rPr>
        <w:t>aumento</w:t>
      </w:r>
      <w:r w:rsidR="00061B12">
        <w:rPr>
          <w:rFonts w:ascii="Arial" w:hAnsi="Arial" w:cs="Arial"/>
          <w:sz w:val="22"/>
          <w:szCs w:val="22"/>
        </w:rPr>
        <w:t xml:space="preserve"> </w:t>
      </w:r>
      <w:r w:rsidR="007F4B6C">
        <w:rPr>
          <w:rFonts w:ascii="Arial" w:hAnsi="Arial" w:cs="Arial"/>
          <w:sz w:val="22"/>
          <w:szCs w:val="22"/>
        </w:rPr>
        <w:t xml:space="preserve">è </w:t>
      </w:r>
      <w:r w:rsidR="00061B12">
        <w:rPr>
          <w:rFonts w:ascii="Arial" w:hAnsi="Arial" w:cs="Arial"/>
          <w:sz w:val="22"/>
          <w:szCs w:val="22"/>
        </w:rPr>
        <w:t>del</w:t>
      </w:r>
      <w:r w:rsidRPr="00104C97">
        <w:rPr>
          <w:rFonts w:ascii="Arial" w:hAnsi="Arial" w:cs="Arial"/>
          <w:sz w:val="22"/>
          <w:szCs w:val="22"/>
        </w:rPr>
        <w:t xml:space="preserve"> 3,6%. Si deve comunque sottolineare che</w:t>
      </w:r>
      <w:r w:rsidR="00D86322">
        <w:rPr>
          <w:rFonts w:ascii="Arial" w:hAnsi="Arial" w:cs="Arial"/>
          <w:sz w:val="22"/>
          <w:szCs w:val="22"/>
        </w:rPr>
        <w:t>,</w:t>
      </w:r>
      <w:r w:rsidRPr="00104C97">
        <w:rPr>
          <w:rFonts w:ascii="Arial" w:hAnsi="Arial" w:cs="Arial"/>
          <w:sz w:val="22"/>
          <w:szCs w:val="22"/>
        </w:rPr>
        <w:t xml:space="preserve"> nonostante </w:t>
      </w:r>
      <w:r w:rsidR="007F4B6C">
        <w:rPr>
          <w:rFonts w:ascii="Arial" w:hAnsi="Arial" w:cs="Arial"/>
          <w:sz w:val="22"/>
          <w:szCs w:val="22"/>
        </w:rPr>
        <w:t>il calo</w:t>
      </w:r>
      <w:r w:rsidR="00D86322">
        <w:rPr>
          <w:rFonts w:ascii="Arial" w:hAnsi="Arial" w:cs="Arial"/>
          <w:sz w:val="22"/>
          <w:szCs w:val="22"/>
        </w:rPr>
        <w:t>,</w:t>
      </w:r>
      <w:r w:rsidRPr="00104C97">
        <w:rPr>
          <w:rFonts w:ascii="Arial" w:hAnsi="Arial" w:cs="Arial"/>
          <w:sz w:val="22"/>
          <w:szCs w:val="22"/>
        </w:rPr>
        <w:t xml:space="preserve"> per il 2024 </w:t>
      </w:r>
      <w:r w:rsidR="00E11D5B">
        <w:rPr>
          <w:rFonts w:ascii="Arial" w:hAnsi="Arial" w:cs="Arial"/>
          <w:sz w:val="22"/>
          <w:szCs w:val="22"/>
        </w:rPr>
        <w:t>essere</w:t>
      </w:r>
      <w:r w:rsidRPr="00104C97">
        <w:rPr>
          <w:rFonts w:ascii="Arial" w:hAnsi="Arial" w:cs="Arial"/>
          <w:sz w:val="22"/>
          <w:szCs w:val="22"/>
        </w:rPr>
        <w:t xml:space="preserve"> in cerca di protezione </w:t>
      </w:r>
      <w:r w:rsidR="00E11D5B">
        <w:rPr>
          <w:rFonts w:ascii="Arial" w:hAnsi="Arial" w:cs="Arial"/>
          <w:sz w:val="22"/>
          <w:szCs w:val="22"/>
        </w:rPr>
        <w:t>rappresenta</w:t>
      </w:r>
      <w:r w:rsidR="00E11D5B" w:rsidRPr="00104C97">
        <w:rPr>
          <w:rFonts w:ascii="Arial" w:hAnsi="Arial" w:cs="Arial"/>
          <w:sz w:val="22"/>
          <w:szCs w:val="22"/>
        </w:rPr>
        <w:t xml:space="preserve"> </w:t>
      </w:r>
      <w:r w:rsidRPr="00104C97">
        <w:rPr>
          <w:rFonts w:ascii="Arial" w:hAnsi="Arial" w:cs="Arial"/>
          <w:sz w:val="22"/>
          <w:szCs w:val="22"/>
        </w:rPr>
        <w:t>la seconda motivazione di arrivo in Italia</w:t>
      </w:r>
      <w:r w:rsidR="00E11D5B">
        <w:rPr>
          <w:rFonts w:ascii="Arial" w:hAnsi="Arial" w:cs="Arial"/>
          <w:sz w:val="22"/>
          <w:szCs w:val="22"/>
        </w:rPr>
        <w:t>,</w:t>
      </w:r>
      <w:r w:rsidRPr="00104C97">
        <w:rPr>
          <w:rFonts w:ascii="Arial" w:hAnsi="Arial" w:cs="Arial"/>
          <w:sz w:val="22"/>
          <w:szCs w:val="22"/>
        </w:rPr>
        <w:t xml:space="preserve"> con soltanto </w:t>
      </w:r>
      <w:r w:rsidR="00FD0FB1">
        <w:rPr>
          <w:rFonts w:ascii="Arial" w:hAnsi="Arial" w:cs="Arial"/>
          <w:sz w:val="22"/>
          <w:szCs w:val="22"/>
        </w:rPr>
        <w:t>623</w:t>
      </w:r>
      <w:r w:rsidR="00FD0FB1" w:rsidRPr="00104C97">
        <w:rPr>
          <w:rFonts w:ascii="Arial" w:hAnsi="Arial" w:cs="Arial"/>
          <w:sz w:val="22"/>
          <w:szCs w:val="22"/>
        </w:rPr>
        <w:t xml:space="preserve"> </w:t>
      </w:r>
      <w:r w:rsidRPr="00104C97">
        <w:rPr>
          <w:rFonts w:ascii="Arial" w:hAnsi="Arial" w:cs="Arial"/>
          <w:sz w:val="22"/>
          <w:szCs w:val="22"/>
        </w:rPr>
        <w:t xml:space="preserve">nuovi permessi in meno rispetto alla prima motivazione che resta il ricongiungimento familiare. </w:t>
      </w:r>
      <w:r w:rsidR="00264A23" w:rsidRPr="00104C97">
        <w:rPr>
          <w:rFonts w:ascii="Arial" w:hAnsi="Arial" w:cs="Arial"/>
          <w:sz w:val="22"/>
          <w:szCs w:val="22"/>
        </w:rPr>
        <w:t xml:space="preserve">Le tendenze confermano quindi la crescente rilevanza dei flussi di migrazioni forzate verso </w:t>
      </w:r>
      <w:r w:rsidR="00264A23">
        <w:rPr>
          <w:rFonts w:ascii="Arial" w:hAnsi="Arial" w:cs="Arial"/>
          <w:sz w:val="22"/>
          <w:szCs w:val="22"/>
        </w:rPr>
        <w:t>l’Italia</w:t>
      </w:r>
      <w:r w:rsidR="00264A23" w:rsidRPr="00104C97">
        <w:rPr>
          <w:rFonts w:ascii="Arial" w:hAnsi="Arial" w:cs="Arial"/>
          <w:sz w:val="22"/>
          <w:szCs w:val="22"/>
        </w:rPr>
        <w:t>.</w:t>
      </w:r>
    </w:p>
    <w:p w14:paraId="6683F2AF" w14:textId="77777777" w:rsidR="007F4B6C" w:rsidRDefault="007F4B6C" w:rsidP="00A13566">
      <w:pPr>
        <w:jc w:val="both"/>
        <w:rPr>
          <w:rFonts w:ascii="Arial" w:hAnsi="Arial" w:cs="Arial"/>
          <w:sz w:val="22"/>
          <w:szCs w:val="22"/>
        </w:rPr>
      </w:pPr>
    </w:p>
    <w:p w14:paraId="0AB89D1C" w14:textId="4A6F7244" w:rsidR="009F73BB" w:rsidRDefault="00CD2A32" w:rsidP="009F73BB">
      <w:pPr>
        <w:autoSpaceDE w:val="0"/>
        <w:autoSpaceDN w:val="0"/>
        <w:adjustRightInd w:val="0"/>
        <w:rPr>
          <w:rFonts w:ascii="Arial Narrow" w:hAnsi="Arial Narrow"/>
          <w:iCs/>
          <w:noProof/>
          <w:color w:val="1F497D" w:themeColor="text2"/>
          <w:sz w:val="22"/>
          <w:szCs w:val="22"/>
        </w:rPr>
      </w:pPr>
      <w:r>
        <w:rPr>
          <w:rFonts w:ascii="Arial Black" w:hAnsi="Arial Black"/>
          <w:iCs/>
          <w:noProof/>
          <w:color w:val="1F497D" w:themeColor="text2"/>
          <w:sz w:val="22"/>
          <w:szCs w:val="22"/>
        </w:rPr>
        <w:t>FIGURA</w:t>
      </w:r>
      <w:r w:rsidR="001D7CF3" w:rsidRPr="00C11081">
        <w:rPr>
          <w:rFonts w:ascii="Arial Black" w:hAnsi="Arial Black"/>
          <w:iCs/>
          <w:noProof/>
          <w:color w:val="1F497D" w:themeColor="text2"/>
          <w:sz w:val="22"/>
          <w:szCs w:val="22"/>
        </w:rPr>
        <w:t xml:space="preserve"> 1. </w:t>
      </w:r>
      <w:r w:rsidR="001D7CF3" w:rsidRPr="00EA0000">
        <w:rPr>
          <w:rFonts w:ascii="Arial Narrow" w:hAnsi="Arial Narrow" w:cs="Arial"/>
          <w:b/>
          <w:iCs/>
          <w:noProof/>
          <w:color w:val="1F497D" w:themeColor="text2"/>
          <w:sz w:val="22"/>
          <w:szCs w:val="22"/>
        </w:rPr>
        <w:t>CITTADINI NON COMUNITARI ENTRATI IN ITALIA PER MOTIVO DEL PERMESSO</w:t>
      </w:r>
      <w:r w:rsidR="00904075" w:rsidRPr="00EA0000">
        <w:rPr>
          <w:rFonts w:ascii="Arial Narrow" w:hAnsi="Arial Narrow" w:cs="Arial"/>
          <w:iCs/>
          <w:noProof/>
          <w:color w:val="1F497D" w:themeColor="text2"/>
          <w:sz w:val="22"/>
          <w:szCs w:val="22"/>
        </w:rPr>
        <w:t xml:space="preserve">. </w:t>
      </w:r>
      <w:r w:rsidR="00904075" w:rsidRPr="00EA0000">
        <w:rPr>
          <w:rFonts w:ascii="Arial Narrow" w:hAnsi="Arial Narrow"/>
          <w:iCs/>
          <w:noProof/>
          <w:color w:val="1F497D" w:themeColor="text2"/>
          <w:sz w:val="22"/>
          <w:szCs w:val="22"/>
        </w:rPr>
        <w:t>A</w:t>
      </w:r>
      <w:r w:rsidR="00904075" w:rsidRPr="009A7D91">
        <w:rPr>
          <w:rFonts w:ascii="Arial Narrow" w:hAnsi="Arial Narrow"/>
          <w:iCs/>
          <w:noProof/>
          <w:color w:val="1F497D" w:themeColor="text2"/>
          <w:sz w:val="22"/>
          <w:szCs w:val="22"/>
        </w:rPr>
        <w:t>nni 2011-202</w:t>
      </w:r>
      <w:r w:rsidR="00104C97">
        <w:rPr>
          <w:rFonts w:ascii="Arial Narrow" w:hAnsi="Arial Narrow"/>
          <w:iCs/>
          <w:noProof/>
          <w:color w:val="1F497D" w:themeColor="text2"/>
          <w:sz w:val="22"/>
          <w:szCs w:val="22"/>
        </w:rPr>
        <w:t>4</w:t>
      </w:r>
      <w:r w:rsidR="00904075" w:rsidRPr="009A7D91">
        <w:rPr>
          <w:rFonts w:ascii="Arial Narrow" w:hAnsi="Arial Narrow"/>
          <w:iCs/>
          <w:noProof/>
          <w:color w:val="1F497D" w:themeColor="text2"/>
          <w:sz w:val="22"/>
          <w:szCs w:val="22"/>
        </w:rPr>
        <w:t>, valori assoluti.</w:t>
      </w:r>
    </w:p>
    <w:p w14:paraId="1E91F85D" w14:textId="77777777" w:rsidR="003B2FDE" w:rsidRPr="00A13566" w:rsidRDefault="003B2FDE" w:rsidP="009F73BB">
      <w:pPr>
        <w:autoSpaceDE w:val="0"/>
        <w:autoSpaceDN w:val="0"/>
        <w:adjustRightInd w:val="0"/>
        <w:rPr>
          <w:rFonts w:ascii="Arial Narrow" w:hAnsi="Arial Narrow"/>
          <w:iCs/>
          <w:noProof/>
          <w:color w:val="1F497D" w:themeColor="text2"/>
          <w:sz w:val="18"/>
          <w:szCs w:val="22"/>
        </w:rPr>
      </w:pPr>
    </w:p>
    <w:p w14:paraId="791321D8" w14:textId="7510BCD6" w:rsidR="009F73BB" w:rsidRPr="002A7D5C" w:rsidRDefault="00D05173" w:rsidP="0094277E">
      <w:pPr>
        <w:autoSpaceDE w:val="0"/>
        <w:autoSpaceDN w:val="0"/>
        <w:adjustRightInd w:val="0"/>
        <w:jc w:val="both"/>
        <w:rPr>
          <w:rFonts w:ascii="Arial Narrow" w:hAnsi="Arial Narrow"/>
          <w:iCs/>
          <w:noProof/>
          <w:color w:val="1F497D" w:themeColor="text2"/>
          <w:sz w:val="18"/>
          <w:szCs w:val="22"/>
        </w:rPr>
      </w:pPr>
      <w:r>
        <w:rPr>
          <w:noProof/>
        </w:rPr>
        <w:drawing>
          <wp:inline distT="0" distB="0" distL="0" distR="0" wp14:anchorId="0760B876" wp14:editId="1D1EDB04">
            <wp:extent cx="6287770" cy="2266121"/>
            <wp:effectExtent l="0" t="0" r="0" b="0"/>
            <wp:docPr id="4" name="Grafico 4">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A71ABB" w14:textId="77777777" w:rsidR="008429C2" w:rsidRPr="00A13566" w:rsidRDefault="008429C2" w:rsidP="00E53090">
      <w:pPr>
        <w:spacing w:after="120"/>
        <w:jc w:val="both"/>
        <w:rPr>
          <w:rFonts w:ascii="Arial" w:hAnsi="Arial" w:cs="Arial"/>
          <w:sz w:val="8"/>
          <w:szCs w:val="22"/>
        </w:rPr>
      </w:pPr>
    </w:p>
    <w:p w14:paraId="40AEA5C1" w14:textId="2685C6A1" w:rsidR="00E53090" w:rsidRDefault="00E2219F" w:rsidP="00E53090">
      <w:pPr>
        <w:spacing w:after="120"/>
        <w:jc w:val="both"/>
        <w:rPr>
          <w:rFonts w:ascii="Arial" w:hAnsi="Arial" w:cs="Arial"/>
          <w:sz w:val="22"/>
          <w:szCs w:val="22"/>
        </w:rPr>
      </w:pPr>
      <w:r w:rsidRPr="00104C97">
        <w:rPr>
          <w:rFonts w:ascii="Arial" w:hAnsi="Arial" w:cs="Arial"/>
          <w:sz w:val="22"/>
          <w:szCs w:val="22"/>
        </w:rPr>
        <w:lastRenderedPageBreak/>
        <w:t xml:space="preserve">Nel 2024 i primi cinque </w:t>
      </w:r>
      <w:r w:rsidR="004C127D">
        <w:rPr>
          <w:rFonts w:ascii="Arial" w:hAnsi="Arial" w:cs="Arial"/>
          <w:sz w:val="22"/>
          <w:szCs w:val="22"/>
        </w:rPr>
        <w:t>P</w:t>
      </w:r>
      <w:r w:rsidRPr="00104C97">
        <w:rPr>
          <w:rFonts w:ascii="Arial" w:hAnsi="Arial" w:cs="Arial"/>
          <w:sz w:val="22"/>
          <w:szCs w:val="22"/>
        </w:rPr>
        <w:t xml:space="preserve">aesi di origine dei migranti che </w:t>
      </w:r>
      <w:r w:rsidR="00DF47E0">
        <w:rPr>
          <w:rFonts w:ascii="Arial" w:hAnsi="Arial" w:cs="Arial"/>
          <w:sz w:val="22"/>
          <w:szCs w:val="22"/>
        </w:rPr>
        <w:t xml:space="preserve">hanno ottenuto un primo permesso di soggiorno per richiesta asilo o altra forma di protezione </w:t>
      </w:r>
      <w:r w:rsidRPr="00104C97">
        <w:rPr>
          <w:rFonts w:ascii="Arial" w:hAnsi="Arial" w:cs="Arial"/>
          <w:sz w:val="22"/>
          <w:szCs w:val="22"/>
        </w:rPr>
        <w:t>in Italia sono: Bangladesh (18.704)</w:t>
      </w:r>
      <w:r w:rsidR="004C127D">
        <w:rPr>
          <w:rFonts w:ascii="Arial" w:hAnsi="Arial" w:cs="Arial"/>
          <w:sz w:val="22"/>
          <w:szCs w:val="22"/>
        </w:rPr>
        <w:t>,</w:t>
      </w:r>
      <w:r w:rsidRPr="00104C97">
        <w:rPr>
          <w:rFonts w:ascii="Arial" w:hAnsi="Arial" w:cs="Arial"/>
          <w:sz w:val="22"/>
          <w:szCs w:val="22"/>
        </w:rPr>
        <w:t xml:space="preserve"> Ucraina (11.329), Pakistan (10.514), Egitto (8</w:t>
      </w:r>
      <w:r w:rsidR="00C24EAF">
        <w:rPr>
          <w:rFonts w:ascii="Arial" w:hAnsi="Arial" w:cs="Arial"/>
          <w:sz w:val="22"/>
          <w:szCs w:val="22"/>
        </w:rPr>
        <w:t>.</w:t>
      </w:r>
      <w:r w:rsidRPr="00104C97">
        <w:rPr>
          <w:rFonts w:ascii="Arial" w:hAnsi="Arial" w:cs="Arial"/>
          <w:sz w:val="22"/>
          <w:szCs w:val="22"/>
        </w:rPr>
        <w:t xml:space="preserve">610) e Perù (7.905). </w:t>
      </w:r>
      <w:r w:rsidR="00E53090">
        <w:rPr>
          <w:rFonts w:ascii="Arial" w:hAnsi="Arial" w:cs="Arial"/>
          <w:sz w:val="22"/>
          <w:szCs w:val="22"/>
        </w:rPr>
        <w:t>Considerando</w:t>
      </w:r>
      <w:r w:rsidR="00E53090" w:rsidRPr="00104C97">
        <w:rPr>
          <w:rFonts w:ascii="Arial" w:hAnsi="Arial" w:cs="Arial"/>
          <w:sz w:val="22"/>
          <w:szCs w:val="22"/>
        </w:rPr>
        <w:t xml:space="preserve"> i primi 10 </w:t>
      </w:r>
      <w:r w:rsidR="004C127D">
        <w:rPr>
          <w:rFonts w:ascii="Arial" w:hAnsi="Arial" w:cs="Arial"/>
          <w:sz w:val="22"/>
          <w:szCs w:val="22"/>
        </w:rPr>
        <w:t>P</w:t>
      </w:r>
      <w:r w:rsidR="00E53090" w:rsidRPr="00104C97">
        <w:rPr>
          <w:rFonts w:ascii="Arial" w:hAnsi="Arial" w:cs="Arial"/>
          <w:sz w:val="22"/>
          <w:szCs w:val="22"/>
        </w:rPr>
        <w:t xml:space="preserve">aesi per numero di ingressi </w:t>
      </w:r>
      <w:r w:rsidR="00DF47E0">
        <w:rPr>
          <w:rFonts w:ascii="Arial" w:hAnsi="Arial" w:cs="Arial"/>
          <w:sz w:val="22"/>
          <w:szCs w:val="22"/>
        </w:rPr>
        <w:t xml:space="preserve">per asilo e </w:t>
      </w:r>
      <w:r w:rsidR="00E53090" w:rsidRPr="00104C97">
        <w:rPr>
          <w:rFonts w:ascii="Arial" w:hAnsi="Arial" w:cs="Arial"/>
          <w:sz w:val="22"/>
          <w:szCs w:val="22"/>
        </w:rPr>
        <w:t xml:space="preserve">protezione </w:t>
      </w:r>
      <w:r w:rsidR="00E53090" w:rsidRPr="00E44F26">
        <w:rPr>
          <w:rFonts w:ascii="Arial" w:hAnsi="Arial" w:cs="Arial"/>
          <w:sz w:val="22"/>
          <w:szCs w:val="22"/>
        </w:rPr>
        <w:t xml:space="preserve">diminuiscono notevolmente </w:t>
      </w:r>
      <w:r w:rsidR="00DF47E0">
        <w:rPr>
          <w:rFonts w:ascii="Arial" w:hAnsi="Arial" w:cs="Arial"/>
          <w:sz w:val="22"/>
          <w:szCs w:val="22"/>
        </w:rPr>
        <w:t>i nuovi permessi rilasciati a cittadini</w:t>
      </w:r>
      <w:r w:rsidR="00E53090" w:rsidRPr="00E44F26">
        <w:rPr>
          <w:rFonts w:ascii="Arial" w:hAnsi="Arial" w:cs="Arial"/>
          <w:sz w:val="22"/>
          <w:szCs w:val="22"/>
        </w:rPr>
        <w:t xml:space="preserve"> d</w:t>
      </w:r>
      <w:r w:rsidR="00DF47E0">
        <w:rPr>
          <w:rFonts w:ascii="Arial" w:hAnsi="Arial" w:cs="Arial"/>
          <w:sz w:val="22"/>
          <w:szCs w:val="22"/>
        </w:rPr>
        <w:t>e</w:t>
      </w:r>
      <w:r w:rsidR="00E53090" w:rsidRPr="00E44F26">
        <w:rPr>
          <w:rFonts w:ascii="Arial" w:hAnsi="Arial" w:cs="Arial"/>
          <w:sz w:val="22"/>
          <w:szCs w:val="22"/>
        </w:rPr>
        <w:t xml:space="preserve">ll’Ucraina </w:t>
      </w:r>
      <w:r w:rsidR="00C60515">
        <w:rPr>
          <w:rFonts w:ascii="Arial" w:hAnsi="Arial" w:cs="Arial"/>
          <w:sz w:val="22"/>
          <w:szCs w:val="22"/>
        </w:rPr>
        <w:br/>
      </w:r>
      <w:r w:rsidR="00E53090" w:rsidRPr="00E44F26">
        <w:rPr>
          <w:rFonts w:ascii="Arial" w:hAnsi="Arial" w:cs="Arial"/>
          <w:sz w:val="22"/>
          <w:szCs w:val="22"/>
        </w:rPr>
        <w:t xml:space="preserve">(-54,3%) e </w:t>
      </w:r>
      <w:r w:rsidR="00C24EAF" w:rsidRPr="00E44F26">
        <w:rPr>
          <w:rFonts w:ascii="Arial" w:hAnsi="Arial" w:cs="Arial"/>
          <w:sz w:val="22"/>
          <w:szCs w:val="22"/>
        </w:rPr>
        <w:t>–</w:t>
      </w:r>
      <w:r w:rsidR="00C24EAF">
        <w:rPr>
          <w:rFonts w:ascii="Arial" w:hAnsi="Arial" w:cs="Arial"/>
          <w:sz w:val="22"/>
          <w:szCs w:val="22"/>
        </w:rPr>
        <w:t xml:space="preserve"> </w:t>
      </w:r>
      <w:r w:rsidR="00E53090" w:rsidRPr="00E44F26">
        <w:rPr>
          <w:rFonts w:ascii="Arial" w:hAnsi="Arial" w:cs="Arial"/>
          <w:sz w:val="22"/>
          <w:szCs w:val="22"/>
        </w:rPr>
        <w:t xml:space="preserve">in misura minore – </w:t>
      </w:r>
      <w:r w:rsidR="00DF47E0">
        <w:rPr>
          <w:rFonts w:ascii="Arial" w:hAnsi="Arial" w:cs="Arial"/>
          <w:sz w:val="22"/>
          <w:szCs w:val="22"/>
        </w:rPr>
        <w:t xml:space="preserve">a </w:t>
      </w:r>
      <w:r w:rsidR="00E53090" w:rsidRPr="00E44F26">
        <w:rPr>
          <w:rFonts w:ascii="Arial" w:hAnsi="Arial" w:cs="Arial"/>
          <w:sz w:val="22"/>
          <w:szCs w:val="22"/>
        </w:rPr>
        <w:t>quelli d</w:t>
      </w:r>
      <w:r w:rsidR="00DF47E0">
        <w:rPr>
          <w:rFonts w:ascii="Arial" w:hAnsi="Arial" w:cs="Arial"/>
          <w:sz w:val="22"/>
          <w:szCs w:val="22"/>
        </w:rPr>
        <w:t>ell’</w:t>
      </w:r>
      <w:r w:rsidR="00E53090" w:rsidRPr="00E44F26">
        <w:rPr>
          <w:rFonts w:ascii="Arial" w:hAnsi="Arial" w:cs="Arial"/>
          <w:sz w:val="22"/>
          <w:szCs w:val="22"/>
        </w:rPr>
        <w:t xml:space="preserve">Egitto (-24,2%) e </w:t>
      </w:r>
      <w:r w:rsidR="00DF47E0">
        <w:rPr>
          <w:rFonts w:ascii="Arial" w:hAnsi="Arial" w:cs="Arial"/>
          <w:sz w:val="22"/>
          <w:szCs w:val="22"/>
        </w:rPr>
        <w:t xml:space="preserve">del </w:t>
      </w:r>
      <w:r w:rsidR="00E53090" w:rsidRPr="00E44F26">
        <w:rPr>
          <w:rFonts w:ascii="Arial" w:hAnsi="Arial" w:cs="Arial"/>
          <w:sz w:val="22"/>
          <w:szCs w:val="22"/>
        </w:rPr>
        <w:t>Pakistan</w:t>
      </w:r>
      <w:r w:rsidRPr="00E44F26">
        <w:rPr>
          <w:rFonts w:ascii="Arial" w:hAnsi="Arial" w:cs="Arial"/>
          <w:sz w:val="22"/>
          <w:szCs w:val="22"/>
        </w:rPr>
        <w:t xml:space="preserve"> </w:t>
      </w:r>
      <w:r w:rsidR="00E53090" w:rsidRPr="00E44F26">
        <w:rPr>
          <w:rFonts w:ascii="Arial" w:hAnsi="Arial" w:cs="Arial"/>
          <w:sz w:val="22"/>
          <w:szCs w:val="22"/>
        </w:rPr>
        <w:t>(-21,4%). Aumentano</w:t>
      </w:r>
      <w:r w:rsidR="00E53090" w:rsidRPr="00104C97">
        <w:rPr>
          <w:rFonts w:ascii="Arial" w:hAnsi="Arial" w:cs="Arial"/>
          <w:sz w:val="22"/>
          <w:szCs w:val="22"/>
        </w:rPr>
        <w:t xml:space="preserve"> </w:t>
      </w:r>
      <w:r w:rsidR="00E53090">
        <w:rPr>
          <w:rFonts w:ascii="Arial" w:hAnsi="Arial" w:cs="Arial"/>
          <w:sz w:val="22"/>
          <w:szCs w:val="22"/>
        </w:rPr>
        <w:t xml:space="preserve">invece </w:t>
      </w:r>
      <w:r w:rsidR="00E53090" w:rsidRPr="00104C97">
        <w:rPr>
          <w:rFonts w:ascii="Arial" w:hAnsi="Arial" w:cs="Arial"/>
          <w:sz w:val="22"/>
          <w:szCs w:val="22"/>
        </w:rPr>
        <w:t>gli arrivi dal Marocco (+93,6%), dalla Tunisia (+91,1%) e dal Perù (+86,5%).</w:t>
      </w:r>
      <w:r w:rsidR="00E53090">
        <w:rPr>
          <w:rFonts w:ascii="Arial" w:hAnsi="Arial" w:cs="Arial"/>
          <w:sz w:val="22"/>
          <w:szCs w:val="22"/>
        </w:rPr>
        <w:t xml:space="preserve"> La Lombardia è la regione in cui si concentra il rilascio di permessi per protezione (19,3%). Seguono </w:t>
      </w:r>
      <w:r w:rsidR="007F39F6">
        <w:rPr>
          <w:rFonts w:ascii="Arial" w:hAnsi="Arial" w:cs="Arial"/>
          <w:sz w:val="22"/>
          <w:szCs w:val="22"/>
        </w:rPr>
        <w:t>Emilia-</w:t>
      </w:r>
      <w:r w:rsidR="00E53090">
        <w:rPr>
          <w:rFonts w:ascii="Arial" w:hAnsi="Arial" w:cs="Arial"/>
          <w:sz w:val="22"/>
          <w:szCs w:val="22"/>
        </w:rPr>
        <w:t>Romagna e Toscana (entrambe con il 9,1%).</w:t>
      </w:r>
    </w:p>
    <w:p w14:paraId="793CA0F4" w14:textId="77777777" w:rsidR="00FA7178" w:rsidRDefault="00FA7178" w:rsidP="00E53090">
      <w:pPr>
        <w:spacing w:after="120"/>
        <w:jc w:val="both"/>
        <w:rPr>
          <w:rFonts w:ascii="Arial" w:hAnsi="Arial" w:cs="Arial"/>
          <w:sz w:val="22"/>
          <w:szCs w:val="22"/>
        </w:rPr>
      </w:pPr>
    </w:p>
    <w:p w14:paraId="5C7C871A" w14:textId="0053F987" w:rsidR="00104C97" w:rsidRPr="00104C97" w:rsidRDefault="00104C97" w:rsidP="00104C97">
      <w:pPr>
        <w:spacing w:after="120"/>
        <w:rPr>
          <w:rFonts w:ascii="Arial" w:hAnsi="Arial" w:cs="Arial"/>
          <w:b/>
          <w:color w:val="1F497D" w:themeColor="text2"/>
          <w:sz w:val="26"/>
          <w:szCs w:val="26"/>
        </w:rPr>
      </w:pPr>
      <w:r w:rsidRPr="00104C97">
        <w:rPr>
          <w:rFonts w:ascii="Arial" w:hAnsi="Arial" w:cs="Arial"/>
          <w:b/>
          <w:color w:val="1F497D" w:themeColor="text2"/>
          <w:sz w:val="26"/>
          <w:szCs w:val="26"/>
        </w:rPr>
        <w:t xml:space="preserve">Richieste di asilo: uomini dal Bangladesh e donne dal Perù </w:t>
      </w:r>
    </w:p>
    <w:p w14:paraId="350ECC23" w14:textId="2A7C5015" w:rsidR="00104C97" w:rsidRPr="00104C97" w:rsidRDefault="00104C97" w:rsidP="00104C97">
      <w:pPr>
        <w:spacing w:after="120"/>
        <w:jc w:val="both"/>
        <w:rPr>
          <w:rFonts w:ascii="Arial" w:hAnsi="Arial" w:cs="Arial"/>
          <w:sz w:val="22"/>
          <w:szCs w:val="22"/>
        </w:rPr>
      </w:pPr>
      <w:r w:rsidRPr="00104C97">
        <w:rPr>
          <w:rFonts w:ascii="Arial" w:hAnsi="Arial" w:cs="Arial"/>
          <w:sz w:val="22"/>
          <w:szCs w:val="22"/>
        </w:rPr>
        <w:t>Negli ultimi anni i flussi di persone in cerca di asilo sono divenuti una componente importante della dinamica migratoria in Italia. I permessi di soggiorno consentono solo in parte di contabilizzare questa tipologia di flussi che, in alcuni casi, non danno luogo</w:t>
      </w:r>
      <w:r w:rsidR="00D86322">
        <w:rPr>
          <w:rFonts w:ascii="Arial" w:hAnsi="Arial" w:cs="Arial"/>
          <w:sz w:val="22"/>
          <w:szCs w:val="22"/>
        </w:rPr>
        <w:t xml:space="preserve"> -</w:t>
      </w:r>
      <w:r w:rsidRPr="00104C97">
        <w:rPr>
          <w:rFonts w:ascii="Arial" w:hAnsi="Arial" w:cs="Arial"/>
          <w:sz w:val="22"/>
          <w:szCs w:val="22"/>
        </w:rPr>
        <w:t xml:space="preserve"> </w:t>
      </w:r>
      <w:r w:rsidRPr="00A949BB">
        <w:rPr>
          <w:rFonts w:ascii="Arial" w:hAnsi="Arial" w:cs="Arial"/>
          <w:sz w:val="22"/>
          <w:szCs w:val="22"/>
        </w:rPr>
        <w:t>almeno non subito</w:t>
      </w:r>
      <w:r w:rsidR="00D86322" w:rsidRPr="00A949BB">
        <w:rPr>
          <w:rFonts w:ascii="Arial" w:hAnsi="Arial" w:cs="Arial"/>
          <w:sz w:val="22"/>
          <w:szCs w:val="22"/>
        </w:rPr>
        <w:t xml:space="preserve"> -</w:t>
      </w:r>
      <w:r w:rsidRPr="00A949BB">
        <w:rPr>
          <w:rFonts w:ascii="Arial" w:hAnsi="Arial" w:cs="Arial"/>
          <w:sz w:val="22"/>
          <w:szCs w:val="22"/>
        </w:rPr>
        <w:t xml:space="preserve"> al rilascio di un permesso di soggiorno. Per fornire un quadro più completo di questo tipo di arrivi e d</w:t>
      </w:r>
      <w:r w:rsidR="001F5A44" w:rsidRPr="00A949BB">
        <w:rPr>
          <w:rFonts w:ascii="Arial" w:hAnsi="Arial" w:cs="Arial"/>
          <w:sz w:val="22"/>
          <w:szCs w:val="22"/>
        </w:rPr>
        <w:t>ella</w:t>
      </w:r>
      <w:r w:rsidRPr="00A949BB">
        <w:rPr>
          <w:rFonts w:ascii="Arial" w:hAnsi="Arial" w:cs="Arial"/>
          <w:sz w:val="22"/>
          <w:szCs w:val="22"/>
        </w:rPr>
        <w:t xml:space="preserve"> presenza </w:t>
      </w:r>
      <w:r w:rsidR="004B7DE5" w:rsidRPr="00A949BB">
        <w:rPr>
          <w:rFonts w:ascii="Arial" w:hAnsi="Arial" w:cs="Arial"/>
          <w:sz w:val="22"/>
          <w:szCs w:val="22"/>
        </w:rPr>
        <w:t xml:space="preserve">complessiva </w:t>
      </w:r>
      <w:r w:rsidR="001F5A44" w:rsidRPr="00A949BB">
        <w:rPr>
          <w:rFonts w:ascii="Arial" w:hAnsi="Arial" w:cs="Arial"/>
          <w:sz w:val="22"/>
          <w:szCs w:val="22"/>
        </w:rPr>
        <w:t xml:space="preserve">di cittadini non comunitari sul territorio </w:t>
      </w:r>
      <w:r w:rsidR="004B7DE5" w:rsidRPr="00A949BB">
        <w:rPr>
          <w:rFonts w:ascii="Arial" w:hAnsi="Arial" w:cs="Arial"/>
          <w:sz w:val="22"/>
          <w:szCs w:val="22"/>
        </w:rPr>
        <w:t xml:space="preserve">è utile pertanto analizzare </w:t>
      </w:r>
      <w:r w:rsidR="00B3578B" w:rsidRPr="00A949BB">
        <w:rPr>
          <w:rFonts w:ascii="Arial" w:hAnsi="Arial" w:cs="Arial"/>
          <w:sz w:val="22"/>
          <w:szCs w:val="22"/>
        </w:rPr>
        <w:t xml:space="preserve">anche </w:t>
      </w:r>
      <w:r w:rsidRPr="00A949BB">
        <w:rPr>
          <w:rFonts w:ascii="Arial" w:hAnsi="Arial" w:cs="Arial"/>
          <w:sz w:val="22"/>
          <w:szCs w:val="22"/>
        </w:rPr>
        <w:t>le richieste di asilo.</w:t>
      </w:r>
    </w:p>
    <w:p w14:paraId="698A7CBD" w14:textId="4D425A8D" w:rsidR="00104C97" w:rsidRPr="00464867" w:rsidRDefault="00104C97" w:rsidP="007827EE">
      <w:pPr>
        <w:spacing w:after="120"/>
        <w:jc w:val="both"/>
        <w:rPr>
          <w:rFonts w:ascii="Arial" w:hAnsi="Arial" w:cs="Arial"/>
          <w:sz w:val="22"/>
          <w:szCs w:val="22"/>
        </w:rPr>
      </w:pPr>
      <w:r w:rsidRPr="00104C97">
        <w:rPr>
          <w:rFonts w:ascii="Arial" w:hAnsi="Arial" w:cs="Arial"/>
          <w:sz w:val="22"/>
          <w:szCs w:val="22"/>
        </w:rPr>
        <w:t>Nel 2024</w:t>
      </w:r>
      <w:r w:rsidR="00E73FD9">
        <w:rPr>
          <w:rFonts w:ascii="Arial" w:hAnsi="Arial" w:cs="Arial"/>
          <w:sz w:val="22"/>
          <w:szCs w:val="22"/>
        </w:rPr>
        <w:t>, sulla base dei dati Eurostat,</w:t>
      </w:r>
      <w:r w:rsidRPr="00104C97">
        <w:rPr>
          <w:rFonts w:ascii="Arial" w:hAnsi="Arial" w:cs="Arial"/>
          <w:sz w:val="22"/>
          <w:szCs w:val="22"/>
        </w:rPr>
        <w:t xml:space="preserve"> le persone che hanno presentato una prima richi</w:t>
      </w:r>
      <w:r w:rsidR="00D20930">
        <w:rPr>
          <w:rFonts w:ascii="Arial" w:hAnsi="Arial" w:cs="Arial"/>
          <w:sz w:val="22"/>
          <w:szCs w:val="22"/>
        </w:rPr>
        <w:t xml:space="preserve">esta di asilo sono state </w:t>
      </w:r>
      <w:r w:rsidR="006D705A">
        <w:rPr>
          <w:rFonts w:ascii="Arial" w:hAnsi="Arial" w:cs="Arial"/>
          <w:sz w:val="22"/>
          <w:szCs w:val="22"/>
        </w:rPr>
        <w:t>151.120</w:t>
      </w:r>
      <w:r w:rsidR="00D20930">
        <w:rPr>
          <w:rFonts w:ascii="Arial" w:hAnsi="Arial" w:cs="Arial"/>
          <w:sz w:val="22"/>
          <w:szCs w:val="22"/>
        </w:rPr>
        <w:t xml:space="preserve">, in aumento (+ </w:t>
      </w:r>
      <w:r w:rsidR="006D705A">
        <w:rPr>
          <w:rFonts w:ascii="Arial" w:hAnsi="Arial" w:cs="Arial"/>
          <w:sz w:val="22"/>
          <w:szCs w:val="22"/>
        </w:rPr>
        <w:t>15</w:t>
      </w:r>
      <w:r w:rsidR="00D20930">
        <w:rPr>
          <w:rFonts w:ascii="Arial" w:hAnsi="Arial" w:cs="Arial"/>
          <w:sz w:val="22"/>
          <w:szCs w:val="22"/>
        </w:rPr>
        <w:t>,</w:t>
      </w:r>
      <w:r w:rsidR="006D705A">
        <w:rPr>
          <w:rFonts w:ascii="Arial" w:hAnsi="Arial" w:cs="Arial"/>
          <w:sz w:val="22"/>
          <w:szCs w:val="22"/>
        </w:rPr>
        <w:t>7</w:t>
      </w:r>
      <w:r w:rsidRPr="00104C97">
        <w:rPr>
          <w:rFonts w:ascii="Arial" w:hAnsi="Arial" w:cs="Arial"/>
          <w:sz w:val="22"/>
          <w:szCs w:val="22"/>
        </w:rPr>
        <w:t>%) rispetto al 2023</w:t>
      </w:r>
      <w:r w:rsidR="00B3578B">
        <w:rPr>
          <w:rFonts w:ascii="Arial" w:hAnsi="Arial" w:cs="Arial"/>
          <w:sz w:val="22"/>
          <w:szCs w:val="22"/>
        </w:rPr>
        <w:t>,</w:t>
      </w:r>
      <w:r w:rsidRPr="00104C97">
        <w:rPr>
          <w:rFonts w:ascii="Arial" w:hAnsi="Arial" w:cs="Arial"/>
          <w:sz w:val="22"/>
          <w:szCs w:val="22"/>
        </w:rPr>
        <w:t xml:space="preserve"> quando le richieste di asil</w:t>
      </w:r>
      <w:r w:rsidR="00D20930">
        <w:rPr>
          <w:rFonts w:ascii="Arial" w:hAnsi="Arial" w:cs="Arial"/>
          <w:sz w:val="22"/>
          <w:szCs w:val="22"/>
        </w:rPr>
        <w:t xml:space="preserve">o presentate erano state </w:t>
      </w:r>
      <w:r w:rsidR="006D705A">
        <w:rPr>
          <w:rFonts w:ascii="Arial" w:hAnsi="Arial" w:cs="Arial"/>
          <w:sz w:val="22"/>
          <w:szCs w:val="22"/>
        </w:rPr>
        <w:t>130</w:t>
      </w:r>
      <w:r w:rsidR="00D20930">
        <w:rPr>
          <w:rFonts w:ascii="Arial" w:hAnsi="Arial" w:cs="Arial"/>
          <w:sz w:val="22"/>
          <w:szCs w:val="22"/>
        </w:rPr>
        <w:t>.</w:t>
      </w:r>
      <w:r w:rsidR="006D705A">
        <w:rPr>
          <w:rFonts w:ascii="Arial" w:hAnsi="Arial" w:cs="Arial"/>
          <w:sz w:val="22"/>
          <w:szCs w:val="22"/>
        </w:rPr>
        <w:t>565</w:t>
      </w:r>
      <w:r w:rsidRPr="00104C97">
        <w:rPr>
          <w:rFonts w:ascii="Arial" w:hAnsi="Arial" w:cs="Arial"/>
          <w:sz w:val="22"/>
          <w:szCs w:val="22"/>
        </w:rPr>
        <w:t>.</w:t>
      </w:r>
    </w:p>
    <w:p w14:paraId="00E04DEF" w14:textId="59D78EB4" w:rsidR="00104C97" w:rsidRPr="00104C97" w:rsidRDefault="00104C97" w:rsidP="00104C97">
      <w:pPr>
        <w:spacing w:after="120"/>
        <w:jc w:val="both"/>
        <w:rPr>
          <w:rFonts w:ascii="Arial" w:hAnsi="Arial" w:cs="Arial"/>
          <w:sz w:val="22"/>
          <w:szCs w:val="22"/>
        </w:rPr>
      </w:pPr>
      <w:r w:rsidRPr="00464867">
        <w:rPr>
          <w:rFonts w:ascii="Arial" w:hAnsi="Arial" w:cs="Arial"/>
          <w:sz w:val="22"/>
          <w:szCs w:val="22"/>
        </w:rPr>
        <w:t xml:space="preserve">La graduatoria dei principali </w:t>
      </w:r>
      <w:r w:rsidR="00FB03C8">
        <w:rPr>
          <w:rFonts w:ascii="Arial" w:hAnsi="Arial" w:cs="Arial"/>
          <w:sz w:val="22"/>
          <w:szCs w:val="22"/>
        </w:rPr>
        <w:t>P</w:t>
      </w:r>
      <w:r w:rsidRPr="00464867">
        <w:rPr>
          <w:rFonts w:ascii="Arial" w:hAnsi="Arial" w:cs="Arial"/>
          <w:sz w:val="22"/>
          <w:szCs w:val="22"/>
        </w:rPr>
        <w:t>aesi interessati dalle richieste</w:t>
      </w:r>
      <w:r w:rsidRPr="00104C97">
        <w:rPr>
          <w:rFonts w:ascii="Arial" w:hAnsi="Arial" w:cs="Arial"/>
          <w:sz w:val="22"/>
          <w:szCs w:val="22"/>
        </w:rPr>
        <w:t xml:space="preserve"> di asilo nel 2024 ricalca in parte </w:t>
      </w:r>
      <w:r w:rsidR="009C5164" w:rsidRPr="00530908">
        <w:rPr>
          <w:rFonts w:ascii="Arial" w:hAnsi="Arial" w:cs="Arial"/>
          <w:sz w:val="22"/>
          <w:szCs w:val="22"/>
        </w:rPr>
        <w:t>quella</w:t>
      </w:r>
      <w:r w:rsidR="009C5164" w:rsidRPr="00104C97">
        <w:rPr>
          <w:rFonts w:ascii="Arial" w:hAnsi="Arial" w:cs="Arial"/>
          <w:sz w:val="22"/>
          <w:szCs w:val="22"/>
        </w:rPr>
        <w:t xml:space="preserve"> </w:t>
      </w:r>
      <w:r w:rsidRPr="00104C97">
        <w:rPr>
          <w:rFonts w:ascii="Arial" w:hAnsi="Arial" w:cs="Arial"/>
          <w:sz w:val="22"/>
          <w:szCs w:val="22"/>
        </w:rPr>
        <w:t xml:space="preserve">dei permessi di soggiorno rilasciati per varie forme di protezione, con l’eccezione dei cittadini ucraini per i </w:t>
      </w:r>
      <w:r w:rsidRPr="00F8500B">
        <w:rPr>
          <w:rFonts w:ascii="Arial" w:hAnsi="Arial" w:cs="Arial"/>
          <w:sz w:val="22"/>
          <w:szCs w:val="22"/>
        </w:rPr>
        <w:t>quali è stata attivata straordinariamente la protezione temporanea</w:t>
      </w:r>
      <w:r w:rsidR="009B47F0" w:rsidRPr="00F8500B">
        <w:rPr>
          <w:rFonts w:ascii="Arial" w:hAnsi="Arial" w:cs="Arial"/>
          <w:sz w:val="22"/>
          <w:szCs w:val="22"/>
        </w:rPr>
        <w:t xml:space="preserve"> (</w:t>
      </w:r>
      <w:r w:rsidR="00F8500B" w:rsidRPr="00F8500B">
        <w:rPr>
          <w:rFonts w:ascii="Arial" w:hAnsi="Arial" w:cs="Arial"/>
          <w:sz w:val="22"/>
          <w:szCs w:val="22"/>
        </w:rPr>
        <w:t>F</w:t>
      </w:r>
      <w:r w:rsidR="009B47F0" w:rsidRPr="00F8500B">
        <w:rPr>
          <w:rFonts w:ascii="Arial" w:hAnsi="Arial" w:cs="Arial"/>
          <w:sz w:val="22"/>
          <w:szCs w:val="22"/>
        </w:rPr>
        <w:t>igura 2)</w:t>
      </w:r>
      <w:r w:rsidRPr="00F8500B">
        <w:rPr>
          <w:rFonts w:ascii="Arial" w:hAnsi="Arial" w:cs="Arial"/>
          <w:sz w:val="22"/>
          <w:szCs w:val="22"/>
        </w:rPr>
        <w:t xml:space="preserve">. Il primo </w:t>
      </w:r>
      <w:r w:rsidR="00FB03C8">
        <w:rPr>
          <w:rFonts w:ascii="Arial" w:hAnsi="Arial" w:cs="Arial"/>
          <w:sz w:val="22"/>
          <w:szCs w:val="22"/>
        </w:rPr>
        <w:t>P</w:t>
      </w:r>
      <w:r w:rsidRPr="00F8500B">
        <w:rPr>
          <w:rFonts w:ascii="Arial" w:hAnsi="Arial" w:cs="Arial"/>
          <w:sz w:val="22"/>
          <w:szCs w:val="22"/>
        </w:rPr>
        <w:t>aese di</w:t>
      </w:r>
      <w:r w:rsidRPr="00104C97">
        <w:rPr>
          <w:rFonts w:ascii="Arial" w:hAnsi="Arial" w:cs="Arial"/>
          <w:sz w:val="22"/>
          <w:szCs w:val="22"/>
        </w:rPr>
        <w:t xml:space="preserve"> cittadinanza dei richiedenti asilo è il Bangladesh (3</w:t>
      </w:r>
      <w:r w:rsidR="00D20930">
        <w:rPr>
          <w:rFonts w:ascii="Arial" w:hAnsi="Arial" w:cs="Arial"/>
          <w:sz w:val="22"/>
          <w:szCs w:val="22"/>
        </w:rPr>
        <w:t>2.</w:t>
      </w:r>
      <w:r w:rsidR="007827EE">
        <w:rPr>
          <w:rFonts w:ascii="Arial" w:hAnsi="Arial" w:cs="Arial"/>
          <w:sz w:val="22"/>
          <w:szCs w:val="22"/>
        </w:rPr>
        <w:t>865</w:t>
      </w:r>
      <w:r w:rsidR="00D20930">
        <w:rPr>
          <w:rFonts w:ascii="Arial" w:hAnsi="Arial" w:cs="Arial"/>
          <w:sz w:val="22"/>
          <w:szCs w:val="22"/>
        </w:rPr>
        <w:t>) seguito dal Perù (15.</w:t>
      </w:r>
      <w:r w:rsidR="007827EE">
        <w:rPr>
          <w:rFonts w:ascii="Arial" w:hAnsi="Arial" w:cs="Arial"/>
          <w:sz w:val="22"/>
          <w:szCs w:val="22"/>
        </w:rPr>
        <w:t>595</w:t>
      </w:r>
      <w:r w:rsidR="00D20930">
        <w:rPr>
          <w:rFonts w:ascii="Arial" w:hAnsi="Arial" w:cs="Arial"/>
          <w:sz w:val="22"/>
          <w:szCs w:val="22"/>
        </w:rPr>
        <w:t>), dal Pakistan (11.</w:t>
      </w:r>
      <w:r w:rsidR="007827EE">
        <w:rPr>
          <w:rFonts w:ascii="Arial" w:hAnsi="Arial" w:cs="Arial"/>
          <w:sz w:val="22"/>
          <w:szCs w:val="22"/>
        </w:rPr>
        <w:t>740</w:t>
      </w:r>
      <w:r w:rsidR="00D20930">
        <w:rPr>
          <w:rFonts w:ascii="Arial" w:hAnsi="Arial" w:cs="Arial"/>
          <w:sz w:val="22"/>
          <w:szCs w:val="22"/>
        </w:rPr>
        <w:t>) dall’Egitto (11.</w:t>
      </w:r>
      <w:r w:rsidR="007827EE">
        <w:rPr>
          <w:rFonts w:ascii="Arial" w:hAnsi="Arial" w:cs="Arial"/>
          <w:sz w:val="22"/>
          <w:szCs w:val="22"/>
        </w:rPr>
        <w:t>595</w:t>
      </w:r>
      <w:r w:rsidR="00D20930">
        <w:rPr>
          <w:rFonts w:ascii="Arial" w:hAnsi="Arial" w:cs="Arial"/>
          <w:sz w:val="22"/>
          <w:szCs w:val="22"/>
        </w:rPr>
        <w:t>) e dal Marocco (</w:t>
      </w:r>
      <w:r w:rsidR="007827EE">
        <w:rPr>
          <w:rFonts w:ascii="Arial" w:hAnsi="Arial" w:cs="Arial"/>
          <w:sz w:val="22"/>
          <w:szCs w:val="22"/>
        </w:rPr>
        <w:t>9</w:t>
      </w:r>
      <w:r w:rsidR="00D20930">
        <w:rPr>
          <w:rFonts w:ascii="Arial" w:hAnsi="Arial" w:cs="Arial"/>
          <w:sz w:val="22"/>
          <w:szCs w:val="22"/>
        </w:rPr>
        <w:t>.</w:t>
      </w:r>
      <w:r w:rsidR="007827EE">
        <w:rPr>
          <w:rFonts w:ascii="Arial" w:hAnsi="Arial" w:cs="Arial"/>
          <w:sz w:val="22"/>
          <w:szCs w:val="22"/>
        </w:rPr>
        <w:t>985</w:t>
      </w:r>
      <w:r w:rsidRPr="00104C97">
        <w:rPr>
          <w:rFonts w:ascii="Arial" w:hAnsi="Arial" w:cs="Arial"/>
          <w:sz w:val="22"/>
          <w:szCs w:val="22"/>
        </w:rPr>
        <w:t>).</w:t>
      </w:r>
    </w:p>
    <w:p w14:paraId="381A732F" w14:textId="61482080" w:rsidR="00104C97" w:rsidRPr="0043349E" w:rsidRDefault="00104C97" w:rsidP="00104C97">
      <w:pPr>
        <w:spacing w:after="120"/>
        <w:jc w:val="both"/>
        <w:rPr>
          <w:rFonts w:ascii="Arial" w:hAnsi="Arial" w:cs="Arial"/>
          <w:sz w:val="22"/>
          <w:szCs w:val="22"/>
        </w:rPr>
      </w:pPr>
      <w:r w:rsidRPr="00104C97">
        <w:rPr>
          <w:rFonts w:ascii="Arial" w:hAnsi="Arial" w:cs="Arial"/>
          <w:sz w:val="22"/>
          <w:szCs w:val="22"/>
        </w:rPr>
        <w:t xml:space="preserve">Le donne richiedenti asilo </w:t>
      </w:r>
      <w:r w:rsidR="00530908">
        <w:rPr>
          <w:rFonts w:ascii="Arial" w:hAnsi="Arial" w:cs="Arial"/>
          <w:sz w:val="22"/>
          <w:szCs w:val="22"/>
        </w:rPr>
        <w:t>sono</w:t>
      </w:r>
      <w:r w:rsidR="00D208FC">
        <w:rPr>
          <w:rFonts w:ascii="Arial" w:hAnsi="Arial" w:cs="Arial"/>
          <w:sz w:val="22"/>
          <w:szCs w:val="22"/>
        </w:rPr>
        <w:t xml:space="preserve"> </w:t>
      </w:r>
      <w:r w:rsidRPr="00104C97">
        <w:rPr>
          <w:rFonts w:ascii="Arial" w:hAnsi="Arial" w:cs="Arial"/>
          <w:sz w:val="22"/>
          <w:szCs w:val="22"/>
        </w:rPr>
        <w:t>2</w:t>
      </w:r>
      <w:r w:rsidR="007827EE">
        <w:rPr>
          <w:rFonts w:ascii="Arial" w:hAnsi="Arial" w:cs="Arial"/>
          <w:sz w:val="22"/>
          <w:szCs w:val="22"/>
        </w:rPr>
        <w:t>9</w:t>
      </w:r>
      <w:r w:rsidR="007F39F6">
        <w:rPr>
          <w:rFonts w:ascii="Arial" w:hAnsi="Arial" w:cs="Arial"/>
          <w:sz w:val="22"/>
          <w:szCs w:val="22"/>
        </w:rPr>
        <w:t>.</w:t>
      </w:r>
      <w:r w:rsidR="007827EE">
        <w:rPr>
          <w:rFonts w:ascii="Arial" w:hAnsi="Arial" w:cs="Arial"/>
          <w:sz w:val="22"/>
          <w:szCs w:val="22"/>
        </w:rPr>
        <w:t>385</w:t>
      </w:r>
      <w:r w:rsidR="00530908">
        <w:rPr>
          <w:rFonts w:ascii="Arial" w:hAnsi="Arial" w:cs="Arial"/>
          <w:sz w:val="22"/>
          <w:szCs w:val="22"/>
        </w:rPr>
        <w:t>,</w:t>
      </w:r>
      <w:r w:rsidR="007827EE" w:rsidRPr="00104C97">
        <w:rPr>
          <w:rFonts w:ascii="Arial" w:hAnsi="Arial" w:cs="Arial"/>
          <w:sz w:val="22"/>
          <w:szCs w:val="22"/>
        </w:rPr>
        <w:t xml:space="preserve"> </w:t>
      </w:r>
      <w:r w:rsidR="00A6692C" w:rsidRPr="00464867">
        <w:rPr>
          <w:rFonts w:ascii="Arial" w:hAnsi="Arial" w:cs="Arial"/>
          <w:sz w:val="22"/>
          <w:szCs w:val="22"/>
        </w:rPr>
        <w:t>il 19,</w:t>
      </w:r>
      <w:r w:rsidR="00A6692C">
        <w:rPr>
          <w:rFonts w:ascii="Arial" w:hAnsi="Arial" w:cs="Arial"/>
          <w:sz w:val="22"/>
          <w:szCs w:val="22"/>
        </w:rPr>
        <w:t>4</w:t>
      </w:r>
      <w:r w:rsidR="00A6692C" w:rsidRPr="00464867">
        <w:rPr>
          <w:rFonts w:ascii="Arial" w:hAnsi="Arial" w:cs="Arial"/>
          <w:sz w:val="22"/>
          <w:szCs w:val="22"/>
        </w:rPr>
        <w:t>% de</w:t>
      </w:r>
      <w:r w:rsidR="00A6692C">
        <w:rPr>
          <w:rFonts w:ascii="Arial" w:hAnsi="Arial" w:cs="Arial"/>
          <w:sz w:val="22"/>
          <w:szCs w:val="22"/>
        </w:rPr>
        <w:t>l totale</w:t>
      </w:r>
      <w:r w:rsidR="00D208FC">
        <w:rPr>
          <w:rFonts w:ascii="Arial" w:hAnsi="Arial" w:cs="Arial"/>
          <w:sz w:val="22"/>
          <w:szCs w:val="22"/>
        </w:rPr>
        <w:t>,</w:t>
      </w:r>
      <w:r w:rsidR="00530908">
        <w:rPr>
          <w:rFonts w:ascii="Arial" w:hAnsi="Arial" w:cs="Arial"/>
          <w:sz w:val="22"/>
          <w:szCs w:val="22"/>
        </w:rPr>
        <w:t xml:space="preserve"> e presentano</w:t>
      </w:r>
      <w:r w:rsidRPr="00104C97">
        <w:rPr>
          <w:rFonts w:ascii="Arial" w:hAnsi="Arial" w:cs="Arial"/>
          <w:sz w:val="22"/>
          <w:szCs w:val="22"/>
        </w:rPr>
        <w:t xml:space="preserve"> un profilo per cittadinanza peculiare: proven</w:t>
      </w:r>
      <w:r w:rsidR="00D20930">
        <w:rPr>
          <w:rFonts w:ascii="Arial" w:hAnsi="Arial" w:cs="Arial"/>
          <w:sz w:val="22"/>
          <w:szCs w:val="22"/>
        </w:rPr>
        <w:t xml:space="preserve">gono </w:t>
      </w:r>
      <w:r w:rsidR="00D20930" w:rsidRPr="0043349E">
        <w:rPr>
          <w:rFonts w:ascii="Arial" w:hAnsi="Arial" w:cs="Arial"/>
          <w:sz w:val="22"/>
          <w:szCs w:val="22"/>
        </w:rPr>
        <w:t>soprattutto dal Perù (7.</w:t>
      </w:r>
      <w:r w:rsidR="007827EE">
        <w:rPr>
          <w:rFonts w:ascii="Arial" w:hAnsi="Arial" w:cs="Arial"/>
          <w:sz w:val="22"/>
          <w:szCs w:val="22"/>
        </w:rPr>
        <w:t>950</w:t>
      </w:r>
      <w:r w:rsidR="00D20930" w:rsidRPr="0043349E">
        <w:rPr>
          <w:rFonts w:ascii="Arial" w:hAnsi="Arial" w:cs="Arial"/>
          <w:sz w:val="22"/>
          <w:szCs w:val="22"/>
        </w:rPr>
        <w:t>), dalla Georgia (2.</w:t>
      </w:r>
      <w:r w:rsidR="007827EE">
        <w:rPr>
          <w:rFonts w:ascii="Arial" w:hAnsi="Arial" w:cs="Arial"/>
          <w:sz w:val="22"/>
          <w:szCs w:val="22"/>
        </w:rPr>
        <w:t>635</w:t>
      </w:r>
      <w:r w:rsidR="00D20930" w:rsidRPr="0043349E">
        <w:rPr>
          <w:rFonts w:ascii="Arial" w:hAnsi="Arial" w:cs="Arial"/>
          <w:sz w:val="22"/>
          <w:szCs w:val="22"/>
        </w:rPr>
        <w:t>), dalla Tunisia (1.</w:t>
      </w:r>
      <w:r w:rsidR="007827EE">
        <w:rPr>
          <w:rFonts w:ascii="Arial" w:hAnsi="Arial" w:cs="Arial"/>
          <w:sz w:val="22"/>
          <w:szCs w:val="22"/>
        </w:rPr>
        <w:t>940</w:t>
      </w:r>
      <w:r w:rsidR="00D20930" w:rsidRPr="0043349E">
        <w:rPr>
          <w:rFonts w:ascii="Arial" w:hAnsi="Arial" w:cs="Arial"/>
          <w:sz w:val="22"/>
          <w:szCs w:val="22"/>
        </w:rPr>
        <w:t>) e dalla Colombia (1.</w:t>
      </w:r>
      <w:r w:rsidR="007827EE">
        <w:rPr>
          <w:rFonts w:ascii="Arial" w:hAnsi="Arial" w:cs="Arial"/>
          <w:sz w:val="22"/>
          <w:szCs w:val="22"/>
        </w:rPr>
        <w:t>685</w:t>
      </w:r>
      <w:r w:rsidRPr="0043349E">
        <w:rPr>
          <w:rFonts w:ascii="Arial" w:hAnsi="Arial" w:cs="Arial"/>
          <w:sz w:val="22"/>
          <w:szCs w:val="22"/>
        </w:rPr>
        <w:t xml:space="preserve">). </w:t>
      </w:r>
    </w:p>
    <w:p w14:paraId="79E10889" w14:textId="5F0BA373" w:rsidR="00D20930" w:rsidRDefault="00D20930" w:rsidP="00997B43">
      <w:pPr>
        <w:spacing w:after="120"/>
        <w:jc w:val="both"/>
        <w:rPr>
          <w:rFonts w:ascii="Arial" w:hAnsi="Arial" w:cs="Arial"/>
          <w:sz w:val="22"/>
          <w:szCs w:val="22"/>
        </w:rPr>
      </w:pPr>
      <w:r w:rsidRPr="0043349E">
        <w:rPr>
          <w:rFonts w:ascii="Arial" w:hAnsi="Arial" w:cs="Arial"/>
          <w:sz w:val="22"/>
          <w:szCs w:val="22"/>
        </w:rPr>
        <w:t xml:space="preserve">Il </w:t>
      </w:r>
      <w:r w:rsidR="000E447E">
        <w:rPr>
          <w:rFonts w:ascii="Arial" w:hAnsi="Arial" w:cs="Arial"/>
          <w:sz w:val="22"/>
          <w:szCs w:val="22"/>
        </w:rPr>
        <w:t>63</w:t>
      </w:r>
      <w:r w:rsidRPr="0043349E">
        <w:rPr>
          <w:rFonts w:ascii="Arial" w:hAnsi="Arial" w:cs="Arial"/>
          <w:sz w:val="22"/>
          <w:szCs w:val="22"/>
        </w:rPr>
        <w:t>,</w:t>
      </w:r>
      <w:r w:rsidR="000E447E">
        <w:rPr>
          <w:rFonts w:ascii="Arial" w:hAnsi="Arial" w:cs="Arial"/>
          <w:sz w:val="22"/>
          <w:szCs w:val="22"/>
        </w:rPr>
        <w:t>8</w:t>
      </w:r>
      <w:r w:rsidR="00104C97" w:rsidRPr="0043349E">
        <w:rPr>
          <w:rFonts w:ascii="Arial" w:hAnsi="Arial" w:cs="Arial"/>
          <w:sz w:val="22"/>
          <w:szCs w:val="22"/>
        </w:rPr>
        <w:t xml:space="preserve">% dei richiedenti asilo nel 2024 ha un’età compresa tra i 18 e i </w:t>
      </w:r>
      <w:r w:rsidR="000E447E">
        <w:rPr>
          <w:rFonts w:ascii="Arial" w:hAnsi="Arial" w:cs="Arial"/>
          <w:sz w:val="22"/>
          <w:szCs w:val="22"/>
        </w:rPr>
        <w:t>34</w:t>
      </w:r>
      <w:r w:rsidR="000E447E" w:rsidRPr="0043349E">
        <w:rPr>
          <w:rFonts w:ascii="Arial" w:hAnsi="Arial" w:cs="Arial"/>
          <w:sz w:val="22"/>
          <w:szCs w:val="22"/>
        </w:rPr>
        <w:t xml:space="preserve"> </w:t>
      </w:r>
      <w:r w:rsidR="00104C97" w:rsidRPr="0043349E">
        <w:rPr>
          <w:rFonts w:ascii="Arial" w:hAnsi="Arial" w:cs="Arial"/>
          <w:sz w:val="22"/>
          <w:szCs w:val="22"/>
        </w:rPr>
        <w:t>anni</w:t>
      </w:r>
      <w:r w:rsidR="00530908">
        <w:rPr>
          <w:rFonts w:ascii="Arial" w:hAnsi="Arial" w:cs="Arial"/>
          <w:sz w:val="22"/>
          <w:szCs w:val="22"/>
        </w:rPr>
        <w:t>. I minori sono 12.215, l’8,1% del totale e provengono soprattutto dal Perù (23,3%) e dalla Tunisia (13,8%)</w:t>
      </w:r>
      <w:r w:rsidR="00104C97" w:rsidRPr="0043349E">
        <w:rPr>
          <w:rFonts w:ascii="Arial" w:hAnsi="Arial" w:cs="Arial"/>
          <w:sz w:val="22"/>
          <w:szCs w:val="22"/>
        </w:rPr>
        <w:t>. Non sono pochi coloro che ricadono nella fascia di età “</w:t>
      </w:r>
      <w:r w:rsidR="000E447E">
        <w:rPr>
          <w:rFonts w:ascii="Arial" w:hAnsi="Arial" w:cs="Arial"/>
          <w:sz w:val="22"/>
          <w:szCs w:val="22"/>
        </w:rPr>
        <w:t>35</w:t>
      </w:r>
      <w:r w:rsidR="000E447E" w:rsidRPr="0043349E">
        <w:rPr>
          <w:rFonts w:ascii="Arial" w:hAnsi="Arial" w:cs="Arial"/>
          <w:sz w:val="22"/>
          <w:szCs w:val="22"/>
        </w:rPr>
        <w:t xml:space="preserve"> </w:t>
      </w:r>
      <w:r w:rsidR="00104C97" w:rsidRPr="0043349E">
        <w:rPr>
          <w:rFonts w:ascii="Arial" w:hAnsi="Arial" w:cs="Arial"/>
          <w:sz w:val="22"/>
          <w:szCs w:val="22"/>
        </w:rPr>
        <w:t>e più”</w:t>
      </w:r>
      <w:r w:rsidR="0008350C">
        <w:rPr>
          <w:rFonts w:ascii="Arial" w:hAnsi="Arial" w:cs="Arial"/>
          <w:sz w:val="22"/>
          <w:szCs w:val="22"/>
        </w:rPr>
        <w:t xml:space="preserve">: </w:t>
      </w:r>
      <w:r w:rsidR="00104C97" w:rsidRPr="0043349E">
        <w:rPr>
          <w:rFonts w:ascii="Arial" w:hAnsi="Arial" w:cs="Arial"/>
          <w:sz w:val="22"/>
          <w:szCs w:val="22"/>
        </w:rPr>
        <w:t xml:space="preserve">il </w:t>
      </w:r>
      <w:r w:rsidR="000E447E">
        <w:rPr>
          <w:rFonts w:ascii="Arial" w:hAnsi="Arial" w:cs="Arial"/>
          <w:sz w:val="22"/>
          <w:szCs w:val="22"/>
        </w:rPr>
        <w:t>28</w:t>
      </w:r>
      <w:r w:rsidR="00104C97" w:rsidRPr="0043349E">
        <w:rPr>
          <w:rFonts w:ascii="Arial" w:hAnsi="Arial" w:cs="Arial"/>
          <w:sz w:val="22"/>
          <w:szCs w:val="22"/>
        </w:rPr>
        <w:t>,</w:t>
      </w:r>
      <w:r w:rsidR="000E447E">
        <w:rPr>
          <w:rFonts w:ascii="Arial" w:hAnsi="Arial" w:cs="Arial"/>
          <w:sz w:val="22"/>
          <w:szCs w:val="22"/>
        </w:rPr>
        <w:t>1</w:t>
      </w:r>
      <w:r w:rsidR="00104C97" w:rsidRPr="0043349E">
        <w:rPr>
          <w:rFonts w:ascii="Arial" w:hAnsi="Arial" w:cs="Arial"/>
          <w:sz w:val="22"/>
          <w:szCs w:val="22"/>
        </w:rPr>
        <w:t>%</w:t>
      </w:r>
      <w:r w:rsidR="003A619A">
        <w:rPr>
          <w:rFonts w:ascii="Arial" w:hAnsi="Arial" w:cs="Arial"/>
          <w:sz w:val="22"/>
          <w:szCs w:val="22"/>
        </w:rPr>
        <w:t xml:space="preserve"> del totale</w:t>
      </w:r>
      <w:r w:rsidR="00104C97" w:rsidRPr="0043349E">
        <w:rPr>
          <w:rFonts w:ascii="Arial" w:hAnsi="Arial" w:cs="Arial"/>
          <w:sz w:val="22"/>
          <w:szCs w:val="22"/>
        </w:rPr>
        <w:t>.</w:t>
      </w:r>
      <w:r w:rsidR="006B3DDA">
        <w:rPr>
          <w:rFonts w:ascii="Arial" w:hAnsi="Arial" w:cs="Arial"/>
          <w:sz w:val="22"/>
          <w:szCs w:val="22"/>
        </w:rPr>
        <w:t xml:space="preserve"> </w:t>
      </w:r>
    </w:p>
    <w:p w14:paraId="2F8F7743" w14:textId="57B977E1" w:rsidR="00C70BC4" w:rsidRDefault="00C70BC4" w:rsidP="0008350C">
      <w:pPr>
        <w:jc w:val="both"/>
        <w:rPr>
          <w:rFonts w:ascii="Arial" w:hAnsi="Arial" w:cs="Arial"/>
          <w:sz w:val="22"/>
          <w:szCs w:val="22"/>
        </w:rPr>
      </w:pPr>
    </w:p>
    <w:p w14:paraId="0138D845" w14:textId="7CCD8742" w:rsidR="0008350C" w:rsidRDefault="0008350C" w:rsidP="0008350C">
      <w:pPr>
        <w:jc w:val="both"/>
        <w:rPr>
          <w:rFonts w:ascii="Arial" w:hAnsi="Arial" w:cs="Arial"/>
          <w:sz w:val="22"/>
          <w:szCs w:val="22"/>
        </w:rPr>
      </w:pPr>
    </w:p>
    <w:p w14:paraId="1A3CDE34" w14:textId="77777777" w:rsidR="00733DB8" w:rsidRDefault="00733DB8" w:rsidP="0008350C">
      <w:pPr>
        <w:jc w:val="both"/>
        <w:rPr>
          <w:rFonts w:ascii="Arial" w:hAnsi="Arial" w:cs="Arial"/>
          <w:sz w:val="22"/>
          <w:szCs w:val="22"/>
        </w:rPr>
      </w:pPr>
    </w:p>
    <w:p w14:paraId="6825BE58" w14:textId="77777777" w:rsidR="00733DB8" w:rsidRDefault="00733DB8" w:rsidP="0008350C">
      <w:pPr>
        <w:jc w:val="both"/>
        <w:rPr>
          <w:rFonts w:ascii="Arial" w:hAnsi="Arial" w:cs="Arial"/>
          <w:sz w:val="22"/>
          <w:szCs w:val="22"/>
        </w:rPr>
      </w:pPr>
    </w:p>
    <w:p w14:paraId="02131222" w14:textId="77777777" w:rsidR="00733DB8" w:rsidRDefault="00733DB8" w:rsidP="0008350C">
      <w:pPr>
        <w:jc w:val="both"/>
        <w:rPr>
          <w:rFonts w:ascii="Arial" w:hAnsi="Arial" w:cs="Arial"/>
          <w:sz w:val="22"/>
          <w:szCs w:val="22"/>
        </w:rPr>
      </w:pPr>
    </w:p>
    <w:p w14:paraId="75B73D5B" w14:textId="77777777" w:rsidR="00733DB8" w:rsidRDefault="00733DB8" w:rsidP="0008350C">
      <w:pPr>
        <w:jc w:val="both"/>
        <w:rPr>
          <w:rFonts w:ascii="Arial" w:hAnsi="Arial" w:cs="Arial"/>
          <w:sz w:val="22"/>
          <w:szCs w:val="22"/>
        </w:rPr>
      </w:pPr>
    </w:p>
    <w:p w14:paraId="6473BFD5" w14:textId="77777777" w:rsidR="00733DB8" w:rsidRDefault="00733DB8" w:rsidP="0008350C">
      <w:pPr>
        <w:jc w:val="both"/>
        <w:rPr>
          <w:rFonts w:ascii="Arial" w:hAnsi="Arial" w:cs="Arial"/>
          <w:sz w:val="22"/>
          <w:szCs w:val="22"/>
        </w:rPr>
      </w:pPr>
    </w:p>
    <w:p w14:paraId="4C52509E" w14:textId="77777777" w:rsidR="00733DB8" w:rsidRDefault="00733DB8" w:rsidP="0008350C">
      <w:pPr>
        <w:jc w:val="both"/>
        <w:rPr>
          <w:rFonts w:ascii="Arial" w:hAnsi="Arial" w:cs="Arial"/>
          <w:sz w:val="22"/>
          <w:szCs w:val="22"/>
        </w:rPr>
      </w:pPr>
    </w:p>
    <w:p w14:paraId="1C0E4B19" w14:textId="77777777" w:rsidR="00733DB8" w:rsidRPr="00D208FC" w:rsidRDefault="00733DB8" w:rsidP="0008350C">
      <w:pPr>
        <w:jc w:val="both"/>
        <w:rPr>
          <w:rFonts w:ascii="Arial" w:hAnsi="Arial" w:cs="Arial"/>
        </w:rPr>
      </w:pPr>
    </w:p>
    <w:p w14:paraId="6C43342A" w14:textId="2D7821D3" w:rsidR="0023216A" w:rsidRDefault="00CD2A32" w:rsidP="008E65CB">
      <w:pPr>
        <w:autoSpaceDE w:val="0"/>
        <w:autoSpaceDN w:val="0"/>
        <w:adjustRightInd w:val="0"/>
        <w:spacing w:after="80"/>
        <w:jc w:val="both"/>
        <w:rPr>
          <w:rFonts w:ascii="Arial Narrow" w:hAnsi="Arial Narrow"/>
          <w:iCs/>
          <w:noProof/>
          <w:color w:val="1F497D" w:themeColor="text2"/>
          <w:sz w:val="22"/>
          <w:szCs w:val="22"/>
        </w:rPr>
      </w:pPr>
      <w:r>
        <w:rPr>
          <w:rFonts w:ascii="Arial Black" w:hAnsi="Arial Black"/>
          <w:iCs/>
          <w:noProof/>
          <w:color w:val="1F497D" w:themeColor="text2"/>
          <w:sz w:val="22"/>
          <w:szCs w:val="22"/>
        </w:rPr>
        <w:t>FIGURA</w:t>
      </w:r>
      <w:r w:rsidR="0023216A">
        <w:rPr>
          <w:rFonts w:ascii="Arial Black" w:hAnsi="Arial Black"/>
          <w:iCs/>
          <w:noProof/>
          <w:color w:val="1F497D" w:themeColor="text2"/>
          <w:sz w:val="22"/>
          <w:szCs w:val="22"/>
        </w:rPr>
        <w:t xml:space="preserve"> 2</w:t>
      </w:r>
      <w:r w:rsidR="0023216A" w:rsidRPr="00D10871">
        <w:rPr>
          <w:rFonts w:ascii="Arial Black" w:hAnsi="Arial Black"/>
          <w:iCs/>
          <w:noProof/>
          <w:color w:val="1F497D" w:themeColor="text2"/>
          <w:sz w:val="22"/>
          <w:szCs w:val="22"/>
        </w:rPr>
        <w:t>.</w:t>
      </w:r>
      <w:r w:rsidR="0023216A" w:rsidRPr="00D10871">
        <w:t xml:space="preserve"> </w:t>
      </w:r>
      <w:r w:rsidR="006D43AE">
        <w:rPr>
          <w:rFonts w:ascii="Arial Narrow" w:hAnsi="Arial Narrow"/>
          <w:b/>
          <w:iCs/>
          <w:noProof/>
          <w:color w:val="1F497D" w:themeColor="text2"/>
          <w:sz w:val="22"/>
          <w:szCs w:val="22"/>
        </w:rPr>
        <w:t>RICHIEDENTI ASILO</w:t>
      </w:r>
      <w:r w:rsidR="0023216A" w:rsidRPr="009A7D91">
        <w:rPr>
          <w:rFonts w:ascii="Arial Narrow" w:hAnsi="Arial Narrow"/>
          <w:b/>
          <w:iCs/>
          <w:noProof/>
          <w:color w:val="1F497D" w:themeColor="text2"/>
          <w:sz w:val="22"/>
          <w:szCs w:val="22"/>
        </w:rPr>
        <w:t xml:space="preserve"> PER CITTADINANZA </w:t>
      </w:r>
      <w:r w:rsidR="0023216A" w:rsidRPr="00EA0000">
        <w:rPr>
          <w:rFonts w:ascii="Arial Narrow" w:hAnsi="Arial Narrow"/>
          <w:iCs/>
          <w:noProof/>
          <w:color w:val="1F497D" w:themeColor="text2"/>
          <w:sz w:val="22"/>
          <w:szCs w:val="22"/>
        </w:rPr>
        <w:t xml:space="preserve">. </w:t>
      </w:r>
      <w:r w:rsidR="003047B0">
        <w:rPr>
          <w:rFonts w:ascii="Arial Narrow" w:hAnsi="Arial Narrow"/>
          <w:iCs/>
          <w:noProof/>
          <w:color w:val="1F497D" w:themeColor="text2"/>
          <w:sz w:val="22"/>
          <w:szCs w:val="22"/>
        </w:rPr>
        <w:t xml:space="preserve">Anno </w:t>
      </w:r>
      <w:r w:rsidR="0023216A">
        <w:rPr>
          <w:rFonts w:ascii="Arial Narrow" w:hAnsi="Arial Narrow"/>
          <w:iCs/>
          <w:noProof/>
          <w:color w:val="1F497D" w:themeColor="text2"/>
          <w:sz w:val="22"/>
          <w:szCs w:val="22"/>
        </w:rPr>
        <w:t>202</w:t>
      </w:r>
      <w:r w:rsidR="00E30E4A">
        <w:rPr>
          <w:rFonts w:ascii="Arial Narrow" w:hAnsi="Arial Narrow"/>
          <w:iCs/>
          <w:noProof/>
          <w:color w:val="1F497D" w:themeColor="text2"/>
          <w:sz w:val="22"/>
          <w:szCs w:val="22"/>
        </w:rPr>
        <w:t xml:space="preserve">4 </w:t>
      </w:r>
      <w:r w:rsidR="00FF222B">
        <w:rPr>
          <w:rFonts w:ascii="Arial Narrow" w:hAnsi="Arial Narrow"/>
          <w:iCs/>
          <w:noProof/>
          <w:color w:val="1F497D" w:themeColor="text2"/>
          <w:sz w:val="22"/>
          <w:szCs w:val="22"/>
        </w:rPr>
        <w:t>e</w:t>
      </w:r>
      <w:r w:rsidR="00E30E4A">
        <w:rPr>
          <w:rFonts w:ascii="Arial Narrow" w:hAnsi="Arial Narrow"/>
          <w:iCs/>
          <w:noProof/>
          <w:color w:val="1F497D" w:themeColor="text2"/>
          <w:sz w:val="22"/>
          <w:szCs w:val="22"/>
        </w:rPr>
        <w:t xml:space="preserve"> 2023</w:t>
      </w:r>
      <w:r w:rsidR="0023216A" w:rsidRPr="00D10871">
        <w:rPr>
          <w:rFonts w:ascii="Arial Narrow" w:hAnsi="Arial Narrow"/>
          <w:iCs/>
          <w:noProof/>
          <w:color w:val="1F497D" w:themeColor="text2"/>
          <w:sz w:val="22"/>
          <w:szCs w:val="22"/>
        </w:rPr>
        <w:t>, valori assoluti</w:t>
      </w:r>
      <w:r w:rsidR="007533B5">
        <w:rPr>
          <w:rFonts w:ascii="Arial Narrow" w:hAnsi="Arial Narrow"/>
          <w:iCs/>
          <w:noProof/>
          <w:color w:val="1F497D" w:themeColor="text2"/>
          <w:sz w:val="22"/>
          <w:szCs w:val="22"/>
        </w:rPr>
        <w:t xml:space="preserve"> (dati Eurostat)</w:t>
      </w:r>
    </w:p>
    <w:p w14:paraId="74B678B6" w14:textId="77777777" w:rsidR="00D208FC" w:rsidRDefault="00D208FC" w:rsidP="00D208FC">
      <w:pPr>
        <w:autoSpaceDE w:val="0"/>
        <w:autoSpaceDN w:val="0"/>
        <w:adjustRightInd w:val="0"/>
        <w:jc w:val="both"/>
        <w:rPr>
          <w:rFonts w:ascii="Arial Narrow" w:hAnsi="Arial Narrow"/>
          <w:iCs/>
          <w:noProof/>
          <w:color w:val="1F497D" w:themeColor="text2"/>
          <w:sz w:val="22"/>
          <w:szCs w:val="22"/>
        </w:rPr>
      </w:pPr>
    </w:p>
    <w:p w14:paraId="3CAD4E03" w14:textId="2373D325" w:rsidR="00733776" w:rsidRDefault="005864F6" w:rsidP="00CA5CDE">
      <w:pPr>
        <w:spacing w:after="120"/>
        <w:rPr>
          <w:rFonts w:ascii="Arial" w:hAnsi="Arial" w:cs="Arial"/>
          <w:bCs/>
          <w:color w:val="1F497D" w:themeColor="text2"/>
          <w:sz w:val="22"/>
          <w:szCs w:val="22"/>
        </w:rPr>
      </w:pPr>
      <w:r>
        <w:rPr>
          <w:noProof/>
        </w:rPr>
        <w:drawing>
          <wp:inline distT="0" distB="0" distL="0" distR="0" wp14:anchorId="7A7044D3" wp14:editId="60EDD6D6">
            <wp:extent cx="6291580" cy="2409245"/>
            <wp:effectExtent l="0" t="0" r="0" b="0"/>
            <wp:docPr id="5" name="Grafico 5">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3ABC24" w14:textId="77777777" w:rsidR="00DF6FB1" w:rsidRPr="00A13566" w:rsidRDefault="00DF6FB1" w:rsidP="00CA5CDE">
      <w:pPr>
        <w:spacing w:after="120"/>
        <w:rPr>
          <w:rFonts w:ascii="Arial" w:hAnsi="Arial" w:cs="Arial"/>
          <w:bCs/>
          <w:color w:val="1F497D" w:themeColor="text2"/>
          <w:sz w:val="22"/>
          <w:szCs w:val="22"/>
        </w:rPr>
      </w:pPr>
    </w:p>
    <w:p w14:paraId="0B889872" w14:textId="57D833E7" w:rsidR="00CA5CDE" w:rsidRPr="00DF65F6" w:rsidRDefault="00CA5CDE" w:rsidP="00CA5CDE">
      <w:pPr>
        <w:spacing w:after="120"/>
        <w:rPr>
          <w:rFonts w:ascii="Arial" w:hAnsi="Arial" w:cs="Arial"/>
          <w:b/>
          <w:color w:val="1F497D" w:themeColor="text2"/>
          <w:sz w:val="26"/>
          <w:szCs w:val="26"/>
        </w:rPr>
      </w:pPr>
      <w:r>
        <w:rPr>
          <w:rFonts w:ascii="Arial" w:hAnsi="Arial" w:cs="Arial"/>
          <w:b/>
          <w:color w:val="1F497D" w:themeColor="text2"/>
          <w:sz w:val="26"/>
          <w:szCs w:val="26"/>
        </w:rPr>
        <w:t>Respint</w:t>
      </w:r>
      <w:r w:rsidR="005B4392">
        <w:rPr>
          <w:rFonts w:ascii="Arial" w:hAnsi="Arial" w:cs="Arial"/>
          <w:b/>
          <w:color w:val="1F497D" w:themeColor="text2"/>
          <w:sz w:val="26"/>
          <w:szCs w:val="26"/>
        </w:rPr>
        <w:t>i</w:t>
      </w:r>
      <w:r>
        <w:rPr>
          <w:rFonts w:ascii="Arial" w:hAnsi="Arial" w:cs="Arial"/>
          <w:b/>
          <w:color w:val="1F497D" w:themeColor="text2"/>
          <w:sz w:val="26"/>
          <w:szCs w:val="26"/>
        </w:rPr>
        <w:t xml:space="preserve"> oltre due terzi delle </w:t>
      </w:r>
      <w:r w:rsidRPr="00DF65F6">
        <w:rPr>
          <w:rFonts w:ascii="Arial" w:hAnsi="Arial" w:cs="Arial"/>
          <w:b/>
          <w:color w:val="1F497D" w:themeColor="text2"/>
          <w:sz w:val="26"/>
          <w:szCs w:val="26"/>
        </w:rPr>
        <w:t>richieste d</w:t>
      </w:r>
      <w:r>
        <w:rPr>
          <w:rFonts w:ascii="Arial" w:hAnsi="Arial" w:cs="Arial"/>
          <w:b/>
          <w:color w:val="1F497D" w:themeColor="text2"/>
          <w:sz w:val="26"/>
          <w:szCs w:val="26"/>
        </w:rPr>
        <w:t>i asilo esaminate nel 2024</w:t>
      </w:r>
    </w:p>
    <w:p w14:paraId="124D01CB" w14:textId="17E5179B" w:rsidR="00CA5CDE" w:rsidRPr="00403EA9" w:rsidRDefault="00CA5CDE" w:rsidP="00CA5CDE">
      <w:pPr>
        <w:spacing w:after="120"/>
        <w:jc w:val="both"/>
        <w:rPr>
          <w:rFonts w:ascii="Arial" w:hAnsi="Arial" w:cs="Arial"/>
          <w:sz w:val="22"/>
          <w:szCs w:val="22"/>
        </w:rPr>
      </w:pPr>
      <w:r w:rsidRPr="00403EA9">
        <w:rPr>
          <w:rFonts w:ascii="Arial" w:hAnsi="Arial" w:cs="Arial"/>
          <w:sz w:val="22"/>
          <w:szCs w:val="22"/>
        </w:rPr>
        <w:t xml:space="preserve">Nel 2024 sono state esaminate </w:t>
      </w:r>
      <w:r w:rsidR="008E3578">
        <w:rPr>
          <w:rFonts w:ascii="Arial" w:hAnsi="Arial" w:cs="Arial"/>
          <w:sz w:val="22"/>
          <w:szCs w:val="22"/>
        </w:rPr>
        <w:t>78</w:t>
      </w:r>
      <w:r w:rsidRPr="00403EA9">
        <w:rPr>
          <w:rFonts w:ascii="Arial" w:hAnsi="Arial" w:cs="Arial"/>
          <w:sz w:val="22"/>
          <w:szCs w:val="22"/>
        </w:rPr>
        <w:t>.</w:t>
      </w:r>
      <w:r w:rsidR="008E3578">
        <w:rPr>
          <w:rFonts w:ascii="Arial" w:hAnsi="Arial" w:cs="Arial"/>
          <w:sz w:val="22"/>
          <w:szCs w:val="22"/>
        </w:rPr>
        <w:t>565</w:t>
      </w:r>
      <w:r w:rsidR="008E3578" w:rsidRPr="00403EA9">
        <w:rPr>
          <w:rFonts w:ascii="Arial" w:hAnsi="Arial" w:cs="Arial"/>
          <w:sz w:val="22"/>
          <w:szCs w:val="22"/>
        </w:rPr>
        <w:t xml:space="preserve"> </w:t>
      </w:r>
      <w:r w:rsidRPr="00403EA9">
        <w:rPr>
          <w:rFonts w:ascii="Arial" w:hAnsi="Arial" w:cs="Arial"/>
          <w:sz w:val="22"/>
          <w:szCs w:val="22"/>
        </w:rPr>
        <w:t>prime istanze</w:t>
      </w:r>
      <w:r w:rsidR="008E54A7" w:rsidRPr="00403EA9">
        <w:rPr>
          <w:rFonts w:ascii="Arial" w:hAnsi="Arial" w:cs="Arial"/>
          <w:sz w:val="22"/>
          <w:szCs w:val="22"/>
        </w:rPr>
        <w:t xml:space="preserve"> di richiesta di asilo</w:t>
      </w:r>
      <w:r w:rsidRPr="00403EA9">
        <w:rPr>
          <w:rFonts w:ascii="Arial" w:hAnsi="Arial" w:cs="Arial"/>
          <w:sz w:val="22"/>
          <w:szCs w:val="22"/>
        </w:rPr>
        <w:t>. Il 6</w:t>
      </w:r>
      <w:r w:rsidR="00BF7B76">
        <w:rPr>
          <w:rFonts w:ascii="Arial" w:hAnsi="Arial" w:cs="Arial"/>
          <w:sz w:val="22"/>
          <w:szCs w:val="22"/>
        </w:rPr>
        <w:t>4</w:t>
      </w:r>
      <w:r w:rsidRPr="00403EA9">
        <w:rPr>
          <w:rFonts w:ascii="Arial" w:hAnsi="Arial" w:cs="Arial"/>
          <w:sz w:val="22"/>
          <w:szCs w:val="22"/>
        </w:rPr>
        <w:t>,</w:t>
      </w:r>
      <w:r w:rsidR="00BF7B76">
        <w:rPr>
          <w:rFonts w:ascii="Arial" w:hAnsi="Arial" w:cs="Arial"/>
          <w:sz w:val="22"/>
          <w:szCs w:val="22"/>
        </w:rPr>
        <w:t>1</w:t>
      </w:r>
      <w:r w:rsidRPr="00403EA9">
        <w:rPr>
          <w:rFonts w:ascii="Arial" w:hAnsi="Arial" w:cs="Arial"/>
          <w:sz w:val="22"/>
          <w:szCs w:val="22"/>
        </w:rPr>
        <w:t xml:space="preserve">% delle richieste </w:t>
      </w:r>
      <w:r w:rsidRPr="00957877">
        <w:rPr>
          <w:rFonts w:ascii="Arial" w:hAnsi="Arial" w:cs="Arial"/>
          <w:sz w:val="22"/>
          <w:szCs w:val="22"/>
        </w:rPr>
        <w:t>esaminate è stato respinto</w:t>
      </w:r>
      <w:r w:rsidR="005864F6">
        <w:rPr>
          <w:rStyle w:val="Rimandonotadichiusura"/>
          <w:rFonts w:ascii="Arial" w:hAnsi="Arial" w:cs="Arial"/>
          <w:sz w:val="22"/>
          <w:szCs w:val="22"/>
        </w:rPr>
        <w:endnoteReference w:id="1"/>
      </w:r>
      <w:r w:rsidR="005864F6" w:rsidRPr="00957877">
        <w:rPr>
          <w:rFonts w:ascii="Arial" w:hAnsi="Arial" w:cs="Arial"/>
          <w:sz w:val="22"/>
          <w:szCs w:val="22"/>
        </w:rPr>
        <w:t>.</w:t>
      </w:r>
      <w:r w:rsidRPr="00957877">
        <w:rPr>
          <w:rFonts w:ascii="Arial" w:hAnsi="Arial" w:cs="Arial"/>
          <w:sz w:val="22"/>
          <w:szCs w:val="22"/>
        </w:rPr>
        <w:t xml:space="preserve"> </w:t>
      </w:r>
    </w:p>
    <w:p w14:paraId="40AD0CD0" w14:textId="3F88012B" w:rsidR="005B4392" w:rsidRDefault="00167CBA" w:rsidP="007D421B">
      <w:pPr>
        <w:spacing w:after="120"/>
        <w:jc w:val="both"/>
        <w:rPr>
          <w:rFonts w:ascii="Arial" w:hAnsi="Arial" w:cs="Arial"/>
          <w:sz w:val="22"/>
          <w:szCs w:val="22"/>
        </w:rPr>
      </w:pPr>
      <w:r w:rsidRPr="00403EA9">
        <w:rPr>
          <w:rFonts w:ascii="Arial" w:hAnsi="Arial" w:cs="Arial"/>
          <w:sz w:val="22"/>
          <w:szCs w:val="22"/>
        </w:rPr>
        <w:t xml:space="preserve">L’esito delle decisioni è diverso a seconda delle cittadinanze. Considerando i primi </w:t>
      </w:r>
      <w:r w:rsidR="005B4392">
        <w:rPr>
          <w:rFonts w:ascii="Arial" w:hAnsi="Arial" w:cs="Arial"/>
          <w:sz w:val="22"/>
          <w:szCs w:val="22"/>
        </w:rPr>
        <w:t>10</w:t>
      </w:r>
      <w:r w:rsidR="005B4392" w:rsidRPr="00403EA9">
        <w:rPr>
          <w:rFonts w:ascii="Arial" w:hAnsi="Arial" w:cs="Arial"/>
          <w:sz w:val="22"/>
          <w:szCs w:val="22"/>
        </w:rPr>
        <w:t xml:space="preserve"> </w:t>
      </w:r>
      <w:r w:rsidR="005B4392">
        <w:rPr>
          <w:rFonts w:ascii="Arial" w:hAnsi="Arial" w:cs="Arial"/>
          <w:sz w:val="22"/>
          <w:szCs w:val="22"/>
        </w:rPr>
        <w:t>P</w:t>
      </w:r>
      <w:r w:rsidRPr="00403EA9">
        <w:rPr>
          <w:rFonts w:ascii="Arial" w:hAnsi="Arial" w:cs="Arial"/>
          <w:sz w:val="22"/>
          <w:szCs w:val="22"/>
        </w:rPr>
        <w:t xml:space="preserve">aesi per numero di pratiche esaminate la quota </w:t>
      </w:r>
      <w:r w:rsidR="005B4392" w:rsidRPr="00403EA9">
        <w:rPr>
          <w:rFonts w:ascii="Arial" w:hAnsi="Arial" w:cs="Arial"/>
          <w:sz w:val="22"/>
          <w:szCs w:val="22"/>
        </w:rPr>
        <w:t xml:space="preserve">più alta </w:t>
      </w:r>
      <w:r w:rsidRPr="00403EA9">
        <w:rPr>
          <w:rFonts w:ascii="Arial" w:hAnsi="Arial" w:cs="Arial"/>
          <w:sz w:val="22"/>
          <w:szCs w:val="22"/>
        </w:rPr>
        <w:t>di istanze respinte riguarda i cittadini del Marocco (</w:t>
      </w:r>
      <w:r w:rsidR="00BF7B76">
        <w:rPr>
          <w:rFonts w:ascii="Arial" w:hAnsi="Arial" w:cs="Arial"/>
          <w:sz w:val="22"/>
          <w:szCs w:val="22"/>
        </w:rPr>
        <w:t>89</w:t>
      </w:r>
      <w:r w:rsidRPr="00403EA9">
        <w:rPr>
          <w:rFonts w:ascii="Arial" w:hAnsi="Arial" w:cs="Arial"/>
          <w:sz w:val="22"/>
          <w:szCs w:val="22"/>
        </w:rPr>
        <w:t>,</w:t>
      </w:r>
      <w:r w:rsidR="00BF7B76">
        <w:rPr>
          <w:rFonts w:ascii="Arial" w:hAnsi="Arial" w:cs="Arial"/>
          <w:sz w:val="22"/>
          <w:szCs w:val="22"/>
        </w:rPr>
        <w:t>9</w:t>
      </w:r>
      <w:r w:rsidRPr="00403EA9">
        <w:rPr>
          <w:rFonts w:ascii="Arial" w:hAnsi="Arial" w:cs="Arial"/>
          <w:sz w:val="22"/>
          <w:szCs w:val="22"/>
        </w:rPr>
        <w:t>%) e poi Egitto (8</w:t>
      </w:r>
      <w:r w:rsidR="00BF7B76">
        <w:rPr>
          <w:rFonts w:ascii="Arial" w:hAnsi="Arial" w:cs="Arial"/>
          <w:sz w:val="22"/>
          <w:szCs w:val="22"/>
        </w:rPr>
        <w:t>6</w:t>
      </w:r>
      <w:r w:rsidRPr="00403EA9">
        <w:rPr>
          <w:rFonts w:ascii="Arial" w:hAnsi="Arial" w:cs="Arial"/>
          <w:sz w:val="22"/>
          <w:szCs w:val="22"/>
        </w:rPr>
        <w:t>,</w:t>
      </w:r>
      <w:r w:rsidR="00BF7B76">
        <w:rPr>
          <w:rFonts w:ascii="Arial" w:hAnsi="Arial" w:cs="Arial"/>
          <w:sz w:val="22"/>
          <w:szCs w:val="22"/>
        </w:rPr>
        <w:t>2</w:t>
      </w:r>
      <w:r w:rsidRPr="00403EA9">
        <w:rPr>
          <w:rFonts w:ascii="Arial" w:hAnsi="Arial" w:cs="Arial"/>
          <w:sz w:val="22"/>
          <w:szCs w:val="22"/>
        </w:rPr>
        <w:t>%) e Tunisia (8</w:t>
      </w:r>
      <w:r w:rsidR="00BF7B76">
        <w:rPr>
          <w:rFonts w:ascii="Arial" w:hAnsi="Arial" w:cs="Arial"/>
          <w:sz w:val="22"/>
          <w:szCs w:val="22"/>
        </w:rPr>
        <w:t>5</w:t>
      </w:r>
      <w:r w:rsidRPr="00403EA9">
        <w:rPr>
          <w:rFonts w:ascii="Arial" w:hAnsi="Arial" w:cs="Arial"/>
          <w:sz w:val="22"/>
          <w:szCs w:val="22"/>
        </w:rPr>
        <w:t>,</w:t>
      </w:r>
      <w:r w:rsidR="00BF7B76">
        <w:rPr>
          <w:rFonts w:ascii="Arial" w:hAnsi="Arial" w:cs="Arial"/>
          <w:sz w:val="22"/>
          <w:szCs w:val="22"/>
        </w:rPr>
        <w:t>5</w:t>
      </w:r>
      <w:r w:rsidRPr="00403EA9">
        <w:rPr>
          <w:rFonts w:ascii="Arial" w:hAnsi="Arial" w:cs="Arial"/>
          <w:sz w:val="22"/>
          <w:szCs w:val="22"/>
        </w:rPr>
        <w:t xml:space="preserve">%). All’opposto il </w:t>
      </w:r>
      <w:r w:rsidR="00BF7B76" w:rsidRPr="00403EA9">
        <w:rPr>
          <w:rFonts w:ascii="Arial" w:hAnsi="Arial" w:cs="Arial"/>
          <w:sz w:val="22"/>
          <w:szCs w:val="22"/>
        </w:rPr>
        <w:t>9</w:t>
      </w:r>
      <w:r w:rsidR="00BF7B76">
        <w:rPr>
          <w:rFonts w:ascii="Arial" w:hAnsi="Arial" w:cs="Arial"/>
          <w:sz w:val="22"/>
          <w:szCs w:val="22"/>
        </w:rPr>
        <w:t>8</w:t>
      </w:r>
      <w:r w:rsidRPr="00403EA9">
        <w:rPr>
          <w:rFonts w:ascii="Arial" w:hAnsi="Arial" w:cs="Arial"/>
          <w:sz w:val="22"/>
          <w:szCs w:val="22"/>
        </w:rPr>
        <w:t>,</w:t>
      </w:r>
      <w:r w:rsidR="00BF7B76">
        <w:rPr>
          <w:rFonts w:ascii="Arial" w:hAnsi="Arial" w:cs="Arial"/>
          <w:sz w:val="22"/>
          <w:szCs w:val="22"/>
        </w:rPr>
        <w:t>8</w:t>
      </w:r>
      <w:r w:rsidRPr="00403EA9">
        <w:rPr>
          <w:rFonts w:ascii="Arial" w:hAnsi="Arial" w:cs="Arial"/>
          <w:sz w:val="22"/>
          <w:szCs w:val="22"/>
        </w:rPr>
        <w:t xml:space="preserve">% dei procedimenti riguardanti i cittadini del </w:t>
      </w:r>
      <w:r w:rsidR="005B4392">
        <w:rPr>
          <w:rFonts w:ascii="Arial" w:hAnsi="Arial" w:cs="Arial"/>
          <w:sz w:val="22"/>
          <w:szCs w:val="22"/>
        </w:rPr>
        <w:br/>
      </w:r>
      <w:r w:rsidRPr="00403EA9">
        <w:rPr>
          <w:rFonts w:ascii="Arial" w:hAnsi="Arial" w:cs="Arial"/>
          <w:sz w:val="22"/>
          <w:szCs w:val="22"/>
        </w:rPr>
        <w:t xml:space="preserve">Burkina Faso è stato accolto e il </w:t>
      </w:r>
      <w:r w:rsidR="00BF7B76" w:rsidRPr="00403EA9">
        <w:rPr>
          <w:rFonts w:ascii="Arial" w:hAnsi="Arial" w:cs="Arial"/>
          <w:sz w:val="22"/>
          <w:szCs w:val="22"/>
        </w:rPr>
        <w:t>9</w:t>
      </w:r>
      <w:r w:rsidR="00BF7B76">
        <w:rPr>
          <w:rFonts w:ascii="Arial" w:hAnsi="Arial" w:cs="Arial"/>
          <w:sz w:val="22"/>
          <w:szCs w:val="22"/>
        </w:rPr>
        <w:t>5</w:t>
      </w:r>
      <w:r w:rsidRPr="00403EA9">
        <w:rPr>
          <w:rFonts w:ascii="Arial" w:hAnsi="Arial" w:cs="Arial"/>
          <w:sz w:val="22"/>
          <w:szCs w:val="22"/>
        </w:rPr>
        <w:t>,</w:t>
      </w:r>
      <w:r w:rsidR="00BF7B76">
        <w:rPr>
          <w:rFonts w:ascii="Arial" w:hAnsi="Arial" w:cs="Arial"/>
          <w:sz w:val="22"/>
          <w:szCs w:val="22"/>
        </w:rPr>
        <w:t>4</w:t>
      </w:r>
      <w:r w:rsidRPr="00403EA9">
        <w:rPr>
          <w:rFonts w:ascii="Arial" w:hAnsi="Arial" w:cs="Arial"/>
          <w:sz w:val="22"/>
          <w:szCs w:val="22"/>
        </w:rPr>
        <w:t>% di quelli de</w:t>
      </w:r>
      <w:r w:rsidR="006561D2" w:rsidRPr="00403EA9">
        <w:rPr>
          <w:rFonts w:ascii="Arial" w:hAnsi="Arial" w:cs="Arial"/>
          <w:sz w:val="22"/>
          <w:szCs w:val="22"/>
        </w:rPr>
        <w:t xml:space="preserve">l Mali. </w:t>
      </w:r>
      <w:r w:rsidR="006561D2" w:rsidRPr="003C4E14">
        <w:rPr>
          <w:rFonts w:ascii="Arial" w:hAnsi="Arial" w:cs="Arial"/>
          <w:sz w:val="22"/>
          <w:szCs w:val="22"/>
        </w:rPr>
        <w:t xml:space="preserve">Delle </w:t>
      </w:r>
      <w:r w:rsidR="00BF7B76">
        <w:rPr>
          <w:rFonts w:ascii="Arial" w:hAnsi="Arial" w:cs="Arial"/>
          <w:sz w:val="22"/>
          <w:szCs w:val="22"/>
        </w:rPr>
        <w:t>28</w:t>
      </w:r>
      <w:r w:rsidR="006561D2" w:rsidRPr="003C4E14">
        <w:rPr>
          <w:rFonts w:ascii="Arial" w:hAnsi="Arial" w:cs="Arial"/>
          <w:sz w:val="22"/>
          <w:szCs w:val="22"/>
        </w:rPr>
        <w:t>.</w:t>
      </w:r>
      <w:r w:rsidR="00BF7B76">
        <w:rPr>
          <w:rFonts w:ascii="Arial" w:hAnsi="Arial" w:cs="Arial"/>
          <w:sz w:val="22"/>
          <w:szCs w:val="22"/>
        </w:rPr>
        <w:t>185</w:t>
      </w:r>
      <w:r w:rsidR="00BF7B76" w:rsidRPr="003C4E14">
        <w:rPr>
          <w:rFonts w:ascii="Arial" w:hAnsi="Arial" w:cs="Arial"/>
          <w:sz w:val="22"/>
          <w:szCs w:val="22"/>
        </w:rPr>
        <w:t xml:space="preserve"> </w:t>
      </w:r>
      <w:r w:rsidR="00A371F7" w:rsidRPr="003C4E14">
        <w:rPr>
          <w:rFonts w:ascii="Arial" w:hAnsi="Arial" w:cs="Arial"/>
          <w:sz w:val="22"/>
          <w:szCs w:val="22"/>
        </w:rPr>
        <w:t xml:space="preserve">prime </w:t>
      </w:r>
      <w:r w:rsidR="006561D2" w:rsidRPr="003C4E14">
        <w:rPr>
          <w:rFonts w:ascii="Arial" w:hAnsi="Arial" w:cs="Arial"/>
          <w:sz w:val="22"/>
          <w:szCs w:val="22"/>
        </w:rPr>
        <w:t xml:space="preserve">istanze giudicate positivamente il </w:t>
      </w:r>
      <w:r w:rsidR="00BF7B76">
        <w:rPr>
          <w:rFonts w:ascii="Arial" w:hAnsi="Arial" w:cs="Arial"/>
          <w:sz w:val="22"/>
          <w:szCs w:val="22"/>
        </w:rPr>
        <w:t>21</w:t>
      </w:r>
      <w:r w:rsidR="007D421B" w:rsidRPr="003C4E14">
        <w:rPr>
          <w:rFonts w:ascii="Arial" w:hAnsi="Arial" w:cs="Arial"/>
          <w:sz w:val="22"/>
          <w:szCs w:val="22"/>
        </w:rPr>
        <w:t>,</w:t>
      </w:r>
      <w:r w:rsidR="00BF7B76">
        <w:rPr>
          <w:rFonts w:ascii="Arial" w:hAnsi="Arial" w:cs="Arial"/>
          <w:sz w:val="22"/>
          <w:szCs w:val="22"/>
        </w:rPr>
        <w:t>3</w:t>
      </w:r>
      <w:r w:rsidR="006561D2" w:rsidRPr="003C4E14">
        <w:rPr>
          <w:rFonts w:ascii="Arial" w:hAnsi="Arial" w:cs="Arial"/>
          <w:sz w:val="22"/>
          <w:szCs w:val="22"/>
        </w:rPr>
        <w:t xml:space="preserve">% ha avuto il riconoscimento dello status di rifugiato, il </w:t>
      </w:r>
      <w:r w:rsidR="007D421B" w:rsidRPr="003C4E14">
        <w:rPr>
          <w:rFonts w:ascii="Arial" w:hAnsi="Arial" w:cs="Arial"/>
          <w:sz w:val="22"/>
          <w:szCs w:val="22"/>
        </w:rPr>
        <w:t>40</w:t>
      </w:r>
      <w:r w:rsidR="006561D2" w:rsidRPr="003C4E14">
        <w:rPr>
          <w:rFonts w:ascii="Arial" w:hAnsi="Arial" w:cs="Arial"/>
          <w:sz w:val="22"/>
          <w:szCs w:val="22"/>
        </w:rPr>
        <w:t>,</w:t>
      </w:r>
      <w:r w:rsidR="00BF7B76">
        <w:rPr>
          <w:rFonts w:ascii="Arial" w:hAnsi="Arial" w:cs="Arial"/>
          <w:sz w:val="22"/>
          <w:szCs w:val="22"/>
        </w:rPr>
        <w:t>6</w:t>
      </w:r>
      <w:r w:rsidR="000305A6" w:rsidRPr="003C4E14">
        <w:rPr>
          <w:rFonts w:ascii="Arial" w:hAnsi="Arial" w:cs="Arial"/>
          <w:sz w:val="22"/>
          <w:szCs w:val="22"/>
        </w:rPr>
        <w:t>%</w:t>
      </w:r>
      <w:r w:rsidR="006561D2" w:rsidRPr="003C4E14">
        <w:rPr>
          <w:rFonts w:ascii="Arial" w:hAnsi="Arial" w:cs="Arial"/>
          <w:sz w:val="22"/>
          <w:szCs w:val="22"/>
        </w:rPr>
        <w:t xml:space="preserve"> la protezione sussidiaria e il resto ha ottenuto la protezione speciale</w:t>
      </w:r>
      <w:r w:rsidR="005E2AA5" w:rsidRPr="005E2AA5">
        <w:rPr>
          <w:rFonts w:ascii="Arial" w:hAnsi="Arial" w:cs="Arial"/>
          <w:sz w:val="22"/>
          <w:szCs w:val="22"/>
        </w:rPr>
        <w:t xml:space="preserve"> </w:t>
      </w:r>
      <w:r w:rsidR="005E2AA5" w:rsidRPr="00957877">
        <w:rPr>
          <w:rFonts w:ascii="Arial" w:hAnsi="Arial" w:cs="Arial"/>
          <w:sz w:val="22"/>
          <w:szCs w:val="22"/>
        </w:rPr>
        <w:t>(Figura 3)</w:t>
      </w:r>
      <w:r w:rsidR="005E2AA5">
        <w:rPr>
          <w:rFonts w:ascii="Arial" w:hAnsi="Arial" w:cs="Arial"/>
          <w:sz w:val="22"/>
          <w:szCs w:val="22"/>
        </w:rPr>
        <w:t>.</w:t>
      </w:r>
      <w:r w:rsidR="00A6692C">
        <w:rPr>
          <w:rFonts w:ascii="Arial" w:hAnsi="Arial" w:cs="Arial"/>
          <w:sz w:val="22"/>
          <w:szCs w:val="22"/>
        </w:rPr>
        <w:t xml:space="preserve"> I richiedenti asilo provenienti da </w:t>
      </w:r>
      <w:r w:rsidR="00407E67">
        <w:rPr>
          <w:rFonts w:ascii="Arial" w:hAnsi="Arial" w:cs="Arial"/>
          <w:sz w:val="22"/>
          <w:szCs w:val="22"/>
        </w:rPr>
        <w:t>Costa d’Avorio e Nigeria</w:t>
      </w:r>
      <w:r w:rsidR="00A6692C">
        <w:rPr>
          <w:rFonts w:ascii="Arial" w:hAnsi="Arial" w:cs="Arial"/>
          <w:sz w:val="22"/>
          <w:szCs w:val="22"/>
        </w:rPr>
        <w:t xml:space="preserve"> fanno registrare una quota superiore alla media di riconoscimenti dello status di rifugiato</w:t>
      </w:r>
      <w:r w:rsidR="00530908">
        <w:rPr>
          <w:rFonts w:ascii="Arial" w:hAnsi="Arial" w:cs="Arial"/>
          <w:sz w:val="22"/>
          <w:szCs w:val="22"/>
        </w:rPr>
        <w:t>, rispettivamente il 51,9% e 41,8%</w:t>
      </w:r>
      <w:r w:rsidR="00A6692C">
        <w:rPr>
          <w:rFonts w:ascii="Arial" w:hAnsi="Arial" w:cs="Arial"/>
          <w:sz w:val="22"/>
          <w:szCs w:val="22"/>
        </w:rPr>
        <w:t>.</w:t>
      </w:r>
    </w:p>
    <w:p w14:paraId="7E2E39A2" w14:textId="77777777" w:rsidR="005B4392" w:rsidRDefault="005B4392" w:rsidP="007D421B">
      <w:pPr>
        <w:spacing w:after="120"/>
        <w:jc w:val="both"/>
        <w:rPr>
          <w:rFonts w:ascii="Arial" w:hAnsi="Arial" w:cs="Arial"/>
          <w:sz w:val="22"/>
          <w:szCs w:val="22"/>
        </w:rPr>
      </w:pPr>
    </w:p>
    <w:p w14:paraId="01C30931" w14:textId="7178C045" w:rsidR="00104C97" w:rsidRPr="000F582E" w:rsidRDefault="00104C97" w:rsidP="00104C97">
      <w:pPr>
        <w:spacing w:after="120"/>
        <w:jc w:val="both"/>
        <w:rPr>
          <w:rFonts w:ascii="Arial" w:hAnsi="Arial" w:cs="Arial"/>
          <w:b/>
          <w:color w:val="1F497D" w:themeColor="text2"/>
          <w:sz w:val="26"/>
          <w:szCs w:val="26"/>
        </w:rPr>
      </w:pPr>
      <w:r w:rsidRPr="000F582E">
        <w:rPr>
          <w:rFonts w:ascii="Arial" w:hAnsi="Arial" w:cs="Arial"/>
          <w:b/>
          <w:color w:val="1F497D" w:themeColor="text2"/>
          <w:sz w:val="26"/>
          <w:szCs w:val="26"/>
        </w:rPr>
        <w:t xml:space="preserve">In lieve </w:t>
      </w:r>
      <w:r w:rsidR="00A52326">
        <w:rPr>
          <w:rFonts w:ascii="Arial" w:hAnsi="Arial" w:cs="Arial"/>
          <w:b/>
          <w:color w:val="1F497D" w:themeColor="text2"/>
          <w:sz w:val="26"/>
          <w:szCs w:val="26"/>
        </w:rPr>
        <w:t>aumento</w:t>
      </w:r>
      <w:r w:rsidRPr="000F582E">
        <w:rPr>
          <w:rFonts w:ascii="Arial" w:hAnsi="Arial" w:cs="Arial"/>
          <w:b/>
          <w:color w:val="1F497D" w:themeColor="text2"/>
          <w:sz w:val="26"/>
          <w:szCs w:val="26"/>
        </w:rPr>
        <w:t xml:space="preserve"> i cittadini non comunitari con permesso di soggiorno</w:t>
      </w:r>
    </w:p>
    <w:p w14:paraId="32445556" w14:textId="370B8FF5" w:rsidR="00104C97" w:rsidRDefault="00F3608D" w:rsidP="00104C97">
      <w:pPr>
        <w:autoSpaceDE w:val="0"/>
        <w:autoSpaceDN w:val="0"/>
        <w:adjustRightInd w:val="0"/>
        <w:spacing w:after="80"/>
        <w:jc w:val="both"/>
        <w:rPr>
          <w:rFonts w:ascii="Arial" w:hAnsi="Arial" w:cs="Arial"/>
          <w:sz w:val="22"/>
          <w:szCs w:val="22"/>
        </w:rPr>
      </w:pPr>
      <w:r>
        <w:rPr>
          <w:rFonts w:ascii="Arial" w:hAnsi="Arial" w:cs="Arial"/>
          <w:sz w:val="22"/>
          <w:szCs w:val="22"/>
        </w:rPr>
        <w:t>Considerando l’ammontare complessivo de</w:t>
      </w:r>
      <w:r w:rsidR="00104C97" w:rsidRPr="00997843">
        <w:rPr>
          <w:rFonts w:ascii="Arial" w:hAnsi="Arial" w:cs="Arial"/>
          <w:sz w:val="22"/>
          <w:szCs w:val="22"/>
        </w:rPr>
        <w:t>i cittadini non comunitari con regolare permesso di soggiorno</w:t>
      </w:r>
      <w:r w:rsidR="00104C97">
        <w:rPr>
          <w:rFonts w:ascii="Arial" w:hAnsi="Arial" w:cs="Arial"/>
          <w:sz w:val="22"/>
          <w:szCs w:val="22"/>
        </w:rPr>
        <w:t xml:space="preserve"> </w:t>
      </w:r>
      <w:r w:rsidR="00104C97" w:rsidRPr="00997843">
        <w:rPr>
          <w:rFonts w:ascii="Arial" w:hAnsi="Arial" w:cs="Arial"/>
          <w:sz w:val="22"/>
          <w:szCs w:val="22"/>
        </w:rPr>
        <w:t>in Italia</w:t>
      </w:r>
      <w:r>
        <w:rPr>
          <w:rFonts w:ascii="Arial" w:hAnsi="Arial" w:cs="Arial"/>
          <w:sz w:val="22"/>
          <w:szCs w:val="22"/>
        </w:rPr>
        <w:t>,</w:t>
      </w:r>
      <w:r w:rsidR="00104C97" w:rsidRPr="00997843">
        <w:rPr>
          <w:rFonts w:ascii="Arial" w:hAnsi="Arial" w:cs="Arial"/>
          <w:sz w:val="22"/>
          <w:szCs w:val="22"/>
        </w:rPr>
        <w:t xml:space="preserve"> </w:t>
      </w:r>
      <w:r>
        <w:rPr>
          <w:rFonts w:ascii="Arial" w:hAnsi="Arial" w:cs="Arial"/>
          <w:sz w:val="22"/>
          <w:szCs w:val="22"/>
        </w:rPr>
        <w:t xml:space="preserve">al 31 dicembre 2024 si osserva un </w:t>
      </w:r>
      <w:r w:rsidR="00A52326">
        <w:rPr>
          <w:rFonts w:ascii="Arial" w:hAnsi="Arial" w:cs="Arial"/>
          <w:sz w:val="22"/>
          <w:szCs w:val="22"/>
        </w:rPr>
        <w:t>aumen</w:t>
      </w:r>
      <w:r w:rsidR="006D6516">
        <w:rPr>
          <w:rFonts w:ascii="Arial" w:hAnsi="Arial" w:cs="Arial"/>
          <w:sz w:val="22"/>
          <w:szCs w:val="22"/>
        </w:rPr>
        <w:t>t</w:t>
      </w:r>
      <w:r>
        <w:rPr>
          <w:rFonts w:ascii="Arial" w:hAnsi="Arial" w:cs="Arial"/>
          <w:sz w:val="22"/>
          <w:szCs w:val="22"/>
        </w:rPr>
        <w:t>o</w:t>
      </w:r>
      <w:r w:rsidR="00104C97" w:rsidRPr="00997843">
        <w:rPr>
          <w:rFonts w:ascii="Arial" w:hAnsi="Arial" w:cs="Arial"/>
          <w:sz w:val="22"/>
          <w:szCs w:val="22"/>
        </w:rPr>
        <w:t xml:space="preserve"> di circa il </w:t>
      </w:r>
      <w:r w:rsidR="00C777BF">
        <w:rPr>
          <w:rFonts w:ascii="Arial" w:hAnsi="Arial" w:cs="Arial"/>
          <w:sz w:val="22"/>
          <w:szCs w:val="22"/>
        </w:rPr>
        <w:t>5,6</w:t>
      </w:r>
      <w:r w:rsidR="00104C97" w:rsidRPr="00997843">
        <w:rPr>
          <w:rFonts w:ascii="Arial" w:hAnsi="Arial" w:cs="Arial"/>
          <w:sz w:val="22"/>
          <w:szCs w:val="22"/>
        </w:rPr>
        <w:t xml:space="preserve">% </w:t>
      </w:r>
      <w:r>
        <w:rPr>
          <w:rFonts w:ascii="Arial" w:hAnsi="Arial" w:cs="Arial"/>
          <w:sz w:val="22"/>
          <w:szCs w:val="22"/>
        </w:rPr>
        <w:t>rispetto alla stessa data dell’anno precedente (</w:t>
      </w:r>
      <w:r w:rsidR="00104C97" w:rsidRPr="00997843">
        <w:rPr>
          <w:rFonts w:ascii="Arial" w:hAnsi="Arial" w:cs="Arial"/>
          <w:sz w:val="22"/>
          <w:szCs w:val="22"/>
        </w:rPr>
        <w:t xml:space="preserve">da </w:t>
      </w:r>
      <w:r w:rsidR="00853E79" w:rsidRPr="00853E79">
        <w:rPr>
          <w:rFonts w:ascii="Arial" w:hAnsi="Arial" w:cs="Arial"/>
          <w:sz w:val="22"/>
          <w:szCs w:val="22"/>
        </w:rPr>
        <w:t>3</w:t>
      </w:r>
      <w:r w:rsidR="00853E79">
        <w:rPr>
          <w:rFonts w:ascii="Arial" w:hAnsi="Arial" w:cs="Arial"/>
          <w:sz w:val="22"/>
          <w:szCs w:val="22"/>
        </w:rPr>
        <w:t>.</w:t>
      </w:r>
      <w:r w:rsidR="00853E79" w:rsidRPr="00853E79">
        <w:rPr>
          <w:rFonts w:ascii="Arial" w:hAnsi="Arial" w:cs="Arial"/>
          <w:sz w:val="22"/>
          <w:szCs w:val="22"/>
        </w:rPr>
        <w:t>607</w:t>
      </w:r>
      <w:r w:rsidR="00853E79">
        <w:rPr>
          <w:rFonts w:ascii="Arial" w:hAnsi="Arial" w:cs="Arial"/>
          <w:sz w:val="22"/>
          <w:szCs w:val="22"/>
        </w:rPr>
        <w:t>.</w:t>
      </w:r>
      <w:r w:rsidR="00853E79" w:rsidRPr="00853E79">
        <w:rPr>
          <w:rFonts w:ascii="Arial" w:hAnsi="Arial" w:cs="Arial"/>
          <w:sz w:val="22"/>
          <w:szCs w:val="22"/>
        </w:rPr>
        <w:t>160</w:t>
      </w:r>
      <w:r w:rsidR="00853E79">
        <w:rPr>
          <w:rFonts w:ascii="Arial" w:hAnsi="Arial" w:cs="Arial"/>
          <w:sz w:val="22"/>
          <w:szCs w:val="22"/>
        </w:rPr>
        <w:t xml:space="preserve"> </w:t>
      </w:r>
      <w:r>
        <w:rPr>
          <w:rFonts w:ascii="Arial" w:hAnsi="Arial" w:cs="Arial"/>
          <w:sz w:val="22"/>
          <w:szCs w:val="22"/>
        </w:rPr>
        <w:t xml:space="preserve">a </w:t>
      </w:r>
      <w:r w:rsidR="006D6516" w:rsidRPr="006D6516">
        <w:rPr>
          <w:rFonts w:ascii="Arial" w:hAnsi="Arial" w:cs="Arial"/>
          <w:sz w:val="22"/>
          <w:szCs w:val="22"/>
        </w:rPr>
        <w:t>3</w:t>
      </w:r>
      <w:r w:rsidR="006D6516">
        <w:rPr>
          <w:rFonts w:ascii="Arial" w:hAnsi="Arial" w:cs="Arial"/>
          <w:sz w:val="22"/>
          <w:szCs w:val="22"/>
        </w:rPr>
        <w:t>.</w:t>
      </w:r>
      <w:r w:rsidR="006D6516" w:rsidRPr="006D6516">
        <w:rPr>
          <w:rFonts w:ascii="Arial" w:hAnsi="Arial" w:cs="Arial"/>
          <w:sz w:val="22"/>
          <w:szCs w:val="22"/>
        </w:rPr>
        <w:t>810</w:t>
      </w:r>
      <w:r w:rsidR="006D6516">
        <w:rPr>
          <w:rFonts w:ascii="Arial" w:hAnsi="Arial" w:cs="Arial"/>
          <w:sz w:val="22"/>
          <w:szCs w:val="22"/>
        </w:rPr>
        <w:t>.</w:t>
      </w:r>
      <w:r w:rsidR="006D6516" w:rsidRPr="006D6516">
        <w:rPr>
          <w:rFonts w:ascii="Arial" w:hAnsi="Arial" w:cs="Arial"/>
          <w:sz w:val="22"/>
          <w:szCs w:val="22"/>
        </w:rPr>
        <w:t>741</w:t>
      </w:r>
      <w:r>
        <w:rPr>
          <w:rFonts w:ascii="Arial" w:hAnsi="Arial" w:cs="Arial"/>
          <w:sz w:val="22"/>
          <w:szCs w:val="22"/>
        </w:rPr>
        <w:t>)</w:t>
      </w:r>
      <w:r w:rsidR="00104C97" w:rsidRPr="00997843">
        <w:rPr>
          <w:rFonts w:ascii="Arial" w:hAnsi="Arial" w:cs="Arial"/>
          <w:sz w:val="22"/>
          <w:szCs w:val="22"/>
        </w:rPr>
        <w:t>.</w:t>
      </w:r>
      <w:r w:rsidR="00EB2C5B">
        <w:rPr>
          <w:rFonts w:ascii="Arial" w:hAnsi="Arial" w:cs="Arial"/>
          <w:sz w:val="22"/>
          <w:szCs w:val="22"/>
        </w:rPr>
        <w:t xml:space="preserve"> Tutte le prime collettività sono cresciute ad eccezione dei filippini</w:t>
      </w:r>
      <w:r w:rsidR="00053FF5">
        <w:rPr>
          <w:rFonts w:ascii="Arial" w:hAnsi="Arial" w:cs="Arial"/>
          <w:sz w:val="22"/>
          <w:szCs w:val="22"/>
        </w:rPr>
        <w:t>,</w:t>
      </w:r>
      <w:r w:rsidR="00EB2C5B">
        <w:rPr>
          <w:rFonts w:ascii="Arial" w:hAnsi="Arial" w:cs="Arial"/>
          <w:sz w:val="22"/>
          <w:szCs w:val="22"/>
        </w:rPr>
        <w:t xml:space="preserve"> per i quali si rileva un </w:t>
      </w:r>
      <w:r w:rsidR="00DB38C9">
        <w:rPr>
          <w:rFonts w:ascii="Arial" w:hAnsi="Arial" w:cs="Arial"/>
          <w:sz w:val="22"/>
          <w:szCs w:val="22"/>
        </w:rPr>
        <w:t xml:space="preserve">lievissimo </w:t>
      </w:r>
      <w:r w:rsidR="00EB2C5B">
        <w:rPr>
          <w:rFonts w:ascii="Arial" w:hAnsi="Arial" w:cs="Arial"/>
          <w:sz w:val="22"/>
          <w:szCs w:val="22"/>
        </w:rPr>
        <w:t xml:space="preserve">decremento </w:t>
      </w:r>
      <w:r w:rsidR="00DB38C9">
        <w:rPr>
          <w:rFonts w:ascii="Arial" w:hAnsi="Arial" w:cs="Arial"/>
          <w:sz w:val="22"/>
          <w:szCs w:val="22"/>
        </w:rPr>
        <w:t xml:space="preserve">(-591). </w:t>
      </w:r>
      <w:r w:rsidR="001C584B">
        <w:rPr>
          <w:rFonts w:ascii="Arial" w:hAnsi="Arial" w:cs="Arial"/>
          <w:sz w:val="22"/>
          <w:szCs w:val="22"/>
        </w:rPr>
        <w:t xml:space="preserve">Gli incrementi più rilevanti hanno riguardato </w:t>
      </w:r>
      <w:r w:rsidR="00414128">
        <w:rPr>
          <w:rFonts w:ascii="Arial" w:hAnsi="Arial" w:cs="Arial"/>
          <w:sz w:val="22"/>
          <w:szCs w:val="22"/>
        </w:rPr>
        <w:t>i</w:t>
      </w:r>
      <w:r w:rsidR="00E67826">
        <w:rPr>
          <w:rFonts w:ascii="Arial" w:hAnsi="Arial" w:cs="Arial"/>
          <w:sz w:val="22"/>
          <w:szCs w:val="22"/>
        </w:rPr>
        <w:t xml:space="preserve"> cittadini di </w:t>
      </w:r>
      <w:r w:rsidR="00414128">
        <w:rPr>
          <w:rFonts w:ascii="Arial" w:hAnsi="Arial" w:cs="Arial"/>
          <w:sz w:val="22"/>
          <w:szCs w:val="22"/>
        </w:rPr>
        <w:t>Bangladesh (+16,9%)</w:t>
      </w:r>
      <w:r w:rsidR="00E67826">
        <w:rPr>
          <w:rFonts w:ascii="Arial" w:hAnsi="Arial" w:cs="Arial"/>
          <w:sz w:val="22"/>
          <w:szCs w:val="22"/>
        </w:rPr>
        <w:t>, Pakistan (</w:t>
      </w:r>
      <w:r w:rsidR="00FB7710">
        <w:rPr>
          <w:rFonts w:ascii="Arial" w:hAnsi="Arial" w:cs="Arial"/>
          <w:sz w:val="22"/>
          <w:szCs w:val="22"/>
        </w:rPr>
        <w:t>+</w:t>
      </w:r>
      <w:r w:rsidR="00E67826">
        <w:rPr>
          <w:rFonts w:ascii="Arial" w:hAnsi="Arial" w:cs="Arial"/>
          <w:sz w:val="22"/>
          <w:szCs w:val="22"/>
        </w:rPr>
        <w:t xml:space="preserve">13,2%) </w:t>
      </w:r>
      <w:r w:rsidR="00414128">
        <w:rPr>
          <w:rFonts w:ascii="Arial" w:hAnsi="Arial" w:cs="Arial"/>
          <w:sz w:val="22"/>
          <w:szCs w:val="22"/>
        </w:rPr>
        <w:t xml:space="preserve">e </w:t>
      </w:r>
      <w:r w:rsidR="0007789E">
        <w:rPr>
          <w:rFonts w:ascii="Arial" w:hAnsi="Arial" w:cs="Arial"/>
          <w:sz w:val="22"/>
          <w:szCs w:val="22"/>
        </w:rPr>
        <w:t>Tunisia (</w:t>
      </w:r>
      <w:r w:rsidR="007F5AA8">
        <w:rPr>
          <w:rFonts w:ascii="Arial" w:hAnsi="Arial" w:cs="Arial"/>
          <w:sz w:val="22"/>
          <w:szCs w:val="22"/>
        </w:rPr>
        <w:t xml:space="preserve">+12,8%). </w:t>
      </w:r>
      <w:r w:rsidR="006054BA">
        <w:rPr>
          <w:rFonts w:ascii="Arial" w:hAnsi="Arial" w:cs="Arial"/>
          <w:sz w:val="22"/>
          <w:szCs w:val="22"/>
        </w:rPr>
        <w:t xml:space="preserve">Il Pakistan supera Filippine e </w:t>
      </w:r>
      <w:r w:rsidR="00A43420">
        <w:rPr>
          <w:rFonts w:ascii="Arial" w:hAnsi="Arial" w:cs="Arial"/>
          <w:sz w:val="22"/>
          <w:szCs w:val="22"/>
        </w:rPr>
        <w:t xml:space="preserve">India nella graduatoria dei primi </w:t>
      </w:r>
      <w:r w:rsidR="00883D8A">
        <w:rPr>
          <w:rFonts w:ascii="Arial" w:hAnsi="Arial" w:cs="Arial"/>
          <w:sz w:val="22"/>
          <w:szCs w:val="22"/>
        </w:rPr>
        <w:t>10 P</w:t>
      </w:r>
      <w:r w:rsidR="00A43420">
        <w:rPr>
          <w:rFonts w:ascii="Arial" w:hAnsi="Arial" w:cs="Arial"/>
          <w:sz w:val="22"/>
          <w:szCs w:val="22"/>
        </w:rPr>
        <w:t xml:space="preserve">aesi per numero di presenze </w:t>
      </w:r>
      <w:r w:rsidR="00A43420" w:rsidRPr="002746D9">
        <w:rPr>
          <w:rFonts w:ascii="Arial" w:hAnsi="Arial" w:cs="Arial"/>
          <w:sz w:val="22"/>
          <w:szCs w:val="22"/>
        </w:rPr>
        <w:t>rego</w:t>
      </w:r>
      <w:r w:rsidR="00552C07" w:rsidRPr="002746D9">
        <w:rPr>
          <w:rFonts w:ascii="Arial" w:hAnsi="Arial" w:cs="Arial"/>
          <w:sz w:val="22"/>
          <w:szCs w:val="22"/>
        </w:rPr>
        <w:t>lari</w:t>
      </w:r>
      <w:r w:rsidR="00320750" w:rsidRPr="002746D9">
        <w:rPr>
          <w:rFonts w:ascii="Arial" w:hAnsi="Arial" w:cs="Arial"/>
          <w:sz w:val="22"/>
          <w:szCs w:val="22"/>
        </w:rPr>
        <w:t xml:space="preserve"> (</w:t>
      </w:r>
      <w:r w:rsidR="00CB0AE0" w:rsidRPr="002746D9">
        <w:rPr>
          <w:rFonts w:ascii="Arial" w:hAnsi="Arial" w:cs="Arial"/>
          <w:sz w:val="22"/>
          <w:szCs w:val="22"/>
        </w:rPr>
        <w:t>F</w:t>
      </w:r>
      <w:r w:rsidR="00320750" w:rsidRPr="002746D9">
        <w:rPr>
          <w:rFonts w:ascii="Arial" w:hAnsi="Arial" w:cs="Arial"/>
          <w:sz w:val="22"/>
          <w:szCs w:val="22"/>
        </w:rPr>
        <w:t>igura 4)</w:t>
      </w:r>
      <w:r w:rsidR="00552C07" w:rsidRPr="002746D9">
        <w:rPr>
          <w:rFonts w:ascii="Arial" w:hAnsi="Arial" w:cs="Arial"/>
          <w:sz w:val="22"/>
          <w:szCs w:val="22"/>
        </w:rPr>
        <w:t>.</w:t>
      </w:r>
    </w:p>
    <w:p w14:paraId="493F055F" w14:textId="1C5BF53D" w:rsidR="00A63853" w:rsidRPr="00A371F7" w:rsidRDefault="00A63853" w:rsidP="00423F12">
      <w:pPr>
        <w:autoSpaceDE w:val="0"/>
        <w:autoSpaceDN w:val="0"/>
        <w:adjustRightInd w:val="0"/>
        <w:spacing w:after="80"/>
        <w:jc w:val="both"/>
        <w:rPr>
          <w:rFonts w:ascii="Arial" w:hAnsi="Arial" w:cs="Arial"/>
          <w:sz w:val="22"/>
          <w:szCs w:val="22"/>
        </w:rPr>
      </w:pPr>
      <w:r w:rsidRPr="00A371F7">
        <w:rPr>
          <w:rFonts w:ascii="Arial" w:hAnsi="Arial" w:cs="Arial"/>
          <w:sz w:val="22"/>
          <w:szCs w:val="22"/>
        </w:rPr>
        <w:t xml:space="preserve">Le persone con permesso di soggiorno in Italia hanno un’età media di poco più di 36 anni e una </w:t>
      </w:r>
      <w:r w:rsidR="00F679D2">
        <w:rPr>
          <w:rFonts w:ascii="Arial" w:hAnsi="Arial" w:cs="Arial"/>
          <w:sz w:val="22"/>
          <w:szCs w:val="22"/>
        </w:rPr>
        <w:t>composizione</w:t>
      </w:r>
      <w:r w:rsidRPr="00A371F7">
        <w:rPr>
          <w:rFonts w:ascii="Arial" w:hAnsi="Arial" w:cs="Arial"/>
          <w:sz w:val="22"/>
          <w:szCs w:val="22"/>
        </w:rPr>
        <w:t xml:space="preserve"> di genere nell’insieme equilibrata (nel 48,0% dei casi si tratta di donne), anche se poi si riscontrano evidenti sbilanciamenti </w:t>
      </w:r>
      <w:r w:rsidR="00F679D2">
        <w:rPr>
          <w:rFonts w:ascii="Arial" w:hAnsi="Arial" w:cs="Arial"/>
          <w:sz w:val="22"/>
          <w:szCs w:val="22"/>
        </w:rPr>
        <w:t xml:space="preserve">per le </w:t>
      </w:r>
      <w:r w:rsidRPr="00A371F7">
        <w:rPr>
          <w:rFonts w:ascii="Arial" w:hAnsi="Arial" w:cs="Arial"/>
          <w:sz w:val="22"/>
          <w:szCs w:val="22"/>
        </w:rPr>
        <w:t>singole collettività: ad esempio, tra i cittadini europei le donne rappresentano il 61,6%, mentre sono circa il 36,2% tra le comunità africane.</w:t>
      </w:r>
    </w:p>
    <w:p w14:paraId="66ED9721" w14:textId="52C9FA07" w:rsidR="00552C07" w:rsidRDefault="00A63853" w:rsidP="00423F12">
      <w:pPr>
        <w:spacing w:after="120"/>
        <w:jc w:val="both"/>
        <w:rPr>
          <w:rFonts w:ascii="Arial" w:hAnsi="Arial" w:cs="Arial"/>
          <w:sz w:val="22"/>
          <w:szCs w:val="22"/>
        </w:rPr>
      </w:pPr>
      <w:r w:rsidRPr="00A371F7">
        <w:rPr>
          <w:rFonts w:ascii="Arial" w:hAnsi="Arial" w:cs="Arial"/>
          <w:sz w:val="22"/>
          <w:szCs w:val="22"/>
        </w:rPr>
        <w:t>I minori rappresentano una quota ampia della popolazione non comunitari</w:t>
      </w:r>
      <w:r w:rsidRPr="00455A7C">
        <w:rPr>
          <w:rFonts w:ascii="Arial" w:hAnsi="Arial" w:cs="Arial"/>
          <w:sz w:val="22"/>
          <w:szCs w:val="22"/>
        </w:rPr>
        <w:t>a con regolare permesso di soggiorno (il 17,3% del totale). L’incidenza di bambini e ragazzi sul totale delle presenze è particolarmente rilevante nelle comunità africane (20,0%)</w:t>
      </w:r>
      <w:r w:rsidR="005F5ACF">
        <w:rPr>
          <w:rFonts w:ascii="Arial" w:hAnsi="Arial" w:cs="Arial"/>
          <w:sz w:val="22"/>
          <w:szCs w:val="22"/>
        </w:rPr>
        <w:t>,</w:t>
      </w:r>
      <w:r w:rsidRPr="00455A7C">
        <w:rPr>
          <w:rFonts w:ascii="Arial" w:hAnsi="Arial" w:cs="Arial"/>
          <w:sz w:val="22"/>
          <w:szCs w:val="22"/>
        </w:rPr>
        <w:t xml:space="preserve"> con il massimo del 26,6% per i nigeriani e il 24,6% tra gli egiziani. Cresce lievemente, rispetto alla fine del 2023, la quota di persone con più </w:t>
      </w:r>
      <w:r w:rsidR="00883D8A">
        <w:rPr>
          <w:rFonts w:ascii="Arial" w:hAnsi="Arial" w:cs="Arial"/>
          <w:sz w:val="22"/>
          <w:szCs w:val="22"/>
        </w:rPr>
        <w:br/>
      </w:r>
      <w:r w:rsidRPr="00455A7C">
        <w:rPr>
          <w:rFonts w:ascii="Arial" w:hAnsi="Arial" w:cs="Arial"/>
          <w:sz w:val="22"/>
          <w:szCs w:val="22"/>
        </w:rPr>
        <w:t>di 60 anni, dall’11,6% al 12,2%. Tra le cittadin</w:t>
      </w:r>
      <w:r w:rsidR="00FB7710">
        <w:rPr>
          <w:rFonts w:ascii="Arial" w:hAnsi="Arial" w:cs="Arial"/>
          <w:sz w:val="22"/>
          <w:szCs w:val="22"/>
        </w:rPr>
        <w:t>anz</w:t>
      </w:r>
      <w:r w:rsidRPr="00455A7C">
        <w:rPr>
          <w:rFonts w:ascii="Arial" w:hAnsi="Arial" w:cs="Arial"/>
          <w:sz w:val="22"/>
          <w:szCs w:val="22"/>
        </w:rPr>
        <w:t xml:space="preserve">e più numerose quella che registra il numero </w:t>
      </w:r>
      <w:r w:rsidR="00883D8A">
        <w:rPr>
          <w:rFonts w:ascii="Arial" w:hAnsi="Arial" w:cs="Arial"/>
          <w:sz w:val="22"/>
          <w:szCs w:val="22"/>
        </w:rPr>
        <w:t>più alto</w:t>
      </w:r>
      <w:r w:rsidR="00883D8A" w:rsidRPr="00455A7C">
        <w:rPr>
          <w:rFonts w:ascii="Arial" w:hAnsi="Arial" w:cs="Arial"/>
          <w:sz w:val="22"/>
          <w:szCs w:val="22"/>
        </w:rPr>
        <w:t xml:space="preserve"> </w:t>
      </w:r>
      <w:r w:rsidRPr="00455A7C">
        <w:rPr>
          <w:rFonts w:ascii="Arial" w:hAnsi="Arial" w:cs="Arial"/>
          <w:sz w:val="22"/>
          <w:szCs w:val="22"/>
        </w:rPr>
        <w:t>di ultra sessantenni è quella ucraina con il 24,6%.</w:t>
      </w:r>
    </w:p>
    <w:p w14:paraId="2037F9DC" w14:textId="4411B475" w:rsidR="008E53D5" w:rsidRDefault="008E53D5" w:rsidP="00A24142">
      <w:pPr>
        <w:jc w:val="both"/>
        <w:rPr>
          <w:rFonts w:ascii="Arial" w:hAnsi="Arial" w:cs="Arial"/>
          <w:sz w:val="22"/>
          <w:szCs w:val="22"/>
        </w:rPr>
      </w:pPr>
      <w:r>
        <w:rPr>
          <w:rFonts w:ascii="Arial" w:hAnsi="Arial" w:cs="Arial"/>
          <w:sz w:val="22"/>
          <w:szCs w:val="22"/>
        </w:rPr>
        <w:t>I soggiornanti di lungo periodo</w:t>
      </w:r>
      <w:r w:rsidR="00A671B6">
        <w:rPr>
          <w:rFonts w:ascii="Arial" w:hAnsi="Arial" w:cs="Arial"/>
          <w:sz w:val="22"/>
          <w:szCs w:val="22"/>
        </w:rPr>
        <w:t>,</w:t>
      </w:r>
      <w:r>
        <w:rPr>
          <w:rFonts w:ascii="Arial" w:hAnsi="Arial" w:cs="Arial"/>
          <w:sz w:val="22"/>
          <w:szCs w:val="22"/>
        </w:rPr>
        <w:t xml:space="preserve"> </w:t>
      </w:r>
      <w:r w:rsidR="00F679D2">
        <w:rPr>
          <w:rFonts w:ascii="Arial" w:hAnsi="Arial" w:cs="Arial"/>
          <w:sz w:val="22"/>
          <w:szCs w:val="22"/>
        </w:rPr>
        <w:t xml:space="preserve">ovvero </w:t>
      </w:r>
      <w:r w:rsidR="00A671B6" w:rsidRPr="00A671B6">
        <w:rPr>
          <w:rFonts w:ascii="Arial" w:hAnsi="Arial" w:cs="Arial"/>
          <w:sz w:val="22"/>
          <w:szCs w:val="22"/>
        </w:rPr>
        <w:t xml:space="preserve">quelli che </w:t>
      </w:r>
      <w:r w:rsidR="00490B44">
        <w:rPr>
          <w:rFonts w:ascii="Arial" w:hAnsi="Arial" w:cs="Arial"/>
          <w:sz w:val="22"/>
          <w:szCs w:val="22"/>
        </w:rPr>
        <w:t xml:space="preserve">hanno un permesso senza scadenza perché </w:t>
      </w:r>
      <w:r w:rsidR="00A671B6" w:rsidRPr="00A671B6">
        <w:rPr>
          <w:rFonts w:ascii="Arial" w:hAnsi="Arial" w:cs="Arial"/>
          <w:sz w:val="22"/>
          <w:szCs w:val="22"/>
        </w:rPr>
        <w:t>risiedono in maniera stabile e continuativa in Italia da almeno cinque ann</w:t>
      </w:r>
      <w:r w:rsidR="00490B44">
        <w:rPr>
          <w:rFonts w:ascii="Arial" w:hAnsi="Arial" w:cs="Arial"/>
          <w:sz w:val="22"/>
          <w:szCs w:val="22"/>
        </w:rPr>
        <w:t xml:space="preserve">i, </w:t>
      </w:r>
      <w:r w:rsidR="00562E76">
        <w:rPr>
          <w:rFonts w:ascii="Arial" w:hAnsi="Arial" w:cs="Arial"/>
          <w:sz w:val="22"/>
          <w:szCs w:val="22"/>
        </w:rPr>
        <w:t xml:space="preserve">rappresentano </w:t>
      </w:r>
      <w:r w:rsidR="00562E76" w:rsidRPr="00733DB8">
        <w:rPr>
          <w:rFonts w:ascii="Arial" w:hAnsi="Arial" w:cs="Arial"/>
          <w:sz w:val="22"/>
          <w:szCs w:val="22"/>
        </w:rPr>
        <w:t>il 5</w:t>
      </w:r>
      <w:r w:rsidR="00E845EF" w:rsidRPr="00733DB8">
        <w:rPr>
          <w:rFonts w:ascii="Arial" w:hAnsi="Arial" w:cs="Arial"/>
          <w:sz w:val="22"/>
          <w:szCs w:val="22"/>
        </w:rPr>
        <w:t>2,8%</w:t>
      </w:r>
      <w:r w:rsidR="00E845EF">
        <w:rPr>
          <w:rFonts w:ascii="Arial" w:hAnsi="Arial" w:cs="Arial"/>
          <w:sz w:val="22"/>
          <w:szCs w:val="22"/>
        </w:rPr>
        <w:t xml:space="preserve"> delle presenze</w:t>
      </w:r>
      <w:r w:rsidR="00F679D2">
        <w:rPr>
          <w:rFonts w:ascii="Arial" w:hAnsi="Arial" w:cs="Arial"/>
          <w:sz w:val="22"/>
          <w:szCs w:val="22"/>
        </w:rPr>
        <w:t>,</w:t>
      </w:r>
      <w:r w:rsidR="00E57909">
        <w:rPr>
          <w:rFonts w:ascii="Arial" w:hAnsi="Arial" w:cs="Arial"/>
          <w:sz w:val="22"/>
          <w:szCs w:val="22"/>
        </w:rPr>
        <w:t xml:space="preserve"> </w:t>
      </w:r>
      <w:r w:rsidR="00F679D2">
        <w:rPr>
          <w:rFonts w:ascii="Arial" w:hAnsi="Arial" w:cs="Arial"/>
          <w:sz w:val="22"/>
          <w:szCs w:val="22"/>
        </w:rPr>
        <w:t xml:space="preserve">un dato </w:t>
      </w:r>
      <w:r w:rsidR="00E57909">
        <w:rPr>
          <w:rFonts w:ascii="Arial" w:hAnsi="Arial" w:cs="Arial"/>
          <w:sz w:val="22"/>
          <w:szCs w:val="22"/>
        </w:rPr>
        <w:t>in diminuzione rispetto all’anno precedente</w:t>
      </w:r>
      <w:r w:rsidR="00490B44">
        <w:rPr>
          <w:rFonts w:ascii="Arial" w:hAnsi="Arial" w:cs="Arial"/>
          <w:sz w:val="22"/>
          <w:szCs w:val="22"/>
        </w:rPr>
        <w:t>, quando erano il 59,</w:t>
      </w:r>
      <w:r w:rsidR="00AE2083">
        <w:rPr>
          <w:rFonts w:ascii="Arial" w:hAnsi="Arial" w:cs="Arial"/>
          <w:sz w:val="22"/>
          <w:szCs w:val="22"/>
        </w:rPr>
        <w:t>3%</w:t>
      </w:r>
      <w:r w:rsidR="00E57909">
        <w:rPr>
          <w:rFonts w:ascii="Arial" w:hAnsi="Arial" w:cs="Arial"/>
          <w:sz w:val="22"/>
          <w:szCs w:val="22"/>
        </w:rPr>
        <w:t>.</w:t>
      </w:r>
      <w:r w:rsidR="00AE2083">
        <w:rPr>
          <w:rFonts w:ascii="Arial" w:hAnsi="Arial" w:cs="Arial"/>
          <w:sz w:val="22"/>
          <w:szCs w:val="22"/>
        </w:rPr>
        <w:t xml:space="preserve"> </w:t>
      </w:r>
      <w:r w:rsidR="00F679D2">
        <w:rPr>
          <w:rFonts w:ascii="Arial" w:hAnsi="Arial" w:cs="Arial"/>
          <w:sz w:val="22"/>
          <w:szCs w:val="22"/>
        </w:rPr>
        <w:t>Il calo</w:t>
      </w:r>
      <w:r w:rsidR="00AE2083">
        <w:rPr>
          <w:rFonts w:ascii="Arial" w:hAnsi="Arial" w:cs="Arial"/>
          <w:sz w:val="22"/>
          <w:szCs w:val="22"/>
        </w:rPr>
        <w:t xml:space="preserve"> </w:t>
      </w:r>
      <w:r w:rsidR="009B4290">
        <w:rPr>
          <w:rFonts w:ascii="Arial" w:hAnsi="Arial" w:cs="Arial"/>
          <w:sz w:val="22"/>
          <w:szCs w:val="22"/>
        </w:rPr>
        <w:t>de</w:t>
      </w:r>
      <w:r w:rsidR="007F3D76">
        <w:rPr>
          <w:rFonts w:ascii="Arial" w:hAnsi="Arial" w:cs="Arial"/>
          <w:sz w:val="22"/>
          <w:szCs w:val="22"/>
        </w:rPr>
        <w:t xml:space="preserve">l peso </w:t>
      </w:r>
      <w:r w:rsidR="009B4290">
        <w:rPr>
          <w:rFonts w:ascii="Arial" w:hAnsi="Arial" w:cs="Arial"/>
          <w:sz w:val="22"/>
          <w:szCs w:val="22"/>
        </w:rPr>
        <w:t>relativo</w:t>
      </w:r>
      <w:r w:rsidR="007F3D76">
        <w:rPr>
          <w:rFonts w:ascii="Arial" w:hAnsi="Arial" w:cs="Arial"/>
          <w:sz w:val="22"/>
          <w:szCs w:val="22"/>
        </w:rPr>
        <w:t xml:space="preserve"> di questa componente </w:t>
      </w:r>
      <w:r w:rsidR="00AE2083">
        <w:rPr>
          <w:rFonts w:ascii="Arial" w:hAnsi="Arial" w:cs="Arial"/>
          <w:sz w:val="22"/>
          <w:szCs w:val="22"/>
        </w:rPr>
        <w:t xml:space="preserve">dipende </w:t>
      </w:r>
      <w:r w:rsidR="00F679D2">
        <w:rPr>
          <w:rFonts w:ascii="Arial" w:hAnsi="Arial" w:cs="Arial"/>
          <w:sz w:val="22"/>
          <w:szCs w:val="22"/>
        </w:rPr>
        <w:t xml:space="preserve">soprattutto </w:t>
      </w:r>
      <w:r w:rsidR="005F5ACF">
        <w:rPr>
          <w:rFonts w:ascii="Arial" w:hAnsi="Arial" w:cs="Arial"/>
          <w:sz w:val="22"/>
          <w:szCs w:val="22"/>
        </w:rPr>
        <w:t>d</w:t>
      </w:r>
      <w:r w:rsidR="00AE2083">
        <w:rPr>
          <w:rFonts w:ascii="Arial" w:hAnsi="Arial" w:cs="Arial"/>
          <w:sz w:val="22"/>
          <w:szCs w:val="22"/>
        </w:rPr>
        <w:t>alle acquisizioni di cittadinanza</w:t>
      </w:r>
      <w:r w:rsidR="00F679D2">
        <w:rPr>
          <w:rFonts w:ascii="Arial" w:hAnsi="Arial" w:cs="Arial"/>
          <w:sz w:val="22"/>
          <w:szCs w:val="22"/>
        </w:rPr>
        <w:t xml:space="preserve"> italiana,</w:t>
      </w:r>
      <w:r w:rsidR="0018289C">
        <w:rPr>
          <w:rFonts w:ascii="Arial" w:hAnsi="Arial" w:cs="Arial"/>
          <w:sz w:val="22"/>
          <w:szCs w:val="22"/>
        </w:rPr>
        <w:t xml:space="preserve"> che </w:t>
      </w:r>
      <w:r w:rsidR="00F679D2">
        <w:rPr>
          <w:rFonts w:ascii="Arial" w:hAnsi="Arial" w:cs="Arial"/>
          <w:sz w:val="22"/>
          <w:szCs w:val="22"/>
        </w:rPr>
        <w:t xml:space="preserve">si devono in larga misura </w:t>
      </w:r>
      <w:r w:rsidR="0018289C">
        <w:rPr>
          <w:rFonts w:ascii="Arial" w:hAnsi="Arial" w:cs="Arial"/>
          <w:sz w:val="22"/>
          <w:szCs w:val="22"/>
        </w:rPr>
        <w:t xml:space="preserve">proprio </w:t>
      </w:r>
      <w:r w:rsidR="00F679D2">
        <w:rPr>
          <w:rFonts w:ascii="Arial" w:hAnsi="Arial" w:cs="Arial"/>
          <w:sz w:val="22"/>
          <w:szCs w:val="22"/>
        </w:rPr>
        <w:t>a</w:t>
      </w:r>
      <w:r w:rsidR="0018289C">
        <w:rPr>
          <w:rFonts w:ascii="Arial" w:hAnsi="Arial" w:cs="Arial"/>
          <w:sz w:val="22"/>
          <w:szCs w:val="22"/>
        </w:rPr>
        <w:t>gli stranieri da più lungo tempo presenti</w:t>
      </w:r>
      <w:r w:rsidR="00F679D2">
        <w:rPr>
          <w:rFonts w:ascii="Arial" w:hAnsi="Arial" w:cs="Arial"/>
          <w:sz w:val="22"/>
          <w:szCs w:val="22"/>
        </w:rPr>
        <w:t>.</w:t>
      </w:r>
    </w:p>
    <w:p w14:paraId="31CD9ABC" w14:textId="28D07792" w:rsidR="00883D8A" w:rsidRDefault="00883D8A" w:rsidP="00221D2A">
      <w:pPr>
        <w:jc w:val="both"/>
        <w:rPr>
          <w:rFonts w:ascii="Arial" w:hAnsi="Arial" w:cs="Arial"/>
          <w:sz w:val="18"/>
          <w:szCs w:val="18"/>
        </w:rPr>
      </w:pPr>
    </w:p>
    <w:p w14:paraId="6087E40B" w14:textId="2D5B0E5B" w:rsidR="005864F6" w:rsidRDefault="005864F6" w:rsidP="00221D2A">
      <w:pPr>
        <w:jc w:val="both"/>
        <w:rPr>
          <w:rFonts w:ascii="Arial" w:hAnsi="Arial" w:cs="Arial"/>
          <w:sz w:val="18"/>
          <w:szCs w:val="18"/>
        </w:rPr>
      </w:pPr>
    </w:p>
    <w:p w14:paraId="19427A79" w14:textId="77777777" w:rsidR="005864F6" w:rsidRDefault="005864F6" w:rsidP="00221D2A">
      <w:pPr>
        <w:jc w:val="both"/>
        <w:rPr>
          <w:rFonts w:ascii="Arial" w:hAnsi="Arial" w:cs="Arial"/>
          <w:sz w:val="18"/>
          <w:szCs w:val="18"/>
        </w:rPr>
      </w:pPr>
    </w:p>
    <w:p w14:paraId="2DE6562F" w14:textId="77777777" w:rsidR="009C4238" w:rsidRPr="00A24142" w:rsidRDefault="009C4238" w:rsidP="00221D2A">
      <w:pPr>
        <w:jc w:val="both"/>
        <w:rPr>
          <w:rFonts w:ascii="Arial" w:hAnsi="Arial" w:cs="Arial"/>
          <w:sz w:val="18"/>
          <w:szCs w:val="18"/>
        </w:rPr>
      </w:pPr>
    </w:p>
    <w:p w14:paraId="0030323F" w14:textId="071C46A9" w:rsidR="00B26B64" w:rsidRDefault="00B26B64" w:rsidP="00B26B64">
      <w:pPr>
        <w:autoSpaceDE w:val="0"/>
        <w:autoSpaceDN w:val="0"/>
        <w:adjustRightInd w:val="0"/>
        <w:spacing w:after="80"/>
        <w:jc w:val="both"/>
        <w:rPr>
          <w:rFonts w:ascii="Arial Narrow" w:hAnsi="Arial Narrow"/>
          <w:iCs/>
          <w:noProof/>
          <w:color w:val="1F497D" w:themeColor="text2"/>
          <w:sz w:val="22"/>
          <w:szCs w:val="22"/>
        </w:rPr>
      </w:pPr>
      <w:r w:rsidRPr="00872A48">
        <w:rPr>
          <w:rFonts w:ascii="Arial Black" w:hAnsi="Arial Black"/>
          <w:iCs/>
          <w:noProof/>
          <w:color w:val="1F497D" w:themeColor="text2"/>
        </w:rPr>
        <w:t xml:space="preserve">FIGURA 3. </w:t>
      </w:r>
      <w:r w:rsidRPr="00872A48">
        <w:rPr>
          <w:rFonts w:ascii="Arial Narrow" w:hAnsi="Arial Narrow" w:cs="Arial"/>
          <w:b/>
          <w:iCs/>
          <w:noProof/>
          <w:color w:val="1F497D" w:themeColor="text2"/>
          <w:sz w:val="22"/>
        </w:rPr>
        <w:t xml:space="preserve">DOMANDE DI ASILO </w:t>
      </w:r>
      <w:r w:rsidR="00872A48" w:rsidRPr="00872A48">
        <w:rPr>
          <w:rFonts w:ascii="Arial Narrow" w:hAnsi="Arial Narrow" w:cs="Arial"/>
          <w:b/>
          <w:iCs/>
          <w:noProof/>
          <w:color w:val="1F497D" w:themeColor="text2"/>
          <w:sz w:val="22"/>
        </w:rPr>
        <w:t>ACCOLTE</w:t>
      </w:r>
      <w:r w:rsidRPr="00872A48">
        <w:rPr>
          <w:rFonts w:ascii="Arial Narrow" w:hAnsi="Arial Narrow" w:cs="Arial"/>
          <w:b/>
          <w:iCs/>
          <w:noProof/>
          <w:color w:val="1F497D" w:themeColor="text2"/>
          <w:sz w:val="22"/>
        </w:rPr>
        <w:t xml:space="preserve"> NEL 2024 PER CITTADINANZA</w:t>
      </w:r>
      <w:r w:rsidRPr="00872A48">
        <w:rPr>
          <w:rFonts w:ascii="Arial Narrow" w:hAnsi="Arial Narrow"/>
          <w:iCs/>
          <w:noProof/>
          <w:color w:val="1F497D" w:themeColor="text2"/>
        </w:rPr>
        <w:t xml:space="preserve"> </w:t>
      </w:r>
      <w:r w:rsidRPr="00872A48">
        <w:rPr>
          <w:rFonts w:ascii="Arial Narrow" w:hAnsi="Arial Narrow"/>
          <w:iCs/>
          <w:noProof/>
          <w:color w:val="1F497D" w:themeColor="text2"/>
          <w:sz w:val="22"/>
        </w:rPr>
        <w:t xml:space="preserve">Anno </w:t>
      </w:r>
      <w:r w:rsidR="00CA6592" w:rsidRPr="00872A48">
        <w:rPr>
          <w:rFonts w:ascii="Arial Narrow" w:hAnsi="Arial Narrow"/>
          <w:iCs/>
          <w:noProof/>
          <w:color w:val="1F497D" w:themeColor="text2"/>
          <w:sz w:val="22"/>
        </w:rPr>
        <w:t>2</w:t>
      </w:r>
      <w:r w:rsidRPr="00872A48">
        <w:rPr>
          <w:rFonts w:ascii="Arial Narrow" w:hAnsi="Arial Narrow"/>
          <w:iCs/>
          <w:noProof/>
          <w:color w:val="1F497D" w:themeColor="text2"/>
          <w:sz w:val="22"/>
        </w:rPr>
        <w:t>024, valori assoluti</w:t>
      </w:r>
      <w:r w:rsidR="007533B5">
        <w:rPr>
          <w:rFonts w:ascii="Arial Narrow" w:hAnsi="Arial Narrow"/>
          <w:iCs/>
          <w:noProof/>
          <w:color w:val="1F497D" w:themeColor="text2"/>
          <w:sz w:val="22"/>
        </w:rPr>
        <w:t xml:space="preserve"> </w:t>
      </w:r>
      <w:r w:rsidR="007533B5">
        <w:rPr>
          <w:rFonts w:ascii="Arial Narrow" w:hAnsi="Arial Narrow"/>
          <w:iCs/>
          <w:noProof/>
          <w:color w:val="1F497D" w:themeColor="text2"/>
          <w:sz w:val="22"/>
          <w:szCs w:val="22"/>
        </w:rPr>
        <w:t>(dati Eurostat)</w:t>
      </w:r>
    </w:p>
    <w:p w14:paraId="62CF73BF" w14:textId="77777777" w:rsidR="005864F6" w:rsidRPr="009E5E5E" w:rsidRDefault="005864F6" w:rsidP="00B26B64">
      <w:pPr>
        <w:autoSpaceDE w:val="0"/>
        <w:autoSpaceDN w:val="0"/>
        <w:adjustRightInd w:val="0"/>
        <w:spacing w:after="80"/>
        <w:jc w:val="both"/>
        <w:rPr>
          <w:rFonts w:ascii="Arial Narrow" w:hAnsi="Arial Narrow"/>
          <w:iCs/>
          <w:noProof/>
          <w:color w:val="1F497D" w:themeColor="text2"/>
          <w:sz w:val="14"/>
        </w:rPr>
      </w:pPr>
    </w:p>
    <w:p w14:paraId="26170CCB" w14:textId="3BF70F54" w:rsidR="001C7160" w:rsidRDefault="005864F6" w:rsidP="00A24142">
      <w:pPr>
        <w:autoSpaceDE w:val="0"/>
        <w:autoSpaceDN w:val="0"/>
        <w:adjustRightInd w:val="0"/>
        <w:spacing w:after="120"/>
        <w:jc w:val="both"/>
        <w:rPr>
          <w:rFonts w:ascii="Arial" w:hAnsi="Arial" w:cs="Arial"/>
          <w:sz w:val="22"/>
          <w:szCs w:val="22"/>
        </w:rPr>
      </w:pPr>
      <w:r>
        <w:rPr>
          <w:noProof/>
        </w:rPr>
        <w:drawing>
          <wp:inline distT="0" distB="0" distL="0" distR="0" wp14:anchorId="749E74EE" wp14:editId="2493D3B3">
            <wp:extent cx="6391275" cy="2313830"/>
            <wp:effectExtent l="0" t="0" r="0" b="0"/>
            <wp:docPr id="6" name="Grafico 6">
              <a:extLst xmlns:a="http://schemas.openxmlformats.org/drawingml/2006/main">
                <a:ext uri="{FF2B5EF4-FFF2-40B4-BE49-F238E27FC236}">
                  <a16:creationId xmlns:a16="http://schemas.microsoft.com/office/drawing/2014/main" id="{F0052D56-4BAE-4CA1-99F9-EED8FD04F6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01194A" w14:textId="77777777" w:rsidR="00FF52E5" w:rsidRDefault="00FF52E5" w:rsidP="00A24142">
      <w:pPr>
        <w:autoSpaceDE w:val="0"/>
        <w:autoSpaceDN w:val="0"/>
        <w:adjustRightInd w:val="0"/>
        <w:spacing w:after="120"/>
        <w:jc w:val="both"/>
        <w:rPr>
          <w:rFonts w:ascii="Arial" w:hAnsi="Arial" w:cs="Arial"/>
          <w:sz w:val="22"/>
          <w:szCs w:val="22"/>
        </w:rPr>
      </w:pPr>
    </w:p>
    <w:p w14:paraId="04BF95D5" w14:textId="56761FA4" w:rsidR="00F65257" w:rsidRPr="00366073" w:rsidRDefault="00F65257" w:rsidP="00366073">
      <w:pPr>
        <w:spacing w:after="120"/>
        <w:jc w:val="both"/>
        <w:rPr>
          <w:rFonts w:ascii="Arial" w:hAnsi="Arial" w:cs="Arial"/>
          <w:b/>
          <w:color w:val="1F497D" w:themeColor="text2"/>
          <w:sz w:val="26"/>
          <w:szCs w:val="26"/>
        </w:rPr>
      </w:pPr>
      <w:r w:rsidRPr="00366073">
        <w:rPr>
          <w:rFonts w:ascii="Arial" w:hAnsi="Arial" w:cs="Arial"/>
          <w:b/>
          <w:color w:val="1F497D" w:themeColor="text2"/>
          <w:sz w:val="26"/>
          <w:szCs w:val="26"/>
        </w:rPr>
        <w:t xml:space="preserve">Risiede nel Nord-ovest oltre un terzo dei cittadini con permesso di soggiorno </w:t>
      </w:r>
    </w:p>
    <w:p w14:paraId="083D1DB7" w14:textId="7153E1CF" w:rsidR="00423F12" w:rsidRPr="00F32A85" w:rsidRDefault="00423F12" w:rsidP="00A24142">
      <w:pPr>
        <w:autoSpaceDE w:val="0"/>
        <w:autoSpaceDN w:val="0"/>
        <w:adjustRightInd w:val="0"/>
        <w:spacing w:after="120"/>
        <w:jc w:val="both"/>
        <w:rPr>
          <w:rFonts w:ascii="Arial" w:hAnsi="Arial" w:cs="Arial"/>
          <w:sz w:val="22"/>
          <w:szCs w:val="22"/>
        </w:rPr>
      </w:pPr>
      <w:r w:rsidRPr="005279C8">
        <w:rPr>
          <w:rFonts w:ascii="Arial" w:hAnsi="Arial" w:cs="Arial"/>
          <w:sz w:val="22"/>
          <w:szCs w:val="22"/>
        </w:rPr>
        <w:t xml:space="preserve">Considerando i </w:t>
      </w:r>
      <w:r w:rsidR="00C60515">
        <w:rPr>
          <w:rFonts w:ascii="Arial" w:hAnsi="Arial" w:cs="Arial"/>
          <w:sz w:val="22"/>
          <w:szCs w:val="22"/>
        </w:rPr>
        <w:t>P</w:t>
      </w:r>
      <w:r w:rsidRPr="005279C8">
        <w:rPr>
          <w:rFonts w:ascii="Arial" w:hAnsi="Arial" w:cs="Arial"/>
          <w:sz w:val="22"/>
          <w:szCs w:val="22"/>
        </w:rPr>
        <w:t xml:space="preserve">aesi di </w:t>
      </w:r>
      <w:r w:rsidRPr="00F32A85">
        <w:rPr>
          <w:rFonts w:ascii="Arial" w:hAnsi="Arial" w:cs="Arial"/>
          <w:sz w:val="22"/>
          <w:szCs w:val="22"/>
        </w:rPr>
        <w:t>cittadinanza, l</w:t>
      </w:r>
      <w:r w:rsidR="00F679D2">
        <w:rPr>
          <w:rFonts w:ascii="Arial" w:hAnsi="Arial" w:cs="Arial"/>
          <w:sz w:val="22"/>
          <w:szCs w:val="22"/>
        </w:rPr>
        <w:t>a quota</w:t>
      </w:r>
      <w:r w:rsidRPr="00F32A85">
        <w:rPr>
          <w:rFonts w:ascii="Arial" w:hAnsi="Arial" w:cs="Arial"/>
          <w:sz w:val="22"/>
          <w:szCs w:val="22"/>
        </w:rPr>
        <w:t xml:space="preserve"> dei lungo soggiornanti è particolarmente elevata tra i cittadini della Moldova (83,2%), della Serbia (73,9%), dell’Ecuador (73,4%) della Bosnia-Erzegovina (71,6%) e delle Filippine (71,6%). </w:t>
      </w:r>
      <w:r w:rsidR="0032671A" w:rsidRPr="00F32A85">
        <w:rPr>
          <w:rFonts w:ascii="Arial" w:hAnsi="Arial" w:cs="Arial"/>
          <w:sz w:val="22"/>
          <w:szCs w:val="22"/>
        </w:rPr>
        <w:t xml:space="preserve"> </w:t>
      </w:r>
    </w:p>
    <w:p w14:paraId="37ECFF6F" w14:textId="38E54EC7" w:rsidR="006A7F41" w:rsidRDefault="002B4662" w:rsidP="003E318F">
      <w:pPr>
        <w:autoSpaceDE w:val="0"/>
        <w:autoSpaceDN w:val="0"/>
        <w:adjustRightInd w:val="0"/>
        <w:spacing w:after="120"/>
        <w:jc w:val="both"/>
        <w:rPr>
          <w:rFonts w:ascii="Arial" w:hAnsi="Arial" w:cs="Arial"/>
          <w:sz w:val="22"/>
          <w:szCs w:val="22"/>
        </w:rPr>
      </w:pPr>
      <w:r>
        <w:rPr>
          <w:rFonts w:ascii="Arial" w:hAnsi="Arial" w:cs="Arial"/>
          <w:sz w:val="22"/>
          <w:szCs w:val="22"/>
        </w:rPr>
        <w:t>Nel complesso l</w:t>
      </w:r>
      <w:r w:rsidR="0032671A" w:rsidRPr="00F32A85">
        <w:rPr>
          <w:rFonts w:ascii="Arial" w:hAnsi="Arial" w:cs="Arial"/>
          <w:sz w:val="22"/>
          <w:szCs w:val="22"/>
        </w:rPr>
        <w:t xml:space="preserve">e persone che hanno un permesso valido per asilo o protezione </w:t>
      </w:r>
      <w:r>
        <w:rPr>
          <w:rFonts w:ascii="Arial" w:hAnsi="Arial" w:cs="Arial"/>
          <w:sz w:val="22"/>
          <w:szCs w:val="22"/>
        </w:rPr>
        <w:t xml:space="preserve">al 31 dicembre 2024 </w:t>
      </w:r>
      <w:r w:rsidR="0032671A" w:rsidRPr="00F32A85">
        <w:rPr>
          <w:rFonts w:ascii="Arial" w:hAnsi="Arial" w:cs="Arial"/>
          <w:sz w:val="22"/>
          <w:szCs w:val="22"/>
        </w:rPr>
        <w:t xml:space="preserve">sono </w:t>
      </w:r>
      <w:r w:rsidR="00D365C4" w:rsidRPr="00F32A85">
        <w:rPr>
          <w:rFonts w:ascii="Arial" w:hAnsi="Arial" w:cs="Arial"/>
          <w:sz w:val="22"/>
          <w:szCs w:val="22"/>
        </w:rPr>
        <w:t>483.673</w:t>
      </w:r>
      <w:r w:rsidR="00062E94">
        <w:rPr>
          <w:rFonts w:ascii="Arial" w:hAnsi="Arial" w:cs="Arial"/>
          <w:sz w:val="22"/>
          <w:szCs w:val="22"/>
        </w:rPr>
        <w:t>,</w:t>
      </w:r>
      <w:r w:rsidR="00D365C4" w:rsidRPr="00F32A85">
        <w:rPr>
          <w:rFonts w:ascii="Arial" w:hAnsi="Arial" w:cs="Arial"/>
          <w:sz w:val="22"/>
          <w:szCs w:val="22"/>
        </w:rPr>
        <w:t xml:space="preserve"> </w:t>
      </w:r>
      <w:r w:rsidR="001822F0">
        <w:rPr>
          <w:rFonts w:ascii="Arial" w:hAnsi="Arial" w:cs="Arial"/>
          <w:sz w:val="22"/>
          <w:szCs w:val="22"/>
        </w:rPr>
        <w:t xml:space="preserve">di cui </w:t>
      </w:r>
      <w:r w:rsidR="001822F0" w:rsidRPr="00F32A85">
        <w:rPr>
          <w:rFonts w:ascii="Arial" w:hAnsi="Arial" w:cs="Arial"/>
          <w:sz w:val="22"/>
          <w:szCs w:val="22"/>
        </w:rPr>
        <w:t xml:space="preserve">59.744 </w:t>
      </w:r>
      <w:r w:rsidR="00D365C4" w:rsidRPr="00F32A85">
        <w:rPr>
          <w:rFonts w:ascii="Arial" w:hAnsi="Arial" w:cs="Arial"/>
          <w:sz w:val="22"/>
          <w:szCs w:val="22"/>
        </w:rPr>
        <w:t>hanno lo s</w:t>
      </w:r>
      <w:r w:rsidR="00AF06F4" w:rsidRPr="00F32A85">
        <w:rPr>
          <w:rFonts w:ascii="Arial" w:hAnsi="Arial" w:cs="Arial"/>
          <w:sz w:val="22"/>
          <w:szCs w:val="22"/>
        </w:rPr>
        <w:t>tatus di rifugiato riconosciuto (35.444 uomini e 24.300 donne). Godono invece della protezione sussidiaria 54.771 persone</w:t>
      </w:r>
      <w:r w:rsidR="00E4625E">
        <w:rPr>
          <w:rFonts w:ascii="Arial" w:hAnsi="Arial" w:cs="Arial"/>
          <w:sz w:val="22"/>
          <w:szCs w:val="22"/>
        </w:rPr>
        <w:t>,</w:t>
      </w:r>
      <w:r w:rsidR="00D86322">
        <w:rPr>
          <w:rFonts w:ascii="Arial" w:hAnsi="Arial" w:cs="Arial"/>
          <w:sz w:val="22"/>
          <w:szCs w:val="22"/>
        </w:rPr>
        <w:t xml:space="preserve"> che</w:t>
      </w:r>
      <w:r w:rsidR="00AF06F4" w:rsidRPr="00F32A85">
        <w:rPr>
          <w:rFonts w:ascii="Arial" w:hAnsi="Arial" w:cs="Arial"/>
          <w:sz w:val="22"/>
          <w:szCs w:val="22"/>
        </w:rPr>
        <w:t xml:space="preserve"> nell’83% </w:t>
      </w:r>
      <w:r w:rsidR="00D86322">
        <w:rPr>
          <w:rFonts w:ascii="Arial" w:hAnsi="Arial" w:cs="Arial"/>
          <w:sz w:val="22"/>
          <w:szCs w:val="22"/>
        </w:rPr>
        <w:t xml:space="preserve">dei casi sono </w:t>
      </w:r>
      <w:r w:rsidR="00AF06F4" w:rsidRPr="00F32A85">
        <w:rPr>
          <w:rFonts w:ascii="Arial" w:hAnsi="Arial" w:cs="Arial"/>
          <w:sz w:val="22"/>
          <w:szCs w:val="22"/>
        </w:rPr>
        <w:t>uomini.</w:t>
      </w:r>
      <w:r w:rsidR="00EF1BA1">
        <w:rPr>
          <w:rFonts w:ascii="Arial" w:hAnsi="Arial" w:cs="Arial"/>
          <w:sz w:val="22"/>
          <w:szCs w:val="22"/>
        </w:rPr>
        <w:t xml:space="preserve"> La maggior parte delle persone sotto protezione sono di cittadinanza ucraina e godono della protezione temporanea (160.600, 33,2%). Coloro che hanno un permesso per richiesta asilo sono oltre 151mila (31,3%). </w:t>
      </w:r>
    </w:p>
    <w:p w14:paraId="108E7442" w14:textId="74CC16CC" w:rsidR="006A7F41" w:rsidRDefault="00B26B64" w:rsidP="00A24142">
      <w:pPr>
        <w:autoSpaceDE w:val="0"/>
        <w:autoSpaceDN w:val="0"/>
        <w:adjustRightInd w:val="0"/>
        <w:spacing w:after="120"/>
        <w:jc w:val="both"/>
        <w:rPr>
          <w:rFonts w:ascii="Arial" w:hAnsi="Arial" w:cs="Arial"/>
          <w:sz w:val="22"/>
          <w:szCs w:val="22"/>
        </w:rPr>
      </w:pPr>
      <w:r w:rsidRPr="002746D9">
        <w:rPr>
          <w:rFonts w:ascii="Arial" w:hAnsi="Arial" w:cs="Arial"/>
          <w:sz w:val="22"/>
          <w:szCs w:val="22"/>
        </w:rPr>
        <w:t>A livello territoriale i cittadini non comunitari</w:t>
      </w:r>
      <w:r w:rsidR="004A285B" w:rsidRPr="002746D9">
        <w:rPr>
          <w:rFonts w:ascii="Arial" w:hAnsi="Arial" w:cs="Arial"/>
          <w:sz w:val="22"/>
          <w:szCs w:val="22"/>
        </w:rPr>
        <w:t xml:space="preserve"> con permesso di soggiorno</w:t>
      </w:r>
      <w:r w:rsidRPr="002746D9">
        <w:rPr>
          <w:rFonts w:ascii="Arial" w:hAnsi="Arial" w:cs="Arial"/>
          <w:sz w:val="22"/>
          <w:szCs w:val="22"/>
        </w:rPr>
        <w:t xml:space="preserve"> si concentrano perlopiù nel Centro-</w:t>
      </w:r>
      <w:r w:rsidR="00450677">
        <w:rPr>
          <w:rFonts w:ascii="Arial" w:hAnsi="Arial" w:cs="Arial"/>
          <w:sz w:val="22"/>
          <w:szCs w:val="22"/>
        </w:rPr>
        <w:t>N</w:t>
      </w:r>
      <w:r w:rsidRPr="002746D9">
        <w:rPr>
          <w:rFonts w:ascii="Arial" w:hAnsi="Arial" w:cs="Arial"/>
          <w:sz w:val="22"/>
          <w:szCs w:val="22"/>
        </w:rPr>
        <w:t>ord. Al 31 dicembre 2024 il Nord</w:t>
      </w:r>
      <w:r w:rsidR="003E318F">
        <w:rPr>
          <w:rFonts w:ascii="Arial" w:hAnsi="Arial" w:cs="Arial"/>
          <w:sz w:val="22"/>
          <w:szCs w:val="22"/>
        </w:rPr>
        <w:t>-o</w:t>
      </w:r>
      <w:r w:rsidR="00E7582C" w:rsidRPr="002746D9">
        <w:rPr>
          <w:rFonts w:ascii="Arial" w:hAnsi="Arial" w:cs="Arial"/>
          <w:sz w:val="22"/>
          <w:szCs w:val="22"/>
        </w:rPr>
        <w:t xml:space="preserve">vest </w:t>
      </w:r>
      <w:r w:rsidRPr="002746D9">
        <w:rPr>
          <w:rFonts w:ascii="Arial" w:hAnsi="Arial" w:cs="Arial"/>
          <w:sz w:val="22"/>
          <w:szCs w:val="22"/>
        </w:rPr>
        <w:t>da solo ospita il 35,7% degli stranieri con permesso di soggiorno. Il 25,1% si colloca in Lombardia e il 13,1% nella sola provincia di Milano. Il Lazio è la seconda regione che segue</w:t>
      </w:r>
      <w:r w:rsidR="00826749" w:rsidRPr="002746D9">
        <w:rPr>
          <w:rFonts w:ascii="Arial" w:hAnsi="Arial" w:cs="Arial"/>
          <w:sz w:val="22"/>
          <w:szCs w:val="22"/>
        </w:rPr>
        <w:t>,</w:t>
      </w:r>
      <w:r w:rsidRPr="002746D9">
        <w:rPr>
          <w:rFonts w:ascii="Arial" w:hAnsi="Arial" w:cs="Arial"/>
          <w:sz w:val="22"/>
          <w:szCs w:val="22"/>
        </w:rPr>
        <w:t xml:space="preserve"> però a grande distanza</w:t>
      </w:r>
      <w:r w:rsidR="00826749" w:rsidRPr="002746D9">
        <w:rPr>
          <w:rFonts w:ascii="Arial" w:hAnsi="Arial" w:cs="Arial"/>
          <w:sz w:val="22"/>
          <w:szCs w:val="22"/>
        </w:rPr>
        <w:t>,</w:t>
      </w:r>
      <w:r w:rsidRPr="002746D9">
        <w:rPr>
          <w:rFonts w:ascii="Arial" w:hAnsi="Arial" w:cs="Arial"/>
          <w:sz w:val="22"/>
          <w:szCs w:val="22"/>
        </w:rPr>
        <w:t xml:space="preserve"> la Lombardia con l’11,0% delle presenze e si colloca poco avanti </w:t>
      </w:r>
      <w:r w:rsidR="003728BE" w:rsidRPr="002746D9">
        <w:rPr>
          <w:rFonts w:ascii="Arial" w:hAnsi="Arial" w:cs="Arial"/>
          <w:sz w:val="22"/>
          <w:szCs w:val="22"/>
        </w:rPr>
        <w:t>all’Emilia-</w:t>
      </w:r>
      <w:r w:rsidRPr="002746D9">
        <w:rPr>
          <w:rFonts w:ascii="Arial" w:hAnsi="Arial" w:cs="Arial"/>
          <w:sz w:val="22"/>
          <w:szCs w:val="22"/>
        </w:rPr>
        <w:t xml:space="preserve">Romagna (10,8%). Nel Mezzogiorno la presenza non comunitaria è decisamente più limitata, risultando pari al 17,1% del totale dei </w:t>
      </w:r>
      <w:r w:rsidR="004A285B" w:rsidRPr="002746D9">
        <w:rPr>
          <w:rFonts w:ascii="Arial" w:hAnsi="Arial" w:cs="Arial"/>
          <w:sz w:val="22"/>
          <w:szCs w:val="22"/>
        </w:rPr>
        <w:t>documenti</w:t>
      </w:r>
      <w:r w:rsidRPr="002746D9">
        <w:rPr>
          <w:rFonts w:ascii="Arial" w:hAnsi="Arial" w:cs="Arial"/>
          <w:sz w:val="22"/>
          <w:szCs w:val="22"/>
        </w:rPr>
        <w:t xml:space="preserve"> validi a fine anno, una quota minore di quella</w:t>
      </w:r>
      <w:r>
        <w:rPr>
          <w:rFonts w:ascii="Arial" w:hAnsi="Arial" w:cs="Arial"/>
          <w:sz w:val="22"/>
          <w:szCs w:val="22"/>
        </w:rPr>
        <w:t xml:space="preserve"> ospitata nell’insieme dalle tre province di Milano, Bergamo e Brescia.</w:t>
      </w:r>
      <w:r w:rsidR="00F1195D">
        <w:rPr>
          <w:rFonts w:ascii="Arial" w:hAnsi="Arial" w:cs="Arial"/>
          <w:sz w:val="22"/>
          <w:szCs w:val="22"/>
        </w:rPr>
        <w:t xml:space="preserve"> </w:t>
      </w:r>
    </w:p>
    <w:p w14:paraId="121A8BC6" w14:textId="4E834739" w:rsidR="00B827E0" w:rsidRDefault="00F1195D" w:rsidP="003E318F">
      <w:pPr>
        <w:autoSpaceDE w:val="0"/>
        <w:autoSpaceDN w:val="0"/>
        <w:adjustRightInd w:val="0"/>
        <w:spacing w:after="120"/>
        <w:jc w:val="both"/>
        <w:rPr>
          <w:rFonts w:ascii="Arial" w:hAnsi="Arial" w:cs="Arial"/>
          <w:sz w:val="22"/>
        </w:rPr>
      </w:pPr>
      <w:r>
        <w:rPr>
          <w:rFonts w:ascii="Arial" w:hAnsi="Arial" w:cs="Arial"/>
          <w:sz w:val="22"/>
          <w:szCs w:val="22"/>
        </w:rPr>
        <w:t xml:space="preserve">Diversa è la distribuzione sul territorio </w:t>
      </w:r>
      <w:r w:rsidR="00253018">
        <w:rPr>
          <w:rFonts w:ascii="Arial" w:hAnsi="Arial" w:cs="Arial"/>
          <w:sz w:val="22"/>
          <w:szCs w:val="22"/>
        </w:rPr>
        <w:t xml:space="preserve">dei cittadini non comunitari rispetto al motivo </w:t>
      </w:r>
      <w:r w:rsidR="00414C7A">
        <w:rPr>
          <w:rFonts w:ascii="Arial" w:hAnsi="Arial" w:cs="Arial"/>
          <w:sz w:val="22"/>
          <w:szCs w:val="22"/>
        </w:rPr>
        <w:t xml:space="preserve">e alla durata </w:t>
      </w:r>
      <w:r w:rsidR="00253018">
        <w:rPr>
          <w:rFonts w:ascii="Arial" w:hAnsi="Arial" w:cs="Arial"/>
          <w:sz w:val="22"/>
          <w:szCs w:val="22"/>
        </w:rPr>
        <w:t xml:space="preserve">del permesso. </w:t>
      </w:r>
      <w:r w:rsidRPr="00530D15">
        <w:rPr>
          <w:rFonts w:ascii="Arial" w:hAnsi="Arial" w:cs="Arial"/>
          <w:sz w:val="22"/>
        </w:rPr>
        <w:t>Nel Sud e nelle Isole meno della metà ha un permesso di lungo periodo contro il 52,</w:t>
      </w:r>
      <w:r w:rsidR="00E7582C">
        <w:rPr>
          <w:rFonts w:ascii="Arial" w:hAnsi="Arial" w:cs="Arial"/>
          <w:sz w:val="22"/>
        </w:rPr>
        <w:t>4</w:t>
      </w:r>
      <w:r w:rsidRPr="00530D15">
        <w:rPr>
          <w:rFonts w:ascii="Arial" w:hAnsi="Arial" w:cs="Arial"/>
          <w:sz w:val="22"/>
        </w:rPr>
        <w:t>% del Nord-ovest, il 54,5% del Nord-est e il 57,0% del Centro.</w:t>
      </w:r>
      <w:r w:rsidR="00971D73">
        <w:rPr>
          <w:rFonts w:ascii="Arial" w:hAnsi="Arial" w:cs="Arial"/>
          <w:sz w:val="22"/>
        </w:rPr>
        <w:t xml:space="preserve"> Le province con le quote maggiori di lungo soggiornanti sono Venezia</w:t>
      </w:r>
      <w:r w:rsidR="00F01D2F">
        <w:rPr>
          <w:rFonts w:ascii="Arial" w:hAnsi="Arial" w:cs="Arial"/>
          <w:sz w:val="22"/>
        </w:rPr>
        <w:t xml:space="preserve"> (63,6%)</w:t>
      </w:r>
      <w:r w:rsidR="00971D73">
        <w:rPr>
          <w:rFonts w:ascii="Arial" w:hAnsi="Arial" w:cs="Arial"/>
          <w:sz w:val="22"/>
        </w:rPr>
        <w:t>, Bresc</w:t>
      </w:r>
      <w:r w:rsidR="00F01D2F">
        <w:rPr>
          <w:rFonts w:ascii="Arial" w:hAnsi="Arial" w:cs="Arial"/>
          <w:sz w:val="22"/>
        </w:rPr>
        <w:t>ia (63,3%) e Reggio nell’Emilia (62,9%).</w:t>
      </w:r>
      <w:r w:rsidR="00065E58">
        <w:rPr>
          <w:rFonts w:ascii="Arial" w:hAnsi="Arial" w:cs="Arial"/>
          <w:sz w:val="22"/>
        </w:rPr>
        <w:t xml:space="preserve"> </w:t>
      </w:r>
      <w:r w:rsidR="00EE0D59">
        <w:rPr>
          <w:rFonts w:ascii="Arial" w:hAnsi="Arial" w:cs="Arial"/>
          <w:sz w:val="22"/>
        </w:rPr>
        <w:t xml:space="preserve">Nel Sud e nelle Isole è invece più elevata la quota di coloro che hanno permesso per asilo o protezione </w:t>
      </w:r>
      <w:r w:rsidR="00410142">
        <w:rPr>
          <w:rFonts w:ascii="Arial" w:hAnsi="Arial" w:cs="Arial"/>
          <w:sz w:val="22"/>
        </w:rPr>
        <w:t>(</w:t>
      </w:r>
      <w:r w:rsidR="00EE0D59">
        <w:rPr>
          <w:rFonts w:ascii="Arial" w:hAnsi="Arial" w:cs="Arial"/>
          <w:sz w:val="22"/>
        </w:rPr>
        <w:t>rispettivamente il 2</w:t>
      </w:r>
      <w:r w:rsidR="00E11A65">
        <w:rPr>
          <w:rFonts w:ascii="Arial" w:hAnsi="Arial" w:cs="Arial"/>
          <w:sz w:val="22"/>
        </w:rPr>
        <w:t>0,6% e il 15,5% delle presenze</w:t>
      </w:r>
      <w:r w:rsidR="00410142">
        <w:rPr>
          <w:rFonts w:ascii="Arial" w:hAnsi="Arial" w:cs="Arial"/>
          <w:sz w:val="22"/>
        </w:rPr>
        <w:t>,</w:t>
      </w:r>
      <w:r w:rsidR="00E11A65">
        <w:rPr>
          <w:rFonts w:ascii="Arial" w:hAnsi="Arial" w:cs="Arial"/>
          <w:sz w:val="22"/>
        </w:rPr>
        <w:t xml:space="preserve"> contro la media nazionale del </w:t>
      </w:r>
      <w:r w:rsidR="00E7582C">
        <w:rPr>
          <w:rFonts w:ascii="Arial" w:hAnsi="Arial" w:cs="Arial"/>
          <w:sz w:val="22"/>
        </w:rPr>
        <w:t>12,7</w:t>
      </w:r>
      <w:r w:rsidR="00E11A65">
        <w:rPr>
          <w:rFonts w:ascii="Arial" w:hAnsi="Arial" w:cs="Arial"/>
          <w:sz w:val="22"/>
        </w:rPr>
        <w:t>%</w:t>
      </w:r>
      <w:r w:rsidR="00410142">
        <w:rPr>
          <w:rFonts w:ascii="Arial" w:hAnsi="Arial" w:cs="Arial"/>
          <w:sz w:val="22"/>
        </w:rPr>
        <w:t>)</w:t>
      </w:r>
      <w:r w:rsidR="00F2246D">
        <w:rPr>
          <w:rFonts w:ascii="Arial" w:hAnsi="Arial" w:cs="Arial"/>
          <w:sz w:val="22"/>
        </w:rPr>
        <w:t xml:space="preserve">. </w:t>
      </w:r>
      <w:r w:rsidR="00987865">
        <w:rPr>
          <w:rFonts w:ascii="Arial" w:hAnsi="Arial" w:cs="Arial"/>
          <w:sz w:val="22"/>
        </w:rPr>
        <w:t xml:space="preserve">Le province con </w:t>
      </w:r>
      <w:r w:rsidR="00D86322">
        <w:rPr>
          <w:rFonts w:ascii="Arial" w:hAnsi="Arial" w:cs="Arial"/>
          <w:sz w:val="22"/>
        </w:rPr>
        <w:t xml:space="preserve">la maggiore incidenza sul totale dei permessi </w:t>
      </w:r>
      <w:r w:rsidR="00987865">
        <w:rPr>
          <w:rFonts w:ascii="Arial" w:hAnsi="Arial" w:cs="Arial"/>
          <w:sz w:val="22"/>
        </w:rPr>
        <w:t xml:space="preserve">di presenze per asilo e protezione sono </w:t>
      </w:r>
      <w:r w:rsidR="00CE5411">
        <w:rPr>
          <w:rFonts w:ascii="Arial" w:hAnsi="Arial" w:cs="Arial"/>
          <w:sz w:val="22"/>
        </w:rPr>
        <w:t>Caltanissetta (49,0%), Isernia (37,9%) e Benevento (37,3%).</w:t>
      </w:r>
    </w:p>
    <w:p w14:paraId="1E2C2D36" w14:textId="4C2D7421" w:rsidR="007106B9" w:rsidRDefault="007106B9" w:rsidP="00A24142">
      <w:pPr>
        <w:autoSpaceDE w:val="0"/>
        <w:autoSpaceDN w:val="0"/>
        <w:adjustRightInd w:val="0"/>
        <w:spacing w:after="120"/>
        <w:jc w:val="both"/>
        <w:rPr>
          <w:rFonts w:ascii="Arial" w:hAnsi="Arial" w:cs="Arial"/>
          <w:sz w:val="22"/>
          <w:szCs w:val="22"/>
        </w:rPr>
      </w:pPr>
    </w:p>
    <w:p w14:paraId="06CCE591" w14:textId="6B709EF6" w:rsidR="007106B9" w:rsidRDefault="007106B9" w:rsidP="00A24142">
      <w:pPr>
        <w:autoSpaceDE w:val="0"/>
        <w:autoSpaceDN w:val="0"/>
        <w:adjustRightInd w:val="0"/>
        <w:spacing w:after="120"/>
        <w:jc w:val="both"/>
        <w:rPr>
          <w:rFonts w:ascii="Arial" w:hAnsi="Arial" w:cs="Arial"/>
          <w:sz w:val="22"/>
          <w:szCs w:val="22"/>
        </w:rPr>
      </w:pPr>
    </w:p>
    <w:p w14:paraId="7A1700B5" w14:textId="5CA2A894" w:rsidR="007106B9" w:rsidRDefault="007106B9" w:rsidP="00A24142">
      <w:pPr>
        <w:autoSpaceDE w:val="0"/>
        <w:autoSpaceDN w:val="0"/>
        <w:adjustRightInd w:val="0"/>
        <w:spacing w:after="120"/>
        <w:jc w:val="both"/>
        <w:rPr>
          <w:rFonts w:ascii="Arial" w:hAnsi="Arial" w:cs="Arial"/>
          <w:sz w:val="22"/>
          <w:szCs w:val="22"/>
        </w:rPr>
      </w:pPr>
    </w:p>
    <w:p w14:paraId="34061F68" w14:textId="77777777" w:rsidR="00CA0EDD" w:rsidRDefault="00CA0EDD" w:rsidP="00A24142">
      <w:pPr>
        <w:autoSpaceDE w:val="0"/>
        <w:autoSpaceDN w:val="0"/>
        <w:adjustRightInd w:val="0"/>
        <w:spacing w:after="120"/>
        <w:jc w:val="both"/>
        <w:rPr>
          <w:rFonts w:ascii="Arial" w:hAnsi="Arial" w:cs="Arial"/>
          <w:sz w:val="22"/>
          <w:szCs w:val="22"/>
        </w:rPr>
      </w:pPr>
    </w:p>
    <w:p w14:paraId="2A8A9C1C" w14:textId="77777777" w:rsidR="00CA0EDD" w:rsidRDefault="00CA0EDD" w:rsidP="00A24142">
      <w:pPr>
        <w:autoSpaceDE w:val="0"/>
        <w:autoSpaceDN w:val="0"/>
        <w:adjustRightInd w:val="0"/>
        <w:spacing w:after="120"/>
        <w:jc w:val="both"/>
        <w:rPr>
          <w:rFonts w:ascii="Arial" w:hAnsi="Arial" w:cs="Arial"/>
          <w:sz w:val="22"/>
          <w:szCs w:val="22"/>
        </w:rPr>
      </w:pPr>
    </w:p>
    <w:p w14:paraId="672A1D17" w14:textId="77777777" w:rsidR="007106B9" w:rsidRPr="007106B9" w:rsidRDefault="007106B9" w:rsidP="00A24142">
      <w:pPr>
        <w:autoSpaceDE w:val="0"/>
        <w:autoSpaceDN w:val="0"/>
        <w:adjustRightInd w:val="0"/>
        <w:spacing w:after="120"/>
        <w:jc w:val="both"/>
        <w:rPr>
          <w:rFonts w:ascii="Arial" w:hAnsi="Arial" w:cs="Arial"/>
          <w:sz w:val="22"/>
          <w:szCs w:val="22"/>
        </w:rPr>
      </w:pPr>
    </w:p>
    <w:p w14:paraId="58CD8E98" w14:textId="60E43F99" w:rsidR="0080239A" w:rsidRPr="007106B9" w:rsidRDefault="0080239A" w:rsidP="003E318F">
      <w:pPr>
        <w:autoSpaceDE w:val="0"/>
        <w:autoSpaceDN w:val="0"/>
        <w:adjustRightInd w:val="0"/>
        <w:spacing w:after="120"/>
        <w:jc w:val="both"/>
        <w:rPr>
          <w:rFonts w:ascii="Arial" w:hAnsi="Arial" w:cs="Arial"/>
          <w:sz w:val="22"/>
          <w:szCs w:val="22"/>
        </w:rPr>
      </w:pPr>
    </w:p>
    <w:p w14:paraId="12FEBE03" w14:textId="51CC3302" w:rsidR="0080239A" w:rsidRDefault="0080239A" w:rsidP="003E318F">
      <w:pPr>
        <w:autoSpaceDE w:val="0"/>
        <w:autoSpaceDN w:val="0"/>
        <w:adjustRightInd w:val="0"/>
        <w:spacing w:after="120"/>
        <w:jc w:val="both"/>
        <w:rPr>
          <w:rFonts w:ascii="Arial" w:hAnsi="Arial" w:cs="Arial"/>
          <w:sz w:val="22"/>
          <w:szCs w:val="22"/>
        </w:rPr>
      </w:pPr>
    </w:p>
    <w:p w14:paraId="21CDBD3A" w14:textId="77777777" w:rsidR="0080239A" w:rsidRPr="00366073" w:rsidRDefault="0080239A" w:rsidP="00366073">
      <w:pPr>
        <w:autoSpaceDE w:val="0"/>
        <w:autoSpaceDN w:val="0"/>
        <w:adjustRightInd w:val="0"/>
        <w:jc w:val="both"/>
        <w:rPr>
          <w:rFonts w:ascii="Arial" w:hAnsi="Arial" w:cs="Arial"/>
          <w:sz w:val="28"/>
          <w:szCs w:val="28"/>
        </w:rPr>
      </w:pPr>
    </w:p>
    <w:p w14:paraId="50CD4C2B" w14:textId="7E424A01" w:rsidR="0080239A" w:rsidRPr="00530D15" w:rsidRDefault="0080239A" w:rsidP="0080239A">
      <w:pPr>
        <w:autoSpaceDE w:val="0"/>
        <w:autoSpaceDN w:val="0"/>
        <w:adjustRightInd w:val="0"/>
        <w:spacing w:after="80"/>
        <w:jc w:val="both"/>
        <w:rPr>
          <w:rFonts w:ascii="Arial Narrow" w:hAnsi="Arial Narrow"/>
          <w:iCs/>
          <w:noProof/>
          <w:color w:val="1F497D" w:themeColor="text2"/>
          <w:sz w:val="22"/>
        </w:rPr>
      </w:pPr>
      <w:r w:rsidRPr="006667EC">
        <w:rPr>
          <w:rFonts w:ascii="Arial Black" w:hAnsi="Arial Black"/>
          <w:iCs/>
          <w:noProof/>
          <w:color w:val="1F497D" w:themeColor="text2"/>
        </w:rPr>
        <w:t>FIGURA</w:t>
      </w:r>
      <w:r w:rsidR="006769B6" w:rsidRPr="00A24142">
        <w:rPr>
          <w:rFonts w:ascii="Arial Black" w:hAnsi="Arial Black"/>
          <w:iCs/>
          <w:noProof/>
          <w:color w:val="1F497D" w:themeColor="text2"/>
        </w:rPr>
        <w:t xml:space="preserve"> 4</w:t>
      </w:r>
      <w:r w:rsidR="00891BE1">
        <w:rPr>
          <w:rFonts w:ascii="Arial" w:hAnsi="Arial" w:cs="Arial"/>
          <w:b/>
          <w:color w:val="1F497D" w:themeColor="text2"/>
          <w:sz w:val="26"/>
          <w:szCs w:val="26"/>
        </w:rPr>
        <w:t xml:space="preserve">. </w:t>
      </w:r>
      <w:r w:rsidR="00AF06F4" w:rsidRPr="002746D9">
        <w:rPr>
          <w:rFonts w:ascii="Arial Narrow" w:hAnsi="Arial Narrow" w:cs="Arial"/>
          <w:b/>
          <w:iCs/>
          <w:noProof/>
          <w:color w:val="1F497D" w:themeColor="text2"/>
          <w:sz w:val="22"/>
        </w:rPr>
        <w:t xml:space="preserve">CITTADINI NON COMUNITARI </w:t>
      </w:r>
      <w:r w:rsidR="004A285B" w:rsidRPr="002746D9">
        <w:rPr>
          <w:rFonts w:ascii="Arial Narrow" w:hAnsi="Arial Narrow" w:cs="Arial"/>
          <w:b/>
          <w:iCs/>
          <w:noProof/>
          <w:color w:val="1F497D" w:themeColor="text2"/>
          <w:sz w:val="22"/>
        </w:rPr>
        <w:t>CON REGOLARE PERMESSO DI SOGGIORNO</w:t>
      </w:r>
      <w:r w:rsidR="00AF06F4" w:rsidRPr="002746D9">
        <w:rPr>
          <w:rFonts w:ascii="Arial Narrow" w:hAnsi="Arial Narrow" w:cs="Arial"/>
          <w:b/>
          <w:iCs/>
          <w:noProof/>
          <w:color w:val="1F497D" w:themeColor="text2"/>
          <w:sz w:val="22"/>
        </w:rPr>
        <w:t xml:space="preserve"> IN ITALIA </w:t>
      </w:r>
      <w:r w:rsidR="002021AD">
        <w:rPr>
          <w:rFonts w:ascii="Arial Narrow" w:hAnsi="Arial Narrow" w:cs="Arial"/>
          <w:b/>
          <w:iCs/>
          <w:noProof/>
          <w:color w:val="1F497D" w:themeColor="text2"/>
          <w:sz w:val="22"/>
        </w:rPr>
        <w:br/>
      </w:r>
      <w:r w:rsidR="00AF06F4" w:rsidRPr="002746D9">
        <w:rPr>
          <w:rFonts w:ascii="Arial Narrow" w:hAnsi="Arial Narrow" w:cs="Arial"/>
          <w:b/>
          <w:iCs/>
          <w:noProof/>
          <w:color w:val="1F497D" w:themeColor="text2"/>
          <w:sz w:val="22"/>
        </w:rPr>
        <w:t>AL 31 DICEMBRE, PRIME 10 CITTADINANZE</w:t>
      </w:r>
      <w:r>
        <w:rPr>
          <w:rFonts w:ascii="Arial Narrow" w:hAnsi="Arial Narrow"/>
          <w:iCs/>
          <w:noProof/>
          <w:color w:val="1F497D" w:themeColor="text2"/>
          <w:sz w:val="22"/>
        </w:rPr>
        <w:t xml:space="preserve">. </w:t>
      </w:r>
      <w:r w:rsidRPr="00221D2A">
        <w:rPr>
          <w:rFonts w:ascii="Arial Narrow" w:hAnsi="Arial Narrow"/>
          <w:iCs/>
          <w:noProof/>
          <w:color w:val="1F497D" w:themeColor="text2"/>
          <w:sz w:val="22"/>
        </w:rPr>
        <w:t>Valori assoluti</w:t>
      </w:r>
    </w:p>
    <w:p w14:paraId="6BAB96ED" w14:textId="77885DD6" w:rsidR="00D424D0" w:rsidRDefault="00555E08" w:rsidP="00366073">
      <w:pPr>
        <w:spacing w:after="120"/>
        <w:jc w:val="both"/>
        <w:rPr>
          <w:noProof/>
        </w:rPr>
      </w:pPr>
      <w:r>
        <w:rPr>
          <w:noProof/>
        </w:rPr>
        <w:drawing>
          <wp:inline distT="0" distB="0" distL="0" distR="0" wp14:anchorId="7F73EF5F" wp14:editId="3098A698">
            <wp:extent cx="6391275" cy="2397760"/>
            <wp:effectExtent l="0" t="0" r="0" b="0"/>
            <wp:docPr id="11" name="Grafico 1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D424D0">
        <w:rPr>
          <w:noProof/>
        </w:rPr>
        <w:br w:type="page"/>
      </w:r>
    </w:p>
    <w:p w14:paraId="4FCF9679" w14:textId="77777777" w:rsidR="000E38F8" w:rsidRDefault="000E38F8" w:rsidP="006667EC">
      <w:pPr>
        <w:spacing w:after="120"/>
        <w:jc w:val="both"/>
        <w:rPr>
          <w:rFonts w:ascii="Arial" w:hAnsi="Arial" w:cs="Arial"/>
          <w:sz w:val="22"/>
          <w:szCs w:val="22"/>
        </w:rPr>
      </w:pPr>
    </w:p>
    <w:p w14:paraId="4A793C01" w14:textId="77777777" w:rsidR="00D424D0" w:rsidRPr="00707868" w:rsidRDefault="00D424D0" w:rsidP="00D424D0">
      <w:pPr>
        <w:autoSpaceDE w:val="0"/>
        <w:autoSpaceDN w:val="0"/>
        <w:adjustRightInd w:val="0"/>
        <w:spacing w:after="120"/>
        <w:jc w:val="both"/>
        <w:rPr>
          <w:rFonts w:ascii="Arial" w:hAnsi="Arial" w:cs="Arial"/>
          <w:b/>
          <w:color w:val="1F497D" w:themeColor="text2"/>
          <w:sz w:val="26"/>
          <w:szCs w:val="26"/>
        </w:rPr>
      </w:pPr>
      <w:r>
        <w:rPr>
          <w:rFonts w:ascii="Arial" w:hAnsi="Arial" w:cs="Arial"/>
          <w:b/>
          <w:color w:val="1F497D" w:themeColor="text2"/>
          <w:sz w:val="26"/>
          <w:szCs w:val="26"/>
        </w:rPr>
        <w:t>Acquisizioni di cittadinanza in leggero aumento</w:t>
      </w:r>
    </w:p>
    <w:p w14:paraId="27FFCD2E" w14:textId="77777777" w:rsidR="00D424D0" w:rsidRDefault="00D424D0" w:rsidP="00D424D0">
      <w:pPr>
        <w:autoSpaceDE w:val="0"/>
        <w:autoSpaceDN w:val="0"/>
        <w:adjustRightInd w:val="0"/>
        <w:spacing w:after="120"/>
        <w:jc w:val="both"/>
        <w:rPr>
          <w:rFonts w:ascii="Arial" w:hAnsi="Arial" w:cs="Arial"/>
          <w:sz w:val="22"/>
          <w:szCs w:val="22"/>
        </w:rPr>
      </w:pPr>
      <w:r w:rsidRPr="00707868">
        <w:rPr>
          <w:rFonts w:ascii="Arial" w:hAnsi="Arial" w:cs="Arial"/>
          <w:sz w:val="22"/>
          <w:szCs w:val="22"/>
        </w:rPr>
        <w:t>I cittadini stranieri che nel 2024 hanno acquisito</w:t>
      </w:r>
      <w:r>
        <w:rPr>
          <w:rFonts w:ascii="Arial" w:hAnsi="Arial" w:cs="Arial"/>
          <w:sz w:val="22"/>
          <w:szCs w:val="22"/>
        </w:rPr>
        <w:t xml:space="preserve"> la cittadinanza italiana sono 217.448, in lieve aumento rispetto ai due anni precedenti (+1,8%). Tra questi, i cittadini stranieri non comunitari sono quasi 200mila, pari al 91,9% del totale; un numero che fa registrare un nuovo record.</w:t>
      </w:r>
    </w:p>
    <w:p w14:paraId="1B6F16E2" w14:textId="77777777" w:rsidR="00D424D0" w:rsidRDefault="00D424D0" w:rsidP="00D424D0">
      <w:pPr>
        <w:autoSpaceDE w:val="0"/>
        <w:autoSpaceDN w:val="0"/>
        <w:adjustRightInd w:val="0"/>
        <w:spacing w:after="120"/>
        <w:jc w:val="both"/>
        <w:rPr>
          <w:rFonts w:ascii="Arial" w:hAnsi="Arial" w:cs="Arial"/>
          <w:sz w:val="22"/>
          <w:szCs w:val="22"/>
        </w:rPr>
      </w:pPr>
      <w:r w:rsidRPr="00443436">
        <w:rPr>
          <w:rFonts w:ascii="Arial" w:hAnsi="Arial" w:cs="Arial"/>
          <w:sz w:val="22"/>
          <w:szCs w:val="22"/>
        </w:rPr>
        <w:t>Con</w:t>
      </w:r>
      <w:r>
        <w:rPr>
          <w:rFonts w:ascii="Arial" w:hAnsi="Arial" w:cs="Arial"/>
          <w:sz w:val="22"/>
          <w:szCs w:val="22"/>
        </w:rPr>
        <w:t xml:space="preserve">frontando la distribuzione per sesso dei cittadini non comunitari divenuti italiani, si nota una lieve preponderanza di uomini (51,3% </w:t>
      </w:r>
      <w:r w:rsidRPr="00443436">
        <w:rPr>
          <w:rFonts w:ascii="Arial" w:hAnsi="Arial" w:cs="Arial"/>
          <w:sz w:val="22"/>
          <w:szCs w:val="22"/>
        </w:rPr>
        <w:t>del totale</w:t>
      </w:r>
      <w:r>
        <w:rPr>
          <w:rFonts w:ascii="Arial" w:hAnsi="Arial" w:cs="Arial"/>
          <w:sz w:val="22"/>
          <w:szCs w:val="22"/>
        </w:rPr>
        <w:t>), che crescono più delle donne rispetto al 2023 (rispettivamente, +3,2% e +0,6%).</w:t>
      </w:r>
    </w:p>
    <w:p w14:paraId="68F61B8E" w14:textId="3091434C" w:rsidR="00D86322" w:rsidRDefault="00D86322" w:rsidP="006667EC">
      <w:pPr>
        <w:spacing w:after="120"/>
        <w:jc w:val="both"/>
        <w:rPr>
          <w:rFonts w:ascii="Arial" w:hAnsi="Arial" w:cs="Arial"/>
          <w:sz w:val="22"/>
          <w:szCs w:val="22"/>
          <w:highlight w:val="yellow"/>
        </w:rPr>
      </w:pPr>
      <w:r>
        <w:rPr>
          <w:rFonts w:ascii="Arial" w:hAnsi="Arial" w:cs="Arial"/>
          <w:sz w:val="22"/>
          <w:szCs w:val="22"/>
        </w:rPr>
        <w:t>Oltre il 42% dei nuovi italiani</w:t>
      </w:r>
      <w:r w:rsidR="006A7F41">
        <w:rPr>
          <w:rFonts w:ascii="Arial" w:hAnsi="Arial" w:cs="Arial"/>
          <w:sz w:val="22"/>
          <w:szCs w:val="22"/>
        </w:rPr>
        <w:t>,</w:t>
      </w:r>
      <w:r>
        <w:rPr>
          <w:rFonts w:ascii="Arial" w:hAnsi="Arial" w:cs="Arial"/>
          <w:sz w:val="22"/>
          <w:szCs w:val="22"/>
        </w:rPr>
        <w:t xml:space="preserve"> precedentemente non comunitari</w:t>
      </w:r>
      <w:r w:rsidR="006A7F41">
        <w:rPr>
          <w:rFonts w:ascii="Arial" w:hAnsi="Arial" w:cs="Arial"/>
          <w:sz w:val="22"/>
          <w:szCs w:val="22"/>
        </w:rPr>
        <w:t>,</w:t>
      </w:r>
      <w:r>
        <w:rPr>
          <w:rFonts w:ascii="Arial" w:hAnsi="Arial" w:cs="Arial"/>
          <w:sz w:val="22"/>
          <w:szCs w:val="22"/>
        </w:rPr>
        <w:t xml:space="preserve"> ha acquisito </w:t>
      </w:r>
      <w:r w:rsidR="006A7F41">
        <w:rPr>
          <w:rFonts w:ascii="Arial" w:hAnsi="Arial" w:cs="Arial"/>
          <w:sz w:val="22"/>
          <w:szCs w:val="22"/>
        </w:rPr>
        <w:t xml:space="preserve">la cittadinanza </w:t>
      </w:r>
      <w:r>
        <w:rPr>
          <w:rFonts w:ascii="Arial" w:hAnsi="Arial" w:cs="Arial"/>
          <w:sz w:val="22"/>
          <w:szCs w:val="22"/>
        </w:rPr>
        <w:t xml:space="preserve">per residenza (quasi 85mila), mentre </w:t>
      </w:r>
      <w:r w:rsidR="00620BB0">
        <w:rPr>
          <w:rFonts w:ascii="Arial" w:hAnsi="Arial" w:cs="Arial"/>
          <w:sz w:val="22"/>
          <w:szCs w:val="22"/>
        </w:rPr>
        <w:t>una quota del</w:t>
      </w:r>
      <w:r>
        <w:rPr>
          <w:rFonts w:ascii="Arial" w:hAnsi="Arial" w:cs="Arial"/>
          <w:sz w:val="22"/>
          <w:szCs w:val="22"/>
        </w:rPr>
        <w:t xml:space="preserve"> 31,7% </w:t>
      </w:r>
      <w:r w:rsidR="00620BB0">
        <w:rPr>
          <w:rFonts w:ascii="Arial" w:hAnsi="Arial" w:cs="Arial"/>
          <w:sz w:val="22"/>
          <w:szCs w:val="22"/>
        </w:rPr>
        <w:t xml:space="preserve">rappresenta </w:t>
      </w:r>
      <w:r w:rsidR="00953EE4">
        <w:rPr>
          <w:rFonts w:ascii="Arial" w:hAnsi="Arial" w:cs="Arial"/>
          <w:sz w:val="22"/>
          <w:szCs w:val="22"/>
        </w:rPr>
        <w:t>acquisizioni da parte di</w:t>
      </w:r>
      <w:r>
        <w:rPr>
          <w:rFonts w:ascii="Arial" w:hAnsi="Arial" w:cs="Arial"/>
          <w:sz w:val="22"/>
          <w:szCs w:val="22"/>
        </w:rPr>
        <w:t xml:space="preserve"> minori </w:t>
      </w:r>
      <w:r w:rsidR="006A7F41">
        <w:rPr>
          <w:rFonts w:ascii="Arial" w:hAnsi="Arial" w:cs="Arial"/>
          <w:sz w:val="22"/>
          <w:szCs w:val="22"/>
        </w:rPr>
        <w:t xml:space="preserve">divenuti italiani </w:t>
      </w:r>
      <w:r>
        <w:rPr>
          <w:rFonts w:ascii="Arial" w:hAnsi="Arial" w:cs="Arial"/>
          <w:sz w:val="22"/>
          <w:szCs w:val="22"/>
        </w:rPr>
        <w:t xml:space="preserve">per trasmissione del diritto dai genitori. La terza modalità in ordine di frequenza è l’acquisizione </w:t>
      </w:r>
      <w:r>
        <w:rPr>
          <w:rFonts w:ascii="Arial" w:hAnsi="Arial" w:cs="Arial"/>
          <w:i/>
          <w:iCs/>
          <w:sz w:val="22"/>
          <w:szCs w:val="22"/>
        </w:rPr>
        <w:t>iure sanguinis</w:t>
      </w:r>
      <w:r>
        <w:rPr>
          <w:rFonts w:ascii="Arial" w:hAnsi="Arial" w:cs="Arial"/>
          <w:sz w:val="22"/>
          <w:szCs w:val="22"/>
        </w:rPr>
        <w:t>, che nel 2024 ha interessato quasi 22mila cittadini precedentemente non comunitari</w:t>
      </w:r>
      <w:r w:rsidR="00620BB0">
        <w:rPr>
          <w:rFonts w:ascii="Arial" w:hAnsi="Arial" w:cs="Arial"/>
          <w:sz w:val="22"/>
          <w:szCs w:val="22"/>
        </w:rPr>
        <w:t xml:space="preserve"> (</w:t>
      </w:r>
      <w:r>
        <w:rPr>
          <w:rFonts w:ascii="Arial" w:hAnsi="Arial" w:cs="Arial"/>
          <w:sz w:val="22"/>
          <w:szCs w:val="22"/>
        </w:rPr>
        <w:t>l’11,0% del totale</w:t>
      </w:r>
      <w:r w:rsidR="00620BB0">
        <w:rPr>
          <w:rFonts w:ascii="Arial" w:hAnsi="Arial" w:cs="Arial"/>
          <w:sz w:val="22"/>
          <w:szCs w:val="22"/>
        </w:rPr>
        <w:t>)</w:t>
      </w:r>
      <w:r>
        <w:rPr>
          <w:rFonts w:ascii="Arial" w:hAnsi="Arial" w:cs="Arial"/>
          <w:sz w:val="22"/>
          <w:szCs w:val="22"/>
        </w:rPr>
        <w:t>. Continuano a perdere terreno le acquisizioni per matrimonio: nel 2024 sono circa 19mila, per il 79,5% hanno riguardato donne e sono in netto calo rispetto al 2023 (-14,3</w:t>
      </w:r>
      <w:r w:rsidRPr="007704E1">
        <w:rPr>
          <w:rFonts w:ascii="Arial" w:hAnsi="Arial" w:cs="Arial"/>
          <w:sz w:val="22"/>
          <w:szCs w:val="22"/>
        </w:rPr>
        <w:t>%)</w:t>
      </w:r>
      <w:r w:rsidR="007704E1" w:rsidRPr="007704E1">
        <w:rPr>
          <w:rFonts w:ascii="Arial" w:hAnsi="Arial" w:cs="Arial"/>
          <w:sz w:val="22"/>
          <w:szCs w:val="22"/>
        </w:rPr>
        <w:t xml:space="preserve"> (Figura 5)</w:t>
      </w:r>
      <w:r w:rsidRPr="007704E1">
        <w:rPr>
          <w:rFonts w:ascii="Arial" w:hAnsi="Arial" w:cs="Arial"/>
          <w:sz w:val="22"/>
          <w:szCs w:val="22"/>
        </w:rPr>
        <w:t>.</w:t>
      </w:r>
    </w:p>
    <w:p w14:paraId="01FEE07E" w14:textId="1325C417" w:rsidR="00326B3B" w:rsidRDefault="00326B3B" w:rsidP="00A24142">
      <w:pPr>
        <w:autoSpaceDE w:val="0"/>
        <w:autoSpaceDN w:val="0"/>
        <w:adjustRightInd w:val="0"/>
        <w:spacing w:after="120"/>
        <w:jc w:val="both"/>
        <w:rPr>
          <w:rFonts w:ascii="Arial" w:hAnsi="Arial" w:cs="Arial"/>
          <w:sz w:val="22"/>
          <w:szCs w:val="22"/>
        </w:rPr>
      </w:pPr>
      <w:r>
        <w:rPr>
          <w:rFonts w:ascii="Arial" w:hAnsi="Arial" w:cs="Arial"/>
          <w:sz w:val="22"/>
          <w:szCs w:val="22"/>
        </w:rPr>
        <w:t>Infine, sono poco meno di 11mila i ragazzi non comunitari, nati e residenti in Italia, che hanno chiesto di divenire italiani al compimento del diciottesimo anno di età.</w:t>
      </w:r>
    </w:p>
    <w:p w14:paraId="29F6F028" w14:textId="0960E85D" w:rsidR="00326B3B" w:rsidRDefault="00326B3B" w:rsidP="00A24142">
      <w:pPr>
        <w:autoSpaceDE w:val="0"/>
        <w:autoSpaceDN w:val="0"/>
        <w:adjustRightInd w:val="0"/>
        <w:spacing w:after="120"/>
        <w:jc w:val="both"/>
        <w:rPr>
          <w:rFonts w:ascii="Arial" w:hAnsi="Arial" w:cs="Arial"/>
          <w:sz w:val="22"/>
          <w:szCs w:val="22"/>
        </w:rPr>
      </w:pPr>
      <w:r>
        <w:rPr>
          <w:rFonts w:ascii="Arial" w:hAnsi="Arial" w:cs="Arial"/>
          <w:sz w:val="22"/>
          <w:szCs w:val="22"/>
        </w:rPr>
        <w:t xml:space="preserve">Più di un’acquisizione su quattro è avvenuta in Lombardia (27,0%), seguita a distanza da </w:t>
      </w:r>
      <w:r w:rsidR="00620BB0">
        <w:rPr>
          <w:rFonts w:ascii="Arial" w:hAnsi="Arial" w:cs="Arial"/>
          <w:sz w:val="22"/>
          <w:szCs w:val="22"/>
        </w:rPr>
        <w:br/>
      </w:r>
      <w:r>
        <w:rPr>
          <w:rFonts w:ascii="Arial" w:hAnsi="Arial" w:cs="Arial"/>
          <w:sz w:val="22"/>
          <w:szCs w:val="22"/>
        </w:rPr>
        <w:t xml:space="preserve">Emilia-Romagna (13,7%) e Veneto (11,6%); oltre la metà delle acquisizioni di cittadinanza del 2024 </w:t>
      </w:r>
      <w:r w:rsidR="00620BB0">
        <w:rPr>
          <w:rFonts w:ascii="Arial" w:hAnsi="Arial" w:cs="Arial"/>
          <w:sz w:val="22"/>
          <w:szCs w:val="22"/>
        </w:rPr>
        <w:t xml:space="preserve">è </w:t>
      </w:r>
      <w:r w:rsidR="00953EE4">
        <w:rPr>
          <w:rFonts w:ascii="Arial" w:hAnsi="Arial" w:cs="Arial"/>
          <w:sz w:val="22"/>
          <w:szCs w:val="22"/>
        </w:rPr>
        <w:t>concentrat</w:t>
      </w:r>
      <w:r w:rsidR="00620BB0">
        <w:rPr>
          <w:rFonts w:ascii="Arial" w:hAnsi="Arial" w:cs="Arial"/>
          <w:sz w:val="22"/>
          <w:szCs w:val="22"/>
        </w:rPr>
        <w:t>a</w:t>
      </w:r>
      <w:r>
        <w:rPr>
          <w:rFonts w:ascii="Arial" w:hAnsi="Arial" w:cs="Arial"/>
          <w:sz w:val="22"/>
          <w:szCs w:val="22"/>
        </w:rPr>
        <w:t xml:space="preserve"> in queste tre regioni. Tra le province, sono Milano (8,7%) e Roma (5,4%) a guidare la classifica, seguite da Brescia (4,6%) e Bergamo (3,2%).</w:t>
      </w:r>
    </w:p>
    <w:p w14:paraId="7C2AD945" w14:textId="77777777" w:rsidR="00A84A11" w:rsidRPr="00286258" w:rsidRDefault="00A84A11" w:rsidP="000E38F8">
      <w:pPr>
        <w:autoSpaceDE w:val="0"/>
        <w:autoSpaceDN w:val="0"/>
        <w:adjustRightInd w:val="0"/>
        <w:spacing w:after="120"/>
        <w:jc w:val="both"/>
        <w:rPr>
          <w:rFonts w:ascii="Arial" w:hAnsi="Arial" w:cs="Arial"/>
          <w:sz w:val="22"/>
          <w:szCs w:val="22"/>
        </w:rPr>
      </w:pPr>
    </w:p>
    <w:p w14:paraId="33CBF67F" w14:textId="0F640511" w:rsidR="00326B3B" w:rsidRDefault="004F39B7" w:rsidP="006667EC">
      <w:pPr>
        <w:spacing w:after="120"/>
        <w:jc w:val="both"/>
        <w:rPr>
          <w:rFonts w:ascii="Arial" w:hAnsi="Arial" w:cs="Arial"/>
          <w:b/>
          <w:color w:val="1F497D" w:themeColor="text2"/>
          <w:sz w:val="26"/>
          <w:szCs w:val="26"/>
          <w:highlight w:val="yellow"/>
        </w:rPr>
      </w:pPr>
      <w:r>
        <w:rPr>
          <w:rFonts w:ascii="Arial" w:hAnsi="Arial" w:cs="Arial"/>
          <w:b/>
          <w:color w:val="1F497D" w:themeColor="text2"/>
          <w:sz w:val="26"/>
          <w:szCs w:val="26"/>
        </w:rPr>
        <w:t xml:space="preserve">I </w:t>
      </w:r>
      <w:r w:rsidR="00A505F5">
        <w:rPr>
          <w:rFonts w:ascii="Arial" w:hAnsi="Arial" w:cs="Arial"/>
          <w:b/>
          <w:color w:val="1F497D" w:themeColor="text2"/>
          <w:sz w:val="26"/>
          <w:szCs w:val="26"/>
        </w:rPr>
        <w:t>n</w:t>
      </w:r>
      <w:r w:rsidR="002252BB">
        <w:rPr>
          <w:rFonts w:ascii="Arial" w:hAnsi="Arial" w:cs="Arial"/>
          <w:b/>
          <w:color w:val="1F497D" w:themeColor="text2"/>
          <w:sz w:val="26"/>
          <w:szCs w:val="26"/>
        </w:rPr>
        <w:t>uovi italiani soprattutto di origine albanese e marocchina</w:t>
      </w:r>
    </w:p>
    <w:p w14:paraId="32BC3FD4" w14:textId="311E0043" w:rsidR="00326B3B" w:rsidRDefault="00326B3B" w:rsidP="00A24142">
      <w:pPr>
        <w:autoSpaceDE w:val="0"/>
        <w:autoSpaceDN w:val="0"/>
        <w:adjustRightInd w:val="0"/>
        <w:spacing w:after="120"/>
        <w:jc w:val="both"/>
        <w:rPr>
          <w:rFonts w:ascii="Arial" w:hAnsi="Arial" w:cs="Arial"/>
          <w:sz w:val="22"/>
          <w:szCs w:val="22"/>
        </w:rPr>
      </w:pPr>
      <w:r>
        <w:rPr>
          <w:rFonts w:ascii="Arial" w:hAnsi="Arial" w:cs="Arial"/>
          <w:sz w:val="22"/>
          <w:szCs w:val="22"/>
        </w:rPr>
        <w:t>Nel corso del 2024 sono divenuti italiani quasi 32mila albanesi e 28mila marocchini; si tratta delle comunità storicamente più radicate sul nostro territorio che acquisiscono</w:t>
      </w:r>
      <w:r w:rsidR="00A156FC">
        <w:rPr>
          <w:rFonts w:ascii="Arial" w:hAnsi="Arial" w:cs="Arial"/>
          <w:sz w:val="22"/>
          <w:szCs w:val="22"/>
        </w:rPr>
        <w:t xml:space="preserve"> la cittadinanza </w:t>
      </w:r>
      <w:r w:rsidR="008D1E30">
        <w:rPr>
          <w:rFonts w:ascii="Arial" w:hAnsi="Arial" w:cs="Arial"/>
          <w:sz w:val="22"/>
          <w:szCs w:val="22"/>
        </w:rPr>
        <w:t>italiana prevalentemente</w:t>
      </w:r>
      <w:r>
        <w:rPr>
          <w:rFonts w:ascii="Arial" w:hAnsi="Arial" w:cs="Arial"/>
          <w:sz w:val="22"/>
          <w:szCs w:val="22"/>
        </w:rPr>
        <w:t xml:space="preserve"> per residenza e per trasmissione ai minori (oltre l’84% per queste due collettività nel complesso). </w:t>
      </w:r>
      <w:r w:rsidR="00124C23">
        <w:rPr>
          <w:rFonts w:ascii="Arial" w:hAnsi="Arial" w:cs="Arial"/>
          <w:sz w:val="22"/>
          <w:szCs w:val="22"/>
        </w:rPr>
        <w:t xml:space="preserve">Seguono </w:t>
      </w:r>
      <w:r>
        <w:rPr>
          <w:rFonts w:ascii="Arial" w:hAnsi="Arial" w:cs="Arial"/>
          <w:sz w:val="22"/>
          <w:szCs w:val="22"/>
        </w:rPr>
        <w:t xml:space="preserve">Argentina, India e Brasile anche se con valori significativamente più bassi. Mentre i nuovi italiani di origine indiana (12.258, pari al 6,1% del totale) acquisiscono per residenza e trasmissione ai minori, quelli di origine argentina (13.559, 6,8%) e brasiliana (11.058, 5,5%) divengono italiani </w:t>
      </w:r>
      <w:r>
        <w:rPr>
          <w:rFonts w:ascii="Arial" w:hAnsi="Arial" w:cs="Arial"/>
          <w:i/>
          <w:iCs/>
          <w:sz w:val="22"/>
          <w:szCs w:val="22"/>
        </w:rPr>
        <w:t>iure sanguinis</w:t>
      </w:r>
      <w:r>
        <w:rPr>
          <w:rFonts w:ascii="Arial" w:hAnsi="Arial" w:cs="Arial"/>
          <w:sz w:val="22"/>
          <w:szCs w:val="22"/>
        </w:rPr>
        <w:t>; il 94% delle acquisizioni ottenute da cittadini non comunitari discendenti da un avo italiano, infatti, riguarda cittadini argentini (55,2%) e brasiliani (38,8%).</w:t>
      </w:r>
    </w:p>
    <w:p w14:paraId="3FD3C0DF" w14:textId="2FAD9CC3" w:rsidR="00423F12" w:rsidRDefault="00326B3B" w:rsidP="006667EC">
      <w:pPr>
        <w:spacing w:after="120"/>
        <w:jc w:val="both"/>
        <w:rPr>
          <w:rFonts w:ascii="Arial" w:hAnsi="Arial" w:cs="Arial"/>
          <w:sz w:val="22"/>
          <w:szCs w:val="22"/>
        </w:rPr>
      </w:pPr>
      <w:r>
        <w:rPr>
          <w:rFonts w:ascii="Arial" w:hAnsi="Arial" w:cs="Arial"/>
          <w:sz w:val="22"/>
          <w:szCs w:val="22"/>
        </w:rPr>
        <w:t>Le acquisizioni per matrimonio</w:t>
      </w:r>
      <w:r w:rsidR="00953EE4">
        <w:rPr>
          <w:rFonts w:ascii="Arial" w:hAnsi="Arial" w:cs="Arial"/>
          <w:sz w:val="22"/>
          <w:szCs w:val="22"/>
        </w:rPr>
        <w:t xml:space="preserve">, </w:t>
      </w:r>
      <w:r>
        <w:rPr>
          <w:rFonts w:ascii="Arial" w:hAnsi="Arial" w:cs="Arial"/>
          <w:sz w:val="22"/>
          <w:szCs w:val="22"/>
        </w:rPr>
        <w:t>in netto calo</w:t>
      </w:r>
      <w:r w:rsidR="00953EE4">
        <w:rPr>
          <w:rFonts w:ascii="Arial" w:hAnsi="Arial" w:cs="Arial"/>
          <w:sz w:val="22"/>
          <w:szCs w:val="22"/>
        </w:rPr>
        <w:t>,</w:t>
      </w:r>
      <w:r>
        <w:rPr>
          <w:rFonts w:ascii="Arial" w:hAnsi="Arial" w:cs="Arial"/>
          <w:sz w:val="22"/>
          <w:szCs w:val="22"/>
        </w:rPr>
        <w:t xml:space="preserve"> riguardano principalmente le donne</w:t>
      </w:r>
      <w:r w:rsidR="00953EE4">
        <w:rPr>
          <w:rFonts w:ascii="Arial" w:hAnsi="Arial" w:cs="Arial"/>
          <w:sz w:val="22"/>
          <w:szCs w:val="22"/>
        </w:rPr>
        <w:t xml:space="preserve"> </w:t>
      </w:r>
      <w:r>
        <w:rPr>
          <w:rFonts w:ascii="Arial" w:hAnsi="Arial" w:cs="Arial"/>
          <w:sz w:val="22"/>
          <w:szCs w:val="22"/>
        </w:rPr>
        <w:t xml:space="preserve">di origine albanese e marocchina, che </w:t>
      </w:r>
      <w:r w:rsidR="00953EE4">
        <w:rPr>
          <w:rFonts w:ascii="Arial" w:hAnsi="Arial" w:cs="Arial"/>
          <w:sz w:val="22"/>
          <w:szCs w:val="22"/>
        </w:rPr>
        <w:t xml:space="preserve">nel complesso </w:t>
      </w:r>
      <w:r>
        <w:rPr>
          <w:rFonts w:ascii="Arial" w:hAnsi="Arial" w:cs="Arial"/>
          <w:sz w:val="22"/>
          <w:szCs w:val="22"/>
        </w:rPr>
        <w:t>copr</w:t>
      </w:r>
      <w:r w:rsidR="00620BB0">
        <w:rPr>
          <w:rFonts w:ascii="Arial" w:hAnsi="Arial" w:cs="Arial"/>
          <w:sz w:val="22"/>
          <w:szCs w:val="22"/>
        </w:rPr>
        <w:t>ono</w:t>
      </w:r>
      <w:r>
        <w:rPr>
          <w:rFonts w:ascii="Arial" w:hAnsi="Arial" w:cs="Arial"/>
          <w:sz w:val="22"/>
          <w:szCs w:val="22"/>
        </w:rPr>
        <w:t xml:space="preserve"> quasi un terzo di tutte le acquisizioni femminili per matrimonio; </w:t>
      </w:r>
      <w:r w:rsidRPr="004B211B">
        <w:rPr>
          <w:rFonts w:ascii="Arial" w:hAnsi="Arial" w:cs="Arial"/>
          <w:sz w:val="22"/>
          <w:szCs w:val="22"/>
        </w:rPr>
        <w:t xml:space="preserve">si tratta in larga parte di donne che </w:t>
      </w:r>
      <w:r w:rsidR="00953EE4">
        <w:rPr>
          <w:rFonts w:ascii="Arial" w:hAnsi="Arial" w:cs="Arial"/>
          <w:sz w:val="22"/>
          <w:szCs w:val="22"/>
        </w:rPr>
        <w:t xml:space="preserve">hanno </w:t>
      </w:r>
      <w:r w:rsidRPr="004B211B">
        <w:rPr>
          <w:rFonts w:ascii="Arial" w:hAnsi="Arial" w:cs="Arial"/>
          <w:sz w:val="22"/>
          <w:szCs w:val="22"/>
        </w:rPr>
        <w:t>sposa</w:t>
      </w:r>
      <w:r w:rsidR="00953EE4">
        <w:rPr>
          <w:rFonts w:ascii="Arial" w:hAnsi="Arial" w:cs="Arial"/>
          <w:sz w:val="22"/>
          <w:szCs w:val="22"/>
        </w:rPr>
        <w:t xml:space="preserve">to un ex concittadino divenuto </w:t>
      </w:r>
      <w:r w:rsidRPr="004B211B">
        <w:rPr>
          <w:rFonts w:ascii="Arial" w:hAnsi="Arial" w:cs="Arial"/>
          <w:sz w:val="22"/>
          <w:szCs w:val="22"/>
        </w:rPr>
        <w:t>italiano</w:t>
      </w:r>
      <w:r>
        <w:rPr>
          <w:rFonts w:ascii="Arial" w:hAnsi="Arial" w:cs="Arial"/>
          <w:sz w:val="22"/>
          <w:szCs w:val="22"/>
        </w:rPr>
        <w:t>. Al terzo posto si collocano le donne ucraine, che divengono italiane attraverso questa modalità in più del 28% dei casi.</w:t>
      </w:r>
    </w:p>
    <w:p w14:paraId="1E3AE0B7" w14:textId="2DEDE76F" w:rsidR="00BE637A" w:rsidRDefault="00BE637A" w:rsidP="008B2251">
      <w:pPr>
        <w:spacing w:after="120"/>
        <w:jc w:val="both"/>
        <w:rPr>
          <w:rFonts w:ascii="Arial" w:hAnsi="Arial" w:cs="Arial"/>
          <w:sz w:val="22"/>
          <w:szCs w:val="22"/>
        </w:rPr>
      </w:pPr>
    </w:p>
    <w:p w14:paraId="5EA53BA5" w14:textId="77777777" w:rsidR="000E38F8" w:rsidRPr="00366073" w:rsidRDefault="000E38F8" w:rsidP="000E38F8">
      <w:pPr>
        <w:jc w:val="both"/>
        <w:rPr>
          <w:rFonts w:ascii="Arial" w:hAnsi="Arial" w:cs="Arial"/>
          <w:sz w:val="28"/>
          <w:szCs w:val="28"/>
        </w:rPr>
      </w:pPr>
    </w:p>
    <w:p w14:paraId="366971B0" w14:textId="77777777" w:rsidR="00326B3B" w:rsidRPr="00F70EB9" w:rsidRDefault="00326B3B" w:rsidP="006667EC">
      <w:pPr>
        <w:autoSpaceDE w:val="0"/>
        <w:autoSpaceDN w:val="0"/>
        <w:adjustRightInd w:val="0"/>
        <w:jc w:val="both"/>
        <w:rPr>
          <w:rFonts w:ascii="Arial Narrow" w:hAnsi="Arial Narrow" w:cs="Arial"/>
          <w:color w:val="1F497D" w:themeColor="text2"/>
          <w:sz w:val="22"/>
          <w:szCs w:val="22"/>
          <w:highlight w:val="yellow"/>
        </w:rPr>
      </w:pPr>
      <w:r w:rsidRPr="00432336">
        <w:rPr>
          <w:rFonts w:ascii="Arial Black" w:hAnsi="Arial Black" w:cs="Arial"/>
          <w:iCs/>
          <w:noProof/>
          <w:color w:val="1F497D" w:themeColor="text2"/>
          <w:sz w:val="22"/>
          <w:szCs w:val="22"/>
        </w:rPr>
        <w:t xml:space="preserve">FIGURA 5. </w:t>
      </w:r>
      <w:r w:rsidRPr="00432336">
        <w:rPr>
          <w:rFonts w:ascii="Arial Narrow" w:hAnsi="Arial Narrow" w:cs="Arial"/>
          <w:b/>
          <w:iCs/>
          <w:noProof/>
          <w:color w:val="1F497D" w:themeColor="text2"/>
          <w:sz w:val="22"/>
        </w:rPr>
        <w:t>ACQUISIZIONI DI CITTADINANZA PER MOTIVO</w:t>
      </w:r>
      <w:r w:rsidRPr="00432336">
        <w:rPr>
          <w:rFonts w:ascii="Arial Narrow" w:hAnsi="Arial Narrow" w:cs="Arial"/>
          <w:color w:val="1F497D" w:themeColor="text2"/>
          <w:sz w:val="22"/>
          <w:szCs w:val="22"/>
        </w:rPr>
        <w:t>. Anni 2011-202</w:t>
      </w:r>
      <w:r>
        <w:rPr>
          <w:rFonts w:ascii="Arial Narrow" w:hAnsi="Arial Narrow" w:cs="Arial"/>
          <w:color w:val="1F497D" w:themeColor="text2"/>
          <w:sz w:val="22"/>
          <w:szCs w:val="22"/>
        </w:rPr>
        <w:t>4</w:t>
      </w:r>
      <w:r w:rsidRPr="00432336">
        <w:rPr>
          <w:rFonts w:ascii="Arial Narrow" w:hAnsi="Arial Narrow" w:cs="Arial"/>
          <w:color w:val="1F497D" w:themeColor="text2"/>
          <w:sz w:val="22"/>
          <w:szCs w:val="22"/>
        </w:rPr>
        <w:t>, valori assoluti</w:t>
      </w:r>
    </w:p>
    <w:p w14:paraId="639967CB" w14:textId="4E4BC67E" w:rsidR="006769B6" w:rsidRPr="00F70EB9" w:rsidRDefault="006769B6">
      <w:pPr>
        <w:autoSpaceDE w:val="0"/>
        <w:autoSpaceDN w:val="0"/>
        <w:adjustRightInd w:val="0"/>
        <w:jc w:val="both"/>
        <w:rPr>
          <w:rFonts w:ascii="Arial Narrow" w:hAnsi="Arial Narrow" w:cs="Arial"/>
          <w:color w:val="1F497D" w:themeColor="text2"/>
          <w:sz w:val="22"/>
          <w:szCs w:val="22"/>
          <w:highlight w:val="yellow"/>
        </w:rPr>
      </w:pPr>
    </w:p>
    <w:p w14:paraId="2C9ADBDB" w14:textId="641EDC20" w:rsidR="008B2251" w:rsidRDefault="00326B3B" w:rsidP="000E38F8">
      <w:pPr>
        <w:spacing w:after="120"/>
        <w:jc w:val="both"/>
        <w:rPr>
          <w:rFonts w:ascii="Arial" w:hAnsi="Arial" w:cs="Arial"/>
          <w:bCs/>
          <w:color w:val="1F497D" w:themeColor="text2"/>
          <w:sz w:val="22"/>
          <w:szCs w:val="22"/>
        </w:rPr>
      </w:pPr>
      <w:r>
        <w:rPr>
          <w:noProof/>
        </w:rPr>
        <w:drawing>
          <wp:inline distT="0" distB="0" distL="0" distR="0" wp14:anchorId="2D77A658" wp14:editId="30814306">
            <wp:extent cx="6391275" cy="2421145"/>
            <wp:effectExtent l="0" t="0" r="0" b="0"/>
            <wp:docPr id="1791460405" name="Grafico 1">
              <a:extLst xmlns:a="http://schemas.openxmlformats.org/drawingml/2006/main">
                <a:ext uri="{FF2B5EF4-FFF2-40B4-BE49-F238E27FC236}">
                  <a16:creationId xmlns:a16="http://schemas.microsoft.com/office/drawing/2014/main" id="{FB7F18C7-4E0C-44D9-B272-173110138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8B2251">
        <w:rPr>
          <w:rFonts w:ascii="Arial" w:hAnsi="Arial" w:cs="Arial"/>
          <w:bCs/>
          <w:color w:val="1F497D" w:themeColor="text2"/>
          <w:sz w:val="22"/>
          <w:szCs w:val="22"/>
        </w:rPr>
        <w:br w:type="page"/>
      </w:r>
    </w:p>
    <w:p w14:paraId="78D8F9A1" w14:textId="5C9CEE0E" w:rsidR="001D4DBB" w:rsidRDefault="001D4DBB" w:rsidP="001D4DBB">
      <w:pPr>
        <w:spacing w:after="120"/>
        <w:jc w:val="both"/>
        <w:rPr>
          <w:rFonts w:ascii="Arial" w:hAnsi="Arial" w:cs="Arial"/>
          <w:sz w:val="22"/>
          <w:szCs w:val="22"/>
        </w:rPr>
      </w:pPr>
    </w:p>
    <w:p w14:paraId="2E0CF237" w14:textId="77777777" w:rsidR="008B2251" w:rsidRPr="00276E3F" w:rsidRDefault="008B2251" w:rsidP="008B2251">
      <w:pPr>
        <w:spacing w:after="120"/>
        <w:jc w:val="both"/>
        <w:rPr>
          <w:rFonts w:ascii="Arial" w:hAnsi="Arial" w:cs="Arial"/>
          <w:b/>
          <w:color w:val="1F497D" w:themeColor="text2"/>
          <w:sz w:val="26"/>
          <w:szCs w:val="26"/>
        </w:rPr>
      </w:pPr>
      <w:r>
        <w:rPr>
          <w:rFonts w:ascii="Arial" w:hAnsi="Arial" w:cs="Arial"/>
          <w:b/>
          <w:color w:val="1F497D" w:themeColor="text2"/>
          <w:sz w:val="26"/>
          <w:szCs w:val="26"/>
        </w:rPr>
        <w:t xml:space="preserve">Un quarto degli italiani di origine straniera risiede in Lombardia </w:t>
      </w:r>
    </w:p>
    <w:p w14:paraId="41B4FE39" w14:textId="0ECE3FEA" w:rsidR="008B2251" w:rsidRPr="00276E3F" w:rsidRDefault="008B2251" w:rsidP="008B2251">
      <w:pPr>
        <w:autoSpaceDE w:val="0"/>
        <w:autoSpaceDN w:val="0"/>
        <w:adjustRightInd w:val="0"/>
        <w:spacing w:after="120"/>
        <w:jc w:val="both"/>
        <w:rPr>
          <w:rFonts w:ascii="Arial" w:hAnsi="Arial" w:cs="Arial"/>
          <w:sz w:val="22"/>
          <w:szCs w:val="22"/>
        </w:rPr>
      </w:pPr>
      <w:r w:rsidRPr="00276E3F">
        <w:rPr>
          <w:rFonts w:ascii="Arial" w:hAnsi="Arial" w:cs="Arial"/>
          <w:sz w:val="22"/>
          <w:szCs w:val="22"/>
        </w:rPr>
        <w:t>Continua a crescere il numero di residenti italiani di origine straniera; al 31 dicembre 2024 si stimano complessivamente quasi 2 milioni 90mila italiani per acquisizione della cittadinanza</w:t>
      </w:r>
      <w:r>
        <w:rPr>
          <w:rFonts w:ascii="Arial" w:hAnsi="Arial" w:cs="Arial"/>
          <w:sz w:val="22"/>
          <w:szCs w:val="22"/>
        </w:rPr>
        <w:t>, di cui</w:t>
      </w:r>
      <w:r w:rsidRPr="00276E3F">
        <w:rPr>
          <w:rFonts w:ascii="Arial" w:hAnsi="Arial" w:cs="Arial"/>
          <w:sz w:val="22"/>
          <w:szCs w:val="22"/>
        </w:rPr>
        <w:t xml:space="preserve"> </w:t>
      </w:r>
      <w:r w:rsidR="00884BBB">
        <w:rPr>
          <w:rFonts w:ascii="Arial" w:hAnsi="Arial" w:cs="Arial"/>
          <w:sz w:val="22"/>
          <w:szCs w:val="22"/>
        </w:rPr>
        <w:br/>
      </w:r>
      <w:r w:rsidRPr="00276E3F">
        <w:rPr>
          <w:rFonts w:ascii="Arial" w:hAnsi="Arial" w:cs="Arial"/>
          <w:sz w:val="22"/>
          <w:szCs w:val="22"/>
        </w:rPr>
        <w:t xml:space="preserve">circa 1 milione 790mila (85,6%) originario di un </w:t>
      </w:r>
      <w:r w:rsidR="00C60515">
        <w:rPr>
          <w:rFonts w:ascii="Arial" w:hAnsi="Arial" w:cs="Arial"/>
          <w:sz w:val="22"/>
          <w:szCs w:val="22"/>
        </w:rPr>
        <w:t>P</w:t>
      </w:r>
      <w:r w:rsidRPr="00276E3F">
        <w:rPr>
          <w:rFonts w:ascii="Arial" w:hAnsi="Arial" w:cs="Arial"/>
          <w:sz w:val="22"/>
          <w:szCs w:val="22"/>
        </w:rPr>
        <w:t>aese non comunitario. Rapportando i nuovi italiani e i cittadini non comunitari con permesso di soggiorno, si contano 47 italiani di origine non comunitaria ogni 100 stranieri con permesso di soggiorno.</w:t>
      </w:r>
    </w:p>
    <w:p w14:paraId="5789AD2B" w14:textId="77777777" w:rsidR="008B2251" w:rsidRDefault="008B2251" w:rsidP="00884BBB">
      <w:pPr>
        <w:autoSpaceDE w:val="0"/>
        <w:autoSpaceDN w:val="0"/>
        <w:adjustRightInd w:val="0"/>
        <w:spacing w:after="120"/>
        <w:jc w:val="both"/>
        <w:rPr>
          <w:rFonts w:ascii="Arial" w:hAnsi="Arial" w:cs="Arial"/>
          <w:sz w:val="22"/>
          <w:szCs w:val="22"/>
        </w:rPr>
      </w:pPr>
      <w:r w:rsidRPr="00276E3F">
        <w:rPr>
          <w:rFonts w:ascii="Arial" w:hAnsi="Arial" w:cs="Arial"/>
          <w:sz w:val="22"/>
          <w:szCs w:val="22"/>
        </w:rPr>
        <w:t>Considerando le prime 10 collettività non comunitarie regolarmente presenti in Italia al 31 dicembre 2024, sono i cittadini albanesi a presentare il valore più alto di italiani originari dell’Albania: ogni 100 albanesi si contano oltre 94 italiani di origine albanese.</w:t>
      </w:r>
    </w:p>
    <w:p w14:paraId="5269867F" w14:textId="77777777" w:rsidR="001D4DBB" w:rsidRDefault="00D86322" w:rsidP="001D4DBB">
      <w:pPr>
        <w:spacing w:after="120"/>
        <w:jc w:val="both"/>
        <w:rPr>
          <w:rFonts w:ascii="Arial" w:hAnsi="Arial" w:cs="Arial"/>
          <w:sz w:val="22"/>
          <w:szCs w:val="22"/>
        </w:rPr>
      </w:pPr>
      <w:r w:rsidRPr="005D6AC0">
        <w:rPr>
          <w:rFonts w:ascii="Arial" w:hAnsi="Arial" w:cs="Arial"/>
          <w:sz w:val="22"/>
          <w:szCs w:val="22"/>
        </w:rPr>
        <w:t xml:space="preserve">L’altra cittadinanza con una presenza ormai profondamente radicata sul nostro territorio è quella marocchina; anche in questo caso vi </w:t>
      </w:r>
      <w:r w:rsidR="007A30F1" w:rsidRPr="005D6AC0">
        <w:rPr>
          <w:rFonts w:ascii="Arial" w:hAnsi="Arial" w:cs="Arial"/>
          <w:sz w:val="22"/>
          <w:szCs w:val="22"/>
        </w:rPr>
        <w:t xml:space="preserve">sono </w:t>
      </w:r>
      <w:r w:rsidRPr="005D6AC0">
        <w:rPr>
          <w:rFonts w:ascii="Arial" w:hAnsi="Arial" w:cs="Arial"/>
          <w:sz w:val="22"/>
          <w:szCs w:val="22"/>
        </w:rPr>
        <w:t xml:space="preserve">circa </w:t>
      </w:r>
      <w:r w:rsidR="00074A77" w:rsidRPr="005D6AC0">
        <w:rPr>
          <w:rFonts w:ascii="Arial" w:hAnsi="Arial" w:cs="Arial"/>
          <w:sz w:val="22"/>
          <w:szCs w:val="22"/>
        </w:rPr>
        <w:t>73</w:t>
      </w:r>
      <w:r w:rsidRPr="005D6AC0">
        <w:rPr>
          <w:rFonts w:ascii="Arial" w:hAnsi="Arial" w:cs="Arial"/>
          <w:sz w:val="22"/>
          <w:szCs w:val="22"/>
        </w:rPr>
        <w:t xml:space="preserve"> italiani originari del Marocco ogni 100 marocchini </w:t>
      </w:r>
      <w:r w:rsidR="00074A77" w:rsidRPr="005D6AC0">
        <w:rPr>
          <w:rFonts w:ascii="Arial" w:hAnsi="Arial" w:cs="Arial"/>
          <w:sz w:val="22"/>
          <w:szCs w:val="22"/>
        </w:rPr>
        <w:t>con permesso di soggiorno</w:t>
      </w:r>
      <w:r w:rsidRPr="005D6AC0">
        <w:rPr>
          <w:rFonts w:ascii="Arial" w:hAnsi="Arial" w:cs="Arial"/>
          <w:sz w:val="22"/>
          <w:szCs w:val="22"/>
        </w:rPr>
        <w:t>.</w:t>
      </w:r>
      <w:r w:rsidR="00D54136" w:rsidRPr="005D6AC0">
        <w:rPr>
          <w:rFonts w:ascii="Arial" w:hAnsi="Arial" w:cs="Arial"/>
          <w:sz w:val="22"/>
          <w:szCs w:val="22"/>
        </w:rPr>
        <w:t xml:space="preserve"> </w:t>
      </w:r>
    </w:p>
    <w:p w14:paraId="2B93A960" w14:textId="7273B9C5" w:rsidR="001D4DBB" w:rsidRDefault="00D54136" w:rsidP="001D4DBB">
      <w:pPr>
        <w:spacing w:after="120"/>
        <w:jc w:val="both"/>
        <w:rPr>
          <w:rFonts w:ascii="Arial" w:hAnsi="Arial" w:cs="Arial"/>
          <w:sz w:val="22"/>
          <w:szCs w:val="22"/>
        </w:rPr>
      </w:pPr>
      <w:r w:rsidRPr="005D6AC0">
        <w:rPr>
          <w:rFonts w:ascii="Arial" w:hAnsi="Arial" w:cs="Arial"/>
          <w:sz w:val="22"/>
          <w:szCs w:val="22"/>
        </w:rPr>
        <w:t xml:space="preserve">La comunità ucraina, la prima per numero di permessi di soggiorno validi in Italia, </w:t>
      </w:r>
      <w:r w:rsidR="00100FDB" w:rsidRPr="005D6AC0">
        <w:rPr>
          <w:rFonts w:ascii="Arial" w:hAnsi="Arial" w:cs="Arial"/>
          <w:sz w:val="22"/>
          <w:szCs w:val="22"/>
        </w:rPr>
        <w:t>rap</w:t>
      </w:r>
      <w:r w:rsidRPr="005D6AC0">
        <w:rPr>
          <w:rFonts w:ascii="Arial" w:hAnsi="Arial" w:cs="Arial"/>
          <w:sz w:val="22"/>
          <w:szCs w:val="22"/>
        </w:rPr>
        <w:t>presenta tuttavia un caso particolare: una quota rilevante, infatti, è costituita da per</w:t>
      </w:r>
      <w:r w:rsidR="00100FDB" w:rsidRPr="005D6AC0">
        <w:rPr>
          <w:rFonts w:ascii="Arial" w:hAnsi="Arial" w:cs="Arial"/>
          <w:sz w:val="22"/>
          <w:szCs w:val="22"/>
        </w:rPr>
        <w:t>sone che non sono stabilmente in Italia ma sono arrivate recentemente per protezione temporanea; si contano circa 12 nuovi italiani di origine ucraina ogni 100 ucraini con permesso di soggiorno.</w:t>
      </w:r>
      <w:r w:rsidR="00D86322" w:rsidRPr="005D6AC0">
        <w:rPr>
          <w:rFonts w:ascii="Arial" w:hAnsi="Arial" w:cs="Arial"/>
          <w:sz w:val="22"/>
          <w:szCs w:val="22"/>
        </w:rPr>
        <w:t xml:space="preserve"> La Cina, al terzo posto per presenza in Italia, si colloca invece all’ultimo posto per incidenza di nuovi italiani di origine cinese, con un valore </w:t>
      </w:r>
      <w:r w:rsidR="00074A77" w:rsidRPr="005D6AC0">
        <w:rPr>
          <w:rFonts w:ascii="Arial" w:hAnsi="Arial" w:cs="Arial"/>
          <w:sz w:val="22"/>
          <w:szCs w:val="22"/>
        </w:rPr>
        <w:t>intorno</w:t>
      </w:r>
      <w:r w:rsidR="00D86322" w:rsidRPr="005D6AC0">
        <w:rPr>
          <w:rFonts w:ascii="Arial" w:hAnsi="Arial" w:cs="Arial"/>
          <w:sz w:val="22"/>
          <w:szCs w:val="22"/>
        </w:rPr>
        <w:t xml:space="preserve"> </w:t>
      </w:r>
      <w:r w:rsidR="001D4DBB">
        <w:rPr>
          <w:rFonts w:ascii="Arial" w:hAnsi="Arial" w:cs="Arial"/>
          <w:sz w:val="22"/>
          <w:szCs w:val="22"/>
        </w:rPr>
        <w:br/>
      </w:r>
      <w:r w:rsidR="00D86322" w:rsidRPr="005D6AC0">
        <w:rPr>
          <w:rFonts w:ascii="Arial" w:hAnsi="Arial" w:cs="Arial"/>
          <w:sz w:val="22"/>
          <w:szCs w:val="22"/>
        </w:rPr>
        <w:t>a 6 nuovi italiani ogni 100 cinesi. Al di là di fattori culturali che possono incidere sulla propensione a</w:t>
      </w:r>
      <w:r w:rsidR="007A30F1" w:rsidRPr="005D6AC0">
        <w:rPr>
          <w:rFonts w:ascii="Arial" w:hAnsi="Arial" w:cs="Arial"/>
          <w:sz w:val="22"/>
          <w:szCs w:val="22"/>
        </w:rPr>
        <w:t xml:space="preserve">d acquisire la cittadinanza </w:t>
      </w:r>
      <w:r w:rsidR="00D86322" w:rsidRPr="005D6AC0">
        <w:rPr>
          <w:rFonts w:ascii="Arial" w:hAnsi="Arial" w:cs="Arial"/>
          <w:sz w:val="22"/>
          <w:szCs w:val="22"/>
        </w:rPr>
        <w:t>italian</w:t>
      </w:r>
      <w:r w:rsidR="0004481A" w:rsidRPr="005D6AC0">
        <w:rPr>
          <w:rFonts w:ascii="Arial" w:hAnsi="Arial" w:cs="Arial"/>
          <w:sz w:val="22"/>
          <w:szCs w:val="22"/>
        </w:rPr>
        <w:t>a</w:t>
      </w:r>
      <w:r w:rsidR="00D86322" w:rsidRPr="005D6AC0">
        <w:rPr>
          <w:rFonts w:ascii="Arial" w:hAnsi="Arial" w:cs="Arial"/>
          <w:sz w:val="22"/>
          <w:szCs w:val="22"/>
        </w:rPr>
        <w:t xml:space="preserve">, va anche ricordato che per alcuni </w:t>
      </w:r>
      <w:r w:rsidR="00C60515">
        <w:rPr>
          <w:rFonts w:ascii="Arial" w:hAnsi="Arial" w:cs="Arial"/>
          <w:sz w:val="22"/>
          <w:szCs w:val="22"/>
        </w:rPr>
        <w:t>P</w:t>
      </w:r>
      <w:r w:rsidR="00D86322" w:rsidRPr="005D6AC0">
        <w:rPr>
          <w:rFonts w:ascii="Arial" w:hAnsi="Arial" w:cs="Arial"/>
          <w:sz w:val="22"/>
          <w:szCs w:val="22"/>
        </w:rPr>
        <w:t>aesi, tra cui la Cina, l’acquisto di una nuova cittadinanza implica la perdita di quella di origine.</w:t>
      </w:r>
    </w:p>
    <w:p w14:paraId="6B906750" w14:textId="02690A1B" w:rsidR="001D4DBB" w:rsidRDefault="00326B3B" w:rsidP="001D4DBB">
      <w:pPr>
        <w:spacing w:after="120"/>
        <w:jc w:val="both"/>
        <w:rPr>
          <w:rFonts w:ascii="Arial" w:hAnsi="Arial" w:cs="Arial"/>
          <w:sz w:val="22"/>
          <w:szCs w:val="22"/>
        </w:rPr>
      </w:pPr>
      <w:r w:rsidRPr="001B3B9D">
        <w:rPr>
          <w:rFonts w:ascii="Arial" w:hAnsi="Arial" w:cs="Arial"/>
          <w:sz w:val="22"/>
          <w:szCs w:val="22"/>
        </w:rPr>
        <w:t>La popolazione</w:t>
      </w:r>
      <w:r>
        <w:rPr>
          <w:rFonts w:ascii="Arial" w:hAnsi="Arial" w:cs="Arial"/>
          <w:sz w:val="22"/>
          <w:szCs w:val="22"/>
        </w:rPr>
        <w:t xml:space="preserve"> italiana</w:t>
      </w:r>
      <w:r w:rsidR="0004481A">
        <w:rPr>
          <w:rFonts w:ascii="Arial" w:hAnsi="Arial" w:cs="Arial"/>
          <w:sz w:val="22"/>
          <w:szCs w:val="22"/>
        </w:rPr>
        <w:t xml:space="preserve"> residente</w:t>
      </w:r>
      <w:r>
        <w:rPr>
          <w:rFonts w:ascii="Arial" w:hAnsi="Arial" w:cs="Arial"/>
          <w:sz w:val="22"/>
          <w:szCs w:val="22"/>
        </w:rPr>
        <w:t xml:space="preserve"> di origine non comunitaria </w:t>
      </w:r>
      <w:r w:rsidR="0004481A">
        <w:rPr>
          <w:rFonts w:ascii="Arial" w:hAnsi="Arial" w:cs="Arial"/>
          <w:sz w:val="22"/>
          <w:szCs w:val="22"/>
        </w:rPr>
        <w:t>ha</w:t>
      </w:r>
      <w:r>
        <w:rPr>
          <w:rFonts w:ascii="Arial" w:hAnsi="Arial" w:cs="Arial"/>
          <w:sz w:val="22"/>
          <w:szCs w:val="22"/>
        </w:rPr>
        <w:t xml:space="preserve"> una struttura per età sensibilmente più giovane di quella italiana dalla nascita</w:t>
      </w:r>
      <w:r w:rsidR="0004481A">
        <w:rPr>
          <w:rFonts w:ascii="Arial" w:hAnsi="Arial" w:cs="Arial"/>
          <w:sz w:val="22"/>
          <w:szCs w:val="22"/>
        </w:rPr>
        <w:t xml:space="preserve">: in media 39 anni, quasi </w:t>
      </w:r>
      <w:r w:rsidR="001D4DBB">
        <w:rPr>
          <w:rFonts w:ascii="Arial" w:hAnsi="Arial" w:cs="Arial"/>
          <w:sz w:val="22"/>
          <w:szCs w:val="22"/>
        </w:rPr>
        <w:t>nove</w:t>
      </w:r>
      <w:r>
        <w:rPr>
          <w:rFonts w:ascii="Arial" w:hAnsi="Arial" w:cs="Arial"/>
          <w:sz w:val="22"/>
          <w:szCs w:val="22"/>
        </w:rPr>
        <w:t xml:space="preserve"> anni </w:t>
      </w:r>
      <w:r w:rsidR="0004481A">
        <w:rPr>
          <w:rFonts w:ascii="Arial" w:hAnsi="Arial" w:cs="Arial"/>
          <w:sz w:val="22"/>
          <w:szCs w:val="22"/>
        </w:rPr>
        <w:t>di meno dei nativi.</w:t>
      </w:r>
      <w:r w:rsidRPr="00B422A7">
        <w:rPr>
          <w:rFonts w:ascii="Arial" w:hAnsi="Arial" w:cs="Arial"/>
          <w:sz w:val="22"/>
          <w:szCs w:val="22"/>
        </w:rPr>
        <w:t xml:space="preserve"> Confrontando le piramidi delle età delle due popolazioni risulta evidente la differente struttura: gli italiani dalla nascita presentano una base della piramide molto stretta fino a oltre 40 anni di età, per allargarsi poi in corrispondenza dei 58 anni; la piramide degli italiani di </w:t>
      </w:r>
      <w:r w:rsidRPr="00276E3F">
        <w:rPr>
          <w:rFonts w:ascii="Arial" w:hAnsi="Arial" w:cs="Arial"/>
          <w:sz w:val="22"/>
          <w:szCs w:val="22"/>
        </w:rPr>
        <w:t>origine non comunitaria, invece, presenta valori elevati in corrispondenza della fascia di età tra 15-20 anni e tra 40-50 anni</w:t>
      </w:r>
      <w:r w:rsidR="00276E3F" w:rsidRPr="00276E3F">
        <w:rPr>
          <w:rFonts w:ascii="Arial" w:hAnsi="Arial" w:cs="Arial"/>
          <w:sz w:val="22"/>
          <w:szCs w:val="22"/>
        </w:rPr>
        <w:t xml:space="preserve"> (Figura 6)</w:t>
      </w:r>
      <w:r w:rsidRPr="00276E3F">
        <w:rPr>
          <w:rFonts w:ascii="Arial" w:hAnsi="Arial" w:cs="Arial"/>
          <w:sz w:val="22"/>
          <w:szCs w:val="22"/>
        </w:rPr>
        <w:t>.</w:t>
      </w:r>
    </w:p>
    <w:p w14:paraId="2879AECF" w14:textId="48B288A7" w:rsidR="00326B3B" w:rsidRDefault="00326B3B" w:rsidP="001D4DBB">
      <w:pPr>
        <w:spacing w:after="120"/>
        <w:jc w:val="both"/>
        <w:rPr>
          <w:rFonts w:ascii="Arial" w:hAnsi="Arial" w:cs="Arial"/>
          <w:sz w:val="22"/>
          <w:szCs w:val="22"/>
        </w:rPr>
      </w:pPr>
      <w:r w:rsidRPr="00460C4A">
        <w:rPr>
          <w:rFonts w:ascii="Arial" w:hAnsi="Arial" w:cs="Arial"/>
          <w:sz w:val="22"/>
          <w:szCs w:val="22"/>
        </w:rPr>
        <w:t>A livello territoriale</w:t>
      </w:r>
      <w:r>
        <w:rPr>
          <w:rFonts w:ascii="Arial" w:hAnsi="Arial" w:cs="Arial"/>
          <w:sz w:val="22"/>
          <w:szCs w:val="22"/>
        </w:rPr>
        <w:t xml:space="preserve">, oltre la metà dei cittadini italiani di origine non comunitaria risiede in tre regioni del Nord: Lombardia (26,2%), Emilia-Romagna (12,5%) e Veneto (12,1%). Le regioni del Sud, invece, presentano valori molto più bassi, con Sicilia (2,8%) e Campania (2,3%) a guidare la classifica. A livello provinciale, a parte le grandi città metropolitane di Milano, Roma e Torino, spiccano tra le prime </w:t>
      </w:r>
      <w:r w:rsidR="001D4DBB">
        <w:rPr>
          <w:rFonts w:ascii="Arial" w:hAnsi="Arial" w:cs="Arial"/>
          <w:sz w:val="22"/>
          <w:szCs w:val="22"/>
        </w:rPr>
        <w:t xml:space="preserve">10 </w:t>
      </w:r>
      <w:r>
        <w:rPr>
          <w:rFonts w:ascii="Arial" w:hAnsi="Arial" w:cs="Arial"/>
          <w:sz w:val="22"/>
          <w:szCs w:val="22"/>
        </w:rPr>
        <w:t>Brescia, con oltre 81mila italiani di origine non comunitaria, ma anche Bergamo, Treviso e Vicenza, con valori intorno alle 50mila presenze.</w:t>
      </w:r>
    </w:p>
    <w:p w14:paraId="04315553" w14:textId="73A2FEC8" w:rsidR="000E38F8" w:rsidRDefault="000E38F8" w:rsidP="001D4DBB">
      <w:pPr>
        <w:spacing w:after="120"/>
        <w:jc w:val="both"/>
        <w:rPr>
          <w:rFonts w:ascii="Arial" w:hAnsi="Arial" w:cs="Arial"/>
          <w:sz w:val="22"/>
          <w:szCs w:val="22"/>
        </w:rPr>
      </w:pPr>
    </w:p>
    <w:p w14:paraId="4F15303F" w14:textId="457890DF" w:rsidR="000E38F8" w:rsidRDefault="000E38F8" w:rsidP="001D4DBB">
      <w:pPr>
        <w:spacing w:after="120"/>
        <w:jc w:val="both"/>
        <w:rPr>
          <w:rFonts w:ascii="Arial" w:hAnsi="Arial" w:cs="Arial"/>
          <w:sz w:val="22"/>
          <w:szCs w:val="22"/>
        </w:rPr>
      </w:pPr>
    </w:p>
    <w:p w14:paraId="3D5A9F7E" w14:textId="77777777" w:rsidR="0099063F" w:rsidRDefault="0099063F" w:rsidP="001D4DBB">
      <w:pPr>
        <w:spacing w:after="120"/>
        <w:jc w:val="both"/>
        <w:rPr>
          <w:rFonts w:ascii="Arial" w:hAnsi="Arial" w:cs="Arial"/>
          <w:sz w:val="22"/>
          <w:szCs w:val="22"/>
        </w:rPr>
      </w:pPr>
    </w:p>
    <w:p w14:paraId="205B695C" w14:textId="6DE5A139" w:rsidR="001D4DBB" w:rsidRPr="00884BBB" w:rsidRDefault="001D4DBB" w:rsidP="008B2251">
      <w:pPr>
        <w:jc w:val="both"/>
        <w:rPr>
          <w:rFonts w:ascii="Arial" w:hAnsi="Arial" w:cs="Arial"/>
          <w:sz w:val="18"/>
          <w:szCs w:val="18"/>
        </w:rPr>
      </w:pPr>
    </w:p>
    <w:p w14:paraId="3F57C051" w14:textId="0DC30719" w:rsidR="00326B3B" w:rsidRDefault="00326B3B" w:rsidP="00326B3B">
      <w:pPr>
        <w:spacing w:after="120"/>
        <w:jc w:val="both"/>
        <w:rPr>
          <w:rFonts w:ascii="Arial Narrow" w:hAnsi="Arial Narrow" w:cs="Arial"/>
          <w:color w:val="1F497D" w:themeColor="text2"/>
          <w:sz w:val="22"/>
          <w:szCs w:val="22"/>
        </w:rPr>
      </w:pPr>
      <w:r w:rsidRPr="00C46CEC">
        <w:rPr>
          <w:rFonts w:ascii="Arial Black" w:hAnsi="Arial Black" w:cs="Arial"/>
          <w:iCs/>
          <w:noProof/>
          <w:color w:val="1F497D" w:themeColor="text2"/>
          <w:sz w:val="22"/>
          <w:szCs w:val="22"/>
        </w:rPr>
        <w:t xml:space="preserve">FIGURA 6. </w:t>
      </w:r>
      <w:r w:rsidR="00C46CEC" w:rsidRPr="00C46CEC">
        <w:rPr>
          <w:rFonts w:ascii="Arial Narrow" w:hAnsi="Arial Narrow" w:cs="Arial"/>
          <w:b/>
          <w:iCs/>
          <w:noProof/>
          <w:color w:val="1F497D" w:themeColor="text2"/>
          <w:sz w:val="22"/>
        </w:rPr>
        <w:t>PIRAMIDI DELLE ET</w:t>
      </w:r>
      <w:r w:rsidR="001D4DBB">
        <w:rPr>
          <w:rFonts w:ascii="Arial Narrow" w:hAnsi="Arial Narrow" w:cs="Arial"/>
          <w:b/>
          <w:iCs/>
          <w:noProof/>
          <w:color w:val="1F497D" w:themeColor="text2"/>
          <w:sz w:val="22"/>
        </w:rPr>
        <w:t>À</w:t>
      </w:r>
      <w:r w:rsidR="00C46CEC" w:rsidRPr="00C46CEC">
        <w:rPr>
          <w:rFonts w:ascii="Arial Narrow" w:hAnsi="Arial Narrow" w:cs="Arial"/>
          <w:b/>
          <w:iCs/>
          <w:noProof/>
          <w:color w:val="1F497D" w:themeColor="text2"/>
          <w:sz w:val="22"/>
        </w:rPr>
        <w:t xml:space="preserve"> DELLA POPOLAZIONE ITALIANA DALLA NASCITA E DI QUELLA ITALIANA </w:t>
      </w:r>
      <w:r w:rsidR="001D4DBB">
        <w:rPr>
          <w:rFonts w:ascii="Arial Narrow" w:hAnsi="Arial Narrow" w:cs="Arial"/>
          <w:b/>
          <w:iCs/>
          <w:noProof/>
          <w:color w:val="1F497D" w:themeColor="text2"/>
          <w:sz w:val="22"/>
        </w:rPr>
        <w:br/>
      </w:r>
      <w:r w:rsidR="00C46CEC" w:rsidRPr="00C46CEC">
        <w:rPr>
          <w:rFonts w:ascii="Arial Narrow" w:hAnsi="Arial Narrow" w:cs="Arial"/>
          <w:b/>
          <w:iCs/>
          <w:noProof/>
          <w:color w:val="1F497D" w:themeColor="text2"/>
          <w:sz w:val="22"/>
        </w:rPr>
        <w:t>DI ORIGINE NON COMUNITARIA</w:t>
      </w:r>
      <w:r w:rsidR="0090070B" w:rsidRPr="00C46CEC">
        <w:rPr>
          <w:rFonts w:ascii="Arial Narrow" w:hAnsi="Arial Narrow" w:cs="Arial"/>
          <w:color w:val="1F497D" w:themeColor="text2"/>
          <w:sz w:val="22"/>
          <w:szCs w:val="22"/>
        </w:rPr>
        <w:t>. Al 31 dicembre 2024, valori percentuali</w:t>
      </w:r>
    </w:p>
    <w:p w14:paraId="11136320" w14:textId="37FC03C4" w:rsidR="00903FFC" w:rsidRPr="00A24142" w:rsidRDefault="00BA196D" w:rsidP="00326B3B">
      <w:pPr>
        <w:spacing w:after="120"/>
        <w:jc w:val="both"/>
        <w:rPr>
          <w:rFonts w:ascii="Arial Narrow" w:hAnsi="Arial Narrow" w:cs="Arial"/>
          <w:color w:val="1F497D" w:themeColor="text2"/>
          <w:sz w:val="2"/>
          <w:szCs w:val="22"/>
          <w:highlight w:val="yellow"/>
        </w:rPr>
      </w:pPr>
      <w:r>
        <w:rPr>
          <w:noProof/>
        </w:rPr>
        <w:drawing>
          <wp:anchor distT="0" distB="0" distL="114300" distR="114300" simplePos="0" relativeHeight="251717632" behindDoc="0" locked="0" layoutInCell="1" allowOverlap="1" wp14:anchorId="7C9A94F8" wp14:editId="45B04F1D">
            <wp:simplePos x="0" y="0"/>
            <wp:positionH relativeFrom="column">
              <wp:posOffset>2654465</wp:posOffset>
            </wp:positionH>
            <wp:positionV relativeFrom="paragraph">
              <wp:posOffset>83655</wp:posOffset>
            </wp:positionV>
            <wp:extent cx="1066800" cy="238125"/>
            <wp:effectExtent l="0" t="0" r="0" b="9525"/>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066800" cy="238125"/>
                    </a:xfrm>
                    <a:prstGeom prst="rect">
                      <a:avLst/>
                    </a:prstGeom>
                  </pic:spPr>
                </pic:pic>
              </a:graphicData>
            </a:graphic>
          </wp:anchor>
        </w:drawing>
      </w:r>
    </w:p>
    <w:p w14:paraId="0274A27C" w14:textId="7874E4B3" w:rsidR="00DC4613" w:rsidRDefault="00C46CEC" w:rsidP="00D10871">
      <w:pPr>
        <w:spacing w:after="120"/>
        <w:rPr>
          <w:rFonts w:ascii="Arial Black" w:hAnsi="Arial Black" w:cs="Arial"/>
          <w:iCs/>
          <w:noProof/>
          <w:color w:val="1F497D" w:themeColor="text2"/>
          <w:sz w:val="22"/>
          <w:szCs w:val="22"/>
        </w:rPr>
      </w:pPr>
      <w:r w:rsidRPr="00A24142">
        <w:rPr>
          <w:rFonts w:ascii="Arial Narrow" w:hAnsi="Arial Narrow"/>
          <w:noProof/>
          <w:sz w:val="16"/>
          <w:szCs w:val="16"/>
        </w:rPr>
        <mc:AlternateContent>
          <mc:Choice Requires="wpg">
            <w:drawing>
              <wp:anchor distT="0" distB="0" distL="114300" distR="114300" simplePos="0" relativeHeight="251715584" behindDoc="0" locked="0" layoutInCell="1" allowOverlap="1" wp14:anchorId="2DC9FF6E" wp14:editId="035A6082">
                <wp:simplePos x="0" y="0"/>
                <wp:positionH relativeFrom="margin">
                  <wp:posOffset>12475</wp:posOffset>
                </wp:positionH>
                <wp:positionV relativeFrom="paragraph">
                  <wp:posOffset>57600</wp:posOffset>
                </wp:positionV>
                <wp:extent cx="6262764" cy="2280213"/>
                <wp:effectExtent l="0" t="0" r="0" b="0"/>
                <wp:wrapNone/>
                <wp:docPr id="1865412950" name="Gruppo 4"/>
                <wp:cNvGraphicFramePr/>
                <a:graphic xmlns:a="http://schemas.openxmlformats.org/drawingml/2006/main">
                  <a:graphicData uri="http://schemas.microsoft.com/office/word/2010/wordprocessingGroup">
                    <wpg:wgp>
                      <wpg:cNvGrpSpPr/>
                      <wpg:grpSpPr>
                        <a:xfrm>
                          <a:off x="0" y="0"/>
                          <a:ext cx="6262764" cy="2280213"/>
                          <a:chOff x="15507" y="0"/>
                          <a:chExt cx="6642468" cy="2743200"/>
                        </a:xfrm>
                      </wpg:grpSpPr>
                      <wpg:graphicFrame>
                        <wpg:cNvPr id="1340063331" name="Grafico 1340063331"/>
                        <wpg:cNvFrPr>
                          <a:graphicFrameLocks/>
                        </wpg:cNvFrPr>
                        <wpg:xfrm>
                          <a:off x="15507" y="0"/>
                          <a:ext cx="3324225" cy="2743200"/>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2029698550" name="Grafico 2029698550"/>
                        <wpg:cNvFrPr>
                          <a:graphicFrameLocks/>
                        </wpg:cNvFrPr>
                        <wpg:xfrm>
                          <a:off x="3333750" y="0"/>
                          <a:ext cx="3324225" cy="2743200"/>
                        </wpg:xfrm>
                        <a:graphic>
                          <a:graphicData uri="http://schemas.openxmlformats.org/drawingml/2006/chart">
                            <c:chart xmlns:c="http://schemas.openxmlformats.org/drawingml/2006/chart" xmlns:r="http://schemas.openxmlformats.org/officeDocument/2006/relationships" r:id="rId19"/>
                          </a:graphicData>
                        </a:graphic>
                      </wpg:graphicFrame>
                    </wpg:wgp>
                  </a:graphicData>
                </a:graphic>
                <wp14:sizeRelH relativeFrom="margin">
                  <wp14:pctWidth>0</wp14:pctWidth>
                </wp14:sizeRelH>
                <wp14:sizeRelV relativeFrom="margin">
                  <wp14:pctHeight>0</wp14:pctHeight>
                </wp14:sizeRelV>
              </wp:anchor>
            </w:drawing>
          </mc:Choice>
          <mc:Fallback>
            <w:pict>
              <v:group w14:anchorId="07321EFA" id="Gruppo 4" o:spid="_x0000_s1026" style="position:absolute;margin-left:1pt;margin-top:4.55pt;width:493.15pt;height:179.55pt;z-index:251715584;mso-position-horizontal-relative:margin;mso-width-relative:margin;mso-height-relative:margin" coordorigin="155" coordsize="66424,27432"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o 1340063331" o:spid="_x0000_s1027" type="#_x0000_t75" style="position:absolute;left:1642;top:1320;width:30517;height:251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">
                  <v:imagedata r:id="rId20" o:title=""/>
                  <o:lock v:ext="edit" aspectratio="f"/>
                </v:shape>
                <v:shape id="Grafico 2029698550" o:spid="_x0000_s1028" type="#_x0000_t75" style="position:absolute;left:34681;top:1320;width:30582;height:25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">
                  <v:imagedata r:id="rId21" o:title=""/>
                  <o:lock v:ext="edit" aspectratio="f"/>
                </v:shape>
                <w10:wrap anchorx="margin"/>
              </v:group>
            </w:pict>
          </mc:Fallback>
        </mc:AlternateContent>
      </w:r>
    </w:p>
    <w:p w14:paraId="4969704A" w14:textId="4D53076E" w:rsidR="00B3365B" w:rsidRPr="00B3365B" w:rsidRDefault="00B3365B" w:rsidP="00D10871">
      <w:pPr>
        <w:spacing w:after="120"/>
        <w:rPr>
          <w:rFonts w:ascii="Arial Narrow" w:hAnsi="Arial Narrow" w:cs="Arial"/>
          <w:color w:val="1F497D" w:themeColor="text2"/>
          <w:sz w:val="22"/>
          <w:szCs w:val="22"/>
        </w:rPr>
        <w:sectPr w:rsidR="00B3365B" w:rsidRPr="00B3365B" w:rsidSect="0044285C">
          <w:headerReference w:type="default" r:id="rId22"/>
          <w:footerReference w:type="default" r:id="rId23"/>
          <w:headerReference w:type="first" r:id="rId24"/>
          <w:footerReference w:type="first" r:id="rId25"/>
          <w:type w:val="continuous"/>
          <w:pgSz w:w="11906" w:h="16838" w:code="9"/>
          <w:pgMar w:top="567" w:right="849" w:bottom="714" w:left="992" w:header="0" w:footer="0" w:gutter="0"/>
          <w:cols w:space="430"/>
          <w:titlePg/>
          <w:docGrid w:linePitch="360"/>
        </w:sectPr>
      </w:pPr>
    </w:p>
    <w:p w14:paraId="743CA912" w14:textId="77777777" w:rsidR="00C7729A" w:rsidRPr="000A2C16" w:rsidRDefault="00C7729A" w:rsidP="00EC6A50">
      <w:pPr>
        <w:tabs>
          <w:tab w:val="left" w:pos="7115"/>
        </w:tabs>
        <w:autoSpaceDE w:val="0"/>
        <w:autoSpaceDN w:val="0"/>
        <w:adjustRightInd w:val="0"/>
        <w:spacing w:after="120"/>
        <w:jc w:val="both"/>
        <w:outlineLvl w:val="0"/>
        <w:rPr>
          <w:rFonts w:ascii="Georgia" w:hAnsi="Georgia" w:cs="Arial"/>
          <w:color w:val="1F497D" w:themeColor="text2"/>
          <w:sz w:val="14"/>
          <w:szCs w:val="48"/>
        </w:rPr>
      </w:pPr>
    </w:p>
    <w:p w14:paraId="1DEDB745" w14:textId="58EF6D30" w:rsidR="00E76331" w:rsidRPr="00E76331" w:rsidRDefault="00E76331" w:rsidP="00EC6A50">
      <w:pPr>
        <w:tabs>
          <w:tab w:val="left" w:pos="7115"/>
        </w:tabs>
        <w:autoSpaceDE w:val="0"/>
        <w:autoSpaceDN w:val="0"/>
        <w:adjustRightInd w:val="0"/>
        <w:spacing w:after="120"/>
        <w:jc w:val="both"/>
        <w:outlineLvl w:val="0"/>
        <w:rPr>
          <w:rFonts w:ascii="Georgia" w:hAnsi="Georgia" w:cs="Arial"/>
          <w:color w:val="1F497D" w:themeColor="text2"/>
          <w:sz w:val="48"/>
          <w:szCs w:val="48"/>
        </w:rPr>
      </w:pPr>
      <w:r>
        <w:rPr>
          <w:rFonts w:ascii="Georgia" w:hAnsi="Georgia" w:cs="Arial"/>
          <w:color w:val="1F497D" w:themeColor="text2"/>
          <w:sz w:val="48"/>
          <w:szCs w:val="48"/>
        </w:rPr>
        <w:t>G</w:t>
      </w:r>
      <w:r w:rsidRPr="005D2D80">
        <w:rPr>
          <w:rFonts w:ascii="Georgia" w:hAnsi="Georgia" w:cs="Arial"/>
          <w:color w:val="1F497D" w:themeColor="text2"/>
          <w:sz w:val="48"/>
          <w:szCs w:val="48"/>
        </w:rPr>
        <w:t>lossario</w:t>
      </w:r>
    </w:p>
    <w:p w14:paraId="0357EF20" w14:textId="77777777" w:rsidR="0090070B" w:rsidRPr="00FA6FE2" w:rsidRDefault="0090070B" w:rsidP="0090070B">
      <w:pPr>
        <w:autoSpaceDE w:val="0"/>
        <w:autoSpaceDN w:val="0"/>
        <w:adjustRightInd w:val="0"/>
        <w:spacing w:after="120"/>
        <w:jc w:val="both"/>
        <w:rPr>
          <w:rFonts w:ascii="Arial" w:hAnsi="Arial" w:cs="Arial"/>
          <w:bCs/>
          <w:sz w:val="20"/>
          <w:szCs w:val="20"/>
        </w:rPr>
      </w:pPr>
      <w:r>
        <w:rPr>
          <w:rFonts w:ascii="Arial" w:hAnsi="Arial" w:cs="Arial"/>
          <w:b/>
          <w:bCs/>
          <w:color w:val="1F497D" w:themeColor="text2"/>
          <w:sz w:val="20"/>
          <w:szCs w:val="20"/>
        </w:rPr>
        <w:t>Acquisizione di cittadinanza</w:t>
      </w:r>
      <w:r w:rsidRPr="00DB51F4">
        <w:rPr>
          <w:rFonts w:ascii="Arial" w:hAnsi="Arial" w:cs="Arial"/>
          <w:bCs/>
          <w:color w:val="1F497D" w:themeColor="text2"/>
          <w:sz w:val="20"/>
          <w:szCs w:val="20"/>
        </w:rPr>
        <w:t>:</w:t>
      </w:r>
      <w:r>
        <w:rPr>
          <w:rFonts w:ascii="Arial" w:hAnsi="Arial" w:cs="Arial"/>
          <w:b/>
          <w:bCs/>
          <w:color w:val="1F497D" w:themeColor="text2"/>
          <w:sz w:val="20"/>
          <w:szCs w:val="20"/>
        </w:rPr>
        <w:t xml:space="preserve"> </w:t>
      </w:r>
      <w:r w:rsidRPr="009034AC">
        <w:rPr>
          <w:rFonts w:ascii="Arial" w:hAnsi="Arial" w:cs="Arial"/>
          <w:bCs/>
          <w:sz w:val="20"/>
          <w:szCs w:val="20"/>
        </w:rPr>
        <w:t>il t</w:t>
      </w:r>
      <w:r w:rsidRPr="00FA6FE2">
        <w:rPr>
          <w:rFonts w:ascii="Arial" w:hAnsi="Arial" w:cs="Arial"/>
          <w:bCs/>
          <w:sz w:val="20"/>
          <w:szCs w:val="20"/>
        </w:rPr>
        <w:t>ermine cittadinanza indica il rapporto tra un individuo e lo Stato, ed è uno status al quale l’ordinamento giuridico ricollega la pienezza dei diritti civili e politici.</w:t>
      </w:r>
      <w:r w:rsidRPr="00FA6FE2" w:rsidDel="00514682">
        <w:rPr>
          <w:rFonts w:ascii="Arial" w:hAnsi="Arial" w:cs="Arial"/>
          <w:bCs/>
          <w:sz w:val="20"/>
          <w:szCs w:val="20"/>
        </w:rPr>
        <w:t xml:space="preserve"> </w:t>
      </w:r>
      <w:r w:rsidRPr="00FA6FE2">
        <w:rPr>
          <w:rFonts w:ascii="Arial" w:hAnsi="Arial" w:cs="Arial"/>
          <w:bCs/>
          <w:sz w:val="20"/>
          <w:szCs w:val="20"/>
        </w:rPr>
        <w:t xml:space="preserve">La cittadinanza italiana si acquista perlopiù </w:t>
      </w:r>
      <w:r w:rsidRPr="00A2284C">
        <w:rPr>
          <w:rFonts w:ascii="Arial" w:hAnsi="Arial" w:cs="Arial"/>
          <w:bCs/>
          <w:i/>
          <w:sz w:val="20"/>
          <w:szCs w:val="20"/>
        </w:rPr>
        <w:t>iure sanguinis</w:t>
      </w:r>
      <w:r w:rsidRPr="00FA6FE2">
        <w:rPr>
          <w:rFonts w:ascii="Arial" w:hAnsi="Arial" w:cs="Arial"/>
          <w:bCs/>
          <w:sz w:val="20"/>
          <w:szCs w:val="20"/>
        </w:rPr>
        <w:t xml:space="preserve">, cioè se si nasce o si è adottati da cittadini italiani, con una possibilità residuale di acquisto </w:t>
      </w:r>
      <w:r w:rsidRPr="00A2284C">
        <w:rPr>
          <w:rFonts w:ascii="Arial" w:hAnsi="Arial" w:cs="Arial"/>
          <w:bCs/>
          <w:i/>
          <w:sz w:val="20"/>
          <w:szCs w:val="20"/>
        </w:rPr>
        <w:t>iure soli</w:t>
      </w:r>
      <w:r w:rsidRPr="00FA6FE2">
        <w:rPr>
          <w:rFonts w:ascii="Arial" w:hAnsi="Arial" w:cs="Arial"/>
          <w:bCs/>
          <w:sz w:val="20"/>
          <w:szCs w:val="20"/>
        </w:rPr>
        <w:t>. Anche gli stranieri possono acquisire la cittadinanza italiana attraverso</w:t>
      </w:r>
      <w:r>
        <w:rPr>
          <w:rFonts w:ascii="Arial" w:hAnsi="Arial" w:cs="Arial"/>
          <w:bCs/>
          <w:sz w:val="20"/>
          <w:szCs w:val="20"/>
        </w:rPr>
        <w:t xml:space="preserve"> diverse tipologie di procedura.</w:t>
      </w:r>
      <w:r w:rsidRPr="00FA6FE2">
        <w:rPr>
          <w:rFonts w:ascii="Arial" w:hAnsi="Arial" w:cs="Arial"/>
          <w:bCs/>
          <w:sz w:val="20"/>
          <w:szCs w:val="20"/>
        </w:rPr>
        <w:t xml:space="preserve">  </w:t>
      </w:r>
    </w:p>
    <w:p w14:paraId="5F7D4104" w14:textId="3271952F" w:rsidR="0090070B" w:rsidRPr="004C0ADA" w:rsidRDefault="0090070B" w:rsidP="0090070B">
      <w:pPr>
        <w:autoSpaceDE w:val="0"/>
        <w:autoSpaceDN w:val="0"/>
        <w:adjustRightInd w:val="0"/>
        <w:spacing w:after="120"/>
        <w:jc w:val="both"/>
        <w:rPr>
          <w:rFonts w:ascii="Arial" w:hAnsi="Arial" w:cs="Arial"/>
          <w:bCs/>
          <w:sz w:val="20"/>
          <w:szCs w:val="20"/>
        </w:rPr>
      </w:pPr>
      <w:r w:rsidRPr="00FA6FE2">
        <w:rPr>
          <w:rFonts w:ascii="Arial" w:hAnsi="Arial" w:cs="Arial"/>
          <w:b/>
          <w:bCs/>
          <w:color w:val="1F497D"/>
          <w:sz w:val="20"/>
          <w:szCs w:val="20"/>
        </w:rPr>
        <w:t xml:space="preserve">Acquisizione per </w:t>
      </w:r>
      <w:r w:rsidRPr="00F86064">
        <w:rPr>
          <w:rFonts w:ascii="Arial" w:hAnsi="Arial" w:cs="Arial"/>
          <w:b/>
          <w:bCs/>
          <w:color w:val="1F497D"/>
          <w:sz w:val="20"/>
          <w:szCs w:val="20"/>
        </w:rPr>
        <w:t>residenza</w:t>
      </w:r>
      <w:r w:rsidRPr="00A24142">
        <w:rPr>
          <w:rFonts w:ascii="Arial" w:hAnsi="Arial" w:cs="Arial"/>
          <w:b/>
          <w:bCs/>
          <w:color w:val="1F497D"/>
          <w:sz w:val="20"/>
          <w:szCs w:val="20"/>
        </w:rPr>
        <w:t xml:space="preserve"> (art.9 Legge 91 del 1992):</w:t>
      </w:r>
      <w:r w:rsidRPr="004C0ADA">
        <w:rPr>
          <w:rFonts w:ascii="Arial" w:hAnsi="Arial" w:cs="Arial"/>
          <w:bCs/>
          <w:sz w:val="20"/>
          <w:szCs w:val="20"/>
        </w:rPr>
        <w:t xml:space="preserve"> </w:t>
      </w:r>
      <w:r>
        <w:rPr>
          <w:rFonts w:ascii="Arial" w:hAnsi="Arial" w:cs="Arial"/>
          <w:bCs/>
          <w:sz w:val="20"/>
          <w:szCs w:val="20"/>
        </w:rPr>
        <w:t>l</w:t>
      </w:r>
      <w:r w:rsidRPr="004C0ADA">
        <w:rPr>
          <w:rFonts w:ascii="Arial" w:hAnsi="Arial" w:cs="Arial"/>
          <w:bCs/>
          <w:sz w:val="20"/>
          <w:szCs w:val="20"/>
        </w:rPr>
        <w:t>’immigrato adulto può poi acquistare la cittadinanza “se risiede legalmente da almeno dieci a</w:t>
      </w:r>
      <w:r>
        <w:rPr>
          <w:rFonts w:ascii="Arial" w:hAnsi="Arial" w:cs="Arial"/>
          <w:bCs/>
          <w:sz w:val="20"/>
          <w:szCs w:val="20"/>
        </w:rPr>
        <w:t>n</w:t>
      </w:r>
      <w:r w:rsidRPr="004C0ADA">
        <w:rPr>
          <w:rFonts w:ascii="Arial" w:hAnsi="Arial" w:cs="Arial"/>
          <w:bCs/>
          <w:sz w:val="20"/>
          <w:szCs w:val="20"/>
        </w:rPr>
        <w:t>ni nel territorio”. Il termine è di soli cinque anni per i rifugiati e gli apolidi e di soli quattro anni per i cittadini comunitari. La residenza dev</w:t>
      </w:r>
      <w:r>
        <w:rPr>
          <w:rFonts w:ascii="Arial" w:hAnsi="Arial" w:cs="Arial"/>
          <w:bCs/>
          <w:sz w:val="20"/>
          <w:szCs w:val="20"/>
        </w:rPr>
        <w:t xml:space="preserve">’essere continuativa e </w:t>
      </w:r>
      <w:r w:rsidRPr="004C0ADA">
        <w:rPr>
          <w:rFonts w:ascii="Arial" w:hAnsi="Arial" w:cs="Arial"/>
          <w:bCs/>
          <w:sz w:val="20"/>
          <w:szCs w:val="20"/>
        </w:rPr>
        <w:t xml:space="preserve">“si considera legalmente residente nel territorio dello Stato chi vi risiede avendo soddisfatto le condizioni e gli adempimenti previsti dalle norme in materia d’ingresso e di soggiorno degli stranieri in Italia e da quelle in materia d’iscrizione anagrafica”. La cittadinanza per residenza può essere concessa anche allo straniero del quale il padre o la madre o uno degli ascendenti in linea retta di secondo grado sono stati cittadini per nascita o che è nato nel territorio della Repubblica e, in entrambi i casi, vi risiede legalmente da almeno tre anni (art.9,c.1 </w:t>
      </w:r>
      <w:proofErr w:type="spellStart"/>
      <w:r w:rsidRPr="004C0ADA">
        <w:rPr>
          <w:rFonts w:ascii="Arial" w:hAnsi="Arial" w:cs="Arial"/>
          <w:bCs/>
          <w:sz w:val="20"/>
          <w:szCs w:val="20"/>
        </w:rPr>
        <w:t>lett.a</w:t>
      </w:r>
      <w:proofErr w:type="spellEnd"/>
      <w:r w:rsidRPr="004C0ADA">
        <w:rPr>
          <w:rFonts w:ascii="Arial" w:hAnsi="Arial" w:cs="Arial"/>
          <w:bCs/>
          <w:sz w:val="20"/>
          <w:szCs w:val="20"/>
        </w:rPr>
        <w:t xml:space="preserve">); allo straniero maggiorenne adottato da cittadino italiano che risiede legalmente nel territorio italiano da almeno cinque anni successivamente all’adozione (art.9, c.1, lett. b); allo straniero che ha prestato servizio, anche all’estero, per almeno cinque anni alle dipendenze dello Stato italiano (art.9 c.1, </w:t>
      </w:r>
      <w:proofErr w:type="spellStart"/>
      <w:r w:rsidRPr="004C0ADA">
        <w:rPr>
          <w:rFonts w:ascii="Arial" w:hAnsi="Arial" w:cs="Arial"/>
          <w:bCs/>
          <w:sz w:val="20"/>
          <w:szCs w:val="20"/>
        </w:rPr>
        <w:t>lett.c</w:t>
      </w:r>
      <w:proofErr w:type="spellEnd"/>
      <w:r w:rsidRPr="004C0ADA">
        <w:rPr>
          <w:rFonts w:ascii="Arial" w:hAnsi="Arial" w:cs="Arial"/>
          <w:bCs/>
          <w:sz w:val="20"/>
          <w:szCs w:val="20"/>
        </w:rPr>
        <w:t>).</w:t>
      </w:r>
    </w:p>
    <w:p w14:paraId="63341E9A" w14:textId="0251C325" w:rsidR="0090070B" w:rsidRPr="004C0ADA" w:rsidRDefault="0090070B" w:rsidP="0090070B">
      <w:pPr>
        <w:autoSpaceDE w:val="0"/>
        <w:autoSpaceDN w:val="0"/>
        <w:adjustRightInd w:val="0"/>
        <w:spacing w:after="120"/>
        <w:jc w:val="both"/>
        <w:rPr>
          <w:rFonts w:ascii="Arial" w:hAnsi="Arial" w:cs="Arial"/>
          <w:bCs/>
          <w:sz w:val="20"/>
          <w:szCs w:val="20"/>
        </w:rPr>
      </w:pPr>
      <w:r w:rsidRPr="00290D88">
        <w:rPr>
          <w:rFonts w:ascii="Arial" w:hAnsi="Arial" w:cs="Arial"/>
          <w:b/>
          <w:bCs/>
          <w:color w:val="1F497D"/>
          <w:sz w:val="20"/>
          <w:szCs w:val="20"/>
        </w:rPr>
        <w:t>Acquisizione per matrimonio</w:t>
      </w:r>
      <w:r w:rsidRPr="00A24142">
        <w:rPr>
          <w:rFonts w:ascii="Arial" w:hAnsi="Arial" w:cs="Arial"/>
          <w:b/>
          <w:bCs/>
          <w:color w:val="1F497D"/>
          <w:sz w:val="20"/>
          <w:szCs w:val="20"/>
        </w:rPr>
        <w:t xml:space="preserve"> (art.5 Legge 91 del 1992):</w:t>
      </w:r>
      <w:r w:rsidRPr="004C0ADA">
        <w:rPr>
          <w:rFonts w:ascii="Arial" w:hAnsi="Arial" w:cs="Arial"/>
          <w:bCs/>
          <w:sz w:val="20"/>
          <w:szCs w:val="20"/>
        </w:rPr>
        <w:t xml:space="preserve"> </w:t>
      </w:r>
      <w:r>
        <w:rPr>
          <w:rFonts w:ascii="Arial" w:hAnsi="Arial" w:cs="Arial"/>
          <w:bCs/>
          <w:sz w:val="20"/>
          <w:szCs w:val="20"/>
        </w:rPr>
        <w:t>a</w:t>
      </w:r>
      <w:r w:rsidRPr="004C0ADA">
        <w:rPr>
          <w:rFonts w:ascii="Arial" w:hAnsi="Arial" w:cs="Arial"/>
          <w:bCs/>
          <w:sz w:val="20"/>
          <w:szCs w:val="20"/>
        </w:rPr>
        <w:t>i sensi dell’articolo 5 della Legge 5 febbraio 1992 n. 91 e successive modifiche e integrazioni, la cittadinanza può essere concessa per matrimonio, in presenza dei seguenti requisiti: il richiedente, straniero o apolide, dev</w:t>
      </w:r>
      <w:r>
        <w:rPr>
          <w:rFonts w:ascii="Arial" w:hAnsi="Arial" w:cs="Arial"/>
          <w:bCs/>
          <w:sz w:val="20"/>
          <w:szCs w:val="20"/>
        </w:rPr>
        <w:t>’</w:t>
      </w:r>
      <w:r w:rsidRPr="004C0ADA">
        <w:rPr>
          <w:rFonts w:ascii="Arial" w:hAnsi="Arial" w:cs="Arial"/>
          <w:bCs/>
          <w:sz w:val="20"/>
          <w:szCs w:val="20"/>
        </w:rPr>
        <w:t xml:space="preserve">essere coniugato con cittadino italiano e risiedere legalmente in Italia da almeno </w:t>
      </w:r>
      <w:r>
        <w:rPr>
          <w:rFonts w:ascii="Arial" w:hAnsi="Arial" w:cs="Arial"/>
          <w:bCs/>
          <w:sz w:val="20"/>
          <w:szCs w:val="20"/>
        </w:rPr>
        <w:t>due</w:t>
      </w:r>
      <w:r w:rsidRPr="004C0ADA">
        <w:rPr>
          <w:rFonts w:ascii="Arial" w:hAnsi="Arial" w:cs="Arial"/>
          <w:bCs/>
          <w:sz w:val="20"/>
          <w:szCs w:val="20"/>
        </w:rPr>
        <w:t xml:space="preserve"> anni dalla celebrazione del matrimonio. Se i coniugi risiedono all'estero, la domanda può essere presentata dopo tre anni dalla data di matrimonio. Tali termini sono ridotti della metà in presenza di figli nati o adottati dai coniugi. Al momento dell’adozione del decreto di concessione della cittadinanza non dev</w:t>
      </w:r>
      <w:r w:rsidR="00950D56">
        <w:rPr>
          <w:rFonts w:ascii="Arial" w:hAnsi="Arial" w:cs="Arial"/>
          <w:bCs/>
          <w:sz w:val="20"/>
          <w:szCs w:val="20"/>
        </w:rPr>
        <w:t>’</w:t>
      </w:r>
      <w:r w:rsidRPr="004C0ADA">
        <w:rPr>
          <w:rFonts w:ascii="Arial" w:hAnsi="Arial" w:cs="Arial"/>
          <w:bCs/>
          <w:sz w:val="20"/>
          <w:szCs w:val="20"/>
        </w:rPr>
        <w:t xml:space="preserve">essere intervenuto scioglimento, annullamento o cessazione degli effetti civili del matrimonio e non deve sussistere la separazione personale dei coniugi. </w:t>
      </w:r>
    </w:p>
    <w:p w14:paraId="6186E637" w14:textId="77777777" w:rsidR="0090070B" w:rsidRPr="004C0ADA" w:rsidRDefault="0090070B" w:rsidP="0090070B">
      <w:pPr>
        <w:autoSpaceDE w:val="0"/>
        <w:autoSpaceDN w:val="0"/>
        <w:adjustRightInd w:val="0"/>
        <w:spacing w:after="120"/>
        <w:jc w:val="both"/>
        <w:rPr>
          <w:rFonts w:ascii="Arial" w:hAnsi="Arial" w:cs="Arial"/>
          <w:bCs/>
          <w:sz w:val="20"/>
          <w:szCs w:val="20"/>
        </w:rPr>
      </w:pPr>
      <w:r w:rsidRPr="00290D88">
        <w:rPr>
          <w:rFonts w:ascii="Arial" w:hAnsi="Arial" w:cs="Arial"/>
          <w:b/>
          <w:bCs/>
          <w:color w:val="1F497D"/>
          <w:sz w:val="20"/>
          <w:szCs w:val="20"/>
        </w:rPr>
        <w:t>Acquisizione per trasmissione dai genitori</w:t>
      </w:r>
      <w:r w:rsidRPr="004C0ADA">
        <w:rPr>
          <w:rFonts w:ascii="Arial" w:hAnsi="Arial" w:cs="Arial"/>
          <w:bCs/>
          <w:sz w:val="20"/>
          <w:szCs w:val="20"/>
        </w:rPr>
        <w:t xml:space="preserve">: </w:t>
      </w:r>
      <w:r>
        <w:rPr>
          <w:rFonts w:ascii="Arial" w:hAnsi="Arial" w:cs="Arial"/>
          <w:bCs/>
          <w:sz w:val="20"/>
          <w:szCs w:val="20"/>
        </w:rPr>
        <w:t>i</w:t>
      </w:r>
      <w:r w:rsidRPr="004C0ADA">
        <w:rPr>
          <w:rFonts w:ascii="Arial" w:hAnsi="Arial" w:cs="Arial"/>
          <w:bCs/>
          <w:sz w:val="20"/>
          <w:szCs w:val="20"/>
        </w:rPr>
        <w:t xml:space="preserve"> figli minori di chi acquista o riacquista la cittadinanza italiana, se convivono con esso, acquistano la cittadinanza italiana, ma, divenuti maggiorenni, possono rinunciarvi, se in possesso di altra cittadinanza (art 14 L.91/92). Al momento della naturalizzazione del genitore, il minore deve convivere con esso in modo stabile e comprovabile con idonea documentazione (art.12 Regolamento di esecuzione DPR 572/93). Secondo la Legge del 1992 il soggetto minore che abbia ottenuto in tal modo la cittadinanza potrà comunque, una volta raggiunta la maggiore età, scegliere di rinunciare alla nazionalità italiana se in possesso di un’altra cittadinanza (art.14).</w:t>
      </w:r>
    </w:p>
    <w:p w14:paraId="0F3AB7E1" w14:textId="77777777" w:rsidR="0090070B" w:rsidRPr="004C0ADA" w:rsidRDefault="0090070B" w:rsidP="0090070B">
      <w:pPr>
        <w:autoSpaceDE w:val="0"/>
        <w:autoSpaceDN w:val="0"/>
        <w:adjustRightInd w:val="0"/>
        <w:spacing w:after="120"/>
        <w:jc w:val="both"/>
        <w:rPr>
          <w:rFonts w:ascii="Arial" w:hAnsi="Arial" w:cs="Arial"/>
          <w:bCs/>
          <w:sz w:val="20"/>
          <w:szCs w:val="20"/>
        </w:rPr>
      </w:pPr>
      <w:r w:rsidRPr="00290D88">
        <w:rPr>
          <w:rFonts w:ascii="Arial" w:hAnsi="Arial" w:cs="Arial"/>
          <w:b/>
          <w:bCs/>
          <w:color w:val="1F497D"/>
          <w:sz w:val="20"/>
          <w:szCs w:val="20"/>
        </w:rPr>
        <w:t>Acquisizione della cittadinanza per i nati in Italia (elezione di cittadinanza)</w:t>
      </w:r>
      <w:r>
        <w:rPr>
          <w:rFonts w:ascii="Arial" w:hAnsi="Arial" w:cs="Arial"/>
          <w:bCs/>
          <w:sz w:val="20"/>
          <w:szCs w:val="20"/>
        </w:rPr>
        <w:t>:</w:t>
      </w:r>
      <w:r w:rsidRPr="004C0ADA">
        <w:rPr>
          <w:rFonts w:ascii="Arial" w:hAnsi="Arial" w:cs="Arial"/>
          <w:bCs/>
          <w:sz w:val="20"/>
          <w:szCs w:val="20"/>
        </w:rPr>
        <w:t xml:space="preserve"> </w:t>
      </w:r>
      <w:r>
        <w:rPr>
          <w:rFonts w:ascii="Arial" w:hAnsi="Arial" w:cs="Arial"/>
          <w:bCs/>
          <w:sz w:val="20"/>
          <w:szCs w:val="20"/>
        </w:rPr>
        <w:t>l</w:t>
      </w:r>
      <w:r w:rsidRPr="004C0ADA">
        <w:rPr>
          <w:rFonts w:ascii="Arial" w:hAnsi="Arial" w:cs="Arial"/>
          <w:bCs/>
          <w:sz w:val="20"/>
          <w:szCs w:val="20"/>
        </w:rPr>
        <w:t>o straniero nato in Italia, che vi abbia risieduto legalmente senza interruzioni fino al raggiungimento della maggiore età, può dichiarare di voler eleggere la cittadinanza italiana entro un anno dalla suddetta data (art.4, c.2). Tale dichiarazione di volontà dev</w:t>
      </w:r>
      <w:r>
        <w:rPr>
          <w:rFonts w:ascii="Arial" w:hAnsi="Arial" w:cs="Arial"/>
          <w:bCs/>
          <w:sz w:val="20"/>
          <w:szCs w:val="20"/>
        </w:rPr>
        <w:t>’</w:t>
      </w:r>
      <w:r w:rsidRPr="004C0ADA">
        <w:rPr>
          <w:rFonts w:ascii="Arial" w:hAnsi="Arial" w:cs="Arial"/>
          <w:bCs/>
          <w:sz w:val="20"/>
          <w:szCs w:val="20"/>
        </w:rPr>
        <w:t xml:space="preserve">essere resa dall’interessato, all’Ufficiale dello Stato Civile del Comune di residenza. Un requisito fondamentale per tale acquisto risulta essere il permesso di soggiorno, annotato su quello dei genitori, dalla nascita e la registrazione all’anagrafe del Comune di residenza. Il </w:t>
      </w:r>
      <w:r>
        <w:rPr>
          <w:rFonts w:ascii="Arial" w:hAnsi="Arial" w:cs="Arial"/>
          <w:bCs/>
          <w:sz w:val="20"/>
          <w:szCs w:val="20"/>
        </w:rPr>
        <w:t>D</w:t>
      </w:r>
      <w:r w:rsidRPr="004C0ADA">
        <w:rPr>
          <w:rFonts w:ascii="Arial" w:hAnsi="Arial" w:cs="Arial"/>
          <w:bCs/>
          <w:sz w:val="20"/>
          <w:szCs w:val="20"/>
        </w:rPr>
        <w:t>ecreto “FARE” (</w:t>
      </w:r>
      <w:r>
        <w:rPr>
          <w:rFonts w:ascii="Arial" w:hAnsi="Arial" w:cs="Arial"/>
          <w:bCs/>
          <w:sz w:val="20"/>
          <w:szCs w:val="20"/>
        </w:rPr>
        <w:t>D</w:t>
      </w:r>
      <w:r w:rsidRPr="004C0ADA">
        <w:rPr>
          <w:rFonts w:ascii="Arial" w:hAnsi="Arial" w:cs="Arial"/>
          <w:bCs/>
          <w:sz w:val="20"/>
          <w:szCs w:val="20"/>
        </w:rPr>
        <w:t>ecreto legge 21 giugno 2013 n. 69, recante “Disposizioni urgenti per il rilancio dell’economia”) ha previsto la semplificazione delle procedure di riconoscimento della cittadinanza del figlio nato in Italia da genitori stranieri al compimento della maggiore età – nei casi previsti dalla Legge – in modo da evitare che disfunzioni di natura amministrativa o inadempienze da parte di genitori o di ufficiale di Stato Civile possano impedire il conseguimento della cittadinanza stessa. La norma</w:t>
      </w:r>
      <w:r>
        <w:rPr>
          <w:rFonts w:ascii="Arial" w:hAnsi="Arial" w:cs="Arial"/>
          <w:bCs/>
          <w:sz w:val="20"/>
          <w:szCs w:val="20"/>
        </w:rPr>
        <w:t>,</w:t>
      </w:r>
      <w:r w:rsidRPr="004C0ADA">
        <w:rPr>
          <w:rFonts w:ascii="Arial" w:hAnsi="Arial" w:cs="Arial"/>
          <w:bCs/>
          <w:sz w:val="20"/>
          <w:szCs w:val="20"/>
        </w:rPr>
        <w:t xml:space="preserve"> ad esempio</w:t>
      </w:r>
      <w:r>
        <w:rPr>
          <w:rFonts w:ascii="Arial" w:hAnsi="Arial" w:cs="Arial"/>
          <w:bCs/>
          <w:sz w:val="20"/>
          <w:szCs w:val="20"/>
        </w:rPr>
        <w:t>,</w:t>
      </w:r>
      <w:r w:rsidRPr="004C0ADA">
        <w:rPr>
          <w:rFonts w:ascii="Arial" w:hAnsi="Arial" w:cs="Arial"/>
          <w:bCs/>
          <w:sz w:val="20"/>
          <w:szCs w:val="20"/>
        </w:rPr>
        <w:t xml:space="preserve"> prevede per i nati in Italia da genitori stranieri che: “gli Ufficiali di Stato Civile sono tenuti al compimento del diciottesimo anno di età a comunicare all’interessato, nella sede di residenza quale risulta all’ufficio, la possibilità di esercitare il diritto di cui al comma 2 del citato articolo 4 della Legge n. 91 del 1992 entro il compimento del diciannovesimo anno di età. In mancanza, il diritto può essere esercitato anche oltre tale data”.</w:t>
      </w:r>
    </w:p>
    <w:p w14:paraId="5AACFBCB" w14:textId="77777777" w:rsidR="0090070B" w:rsidRDefault="0090070B" w:rsidP="0090070B">
      <w:pPr>
        <w:autoSpaceDE w:val="0"/>
        <w:autoSpaceDN w:val="0"/>
        <w:adjustRightInd w:val="0"/>
        <w:spacing w:after="120"/>
        <w:jc w:val="both"/>
        <w:rPr>
          <w:rFonts w:ascii="Arial" w:hAnsi="Arial" w:cs="Arial"/>
          <w:bCs/>
          <w:sz w:val="20"/>
          <w:szCs w:val="20"/>
        </w:rPr>
      </w:pPr>
      <w:r w:rsidRPr="004C0ADA">
        <w:rPr>
          <w:rFonts w:ascii="Arial" w:hAnsi="Arial" w:cs="Arial"/>
          <w:b/>
          <w:bCs/>
          <w:color w:val="1F497D" w:themeColor="text2"/>
          <w:sz w:val="20"/>
          <w:szCs w:val="20"/>
        </w:rPr>
        <w:t>Cittadini non comunitari regolarmente soggiornanti</w:t>
      </w:r>
      <w:r w:rsidRPr="00DB51F4">
        <w:rPr>
          <w:rFonts w:ascii="Arial" w:hAnsi="Arial" w:cs="Arial"/>
          <w:bCs/>
          <w:color w:val="1F497D" w:themeColor="text2"/>
          <w:sz w:val="20"/>
          <w:szCs w:val="20"/>
        </w:rPr>
        <w:t xml:space="preserve">: </w:t>
      </w:r>
      <w:r>
        <w:rPr>
          <w:rFonts w:ascii="Arial" w:hAnsi="Arial" w:cs="Arial"/>
          <w:bCs/>
          <w:sz w:val="20"/>
          <w:szCs w:val="20"/>
        </w:rPr>
        <w:t>s</w:t>
      </w:r>
      <w:r w:rsidRPr="004C0ADA">
        <w:rPr>
          <w:rFonts w:ascii="Arial" w:hAnsi="Arial" w:cs="Arial"/>
          <w:bCs/>
          <w:sz w:val="20"/>
          <w:szCs w:val="20"/>
        </w:rPr>
        <w:t xml:space="preserve">ono tutti gli stranieri non comunitari in possesso di valido documento di soggiorno (permesso di soggiorno con scadenza o carta di lungo periodo). </w:t>
      </w:r>
    </w:p>
    <w:p w14:paraId="39447868" w14:textId="77777777" w:rsidR="0090070B" w:rsidRPr="00146092" w:rsidRDefault="0090070B" w:rsidP="0090070B">
      <w:pPr>
        <w:autoSpaceDE w:val="0"/>
        <w:autoSpaceDN w:val="0"/>
        <w:adjustRightInd w:val="0"/>
        <w:spacing w:after="120"/>
        <w:jc w:val="both"/>
        <w:rPr>
          <w:rFonts w:ascii="Arial" w:hAnsi="Arial" w:cs="Arial"/>
          <w:bCs/>
          <w:sz w:val="20"/>
          <w:szCs w:val="20"/>
        </w:rPr>
      </w:pPr>
      <w:r w:rsidRPr="005032E2">
        <w:rPr>
          <w:rFonts w:ascii="Arial" w:hAnsi="Arial" w:cs="Arial"/>
          <w:b/>
          <w:bCs/>
          <w:color w:val="1F497D" w:themeColor="text2"/>
          <w:sz w:val="20"/>
          <w:szCs w:val="20"/>
        </w:rPr>
        <w:t>Commissione territoriale per il riconoscimento della protezione internazionale:</w:t>
      </w:r>
      <w:r w:rsidRPr="005032E2">
        <w:rPr>
          <w:rFonts w:ascii="Arial" w:hAnsi="Arial" w:cs="Arial"/>
          <w:bCs/>
          <w:sz w:val="20"/>
          <w:szCs w:val="20"/>
        </w:rPr>
        <w:t xml:space="preserve"> insediata presso la Prefettura - Ufficio Territoriale del Governo, è l'autorità competente all'esame delle domande di protezione internazionale, precedentemente formalizzate presso gli Uffici della Polizia di Frontiera o presso le Questure. Le attività delle Commissioni territoriali sono coordinate, a livello centrale, dalla Commissione Nazionale per il Diritto di Asilo, con sede a Roma, che ha anche competenza per la revoca e la cessazione degli status di protezione internazionale. La decisione sulle domande di protezione internazionale è adottata generalmente previa audizione del richiedente asilo, la quale si svolge, di norma, alla presenza di un solo membro della Commissione (Funzionario istruttore), coadiuvato da un interprete. Il colloquio può essere svolto dall'intera Commissione, o dal Presidente, su decisione del Presidente o su istanza dell'interessato. La Commissione può decidere di riconoscere lo status di rifugiato, la protezione sussidiaria (che, insieme, costituiscono la c.d. protezione internazionale) o altre forme di protezione complementare, oppure rigettare la domanda al termine dell'istruttoria. La decisione sull'esito viene presa collegialmente dalla Commissione, composta, per tale funzione, dal Presidente, da due Funzionari istruttori e da un membro designato dall'UNHCR.</w:t>
      </w:r>
    </w:p>
    <w:p w14:paraId="3C75883B" w14:textId="77777777" w:rsidR="000A2C16" w:rsidRDefault="000A2C16" w:rsidP="0090070B">
      <w:pPr>
        <w:autoSpaceDE w:val="0"/>
        <w:autoSpaceDN w:val="0"/>
        <w:adjustRightInd w:val="0"/>
        <w:spacing w:after="120"/>
        <w:jc w:val="both"/>
        <w:rPr>
          <w:rFonts w:ascii="Arial" w:hAnsi="Arial" w:cs="Arial"/>
          <w:b/>
          <w:bCs/>
          <w:color w:val="1F497D" w:themeColor="text2"/>
          <w:sz w:val="20"/>
          <w:szCs w:val="20"/>
        </w:rPr>
      </w:pPr>
    </w:p>
    <w:p w14:paraId="3897ED12" w14:textId="6AB4FDB2" w:rsidR="0090070B" w:rsidRPr="00A84A11" w:rsidRDefault="0090070B" w:rsidP="0090070B">
      <w:pPr>
        <w:autoSpaceDE w:val="0"/>
        <w:autoSpaceDN w:val="0"/>
        <w:adjustRightInd w:val="0"/>
        <w:spacing w:after="120"/>
        <w:jc w:val="both"/>
        <w:rPr>
          <w:rFonts w:ascii="Arial" w:hAnsi="Arial" w:cs="Arial"/>
          <w:bCs/>
          <w:sz w:val="20"/>
          <w:szCs w:val="20"/>
        </w:rPr>
      </w:pPr>
      <w:r w:rsidRPr="00A84A11">
        <w:rPr>
          <w:rFonts w:ascii="Arial" w:hAnsi="Arial" w:cs="Arial"/>
          <w:b/>
          <w:bCs/>
          <w:color w:val="1F497D" w:themeColor="text2"/>
          <w:sz w:val="20"/>
          <w:szCs w:val="20"/>
        </w:rPr>
        <w:t>Decisioni sull’asilo</w:t>
      </w:r>
      <w:r w:rsidRPr="00A84A11">
        <w:rPr>
          <w:rFonts w:ascii="Arial" w:hAnsi="Arial" w:cs="Arial"/>
          <w:bCs/>
          <w:sz w:val="20"/>
          <w:szCs w:val="20"/>
        </w:rPr>
        <w:t>: è l’atto con cui l’autorità competente di uno Stato conclude l’esame di una domanda di asilo e stabilisce se al richiedente venga riconosciuta o meno una forma di protezione. Può avere esiti diversi:</w:t>
      </w:r>
    </w:p>
    <w:p w14:paraId="376EACDF" w14:textId="77777777" w:rsidR="0090070B" w:rsidRPr="00A84A11" w:rsidRDefault="0090070B" w:rsidP="0090070B">
      <w:pPr>
        <w:tabs>
          <w:tab w:val="num" w:pos="720"/>
        </w:tabs>
        <w:autoSpaceDE w:val="0"/>
        <w:autoSpaceDN w:val="0"/>
        <w:adjustRightInd w:val="0"/>
        <w:spacing w:after="120"/>
        <w:ind w:left="284"/>
        <w:jc w:val="both"/>
        <w:rPr>
          <w:rFonts w:ascii="Arial" w:hAnsi="Arial" w:cs="Arial"/>
          <w:bCs/>
          <w:sz w:val="20"/>
          <w:szCs w:val="20"/>
        </w:rPr>
      </w:pPr>
      <w:r w:rsidRPr="00A84A11">
        <w:rPr>
          <w:rFonts w:ascii="Arial" w:hAnsi="Arial" w:cs="Arial"/>
          <w:b/>
          <w:bCs/>
          <w:color w:val="1F497D" w:themeColor="text2"/>
          <w:sz w:val="20"/>
          <w:szCs w:val="20"/>
        </w:rPr>
        <w:t>Accoglimento:</w:t>
      </w:r>
      <w:r w:rsidRPr="00A84A11">
        <w:rPr>
          <w:rFonts w:ascii="Arial" w:hAnsi="Arial" w:cs="Arial"/>
          <w:bCs/>
          <w:sz w:val="20"/>
          <w:szCs w:val="20"/>
        </w:rPr>
        <w:t xml:space="preserve"> quando il richiedente ottiene lo status di rifugiato oppure la protezione sussidiaria. Il richiedente può inoltre ottenere anche forme diverse di protezione</w:t>
      </w:r>
    </w:p>
    <w:p w14:paraId="2BEABEFB" w14:textId="77777777" w:rsidR="0090070B" w:rsidRPr="00A84A11" w:rsidRDefault="0090070B" w:rsidP="0090070B">
      <w:pPr>
        <w:tabs>
          <w:tab w:val="num" w:pos="720"/>
        </w:tabs>
        <w:autoSpaceDE w:val="0"/>
        <w:autoSpaceDN w:val="0"/>
        <w:adjustRightInd w:val="0"/>
        <w:spacing w:after="120"/>
        <w:ind w:left="284"/>
        <w:jc w:val="both"/>
        <w:rPr>
          <w:rFonts w:ascii="Arial" w:hAnsi="Arial" w:cs="Arial"/>
          <w:bCs/>
          <w:sz w:val="20"/>
          <w:szCs w:val="20"/>
        </w:rPr>
      </w:pPr>
      <w:r w:rsidRPr="00A84A11">
        <w:rPr>
          <w:rFonts w:ascii="Arial" w:hAnsi="Arial" w:cs="Arial"/>
          <w:b/>
          <w:bCs/>
          <w:color w:val="1F497D" w:themeColor="text2"/>
          <w:sz w:val="20"/>
          <w:szCs w:val="20"/>
        </w:rPr>
        <w:t>Rigetto:</w:t>
      </w:r>
      <w:r w:rsidRPr="00A84A11">
        <w:rPr>
          <w:rFonts w:ascii="Arial" w:hAnsi="Arial" w:cs="Arial"/>
          <w:bCs/>
          <w:sz w:val="20"/>
          <w:szCs w:val="20"/>
        </w:rPr>
        <w:t xml:space="preserve"> quando la domanda viene respinta perché non sussistono i requisiti di protezione internazionale. In questo caso, l’interessato può ricorrere in via giudiziaria contro la decisione. </w:t>
      </w:r>
    </w:p>
    <w:p w14:paraId="67AD6019" w14:textId="77777777" w:rsidR="0090070B" w:rsidRPr="00596EA4" w:rsidRDefault="0090070B" w:rsidP="0090070B">
      <w:pPr>
        <w:tabs>
          <w:tab w:val="num" w:pos="720"/>
        </w:tabs>
        <w:autoSpaceDE w:val="0"/>
        <w:autoSpaceDN w:val="0"/>
        <w:adjustRightInd w:val="0"/>
        <w:spacing w:after="120"/>
        <w:ind w:left="284"/>
        <w:jc w:val="both"/>
        <w:rPr>
          <w:rFonts w:ascii="Arial" w:hAnsi="Arial" w:cs="Arial"/>
          <w:bCs/>
          <w:sz w:val="20"/>
          <w:szCs w:val="20"/>
        </w:rPr>
      </w:pPr>
      <w:r w:rsidRPr="00803716">
        <w:rPr>
          <w:rFonts w:ascii="Arial" w:hAnsi="Arial" w:cs="Arial"/>
          <w:bCs/>
          <w:sz w:val="20"/>
          <w:szCs w:val="20"/>
        </w:rPr>
        <w:t>Ci possono anche essere decisioni che, per diverse motivazioni, indicano una sospensione del giudizio</w:t>
      </w:r>
    </w:p>
    <w:p w14:paraId="71A77AC9" w14:textId="77777777" w:rsidR="0090070B" w:rsidRPr="004C0ADA" w:rsidRDefault="0090070B" w:rsidP="0090070B">
      <w:pPr>
        <w:autoSpaceDE w:val="0"/>
        <w:autoSpaceDN w:val="0"/>
        <w:adjustRightInd w:val="0"/>
        <w:spacing w:after="120"/>
        <w:jc w:val="both"/>
        <w:rPr>
          <w:rFonts w:ascii="Arial" w:hAnsi="Arial" w:cs="Arial"/>
          <w:bCs/>
          <w:sz w:val="20"/>
          <w:szCs w:val="20"/>
        </w:rPr>
      </w:pPr>
      <w:r>
        <w:rPr>
          <w:rFonts w:ascii="Arial" w:hAnsi="Arial" w:cs="Arial"/>
          <w:b/>
          <w:bCs/>
          <w:color w:val="1F497D" w:themeColor="text2"/>
          <w:sz w:val="20"/>
          <w:szCs w:val="20"/>
        </w:rPr>
        <w:t>Motivo del permesso</w:t>
      </w:r>
      <w:r w:rsidRPr="00DB51F4">
        <w:rPr>
          <w:rFonts w:ascii="Arial" w:hAnsi="Arial" w:cs="Arial"/>
          <w:bCs/>
          <w:color w:val="1F497D" w:themeColor="text2"/>
          <w:sz w:val="20"/>
          <w:szCs w:val="20"/>
        </w:rPr>
        <w:t xml:space="preserve">: </w:t>
      </w:r>
      <w:r>
        <w:rPr>
          <w:rFonts w:ascii="Arial" w:hAnsi="Arial" w:cs="Arial"/>
          <w:bCs/>
          <w:sz w:val="20"/>
          <w:szCs w:val="20"/>
        </w:rPr>
        <w:t>i</w:t>
      </w:r>
      <w:r w:rsidRPr="004C0ADA">
        <w:rPr>
          <w:rFonts w:ascii="Arial" w:hAnsi="Arial" w:cs="Arial"/>
          <w:bCs/>
          <w:sz w:val="20"/>
          <w:szCs w:val="20"/>
        </w:rPr>
        <w:t xml:space="preserve"> motivi dei permessi vengono aggregati nelle seguenti modalità: </w:t>
      </w:r>
    </w:p>
    <w:p w14:paraId="411E6E73" w14:textId="5A682712" w:rsidR="0090070B" w:rsidRPr="0029738C" w:rsidRDefault="0090070B" w:rsidP="0090070B">
      <w:pPr>
        <w:autoSpaceDE w:val="0"/>
        <w:autoSpaceDN w:val="0"/>
        <w:adjustRightInd w:val="0"/>
        <w:spacing w:after="120"/>
        <w:ind w:left="284"/>
        <w:jc w:val="both"/>
        <w:rPr>
          <w:rFonts w:ascii="Arial" w:hAnsi="Arial" w:cs="Arial"/>
          <w:bCs/>
          <w:sz w:val="20"/>
          <w:szCs w:val="20"/>
        </w:rPr>
      </w:pPr>
      <w:r w:rsidRPr="00216B5F">
        <w:rPr>
          <w:rFonts w:ascii="Arial" w:hAnsi="Arial" w:cs="Arial"/>
          <w:b/>
          <w:bCs/>
          <w:color w:val="1F497D" w:themeColor="text2"/>
          <w:sz w:val="20"/>
          <w:szCs w:val="20"/>
        </w:rPr>
        <w:t>Lavoro:</w:t>
      </w:r>
      <w:r w:rsidRPr="00DB51F4">
        <w:rPr>
          <w:rFonts w:ascii="Arial" w:hAnsi="Arial" w:cs="Arial"/>
          <w:bCs/>
          <w:sz w:val="20"/>
          <w:szCs w:val="20"/>
        </w:rPr>
        <w:t xml:space="preserve"> </w:t>
      </w:r>
      <w:r>
        <w:rPr>
          <w:rFonts w:ascii="Arial" w:hAnsi="Arial" w:cs="Arial"/>
          <w:bCs/>
          <w:sz w:val="20"/>
          <w:szCs w:val="20"/>
        </w:rPr>
        <w:t>i</w:t>
      </w:r>
      <w:r w:rsidRPr="004C0ADA">
        <w:rPr>
          <w:rFonts w:ascii="Arial" w:hAnsi="Arial" w:cs="Arial"/>
          <w:bCs/>
          <w:sz w:val="20"/>
          <w:szCs w:val="20"/>
        </w:rPr>
        <w:t xml:space="preserve">l cittadino straniero che viene in Italia per motivi di lavoro deve possedere al momento dell’ingresso un visto per motivi di lavoro a seguito del rilascio del nulla osta da parte dello Sportello Unico competente. Vengono considerati nella modalità lavoro tutte quelle motivazioni che fanno perno comunque intorno all’occupazione anche, ad esempio, le persone in attesa o in cerca di occupazione. </w:t>
      </w:r>
      <w:r>
        <w:rPr>
          <w:rFonts w:ascii="Arial" w:hAnsi="Arial" w:cs="Arial"/>
          <w:bCs/>
          <w:sz w:val="20"/>
          <w:szCs w:val="20"/>
        </w:rPr>
        <w:t xml:space="preserve">Queste ultime hanno un </w:t>
      </w:r>
      <w:r w:rsidRPr="00C62C28">
        <w:rPr>
          <w:rFonts w:ascii="Arial" w:hAnsi="Arial" w:cs="Arial"/>
          <w:bCs/>
          <w:sz w:val="20"/>
          <w:szCs w:val="20"/>
        </w:rPr>
        <w:t xml:space="preserve">permesso per </w:t>
      </w:r>
      <w:r w:rsidRPr="0016448B">
        <w:rPr>
          <w:rFonts w:ascii="Arial" w:hAnsi="Arial" w:cs="Arial"/>
          <w:bCs/>
          <w:sz w:val="20"/>
          <w:szCs w:val="20"/>
        </w:rPr>
        <w:t>ricerca lavoro</w:t>
      </w:r>
      <w:r w:rsidRPr="00C62C28">
        <w:rPr>
          <w:rFonts w:ascii="Arial" w:hAnsi="Arial" w:cs="Arial"/>
          <w:bCs/>
          <w:sz w:val="20"/>
          <w:szCs w:val="20"/>
        </w:rPr>
        <w:t>. In Italia esistono principalmente due tipologie di permessi di soggiorno legati alla ricerca di lavoro: il Permesso di soggiorno per ricerca lavoro o imprenditorialità degli studenti,</w:t>
      </w:r>
      <w:r w:rsidR="00376726" w:rsidRPr="00C62C28">
        <w:rPr>
          <w:rFonts w:ascii="Arial" w:hAnsi="Arial" w:cs="Arial"/>
          <w:bCs/>
          <w:sz w:val="20"/>
          <w:szCs w:val="20"/>
        </w:rPr>
        <w:t xml:space="preserve"> </w:t>
      </w:r>
      <w:r w:rsidRPr="00C62C28">
        <w:rPr>
          <w:rFonts w:ascii="Arial" w:hAnsi="Arial" w:cs="Arial"/>
          <w:bCs/>
          <w:sz w:val="20"/>
          <w:szCs w:val="20"/>
        </w:rPr>
        <w:t>ottenibile dopo aver</w:t>
      </w:r>
      <w:r w:rsidRPr="00A336A1">
        <w:rPr>
          <w:rFonts w:ascii="Arial" w:hAnsi="Arial" w:cs="Arial"/>
          <w:bCs/>
          <w:sz w:val="20"/>
          <w:szCs w:val="20"/>
        </w:rPr>
        <w:t xml:space="preserve"> conseguito un titolo di studio italiano, e il Permesso di soggiorno per</w:t>
      </w:r>
      <w:r w:rsidR="00376726">
        <w:rPr>
          <w:rFonts w:ascii="Arial" w:hAnsi="Arial" w:cs="Arial"/>
          <w:bCs/>
          <w:sz w:val="20"/>
          <w:szCs w:val="20"/>
        </w:rPr>
        <w:t xml:space="preserve"> </w:t>
      </w:r>
      <w:r w:rsidRPr="00A336A1">
        <w:rPr>
          <w:rFonts w:ascii="Arial" w:hAnsi="Arial" w:cs="Arial"/>
          <w:bCs/>
          <w:sz w:val="20"/>
          <w:szCs w:val="20"/>
        </w:rPr>
        <w:t>attesa occupazione,</w:t>
      </w:r>
      <w:r w:rsidR="00376726">
        <w:rPr>
          <w:rFonts w:ascii="Arial" w:hAnsi="Arial" w:cs="Arial"/>
          <w:bCs/>
          <w:sz w:val="20"/>
          <w:szCs w:val="20"/>
        </w:rPr>
        <w:t xml:space="preserve"> </w:t>
      </w:r>
      <w:r w:rsidRPr="00A336A1">
        <w:rPr>
          <w:rFonts w:ascii="Arial" w:hAnsi="Arial" w:cs="Arial"/>
          <w:bCs/>
          <w:sz w:val="20"/>
          <w:szCs w:val="20"/>
        </w:rPr>
        <w:t>rilasciato a chi perde il lavoro o al termine degli studi senza un'offerta lavorativa.</w:t>
      </w:r>
      <w:r w:rsidR="00376726">
        <w:rPr>
          <w:rFonts w:ascii="Arial" w:hAnsi="Arial" w:cs="Arial"/>
          <w:bCs/>
          <w:sz w:val="20"/>
          <w:szCs w:val="20"/>
        </w:rPr>
        <w:t xml:space="preserve"> </w:t>
      </w:r>
      <w:r w:rsidRPr="00A336A1">
        <w:rPr>
          <w:rFonts w:ascii="Arial" w:hAnsi="Arial" w:cs="Arial"/>
          <w:bCs/>
          <w:sz w:val="20"/>
          <w:szCs w:val="20"/>
        </w:rPr>
        <w:t>Per ottenere l</w:t>
      </w:r>
      <w:r w:rsidR="00376726">
        <w:rPr>
          <w:rFonts w:ascii="Arial" w:hAnsi="Arial" w:cs="Arial"/>
          <w:bCs/>
          <w:sz w:val="20"/>
          <w:szCs w:val="20"/>
        </w:rPr>
        <w:t>’</w:t>
      </w:r>
      <w:r w:rsidRPr="00A336A1">
        <w:rPr>
          <w:rFonts w:ascii="Arial" w:hAnsi="Arial" w:cs="Arial"/>
          <w:bCs/>
          <w:sz w:val="20"/>
          <w:szCs w:val="20"/>
        </w:rPr>
        <w:t xml:space="preserve">attesa occupazione, è necessario iscriversi alle liste di collocamento presso il </w:t>
      </w:r>
      <w:r w:rsidR="00376726">
        <w:rPr>
          <w:rFonts w:ascii="Arial" w:hAnsi="Arial" w:cs="Arial"/>
          <w:bCs/>
          <w:sz w:val="20"/>
          <w:szCs w:val="20"/>
        </w:rPr>
        <w:t>C</w:t>
      </w:r>
      <w:r w:rsidRPr="00A336A1">
        <w:rPr>
          <w:rFonts w:ascii="Arial" w:hAnsi="Arial" w:cs="Arial"/>
          <w:bCs/>
          <w:sz w:val="20"/>
          <w:szCs w:val="20"/>
        </w:rPr>
        <w:t>entro per l'impiego e presentare la domanda tramite il kit postale, allegando la documentazione che attesti la disponibilità e le risorse finanziarie.</w:t>
      </w:r>
      <w:r w:rsidRPr="0029738C">
        <w:rPr>
          <w:rFonts w:ascii="Arial" w:hAnsi="Arial" w:cs="Arial"/>
          <w:bCs/>
          <w:sz w:val="20"/>
          <w:szCs w:val="20"/>
        </w:rPr>
        <w:t> </w:t>
      </w:r>
    </w:p>
    <w:p w14:paraId="478019B4" w14:textId="77777777" w:rsidR="0090070B" w:rsidRPr="004C0ADA" w:rsidRDefault="0090070B" w:rsidP="0090070B">
      <w:pPr>
        <w:autoSpaceDE w:val="0"/>
        <w:autoSpaceDN w:val="0"/>
        <w:adjustRightInd w:val="0"/>
        <w:spacing w:after="120"/>
        <w:ind w:left="284"/>
        <w:jc w:val="both"/>
        <w:rPr>
          <w:rFonts w:ascii="Arial" w:hAnsi="Arial" w:cs="Arial"/>
          <w:bCs/>
          <w:sz w:val="20"/>
          <w:szCs w:val="20"/>
        </w:rPr>
      </w:pPr>
      <w:r w:rsidRPr="00216B5F">
        <w:rPr>
          <w:rFonts w:ascii="Arial" w:hAnsi="Arial" w:cs="Arial"/>
          <w:b/>
          <w:bCs/>
          <w:color w:val="1F497D" w:themeColor="text2"/>
          <w:sz w:val="20"/>
          <w:szCs w:val="20"/>
        </w:rPr>
        <w:t>Famiglia:</w:t>
      </w:r>
      <w:r w:rsidRPr="004C0ADA">
        <w:rPr>
          <w:rFonts w:ascii="Arial" w:hAnsi="Arial" w:cs="Arial"/>
          <w:bCs/>
          <w:sz w:val="20"/>
          <w:szCs w:val="20"/>
        </w:rPr>
        <w:t xml:space="preserve"> </w:t>
      </w:r>
      <w:r>
        <w:rPr>
          <w:rFonts w:ascii="Arial" w:hAnsi="Arial" w:cs="Arial"/>
          <w:bCs/>
          <w:sz w:val="20"/>
          <w:szCs w:val="20"/>
        </w:rPr>
        <w:t>p</w:t>
      </w:r>
      <w:r w:rsidRPr="004C0ADA">
        <w:rPr>
          <w:rFonts w:ascii="Arial" w:hAnsi="Arial" w:cs="Arial"/>
          <w:bCs/>
          <w:sz w:val="20"/>
          <w:szCs w:val="20"/>
        </w:rPr>
        <w:t>uò essere rilasciato al familiare di uno straniero regolarmente soggiornante, titolare di un valido permesso di soggiorno per lavoro subordinato, per lavoro autonomo, per asilo, per studio, per motivi familiari o per motivi religiosi, di durata non inferiore a un anno. Vengono considerati in questa modalità anche i permessi concessi per adozione/affidamento</w:t>
      </w:r>
    </w:p>
    <w:p w14:paraId="1866E5C2" w14:textId="77777777" w:rsidR="0090070B" w:rsidRPr="004C0ADA" w:rsidRDefault="0090070B" w:rsidP="0090070B">
      <w:pPr>
        <w:autoSpaceDE w:val="0"/>
        <w:autoSpaceDN w:val="0"/>
        <w:adjustRightInd w:val="0"/>
        <w:spacing w:after="120"/>
        <w:ind w:left="284"/>
        <w:jc w:val="both"/>
        <w:rPr>
          <w:rFonts w:ascii="Arial" w:hAnsi="Arial" w:cs="Arial"/>
          <w:bCs/>
          <w:sz w:val="20"/>
          <w:szCs w:val="20"/>
        </w:rPr>
      </w:pPr>
      <w:r w:rsidRPr="00216B5F">
        <w:rPr>
          <w:rFonts w:ascii="Arial" w:hAnsi="Arial" w:cs="Arial"/>
          <w:b/>
          <w:bCs/>
          <w:color w:val="1F497D" w:themeColor="text2"/>
          <w:sz w:val="20"/>
          <w:szCs w:val="20"/>
        </w:rPr>
        <w:t>Studio:</w:t>
      </w:r>
      <w:r w:rsidRPr="004C0ADA">
        <w:rPr>
          <w:rFonts w:ascii="Arial" w:hAnsi="Arial" w:cs="Arial"/>
          <w:bCs/>
          <w:sz w:val="20"/>
          <w:szCs w:val="20"/>
        </w:rPr>
        <w:t xml:space="preserve"> </w:t>
      </w:r>
      <w:r>
        <w:rPr>
          <w:rFonts w:ascii="Arial" w:hAnsi="Arial" w:cs="Arial"/>
          <w:bCs/>
          <w:sz w:val="20"/>
          <w:szCs w:val="20"/>
        </w:rPr>
        <w:t>u</w:t>
      </w:r>
      <w:r w:rsidRPr="004C0ADA">
        <w:rPr>
          <w:rFonts w:ascii="Arial" w:hAnsi="Arial" w:cs="Arial"/>
          <w:bCs/>
          <w:sz w:val="20"/>
          <w:szCs w:val="20"/>
        </w:rPr>
        <w:t xml:space="preserve">n visto per motivi di studio può essere richiesto all’Ambasciata italiana nel </w:t>
      </w:r>
      <w:r>
        <w:rPr>
          <w:rFonts w:ascii="Arial" w:hAnsi="Arial" w:cs="Arial"/>
          <w:bCs/>
          <w:sz w:val="20"/>
          <w:szCs w:val="20"/>
        </w:rPr>
        <w:t>P</w:t>
      </w:r>
      <w:r w:rsidRPr="004C0ADA">
        <w:rPr>
          <w:rFonts w:ascii="Arial" w:hAnsi="Arial" w:cs="Arial"/>
          <w:bCs/>
          <w:sz w:val="20"/>
          <w:szCs w:val="20"/>
        </w:rPr>
        <w:t xml:space="preserve">aese di residenza dello straniero. Ha validità pari al corso che si intende seguire e si rinnova di anno in anno fino alla fine del corso di studi previsto. Questo permesso permette di svolgere attività lavorative </w:t>
      </w:r>
      <w:r w:rsidRPr="00347917">
        <w:rPr>
          <w:rFonts w:ascii="Arial" w:hAnsi="Arial" w:cs="Arial"/>
          <w:bCs/>
          <w:i/>
          <w:sz w:val="20"/>
          <w:szCs w:val="20"/>
        </w:rPr>
        <w:t>part-time</w:t>
      </w:r>
      <w:r w:rsidRPr="004C0ADA">
        <w:rPr>
          <w:rFonts w:ascii="Arial" w:hAnsi="Arial" w:cs="Arial"/>
          <w:bCs/>
          <w:sz w:val="20"/>
          <w:szCs w:val="20"/>
        </w:rPr>
        <w:t>, con contratto di lavoro non superiore alle 20 ore settimanali.</w:t>
      </w:r>
    </w:p>
    <w:p w14:paraId="3E891560" w14:textId="7533C7EA" w:rsidR="0090070B" w:rsidRPr="00EE2E4B" w:rsidRDefault="0090070B" w:rsidP="0090070B">
      <w:pPr>
        <w:autoSpaceDE w:val="0"/>
        <w:autoSpaceDN w:val="0"/>
        <w:adjustRightInd w:val="0"/>
        <w:spacing w:after="120"/>
        <w:ind w:left="284"/>
        <w:jc w:val="both"/>
        <w:rPr>
          <w:rFonts w:ascii="Arial" w:hAnsi="Arial" w:cs="Arial"/>
          <w:bCs/>
          <w:sz w:val="20"/>
          <w:szCs w:val="20"/>
        </w:rPr>
      </w:pPr>
      <w:r w:rsidRPr="00216B5F">
        <w:rPr>
          <w:rFonts w:ascii="Arial" w:hAnsi="Arial" w:cs="Arial"/>
          <w:b/>
          <w:bCs/>
          <w:color w:val="1F497D" w:themeColor="text2"/>
          <w:sz w:val="20"/>
          <w:szCs w:val="20"/>
        </w:rPr>
        <w:t>Protezione e asilo:</w:t>
      </w:r>
      <w:r w:rsidRPr="00A336A1">
        <w:rPr>
          <w:rFonts w:ascii="Arial" w:hAnsi="Arial" w:cs="Arial"/>
          <w:bCs/>
          <w:sz w:val="20"/>
          <w:szCs w:val="20"/>
        </w:rPr>
        <w:t xml:space="preserve"> sono i permessi che vengono rilasciati a richiedenti asilo, rifugiati riconosciuti, persone che hanno la protezione sussidiaria o altr</w:t>
      </w:r>
      <w:r w:rsidR="00B91310">
        <w:rPr>
          <w:rFonts w:ascii="Arial" w:hAnsi="Arial" w:cs="Arial"/>
          <w:bCs/>
          <w:sz w:val="20"/>
          <w:szCs w:val="20"/>
        </w:rPr>
        <w:t>e</w:t>
      </w:r>
      <w:r w:rsidRPr="00A336A1">
        <w:rPr>
          <w:rFonts w:ascii="Arial" w:hAnsi="Arial" w:cs="Arial"/>
          <w:bCs/>
          <w:sz w:val="20"/>
          <w:szCs w:val="20"/>
        </w:rPr>
        <w:t xml:space="preserve"> forme di protezione come quella temporanea o quella speciale. In passato si prevedeva anche la protezione umanitaria abrogata dal Decreto legge n. 113/2018, entrato in vigore il 5 ottobre 2018.</w:t>
      </w:r>
    </w:p>
    <w:p w14:paraId="2C05CBCF" w14:textId="77777777" w:rsidR="0090070B" w:rsidRPr="004C0ADA" w:rsidRDefault="0090070B" w:rsidP="0090070B">
      <w:pPr>
        <w:autoSpaceDE w:val="0"/>
        <w:autoSpaceDN w:val="0"/>
        <w:adjustRightInd w:val="0"/>
        <w:spacing w:after="120"/>
        <w:ind w:left="284"/>
        <w:jc w:val="both"/>
        <w:rPr>
          <w:rFonts w:ascii="Arial" w:hAnsi="Arial" w:cs="Arial"/>
          <w:bCs/>
          <w:sz w:val="20"/>
          <w:szCs w:val="20"/>
        </w:rPr>
      </w:pPr>
      <w:r w:rsidRPr="00216B5F">
        <w:rPr>
          <w:rFonts w:ascii="Arial" w:hAnsi="Arial" w:cs="Arial"/>
          <w:b/>
          <w:bCs/>
          <w:color w:val="1F497D" w:themeColor="text2"/>
          <w:sz w:val="20"/>
          <w:szCs w:val="20"/>
        </w:rPr>
        <w:t>Altri motivi:</w:t>
      </w:r>
      <w:r w:rsidRPr="00DB51F4">
        <w:rPr>
          <w:rFonts w:ascii="Arial" w:hAnsi="Arial" w:cs="Arial"/>
          <w:bCs/>
          <w:sz w:val="20"/>
          <w:szCs w:val="20"/>
        </w:rPr>
        <w:t xml:space="preserve"> </w:t>
      </w:r>
      <w:r>
        <w:rPr>
          <w:rFonts w:ascii="Arial" w:hAnsi="Arial" w:cs="Arial"/>
          <w:bCs/>
          <w:sz w:val="20"/>
          <w:szCs w:val="20"/>
        </w:rPr>
        <w:t>e</w:t>
      </w:r>
      <w:r w:rsidRPr="004C0ADA">
        <w:rPr>
          <w:rFonts w:ascii="Arial" w:hAnsi="Arial" w:cs="Arial"/>
          <w:bCs/>
          <w:sz w:val="20"/>
          <w:szCs w:val="20"/>
        </w:rPr>
        <w:t>splicitamente considerati, in quanto statisticamente rilevanti, sono: religion</w:t>
      </w:r>
      <w:r>
        <w:rPr>
          <w:rFonts w:ascii="Arial" w:hAnsi="Arial" w:cs="Arial"/>
          <w:bCs/>
          <w:sz w:val="20"/>
          <w:szCs w:val="20"/>
        </w:rPr>
        <w:t xml:space="preserve">e, residenza elettiva, salute e </w:t>
      </w:r>
      <w:r w:rsidRPr="004C0ADA">
        <w:rPr>
          <w:rFonts w:ascii="Arial" w:hAnsi="Arial" w:cs="Arial"/>
          <w:bCs/>
          <w:sz w:val="20"/>
          <w:szCs w:val="20"/>
        </w:rPr>
        <w:t xml:space="preserve">“altro”; in quest’ultima modalità </w:t>
      </w:r>
      <w:r>
        <w:rPr>
          <w:rFonts w:ascii="Arial" w:hAnsi="Arial" w:cs="Arial"/>
          <w:bCs/>
          <w:sz w:val="20"/>
          <w:szCs w:val="20"/>
        </w:rPr>
        <w:t>figura</w:t>
      </w:r>
      <w:r w:rsidRPr="004C0ADA">
        <w:rPr>
          <w:rFonts w:ascii="Arial" w:hAnsi="Arial" w:cs="Arial"/>
          <w:bCs/>
          <w:sz w:val="20"/>
          <w:szCs w:val="20"/>
        </w:rPr>
        <w:t>no, invece, le altre motivazioni per le quali il permesso è stato rilasciato come: motivi di giustizia, integrazione minori, apolide riconosciuto, attività sportiva, etc.</w:t>
      </w:r>
    </w:p>
    <w:p w14:paraId="6E23719F" w14:textId="45ACF77B" w:rsidR="004A285B" w:rsidRPr="004C0ADA" w:rsidRDefault="004A285B" w:rsidP="004A285B">
      <w:pPr>
        <w:autoSpaceDE w:val="0"/>
        <w:autoSpaceDN w:val="0"/>
        <w:adjustRightInd w:val="0"/>
        <w:spacing w:after="120"/>
        <w:jc w:val="both"/>
        <w:rPr>
          <w:rFonts w:ascii="Arial" w:hAnsi="Arial" w:cs="Arial"/>
          <w:bCs/>
          <w:sz w:val="20"/>
          <w:szCs w:val="20"/>
        </w:rPr>
      </w:pPr>
      <w:r w:rsidRPr="005032E2">
        <w:rPr>
          <w:rFonts w:ascii="Arial" w:hAnsi="Arial" w:cs="Arial"/>
          <w:b/>
          <w:bCs/>
          <w:color w:val="1F497D" w:themeColor="text2"/>
          <w:sz w:val="20"/>
          <w:szCs w:val="20"/>
        </w:rPr>
        <w:t>Nuovi permessi di soggiorno rilasciati nell’anno</w:t>
      </w:r>
      <w:r w:rsidRPr="005032E2">
        <w:rPr>
          <w:rFonts w:ascii="Arial" w:hAnsi="Arial" w:cs="Arial"/>
          <w:bCs/>
          <w:color w:val="1F497D" w:themeColor="text2"/>
          <w:sz w:val="20"/>
          <w:szCs w:val="20"/>
        </w:rPr>
        <w:t>:</w:t>
      </w:r>
      <w:r w:rsidRPr="005032E2">
        <w:rPr>
          <w:rFonts w:ascii="Arial" w:hAnsi="Arial" w:cs="Arial"/>
          <w:b/>
          <w:bCs/>
          <w:color w:val="1F497D" w:themeColor="text2"/>
          <w:sz w:val="20"/>
          <w:szCs w:val="20"/>
        </w:rPr>
        <w:t xml:space="preserve"> </w:t>
      </w:r>
      <w:r w:rsidRPr="005032E2">
        <w:rPr>
          <w:rFonts w:ascii="Arial" w:hAnsi="Arial" w:cs="Arial"/>
          <w:bCs/>
          <w:sz w:val="20"/>
          <w:szCs w:val="20"/>
        </w:rPr>
        <w:t>vengono</w:t>
      </w:r>
      <w:r w:rsidR="00D47E4F" w:rsidRPr="005032E2">
        <w:rPr>
          <w:rFonts w:ascii="Arial" w:hAnsi="Arial" w:cs="Arial"/>
          <w:bCs/>
          <w:sz w:val="20"/>
          <w:szCs w:val="20"/>
        </w:rPr>
        <w:t xml:space="preserve"> registrati tutti i nuovi rilasci</w:t>
      </w:r>
      <w:r w:rsidRPr="005032E2">
        <w:rPr>
          <w:rFonts w:ascii="Arial" w:hAnsi="Arial" w:cs="Arial"/>
          <w:bCs/>
          <w:sz w:val="20"/>
          <w:szCs w:val="20"/>
        </w:rPr>
        <w:t xml:space="preserve"> avvenuti durante l’anno, indipendentemente dal fatto che alla fine dell’anno il permesso sia ancora valido o scaduto.</w:t>
      </w:r>
      <w:r w:rsidRPr="004C0ADA">
        <w:rPr>
          <w:rFonts w:ascii="Arial" w:hAnsi="Arial" w:cs="Arial"/>
          <w:bCs/>
          <w:sz w:val="20"/>
          <w:szCs w:val="20"/>
        </w:rPr>
        <w:t xml:space="preserve"> </w:t>
      </w:r>
    </w:p>
    <w:p w14:paraId="7568860F" w14:textId="09344975" w:rsidR="0090070B" w:rsidRPr="00CE0256" w:rsidRDefault="0090070B" w:rsidP="0090070B">
      <w:pPr>
        <w:autoSpaceDE w:val="0"/>
        <w:autoSpaceDN w:val="0"/>
        <w:adjustRightInd w:val="0"/>
        <w:spacing w:after="120"/>
        <w:jc w:val="both"/>
        <w:rPr>
          <w:rFonts w:ascii="Arial" w:hAnsi="Arial" w:cs="Arial"/>
          <w:bCs/>
          <w:sz w:val="20"/>
          <w:szCs w:val="20"/>
        </w:rPr>
      </w:pPr>
      <w:r w:rsidRPr="00CE0256">
        <w:rPr>
          <w:rFonts w:ascii="Arial" w:hAnsi="Arial" w:cs="Arial"/>
          <w:b/>
          <w:bCs/>
          <w:color w:val="1F497D" w:themeColor="text2"/>
          <w:sz w:val="20"/>
          <w:szCs w:val="20"/>
        </w:rPr>
        <w:t xml:space="preserve">Protezione speciale: </w:t>
      </w:r>
      <w:r w:rsidRPr="00CE0256">
        <w:rPr>
          <w:rFonts w:ascii="Arial" w:hAnsi="Arial" w:cs="Arial"/>
          <w:bCs/>
          <w:sz w:val="20"/>
          <w:szCs w:val="20"/>
        </w:rPr>
        <w:t xml:space="preserve">viene concessa quando, al ricorrere di determinati presupposti, non è possibile l’allontanamento dello straniero dal territorio nazionale. Il permesso di soggiorno per protezione speciale è stato introdotto dalla </w:t>
      </w:r>
      <w:hyperlink r:id="rId26" w:history="1">
        <w:r w:rsidR="00DD58CE">
          <w:rPr>
            <w:rFonts w:ascii="Arial" w:hAnsi="Arial" w:cs="Arial"/>
            <w:bCs/>
            <w:sz w:val="20"/>
            <w:szCs w:val="20"/>
          </w:rPr>
          <w:t>L</w:t>
        </w:r>
        <w:r w:rsidRPr="00CE0256">
          <w:rPr>
            <w:rFonts w:ascii="Arial" w:hAnsi="Arial" w:cs="Arial"/>
            <w:bCs/>
            <w:sz w:val="20"/>
            <w:szCs w:val="20"/>
          </w:rPr>
          <w:t>egge 132/2018</w:t>
        </w:r>
      </w:hyperlink>
      <w:r w:rsidRPr="00CE0256">
        <w:rPr>
          <w:rFonts w:ascii="Arial" w:hAnsi="Arial" w:cs="Arial"/>
          <w:bCs/>
          <w:sz w:val="20"/>
          <w:szCs w:val="20"/>
        </w:rPr>
        <w:t xml:space="preserve"> e i presupposti per il suo rilascio erano stati poi ampliati dal </w:t>
      </w:r>
      <w:hyperlink r:id="rId27" w:history="1">
        <w:r w:rsidRPr="00CE0256">
          <w:rPr>
            <w:rFonts w:ascii="Arial" w:hAnsi="Arial" w:cs="Arial"/>
            <w:bCs/>
            <w:sz w:val="20"/>
            <w:szCs w:val="20"/>
          </w:rPr>
          <w:t>D</w:t>
        </w:r>
        <w:r w:rsidR="00DD58CE">
          <w:rPr>
            <w:rFonts w:ascii="Arial" w:hAnsi="Arial" w:cs="Arial"/>
            <w:bCs/>
            <w:sz w:val="20"/>
            <w:szCs w:val="20"/>
          </w:rPr>
          <w:t>.L.</w:t>
        </w:r>
        <w:r w:rsidRPr="00CE0256">
          <w:rPr>
            <w:rFonts w:ascii="Arial" w:hAnsi="Arial" w:cs="Arial"/>
            <w:bCs/>
            <w:sz w:val="20"/>
            <w:szCs w:val="20"/>
          </w:rPr>
          <w:t xml:space="preserve"> 130/2020</w:t>
        </w:r>
      </w:hyperlink>
      <w:r w:rsidRPr="00CE0256">
        <w:rPr>
          <w:rFonts w:ascii="Arial" w:hAnsi="Arial" w:cs="Arial"/>
          <w:bCs/>
          <w:sz w:val="20"/>
          <w:szCs w:val="20"/>
        </w:rPr>
        <w:t xml:space="preserve">, convertito nella </w:t>
      </w:r>
      <w:r w:rsidR="00DD58CE">
        <w:rPr>
          <w:rFonts w:ascii="Arial" w:hAnsi="Arial" w:cs="Arial"/>
          <w:bCs/>
          <w:sz w:val="20"/>
          <w:szCs w:val="20"/>
        </w:rPr>
        <w:t>L</w:t>
      </w:r>
      <w:r w:rsidRPr="00CE0256">
        <w:rPr>
          <w:rFonts w:ascii="Arial" w:hAnsi="Arial" w:cs="Arial"/>
          <w:bCs/>
          <w:sz w:val="20"/>
          <w:szCs w:val="20"/>
        </w:rPr>
        <w:t>egge 173/2022 che aveva riformulato l</w:t>
      </w:r>
      <w:hyperlink r:id="rId28" w:history="1">
        <w:r w:rsidRPr="00CE0256">
          <w:rPr>
            <w:rFonts w:ascii="Arial" w:hAnsi="Arial" w:cs="Arial"/>
            <w:bCs/>
            <w:sz w:val="20"/>
            <w:szCs w:val="20"/>
          </w:rPr>
          <w:t>’art. 19 del Testo Unico Immigrazione (TUI)</w:t>
        </w:r>
      </w:hyperlink>
      <w:r w:rsidRPr="00CE0256">
        <w:rPr>
          <w:rFonts w:ascii="Arial" w:hAnsi="Arial" w:cs="Arial"/>
          <w:bCs/>
          <w:sz w:val="20"/>
          <w:szCs w:val="20"/>
        </w:rPr>
        <w:t xml:space="preserve">, ampliando le ipotesi di divieto di espulsione. Il </w:t>
      </w:r>
      <w:hyperlink r:id="rId29" w:history="1">
        <w:r w:rsidRPr="00CE0256">
          <w:rPr>
            <w:rFonts w:ascii="Arial" w:hAnsi="Arial" w:cs="Arial"/>
            <w:bCs/>
            <w:sz w:val="20"/>
            <w:szCs w:val="20"/>
          </w:rPr>
          <w:t>DL 20/23 (CD Decreto Cutro)</w:t>
        </w:r>
      </w:hyperlink>
      <w:r w:rsidRPr="00CE0256">
        <w:rPr>
          <w:rFonts w:ascii="Arial" w:hAnsi="Arial" w:cs="Arial"/>
          <w:bCs/>
          <w:sz w:val="20"/>
          <w:szCs w:val="20"/>
        </w:rPr>
        <w:t xml:space="preserve">, convertito con modifiche nella </w:t>
      </w:r>
      <w:r w:rsidR="00DD58CE">
        <w:rPr>
          <w:rFonts w:ascii="Arial" w:hAnsi="Arial" w:cs="Arial"/>
          <w:bCs/>
          <w:sz w:val="20"/>
          <w:szCs w:val="20"/>
        </w:rPr>
        <w:t>L</w:t>
      </w:r>
      <w:r w:rsidRPr="00CE0256">
        <w:rPr>
          <w:rFonts w:ascii="Arial" w:hAnsi="Arial" w:cs="Arial"/>
          <w:bCs/>
          <w:sz w:val="20"/>
          <w:szCs w:val="20"/>
        </w:rPr>
        <w:t>egge n. 50/23 ha di fatto eliminato le modifiche apportate nel 2020 all’articolo 19,</w:t>
      </w:r>
      <w:r w:rsidR="00CE0256" w:rsidRPr="00CE0256">
        <w:rPr>
          <w:rFonts w:ascii="Arial" w:hAnsi="Arial" w:cs="Arial"/>
          <w:bCs/>
          <w:sz w:val="20"/>
          <w:szCs w:val="20"/>
        </w:rPr>
        <w:t xml:space="preserve"> </w:t>
      </w:r>
      <w:r w:rsidRPr="00CE0256">
        <w:rPr>
          <w:rFonts w:ascii="Arial" w:hAnsi="Arial" w:cs="Arial"/>
          <w:bCs/>
          <w:sz w:val="20"/>
          <w:szCs w:val="20"/>
        </w:rPr>
        <w:t xml:space="preserve">restringendone nuovamente le ipotesi di divieto di espulsione e, conseguentemente, le possibilità di rilascio del permesso di soggiorno per protezione speciale. Il permesso di soggiorno per “protezione speciale” è regolato innanzitutto </w:t>
      </w:r>
      <w:hyperlink r:id="rId30" w:history="1">
        <w:r w:rsidRPr="00CE0256">
          <w:rPr>
            <w:rFonts w:ascii="Arial" w:hAnsi="Arial" w:cs="Arial"/>
            <w:bCs/>
            <w:sz w:val="20"/>
            <w:szCs w:val="20"/>
          </w:rPr>
          <w:t xml:space="preserve">dall’art.32, comma 3, </w:t>
        </w:r>
        <w:proofErr w:type="spellStart"/>
        <w:r w:rsidRPr="00CE0256">
          <w:rPr>
            <w:rFonts w:ascii="Arial" w:hAnsi="Arial" w:cs="Arial"/>
            <w:bCs/>
            <w:sz w:val="20"/>
            <w:szCs w:val="20"/>
          </w:rPr>
          <w:t>D.Lgs.</w:t>
        </w:r>
        <w:proofErr w:type="spellEnd"/>
        <w:r w:rsidRPr="00CE0256">
          <w:rPr>
            <w:rFonts w:ascii="Arial" w:hAnsi="Arial" w:cs="Arial"/>
            <w:bCs/>
            <w:sz w:val="20"/>
            <w:szCs w:val="20"/>
          </w:rPr>
          <w:t xml:space="preserve"> 28 gennaio 2008 n.25</w:t>
        </w:r>
      </w:hyperlink>
      <w:r w:rsidRPr="00CE0256">
        <w:rPr>
          <w:rFonts w:ascii="Arial" w:hAnsi="Arial" w:cs="Arial"/>
          <w:bCs/>
          <w:sz w:val="20"/>
          <w:szCs w:val="20"/>
        </w:rPr>
        <w:t xml:space="preserve"> che ne prevede il rilascio nei casi in cui la Commissione Territoriale non riconosca al cittadino straniero richiedente asilo né lo status di rifugiato né la protezione sussidiaria, ma ritiene ricorrano i presupposti di cui all'articolo 19, commi 1 e 1.1, del Testo Unico Immigrazione (casi di divieto di respingimento). In questi casi la Commissione trasmette gli atti al questore per il rilascio di un permesso di soggiorno (biennale) che reca la dicitura "protezione speciale".</w:t>
      </w:r>
    </w:p>
    <w:p w14:paraId="45EBE0B0" w14:textId="43950B2E" w:rsidR="000A2C16" w:rsidRDefault="0090070B" w:rsidP="0090070B">
      <w:pPr>
        <w:autoSpaceDE w:val="0"/>
        <w:autoSpaceDN w:val="0"/>
        <w:adjustRightInd w:val="0"/>
        <w:spacing w:after="120"/>
        <w:jc w:val="both"/>
        <w:rPr>
          <w:rFonts w:ascii="Arial" w:hAnsi="Arial" w:cs="Arial"/>
          <w:bCs/>
          <w:sz w:val="20"/>
          <w:szCs w:val="20"/>
        </w:rPr>
      </w:pPr>
      <w:r w:rsidRPr="00E94A76">
        <w:rPr>
          <w:rFonts w:ascii="Arial" w:hAnsi="Arial" w:cs="Arial"/>
          <w:b/>
          <w:bCs/>
          <w:color w:val="1F497D" w:themeColor="text2"/>
          <w:sz w:val="20"/>
          <w:szCs w:val="20"/>
        </w:rPr>
        <w:t>Protezione sussidiaria:</w:t>
      </w:r>
      <w:r w:rsidRPr="00E94A76">
        <w:rPr>
          <w:rFonts w:ascii="Arial" w:hAnsi="Arial" w:cs="Arial"/>
          <w:bCs/>
          <w:sz w:val="20"/>
          <w:szCs w:val="20"/>
        </w:rPr>
        <w:t xml:space="preserve"> </w:t>
      </w:r>
      <w:r w:rsidR="00DD58CE">
        <w:rPr>
          <w:rFonts w:ascii="Arial" w:hAnsi="Arial" w:cs="Arial"/>
          <w:bCs/>
          <w:sz w:val="20"/>
          <w:szCs w:val="20"/>
        </w:rPr>
        <w:t>i</w:t>
      </w:r>
      <w:r w:rsidRPr="00E94A76">
        <w:rPr>
          <w:rFonts w:ascii="Arial" w:hAnsi="Arial" w:cs="Arial"/>
          <w:bCs/>
          <w:sz w:val="20"/>
          <w:szCs w:val="20"/>
        </w:rPr>
        <w:t xml:space="preserve">n base all’art. 2 del Decreto legislativo n. 251/2007 la protezione sussidiaria è un’ulteriore forma di protezione internazionale. Chi ne è titolare – pur non possedendo i requisiti per il riconoscimento dello status di rifugiato – viene protetto in quanto, se ritornasse nel Paese di origine, andrebbe incontro al rischio di subire un danno grave. </w:t>
      </w:r>
      <w:r w:rsidR="000A2C16">
        <w:rPr>
          <w:rFonts w:ascii="Arial" w:hAnsi="Arial" w:cs="Arial"/>
          <w:bCs/>
          <w:sz w:val="20"/>
          <w:szCs w:val="20"/>
        </w:rPr>
        <w:br w:type="page"/>
      </w:r>
    </w:p>
    <w:p w14:paraId="47DAB7B5" w14:textId="77777777" w:rsidR="0090070B" w:rsidRPr="008E436C" w:rsidRDefault="0090070B" w:rsidP="0090070B">
      <w:pPr>
        <w:autoSpaceDE w:val="0"/>
        <w:autoSpaceDN w:val="0"/>
        <w:adjustRightInd w:val="0"/>
        <w:spacing w:after="120"/>
        <w:jc w:val="both"/>
        <w:rPr>
          <w:rFonts w:ascii="Arial" w:hAnsi="Arial" w:cs="Arial"/>
          <w:bCs/>
          <w:sz w:val="20"/>
          <w:szCs w:val="20"/>
        </w:rPr>
      </w:pPr>
    </w:p>
    <w:p w14:paraId="0517A7DE" w14:textId="20FE875F" w:rsidR="0090070B" w:rsidRDefault="0090070B" w:rsidP="0090070B">
      <w:pPr>
        <w:autoSpaceDE w:val="0"/>
        <w:autoSpaceDN w:val="0"/>
        <w:adjustRightInd w:val="0"/>
        <w:spacing w:after="120"/>
        <w:jc w:val="both"/>
        <w:rPr>
          <w:rFonts w:ascii="Arial" w:hAnsi="Arial" w:cs="Arial"/>
          <w:bCs/>
          <w:sz w:val="20"/>
          <w:szCs w:val="20"/>
        </w:rPr>
      </w:pPr>
      <w:r w:rsidRPr="00216B5F">
        <w:rPr>
          <w:rFonts w:ascii="Arial" w:hAnsi="Arial" w:cs="Arial"/>
          <w:b/>
          <w:bCs/>
          <w:color w:val="1F497D" w:themeColor="text2"/>
          <w:sz w:val="20"/>
          <w:szCs w:val="20"/>
        </w:rPr>
        <w:t>Protezione temporanea</w:t>
      </w:r>
      <w:r w:rsidRPr="003D5ABC">
        <w:rPr>
          <w:rFonts w:ascii="Arial" w:hAnsi="Arial" w:cs="Arial"/>
          <w:b/>
          <w:bCs/>
          <w:color w:val="1F497D" w:themeColor="text2"/>
          <w:sz w:val="20"/>
          <w:szCs w:val="20"/>
        </w:rPr>
        <w:t>:</w:t>
      </w:r>
      <w:r>
        <w:rPr>
          <w:rFonts w:ascii="Arial" w:hAnsi="Arial" w:cs="Arial"/>
          <w:b/>
          <w:bCs/>
          <w:color w:val="1F497D" w:themeColor="text2"/>
          <w:sz w:val="20"/>
          <w:szCs w:val="20"/>
        </w:rPr>
        <w:t xml:space="preserve"> </w:t>
      </w:r>
      <w:r w:rsidR="00DD58CE">
        <w:rPr>
          <w:rFonts w:ascii="Arial" w:hAnsi="Arial" w:cs="Arial"/>
          <w:bCs/>
          <w:sz w:val="20"/>
          <w:szCs w:val="20"/>
        </w:rPr>
        <w:t>a</w:t>
      </w:r>
      <w:r w:rsidRPr="00B603D0">
        <w:rPr>
          <w:rFonts w:ascii="Arial" w:hAnsi="Arial" w:cs="Arial"/>
          <w:bCs/>
          <w:sz w:val="20"/>
          <w:szCs w:val="20"/>
        </w:rPr>
        <w:t xml:space="preserve"> seguito della proposta della Commissione europea, il 4 marzo 2022 il Consiglio dell’Unione</w:t>
      </w:r>
      <w:r>
        <w:rPr>
          <w:rFonts w:ascii="Arial" w:hAnsi="Arial" w:cs="Arial"/>
          <w:bCs/>
          <w:sz w:val="20"/>
          <w:szCs w:val="20"/>
        </w:rPr>
        <w:t xml:space="preserve"> e</w:t>
      </w:r>
      <w:r w:rsidRPr="00B603D0">
        <w:rPr>
          <w:rFonts w:ascii="Arial" w:hAnsi="Arial" w:cs="Arial"/>
          <w:bCs/>
          <w:sz w:val="20"/>
          <w:szCs w:val="20"/>
        </w:rPr>
        <w:t>uropea, con la Decisione 2022/382, a fronte dell’afflusso</w:t>
      </w:r>
      <w:r>
        <w:rPr>
          <w:rFonts w:ascii="Arial" w:hAnsi="Arial" w:cs="Arial"/>
          <w:bCs/>
          <w:sz w:val="20"/>
          <w:szCs w:val="20"/>
        </w:rPr>
        <w:t xml:space="preserve"> di profughi sul territorio dell’Unione che ha fatto seguito al co</w:t>
      </w:r>
      <w:r w:rsidRPr="00B603D0">
        <w:rPr>
          <w:rFonts w:ascii="Arial" w:hAnsi="Arial" w:cs="Arial"/>
          <w:bCs/>
          <w:sz w:val="20"/>
          <w:szCs w:val="20"/>
        </w:rPr>
        <w:t xml:space="preserve">nflitto armato </w:t>
      </w:r>
      <w:r>
        <w:rPr>
          <w:rFonts w:ascii="Arial" w:hAnsi="Arial" w:cs="Arial"/>
          <w:bCs/>
          <w:sz w:val="20"/>
          <w:szCs w:val="20"/>
        </w:rPr>
        <w:t xml:space="preserve">tra Russia e </w:t>
      </w:r>
      <w:r w:rsidRPr="00B603D0">
        <w:rPr>
          <w:rFonts w:ascii="Arial" w:hAnsi="Arial" w:cs="Arial"/>
          <w:bCs/>
          <w:sz w:val="20"/>
          <w:szCs w:val="20"/>
        </w:rPr>
        <w:t>Ucraina dal 24 febbraio 2022 ha deciso di attivare per la prima volta la Direttiva 2001/55/CE sulla</w:t>
      </w:r>
      <w:r>
        <w:rPr>
          <w:rFonts w:ascii="Arial" w:hAnsi="Arial" w:cs="Arial"/>
          <w:bCs/>
          <w:sz w:val="20"/>
          <w:szCs w:val="20"/>
        </w:rPr>
        <w:t xml:space="preserve"> </w:t>
      </w:r>
      <w:r w:rsidRPr="00B603D0">
        <w:rPr>
          <w:rFonts w:ascii="Arial" w:hAnsi="Arial" w:cs="Arial"/>
          <w:bCs/>
          <w:sz w:val="20"/>
          <w:szCs w:val="20"/>
        </w:rPr>
        <w:t>protezione temporanea.</w:t>
      </w:r>
      <w:r>
        <w:rPr>
          <w:rFonts w:ascii="Arial" w:hAnsi="Arial" w:cs="Arial"/>
          <w:bCs/>
          <w:sz w:val="20"/>
          <w:szCs w:val="20"/>
        </w:rPr>
        <w:t xml:space="preserve"> L</w:t>
      </w:r>
      <w:r w:rsidRPr="00B603D0">
        <w:rPr>
          <w:rFonts w:ascii="Arial" w:hAnsi="Arial" w:cs="Arial"/>
          <w:bCs/>
          <w:sz w:val="20"/>
          <w:szCs w:val="20"/>
        </w:rPr>
        <w:t>a Decisione è entrata in vigore il 4 marzo 2022, giorno della sua pubblicazione nella Gazzetta</w:t>
      </w:r>
      <w:r>
        <w:rPr>
          <w:rFonts w:ascii="Arial" w:hAnsi="Arial" w:cs="Arial"/>
          <w:bCs/>
          <w:sz w:val="20"/>
          <w:szCs w:val="20"/>
        </w:rPr>
        <w:t xml:space="preserve"> </w:t>
      </w:r>
      <w:r w:rsidRPr="00B603D0">
        <w:rPr>
          <w:rFonts w:ascii="Arial" w:hAnsi="Arial" w:cs="Arial"/>
          <w:bCs/>
          <w:sz w:val="20"/>
          <w:szCs w:val="20"/>
        </w:rPr>
        <w:t>Ufficiale UE.</w:t>
      </w:r>
      <w:r>
        <w:rPr>
          <w:rFonts w:ascii="Arial" w:hAnsi="Arial" w:cs="Arial"/>
          <w:bCs/>
          <w:sz w:val="20"/>
          <w:szCs w:val="20"/>
        </w:rPr>
        <w:t xml:space="preserve"> </w:t>
      </w:r>
      <w:r w:rsidRPr="00B603D0">
        <w:rPr>
          <w:rFonts w:ascii="Arial" w:hAnsi="Arial" w:cs="Arial"/>
          <w:bCs/>
          <w:sz w:val="20"/>
          <w:szCs w:val="20"/>
        </w:rPr>
        <w:t xml:space="preserve">Il Governo italiano ha </w:t>
      </w:r>
      <w:r>
        <w:rPr>
          <w:rFonts w:ascii="Arial" w:hAnsi="Arial" w:cs="Arial"/>
          <w:bCs/>
          <w:sz w:val="20"/>
          <w:szCs w:val="20"/>
        </w:rPr>
        <w:t>applicato la</w:t>
      </w:r>
      <w:r w:rsidRPr="00B603D0">
        <w:rPr>
          <w:rFonts w:ascii="Arial" w:hAnsi="Arial" w:cs="Arial"/>
          <w:bCs/>
          <w:sz w:val="20"/>
          <w:szCs w:val="20"/>
        </w:rPr>
        <w:t xml:space="preserve"> Decisione europea attraverso l’emanazione del</w:t>
      </w:r>
      <w:r>
        <w:rPr>
          <w:rFonts w:ascii="Arial" w:hAnsi="Arial" w:cs="Arial"/>
          <w:bCs/>
          <w:sz w:val="20"/>
          <w:szCs w:val="20"/>
        </w:rPr>
        <w:t xml:space="preserve"> </w:t>
      </w:r>
      <w:r w:rsidRPr="00B603D0">
        <w:rPr>
          <w:rFonts w:ascii="Arial" w:hAnsi="Arial" w:cs="Arial"/>
          <w:bCs/>
          <w:sz w:val="20"/>
          <w:szCs w:val="20"/>
        </w:rPr>
        <w:t xml:space="preserve">Decreto del Presidente del Consiglio dei ministri (DPCM) del 28 marzo 2022, pubblicato in </w:t>
      </w:r>
      <w:r>
        <w:rPr>
          <w:rFonts w:ascii="Arial" w:hAnsi="Arial" w:cs="Arial"/>
          <w:bCs/>
          <w:sz w:val="20"/>
          <w:szCs w:val="20"/>
        </w:rPr>
        <w:br/>
      </w:r>
      <w:r w:rsidRPr="00B603D0">
        <w:rPr>
          <w:rFonts w:ascii="Arial" w:hAnsi="Arial" w:cs="Arial"/>
          <w:bCs/>
          <w:sz w:val="20"/>
          <w:szCs w:val="20"/>
        </w:rPr>
        <w:t>G.U. n.</w:t>
      </w:r>
      <w:r>
        <w:rPr>
          <w:rFonts w:ascii="Arial" w:hAnsi="Arial" w:cs="Arial"/>
          <w:bCs/>
          <w:sz w:val="20"/>
          <w:szCs w:val="20"/>
        </w:rPr>
        <w:t xml:space="preserve"> </w:t>
      </w:r>
      <w:r w:rsidRPr="00B603D0">
        <w:rPr>
          <w:rFonts w:ascii="Arial" w:hAnsi="Arial" w:cs="Arial"/>
          <w:bCs/>
          <w:sz w:val="20"/>
          <w:szCs w:val="20"/>
        </w:rPr>
        <w:t>89 del 15.4.2022.</w:t>
      </w:r>
    </w:p>
    <w:p w14:paraId="778FA0A6" w14:textId="33A8D195" w:rsidR="0090070B" w:rsidRPr="00A336A1" w:rsidRDefault="0090070B" w:rsidP="0090070B">
      <w:pPr>
        <w:autoSpaceDE w:val="0"/>
        <w:autoSpaceDN w:val="0"/>
        <w:adjustRightInd w:val="0"/>
        <w:spacing w:after="120"/>
        <w:jc w:val="both"/>
        <w:rPr>
          <w:rFonts w:ascii="Arial" w:hAnsi="Arial" w:cs="Arial"/>
          <w:bCs/>
          <w:sz w:val="20"/>
          <w:szCs w:val="20"/>
        </w:rPr>
      </w:pPr>
      <w:r w:rsidRPr="00A336A1">
        <w:rPr>
          <w:rFonts w:ascii="Arial" w:hAnsi="Arial" w:cs="Arial"/>
          <w:b/>
          <w:color w:val="1F497D" w:themeColor="text2"/>
          <w:sz w:val="20"/>
          <w:szCs w:val="20"/>
        </w:rPr>
        <w:t>Richiedente asilo</w:t>
      </w:r>
      <w:r w:rsidRPr="00A336A1">
        <w:rPr>
          <w:rFonts w:ascii="Arial" w:hAnsi="Arial" w:cs="Arial"/>
          <w:bCs/>
          <w:sz w:val="20"/>
          <w:szCs w:val="20"/>
        </w:rPr>
        <w:t xml:space="preserve">: Colui che è fuori dal proprio </w:t>
      </w:r>
      <w:r w:rsidR="0073094D">
        <w:rPr>
          <w:rFonts w:ascii="Arial" w:hAnsi="Arial" w:cs="Arial"/>
          <w:bCs/>
          <w:sz w:val="20"/>
          <w:szCs w:val="20"/>
        </w:rPr>
        <w:t>P</w:t>
      </w:r>
      <w:r w:rsidRPr="00A336A1">
        <w:rPr>
          <w:rFonts w:ascii="Arial" w:hAnsi="Arial" w:cs="Arial"/>
          <w:bCs/>
          <w:sz w:val="20"/>
          <w:szCs w:val="20"/>
        </w:rPr>
        <w:t xml:space="preserve">aese e inoltra, in un altro </w:t>
      </w:r>
      <w:r w:rsidR="0073094D">
        <w:rPr>
          <w:rFonts w:ascii="Arial" w:hAnsi="Arial" w:cs="Arial"/>
          <w:bCs/>
          <w:sz w:val="20"/>
          <w:szCs w:val="20"/>
        </w:rPr>
        <w:t>S</w:t>
      </w:r>
      <w:r w:rsidRPr="00A336A1">
        <w:rPr>
          <w:rFonts w:ascii="Arial" w:hAnsi="Arial" w:cs="Arial"/>
          <w:bCs/>
          <w:sz w:val="20"/>
          <w:szCs w:val="20"/>
        </w:rPr>
        <w:t xml:space="preserve">tato, una domanda di asilo per il riconoscimento dello status di rifugiato. La sua domanda viene poi esaminata dalle autorità di quel </w:t>
      </w:r>
      <w:r w:rsidR="0073094D">
        <w:rPr>
          <w:rFonts w:ascii="Arial" w:hAnsi="Arial" w:cs="Arial"/>
          <w:bCs/>
          <w:sz w:val="20"/>
          <w:szCs w:val="20"/>
        </w:rPr>
        <w:t>P</w:t>
      </w:r>
      <w:r w:rsidRPr="00A336A1">
        <w:rPr>
          <w:rFonts w:ascii="Arial" w:hAnsi="Arial" w:cs="Arial"/>
          <w:bCs/>
          <w:sz w:val="20"/>
          <w:szCs w:val="20"/>
        </w:rPr>
        <w:t xml:space="preserve">aese. Fino al momento della decisione in merito alla domanda, egli è un richiedente asilo. </w:t>
      </w:r>
    </w:p>
    <w:p w14:paraId="5C12F890" w14:textId="7174B1CC" w:rsidR="0090070B" w:rsidRPr="00A336A1" w:rsidRDefault="0090070B" w:rsidP="0090070B">
      <w:pPr>
        <w:autoSpaceDE w:val="0"/>
        <w:autoSpaceDN w:val="0"/>
        <w:adjustRightInd w:val="0"/>
        <w:spacing w:after="120"/>
        <w:jc w:val="both"/>
        <w:rPr>
          <w:rFonts w:ascii="Arial" w:hAnsi="Arial" w:cs="Arial"/>
          <w:bCs/>
          <w:sz w:val="20"/>
          <w:szCs w:val="20"/>
        </w:rPr>
      </w:pPr>
      <w:r w:rsidRPr="00A336A1">
        <w:rPr>
          <w:rFonts w:ascii="Arial" w:hAnsi="Arial" w:cs="Arial"/>
          <w:b/>
          <w:bCs/>
          <w:color w:val="1F497D" w:themeColor="text2"/>
          <w:sz w:val="20"/>
          <w:szCs w:val="20"/>
        </w:rPr>
        <w:t xml:space="preserve">Richiesta </w:t>
      </w:r>
      <w:r w:rsidR="00466BD1">
        <w:rPr>
          <w:rFonts w:ascii="Arial" w:hAnsi="Arial" w:cs="Arial"/>
          <w:b/>
          <w:bCs/>
          <w:color w:val="1F497D" w:themeColor="text2"/>
          <w:sz w:val="20"/>
          <w:szCs w:val="20"/>
        </w:rPr>
        <w:t>di a</w:t>
      </w:r>
      <w:r w:rsidRPr="00A336A1">
        <w:rPr>
          <w:rFonts w:ascii="Arial" w:hAnsi="Arial" w:cs="Arial"/>
          <w:b/>
          <w:bCs/>
          <w:color w:val="1F497D" w:themeColor="text2"/>
          <w:sz w:val="20"/>
          <w:szCs w:val="20"/>
        </w:rPr>
        <w:t>silo</w:t>
      </w:r>
      <w:r w:rsidRPr="00A336A1">
        <w:rPr>
          <w:rFonts w:ascii="Arial" w:hAnsi="Arial" w:cs="Arial"/>
          <w:bCs/>
          <w:sz w:val="20"/>
          <w:szCs w:val="20"/>
        </w:rPr>
        <w:t xml:space="preserve">: è la domanda </w:t>
      </w:r>
      <w:r w:rsidRPr="00146092">
        <w:rPr>
          <w:rFonts w:ascii="Arial" w:hAnsi="Arial" w:cs="Arial"/>
          <w:bCs/>
          <w:sz w:val="20"/>
          <w:szCs w:val="20"/>
        </w:rPr>
        <w:t>formale che una persona presenta a uno Stato diverso da quello di origine per ottenere protezione internazionale, perché teme, con fondati motivi, di essere perseguitata nel proprio Paese per ragioni di razza, religione, nazionalità, appartenenza a un determinato gruppo sociale o opinioni politiche, oppure rischia gravi danni come tortura, trattamenti</w:t>
      </w:r>
      <w:r w:rsidRPr="00A336A1">
        <w:rPr>
          <w:rFonts w:ascii="Arial" w:hAnsi="Arial" w:cs="Arial"/>
          <w:bCs/>
          <w:sz w:val="20"/>
          <w:szCs w:val="20"/>
        </w:rPr>
        <w:t xml:space="preserve"> inumani o degradanti, o minacce alla vita a causa di conflitti armati o violenze generalizzate.</w:t>
      </w:r>
    </w:p>
    <w:p w14:paraId="5ED69AAE" w14:textId="1C954BB3" w:rsidR="0090070B" w:rsidRPr="00F96B19" w:rsidRDefault="0090070B" w:rsidP="0090070B">
      <w:pPr>
        <w:autoSpaceDE w:val="0"/>
        <w:autoSpaceDN w:val="0"/>
        <w:adjustRightInd w:val="0"/>
        <w:spacing w:after="120"/>
        <w:jc w:val="both"/>
        <w:rPr>
          <w:rFonts w:ascii="Arial" w:hAnsi="Arial" w:cs="Arial"/>
          <w:bCs/>
          <w:sz w:val="20"/>
          <w:szCs w:val="20"/>
        </w:rPr>
      </w:pPr>
      <w:r w:rsidRPr="00A336A1">
        <w:rPr>
          <w:rFonts w:ascii="Arial" w:hAnsi="Arial" w:cs="Arial"/>
          <w:b/>
          <w:color w:val="1F497D" w:themeColor="text2"/>
          <w:sz w:val="20"/>
          <w:szCs w:val="20"/>
        </w:rPr>
        <w:t>Rifugiato</w:t>
      </w:r>
      <w:r w:rsidRPr="00A336A1">
        <w:rPr>
          <w:rFonts w:ascii="Arial" w:hAnsi="Arial" w:cs="Arial"/>
          <w:bCs/>
          <w:sz w:val="20"/>
          <w:szCs w:val="20"/>
        </w:rPr>
        <w:t xml:space="preserve">: </w:t>
      </w:r>
      <w:r>
        <w:rPr>
          <w:rFonts w:ascii="Arial" w:hAnsi="Arial" w:cs="Arial"/>
          <w:bCs/>
          <w:sz w:val="20"/>
          <w:szCs w:val="20"/>
        </w:rPr>
        <w:t>è colui che ha</w:t>
      </w:r>
      <w:r w:rsidRPr="00146092">
        <w:rPr>
          <w:rFonts w:ascii="Arial" w:hAnsi="Arial" w:cs="Arial"/>
          <w:bCs/>
          <w:sz w:val="20"/>
          <w:szCs w:val="20"/>
        </w:rPr>
        <w:t xml:space="preserve"> ottenuto il riconoscimento dello "status di rifugiato" </w:t>
      </w:r>
      <w:r>
        <w:rPr>
          <w:rFonts w:ascii="Arial" w:hAnsi="Arial" w:cs="Arial"/>
          <w:bCs/>
          <w:sz w:val="20"/>
          <w:szCs w:val="20"/>
        </w:rPr>
        <w:t>da parte della</w:t>
      </w:r>
      <w:r w:rsidRPr="00146092">
        <w:rPr>
          <w:rFonts w:ascii="Arial" w:hAnsi="Arial" w:cs="Arial"/>
          <w:bCs/>
          <w:sz w:val="20"/>
          <w:szCs w:val="20"/>
        </w:rPr>
        <w:t xml:space="preserve"> Commissione territoriale per il riconoscimento della protezione internazionale.</w:t>
      </w:r>
      <w:r>
        <w:rPr>
          <w:rFonts w:ascii="Arial" w:hAnsi="Arial" w:cs="Arial"/>
          <w:bCs/>
          <w:sz w:val="20"/>
          <w:szCs w:val="20"/>
        </w:rPr>
        <w:t xml:space="preserve"> La richiesta di asilo può essere presentata da </w:t>
      </w:r>
      <w:r w:rsidRPr="00A336A1">
        <w:rPr>
          <w:rFonts w:ascii="Arial" w:hAnsi="Arial" w:cs="Arial"/>
          <w:bCs/>
          <w:sz w:val="20"/>
          <w:szCs w:val="20"/>
        </w:rPr>
        <w:t xml:space="preserve">colui che è costretto a lasciare il proprio </w:t>
      </w:r>
      <w:r w:rsidR="00C60515">
        <w:rPr>
          <w:rFonts w:ascii="Arial" w:hAnsi="Arial" w:cs="Arial"/>
          <w:bCs/>
          <w:sz w:val="20"/>
          <w:szCs w:val="20"/>
        </w:rPr>
        <w:t>P</w:t>
      </w:r>
      <w:r w:rsidRPr="00A336A1">
        <w:rPr>
          <w:rFonts w:ascii="Arial" w:hAnsi="Arial" w:cs="Arial"/>
          <w:bCs/>
          <w:sz w:val="20"/>
          <w:szCs w:val="20"/>
        </w:rPr>
        <w:t xml:space="preserve">aese a causa di conflitti armati o di persecuzioni per motivi di razza, religione, nazionalità, appartenenza a un determinato gruppo sociale o per le sue opinioni politiche. A differenza del migrante, egli non ha scelta: non può tornare nel proprio </w:t>
      </w:r>
      <w:r w:rsidR="0073094D">
        <w:rPr>
          <w:rFonts w:ascii="Arial" w:hAnsi="Arial" w:cs="Arial"/>
          <w:bCs/>
          <w:sz w:val="20"/>
          <w:szCs w:val="20"/>
        </w:rPr>
        <w:t>P</w:t>
      </w:r>
      <w:r w:rsidRPr="00A336A1">
        <w:rPr>
          <w:rFonts w:ascii="Arial" w:hAnsi="Arial" w:cs="Arial"/>
          <w:bCs/>
          <w:sz w:val="20"/>
          <w:szCs w:val="20"/>
        </w:rPr>
        <w:t>aese perché teme di subire persecuzioni o per la sua stessa vita.</w:t>
      </w:r>
      <w:r>
        <w:rPr>
          <w:rFonts w:ascii="Arial" w:hAnsi="Arial" w:cs="Arial"/>
          <w:bCs/>
          <w:sz w:val="20"/>
          <w:szCs w:val="20"/>
        </w:rPr>
        <w:t xml:space="preserve"> </w:t>
      </w:r>
    </w:p>
    <w:p w14:paraId="69F8F467" w14:textId="4D3353C9" w:rsidR="0090070B" w:rsidRDefault="0090070B" w:rsidP="0090070B">
      <w:pPr>
        <w:autoSpaceDE w:val="0"/>
        <w:autoSpaceDN w:val="0"/>
        <w:adjustRightInd w:val="0"/>
        <w:spacing w:after="120"/>
        <w:jc w:val="both"/>
        <w:rPr>
          <w:rFonts w:ascii="Arial" w:hAnsi="Arial" w:cs="Arial"/>
          <w:bCs/>
          <w:sz w:val="20"/>
          <w:szCs w:val="20"/>
        </w:rPr>
      </w:pPr>
      <w:r>
        <w:rPr>
          <w:rFonts w:ascii="Arial" w:hAnsi="Arial" w:cs="Arial"/>
          <w:b/>
          <w:bCs/>
          <w:color w:val="1F497D" w:themeColor="text2"/>
          <w:sz w:val="20"/>
          <w:szCs w:val="20"/>
        </w:rPr>
        <w:t>Soggiornanti di lungo periodo</w:t>
      </w:r>
      <w:r w:rsidRPr="00DB51F4">
        <w:rPr>
          <w:rFonts w:ascii="Arial" w:hAnsi="Arial" w:cs="Arial"/>
          <w:bCs/>
          <w:color w:val="1F497D" w:themeColor="text2"/>
          <w:sz w:val="20"/>
          <w:szCs w:val="20"/>
        </w:rPr>
        <w:t>:</w:t>
      </w:r>
      <w:r w:rsidRPr="004C0ADA">
        <w:rPr>
          <w:rFonts w:ascii="Arial" w:hAnsi="Arial" w:cs="Arial"/>
          <w:b/>
          <w:bCs/>
          <w:color w:val="1F497D" w:themeColor="text2"/>
          <w:sz w:val="20"/>
          <w:szCs w:val="20"/>
        </w:rPr>
        <w:t xml:space="preserve"> </w:t>
      </w:r>
      <w:r w:rsidRPr="004C0ADA">
        <w:rPr>
          <w:rFonts w:ascii="Arial" w:hAnsi="Arial" w:cs="Arial"/>
          <w:bCs/>
          <w:sz w:val="20"/>
          <w:szCs w:val="20"/>
        </w:rPr>
        <w:t xml:space="preserve">Dall'8 gennaio 2007 (a seguito dell’adeguamento della normativa </w:t>
      </w:r>
      <w:r>
        <w:rPr>
          <w:rFonts w:ascii="Arial" w:hAnsi="Arial" w:cs="Arial"/>
          <w:bCs/>
          <w:sz w:val="20"/>
          <w:szCs w:val="20"/>
        </w:rPr>
        <w:t xml:space="preserve">nazionale </w:t>
      </w:r>
      <w:r w:rsidRPr="004C0ADA">
        <w:rPr>
          <w:rFonts w:ascii="Arial" w:hAnsi="Arial" w:cs="Arial"/>
          <w:bCs/>
          <w:sz w:val="20"/>
          <w:szCs w:val="20"/>
        </w:rPr>
        <w:t xml:space="preserve">alla Direttiva europea 2003/109), la carta di soggiorno per cittadini stranieri è stata sostituita dal permesso di soggiorno CE per soggiornanti di lungo periodo. Questo tipo di permesso di soggiorno è a tempo indeterminato e può essere richiesto solo da chi possiede un permesso di soggiorno da almeno </w:t>
      </w:r>
      <w:r>
        <w:rPr>
          <w:rFonts w:ascii="Arial" w:hAnsi="Arial" w:cs="Arial"/>
          <w:bCs/>
          <w:sz w:val="20"/>
          <w:szCs w:val="20"/>
        </w:rPr>
        <w:t>cinque</w:t>
      </w:r>
      <w:r w:rsidRPr="004C0ADA">
        <w:rPr>
          <w:rFonts w:ascii="Arial" w:hAnsi="Arial" w:cs="Arial"/>
          <w:bCs/>
          <w:sz w:val="20"/>
          <w:szCs w:val="20"/>
        </w:rPr>
        <w:t xml:space="preserve"> anni. Alla domanda è necessario allegare tra l’altro copia della dichiarazione dei redditi (il reddito dev</w:t>
      </w:r>
      <w:r>
        <w:rPr>
          <w:rFonts w:ascii="Arial" w:hAnsi="Arial" w:cs="Arial"/>
          <w:bCs/>
          <w:sz w:val="20"/>
          <w:szCs w:val="20"/>
        </w:rPr>
        <w:t>’</w:t>
      </w:r>
      <w:r w:rsidRPr="004C0ADA">
        <w:rPr>
          <w:rFonts w:ascii="Arial" w:hAnsi="Arial" w:cs="Arial"/>
          <w:bCs/>
          <w:sz w:val="20"/>
          <w:szCs w:val="20"/>
        </w:rPr>
        <w:t xml:space="preserve">essere superiore all'importo annuo dell'assegno sociale); per i collaboratori domestici (colf/badanti) i bollettini INPS o l’estratto contributivo analitico rilasciato dall'INPS; la richiesta può essere presentata anche per il coniuge non legalmente separato e di età non inferiore ai </w:t>
      </w:r>
      <w:r>
        <w:rPr>
          <w:rFonts w:ascii="Arial" w:hAnsi="Arial" w:cs="Arial"/>
          <w:bCs/>
          <w:sz w:val="20"/>
          <w:szCs w:val="20"/>
        </w:rPr>
        <w:t>18</w:t>
      </w:r>
      <w:r w:rsidRPr="004C0ADA">
        <w:rPr>
          <w:rFonts w:ascii="Arial" w:hAnsi="Arial" w:cs="Arial"/>
          <w:bCs/>
          <w:sz w:val="20"/>
          <w:szCs w:val="20"/>
        </w:rPr>
        <w:t xml:space="preserve"> anni; figli minori, anche del coniuge o nati fuori dal matrimonio; figli maggiorenni a carico che non possano permanentemente provvedere alle proprie indispensabili esigenze di vita in ragione del loro stato di salute che comporti invalidità totale; genitori a carico. Per ottenere il permesso CE anche per i familiari è necessario avere, tra l’altro, un reddito sufficiente alla composizione del nucleo familiare. Nel caso di due o più figli, di età inferiore ai 14 anni, il reddito minimo deve essere pari al doppio dell'importo annuo dell'assegno sociale; i richiedenti devono inoltre dimostrare attraverso documentazione o apposito test la conoscenza della lingua italiana. Sono esclusi dall'obbligo di sostenere il test,</w:t>
      </w:r>
      <w:r w:rsidR="00B55F48">
        <w:rPr>
          <w:rFonts w:ascii="Arial" w:hAnsi="Arial" w:cs="Arial"/>
          <w:bCs/>
          <w:sz w:val="20"/>
          <w:szCs w:val="20"/>
        </w:rPr>
        <w:br/>
      </w:r>
      <w:r w:rsidRPr="004C0ADA">
        <w:rPr>
          <w:rFonts w:ascii="Arial" w:hAnsi="Arial" w:cs="Arial"/>
          <w:bCs/>
          <w:sz w:val="20"/>
          <w:szCs w:val="20"/>
        </w:rPr>
        <w:t>i figli minori di anni 14, anche nati fuori dal matrimonio, propri e del coniuge.</w:t>
      </w:r>
    </w:p>
    <w:p w14:paraId="495DE608" w14:textId="364056FD" w:rsidR="00D14E7A" w:rsidRDefault="00D14E7A" w:rsidP="00B93C72">
      <w:pPr>
        <w:autoSpaceDE w:val="0"/>
        <w:autoSpaceDN w:val="0"/>
        <w:adjustRightInd w:val="0"/>
        <w:spacing w:after="120"/>
        <w:jc w:val="both"/>
        <w:rPr>
          <w:rFonts w:ascii="Arial" w:hAnsi="Arial" w:cs="Arial"/>
          <w:bCs/>
          <w:sz w:val="20"/>
          <w:szCs w:val="20"/>
        </w:rPr>
      </w:pPr>
      <w:r>
        <w:rPr>
          <w:rFonts w:ascii="Arial" w:hAnsi="Arial" w:cs="Arial"/>
          <w:bCs/>
          <w:sz w:val="20"/>
          <w:szCs w:val="20"/>
        </w:rPr>
        <w:br w:type="page"/>
      </w:r>
    </w:p>
    <w:p w14:paraId="794FF732" w14:textId="77777777" w:rsidR="00273747" w:rsidRDefault="00273747" w:rsidP="000F3224">
      <w:pPr>
        <w:autoSpaceDE w:val="0"/>
        <w:autoSpaceDN w:val="0"/>
        <w:adjustRightInd w:val="0"/>
        <w:spacing w:after="120"/>
        <w:jc w:val="both"/>
        <w:outlineLvl w:val="0"/>
        <w:rPr>
          <w:rFonts w:ascii="Georgia" w:hAnsi="Georgia" w:cs="Arial"/>
          <w:color w:val="1F497D" w:themeColor="text2"/>
          <w:sz w:val="48"/>
          <w:szCs w:val="48"/>
        </w:rPr>
      </w:pPr>
    </w:p>
    <w:p w14:paraId="1BDD4773" w14:textId="64BB1CE2" w:rsidR="00E76331" w:rsidRPr="00E76331" w:rsidRDefault="00E76331" w:rsidP="000F3224">
      <w:pPr>
        <w:autoSpaceDE w:val="0"/>
        <w:autoSpaceDN w:val="0"/>
        <w:adjustRightInd w:val="0"/>
        <w:spacing w:after="120"/>
        <w:jc w:val="both"/>
        <w:outlineLvl w:val="0"/>
        <w:rPr>
          <w:rFonts w:ascii="Georgia" w:hAnsi="Georgia" w:cs="Arial"/>
          <w:color w:val="1F497D" w:themeColor="text2"/>
          <w:sz w:val="48"/>
          <w:szCs w:val="48"/>
        </w:rPr>
      </w:pPr>
      <w:r w:rsidRPr="00E76331">
        <w:rPr>
          <w:rFonts w:ascii="Georgia" w:hAnsi="Georgia" w:cs="Arial"/>
          <w:color w:val="1F497D" w:themeColor="text2"/>
          <w:sz w:val="48"/>
          <w:szCs w:val="48"/>
        </w:rPr>
        <w:t>Nota metodologica</w:t>
      </w:r>
    </w:p>
    <w:p w14:paraId="7FF3D800" w14:textId="77777777" w:rsidR="00F92C55" w:rsidRDefault="00F92C55" w:rsidP="00F92C55">
      <w:pPr>
        <w:spacing w:after="120"/>
        <w:jc w:val="both"/>
        <w:rPr>
          <w:rFonts w:ascii="Arial" w:hAnsi="Arial" w:cs="Arial"/>
          <w:b/>
          <w:color w:val="1F497D"/>
          <w:sz w:val="22"/>
          <w:szCs w:val="22"/>
        </w:rPr>
      </w:pPr>
      <w:r w:rsidRPr="004C6A79">
        <w:rPr>
          <w:rFonts w:ascii="Arial" w:hAnsi="Arial" w:cs="Arial"/>
          <w:b/>
          <w:color w:val="1F497D"/>
          <w:sz w:val="22"/>
          <w:szCs w:val="22"/>
        </w:rPr>
        <w:t>Obiettivi conoscitivi</w:t>
      </w:r>
    </w:p>
    <w:p w14:paraId="48B27D99" w14:textId="0BCB24FD" w:rsidR="00F92C55" w:rsidRDefault="00F92C55" w:rsidP="00F92C55">
      <w:pPr>
        <w:spacing w:after="120"/>
        <w:jc w:val="both"/>
        <w:rPr>
          <w:rFonts w:ascii="Arial" w:hAnsi="Arial" w:cs="Arial"/>
          <w:sz w:val="20"/>
        </w:rPr>
      </w:pPr>
      <w:r>
        <w:rPr>
          <w:rFonts w:ascii="Arial" w:hAnsi="Arial" w:cs="Arial"/>
          <w:sz w:val="20"/>
        </w:rPr>
        <w:t>L’elaborazione delle informazioni su</w:t>
      </w:r>
      <w:r w:rsidRPr="004C6A79">
        <w:rPr>
          <w:rFonts w:ascii="Arial" w:hAnsi="Arial" w:cs="Arial"/>
          <w:sz w:val="20"/>
        </w:rPr>
        <w:t>i</w:t>
      </w:r>
      <w:r>
        <w:rPr>
          <w:rFonts w:ascii="Arial" w:hAnsi="Arial" w:cs="Arial"/>
          <w:sz w:val="20"/>
        </w:rPr>
        <w:t xml:space="preserve"> permessi di soggiorno consente di</w:t>
      </w:r>
      <w:r w:rsidRPr="004C6A79">
        <w:rPr>
          <w:rFonts w:ascii="Arial" w:hAnsi="Arial" w:cs="Arial"/>
          <w:sz w:val="20"/>
        </w:rPr>
        <w:t xml:space="preserve"> monitora</w:t>
      </w:r>
      <w:r>
        <w:rPr>
          <w:rFonts w:ascii="Arial" w:hAnsi="Arial" w:cs="Arial"/>
          <w:sz w:val="20"/>
        </w:rPr>
        <w:t>re, come richiesto anche dall’Unione Europea, l’evoluzione degli ingressi e della presenza non comunitaria in Italia distintamente per i motivi per i quali questa avviene</w:t>
      </w:r>
      <w:r w:rsidR="00937784">
        <w:rPr>
          <w:rFonts w:ascii="Arial" w:hAnsi="Arial" w:cs="Arial"/>
          <w:sz w:val="20"/>
        </w:rPr>
        <w:t>,</w:t>
      </w:r>
      <w:r>
        <w:rPr>
          <w:rFonts w:ascii="Arial" w:hAnsi="Arial" w:cs="Arial"/>
          <w:sz w:val="20"/>
        </w:rPr>
        <w:t xml:space="preserve"> anche nel caso in cui non dia luogo a iscrizione in anagrafe. La crescente rilevanza degli arrivi per richiesta di asilo ha portato l’Istat ad elaborare e diffondere per la prima volta nel 2025 anche informazioni sui richiedenti asilo e sull’esito delle richieste che vengono presentate in Italia. I dati elaborati </w:t>
      </w:r>
      <w:r w:rsidRPr="004C6A79">
        <w:rPr>
          <w:rFonts w:ascii="Arial" w:hAnsi="Arial" w:cs="Arial"/>
          <w:sz w:val="20"/>
        </w:rPr>
        <w:t>s</w:t>
      </w:r>
      <w:r>
        <w:rPr>
          <w:rFonts w:ascii="Arial" w:hAnsi="Arial" w:cs="Arial"/>
          <w:sz w:val="20"/>
        </w:rPr>
        <w:t>i propongono</w:t>
      </w:r>
      <w:r w:rsidRPr="004C6A79">
        <w:rPr>
          <w:rFonts w:ascii="Arial" w:hAnsi="Arial" w:cs="Arial"/>
          <w:sz w:val="20"/>
        </w:rPr>
        <w:t xml:space="preserve"> come strumento di confronto temporale e territoriale</w:t>
      </w:r>
      <w:r>
        <w:rPr>
          <w:rFonts w:ascii="Arial" w:hAnsi="Arial" w:cs="Arial"/>
          <w:sz w:val="20"/>
        </w:rPr>
        <w:t xml:space="preserve"> e f</w:t>
      </w:r>
      <w:r w:rsidRPr="004C6A79">
        <w:rPr>
          <w:rFonts w:ascii="Arial" w:hAnsi="Arial" w:cs="Arial"/>
          <w:sz w:val="20"/>
        </w:rPr>
        <w:t>ornisc</w:t>
      </w:r>
      <w:r>
        <w:rPr>
          <w:rFonts w:ascii="Arial" w:hAnsi="Arial" w:cs="Arial"/>
          <w:sz w:val="20"/>
        </w:rPr>
        <w:t>ono</w:t>
      </w:r>
      <w:r w:rsidRPr="004C6A79">
        <w:rPr>
          <w:rFonts w:ascii="Arial" w:hAnsi="Arial" w:cs="Arial"/>
          <w:sz w:val="20"/>
        </w:rPr>
        <w:t xml:space="preserve"> </w:t>
      </w:r>
      <w:r>
        <w:rPr>
          <w:rFonts w:ascii="Arial" w:hAnsi="Arial" w:cs="Arial"/>
          <w:sz w:val="20"/>
        </w:rPr>
        <w:t xml:space="preserve">informazioni </w:t>
      </w:r>
      <w:r w:rsidRPr="004C6A79">
        <w:rPr>
          <w:rFonts w:ascii="Arial" w:hAnsi="Arial" w:cs="Arial"/>
          <w:sz w:val="20"/>
        </w:rPr>
        <w:t xml:space="preserve">utili a supportare le politiche pubbliche di integrazione e gestione della migrazione, consentendo analisi sulle tendenze e sugli effetti dei provvedimenti normativi. </w:t>
      </w:r>
    </w:p>
    <w:p w14:paraId="0B56C013" w14:textId="77777777" w:rsidR="00273747" w:rsidRPr="00835446" w:rsidRDefault="00273747" w:rsidP="00F92C55">
      <w:pPr>
        <w:spacing w:after="120"/>
        <w:jc w:val="both"/>
        <w:rPr>
          <w:rFonts w:ascii="Arial" w:hAnsi="Arial" w:cs="Arial"/>
          <w:sz w:val="20"/>
        </w:rPr>
      </w:pPr>
    </w:p>
    <w:p w14:paraId="02892B54" w14:textId="77777777" w:rsidR="00F92C55" w:rsidRDefault="00F92C55" w:rsidP="00F92C55">
      <w:pPr>
        <w:spacing w:after="120"/>
        <w:jc w:val="both"/>
        <w:rPr>
          <w:rFonts w:ascii="Arial" w:hAnsi="Arial" w:cs="Arial"/>
          <w:b/>
          <w:color w:val="1F497D"/>
          <w:sz w:val="22"/>
          <w:szCs w:val="22"/>
        </w:rPr>
      </w:pPr>
      <w:r>
        <w:rPr>
          <w:rFonts w:ascii="Arial" w:hAnsi="Arial" w:cs="Arial"/>
          <w:b/>
          <w:color w:val="1F497D"/>
          <w:sz w:val="22"/>
          <w:szCs w:val="22"/>
        </w:rPr>
        <w:t>Riferimenti normativi</w:t>
      </w:r>
    </w:p>
    <w:p w14:paraId="105EB0AD" w14:textId="33CC6B53" w:rsidR="007E7B7D" w:rsidRDefault="00F92C55" w:rsidP="00273747">
      <w:pPr>
        <w:spacing w:after="120"/>
        <w:jc w:val="both"/>
        <w:rPr>
          <w:rFonts w:ascii="Arial" w:hAnsi="Arial" w:cs="Arial"/>
          <w:sz w:val="20"/>
        </w:rPr>
      </w:pPr>
      <w:r w:rsidRPr="00FD7DB2">
        <w:rPr>
          <w:rFonts w:ascii="Arial" w:hAnsi="Arial" w:cs="Arial"/>
          <w:sz w:val="20"/>
        </w:rPr>
        <w:t xml:space="preserve">Il </w:t>
      </w:r>
      <w:r w:rsidRPr="00835446">
        <w:rPr>
          <w:rFonts w:ascii="Arial" w:hAnsi="Arial" w:cs="Arial"/>
          <w:sz w:val="20"/>
        </w:rPr>
        <w:t>Regolamento (CE) n. 862/2007</w:t>
      </w:r>
      <w:r>
        <w:rPr>
          <w:rFonts w:ascii="Arial" w:hAnsi="Arial" w:cs="Arial"/>
          <w:sz w:val="20"/>
        </w:rPr>
        <w:t xml:space="preserve"> </w:t>
      </w:r>
      <w:r w:rsidRPr="00835446">
        <w:rPr>
          <w:rFonts w:ascii="Arial" w:hAnsi="Arial" w:cs="Arial"/>
          <w:sz w:val="20"/>
        </w:rPr>
        <w:t>in materia di migrazione e di protezione internazionale</w:t>
      </w:r>
      <w:r w:rsidRPr="00931ED5">
        <w:rPr>
          <w:rFonts w:ascii="Arial" w:hAnsi="Arial" w:cs="Arial"/>
          <w:sz w:val="20"/>
        </w:rPr>
        <w:t xml:space="preserve"> </w:t>
      </w:r>
      <w:r w:rsidRPr="00FD7DB2">
        <w:rPr>
          <w:rFonts w:ascii="Arial" w:hAnsi="Arial" w:cs="Arial"/>
          <w:sz w:val="20"/>
        </w:rPr>
        <w:t xml:space="preserve">costituisce il quadro giuridico principale dell’UE per la raccolta e la compilazione di statistiche comparabili su migrazione e protezione internazionale. Stabilisce norme affinché gli Stati membri forniscano </w:t>
      </w:r>
      <w:r>
        <w:rPr>
          <w:rFonts w:ascii="Arial" w:hAnsi="Arial" w:cs="Arial"/>
          <w:sz w:val="20"/>
        </w:rPr>
        <w:t xml:space="preserve">ad Eurostat </w:t>
      </w:r>
      <w:r w:rsidRPr="00FD7DB2">
        <w:rPr>
          <w:rFonts w:ascii="Arial" w:hAnsi="Arial" w:cs="Arial"/>
          <w:sz w:val="20"/>
        </w:rPr>
        <w:t xml:space="preserve">dati su </w:t>
      </w:r>
      <w:r>
        <w:rPr>
          <w:rFonts w:ascii="Arial" w:hAnsi="Arial" w:cs="Arial"/>
          <w:sz w:val="20"/>
        </w:rPr>
        <w:t xml:space="preserve">permessi di soggiorno, acquisizioni di </w:t>
      </w:r>
      <w:r w:rsidRPr="00FD7DB2">
        <w:rPr>
          <w:rFonts w:ascii="Arial" w:hAnsi="Arial" w:cs="Arial"/>
          <w:sz w:val="20"/>
        </w:rPr>
        <w:t>cittadinanza e richiedenti asilo, garantendo un approccio unificato alle statistiche sulla migrazione in tutta l’UE. Il 18 giugno è entrato in vigore il</w:t>
      </w:r>
      <w:r>
        <w:rPr>
          <w:rFonts w:ascii="Arial" w:hAnsi="Arial" w:cs="Arial"/>
          <w:sz w:val="20"/>
        </w:rPr>
        <w:t xml:space="preserve"> </w:t>
      </w:r>
      <w:r w:rsidRPr="00835446">
        <w:rPr>
          <w:rFonts w:ascii="Arial" w:hAnsi="Arial" w:cs="Arial"/>
          <w:sz w:val="20"/>
        </w:rPr>
        <w:t>Regolamento 2020/851</w:t>
      </w:r>
      <w:r>
        <w:rPr>
          <w:rFonts w:ascii="Arial" w:hAnsi="Arial" w:cs="Arial"/>
          <w:sz w:val="20"/>
        </w:rPr>
        <w:t xml:space="preserve"> </w:t>
      </w:r>
      <w:r w:rsidRPr="00FD7DB2">
        <w:rPr>
          <w:rFonts w:ascii="Arial" w:hAnsi="Arial" w:cs="Arial"/>
          <w:sz w:val="20"/>
        </w:rPr>
        <w:t>che modifica in parte il precedente Regolamento (CE) n. 862/2007</w:t>
      </w:r>
      <w:r>
        <w:rPr>
          <w:rFonts w:ascii="Arial" w:hAnsi="Arial" w:cs="Arial"/>
          <w:sz w:val="20"/>
        </w:rPr>
        <w:t xml:space="preserve"> </w:t>
      </w:r>
      <w:r w:rsidRPr="00835446">
        <w:rPr>
          <w:rFonts w:ascii="Arial" w:hAnsi="Arial" w:cs="Arial"/>
          <w:sz w:val="20"/>
        </w:rPr>
        <w:t>relativo alle statistiche comunitarie in materia di migrazione e di protezione internazionale</w:t>
      </w:r>
      <w:r w:rsidRPr="00FD7DB2">
        <w:rPr>
          <w:rFonts w:ascii="Arial" w:hAnsi="Arial" w:cs="Arial"/>
          <w:sz w:val="20"/>
        </w:rPr>
        <w:t>.</w:t>
      </w:r>
      <w:r>
        <w:rPr>
          <w:rFonts w:ascii="Arial" w:hAnsi="Arial" w:cs="Arial"/>
          <w:sz w:val="20"/>
        </w:rPr>
        <w:t xml:space="preserve"> </w:t>
      </w:r>
      <w:r w:rsidRPr="00FD7DB2">
        <w:rPr>
          <w:rFonts w:ascii="Arial" w:hAnsi="Arial" w:cs="Arial"/>
          <w:sz w:val="20"/>
        </w:rPr>
        <w:t>In particolare, il nuovo Regolamento mira a: i) sostenere l</w:t>
      </w:r>
      <w:r w:rsidR="00273747">
        <w:rPr>
          <w:rFonts w:ascii="Arial" w:hAnsi="Arial" w:cs="Arial"/>
          <w:sz w:val="20"/>
        </w:rPr>
        <w:t>’</w:t>
      </w:r>
      <w:r w:rsidRPr="00FD7DB2">
        <w:rPr>
          <w:rFonts w:ascii="Arial" w:hAnsi="Arial" w:cs="Arial"/>
          <w:sz w:val="20"/>
        </w:rPr>
        <w:t>agenda europea sulla migrazione fornendo ai responsabili delle politiche e delle decisioni dell</w:t>
      </w:r>
      <w:r w:rsidR="00273747">
        <w:rPr>
          <w:rFonts w:ascii="Arial" w:hAnsi="Arial" w:cs="Arial"/>
          <w:sz w:val="20"/>
        </w:rPr>
        <w:t>’</w:t>
      </w:r>
      <w:r w:rsidRPr="00FD7DB2">
        <w:rPr>
          <w:rFonts w:ascii="Arial" w:hAnsi="Arial" w:cs="Arial"/>
          <w:sz w:val="20"/>
        </w:rPr>
        <w:t>U</w:t>
      </w:r>
      <w:r w:rsidR="003A07AE">
        <w:rPr>
          <w:rFonts w:ascii="Arial" w:hAnsi="Arial" w:cs="Arial"/>
          <w:sz w:val="20"/>
        </w:rPr>
        <w:t>e</w:t>
      </w:r>
      <w:r>
        <w:rPr>
          <w:rFonts w:ascii="Arial" w:hAnsi="Arial" w:cs="Arial"/>
          <w:sz w:val="20"/>
        </w:rPr>
        <w:t xml:space="preserve"> </w:t>
      </w:r>
      <w:r w:rsidRPr="00835446">
        <w:rPr>
          <w:rFonts w:ascii="Arial" w:hAnsi="Arial" w:cs="Arial"/>
          <w:sz w:val="20"/>
        </w:rPr>
        <w:t>statistiche migliori e più tempestive</w:t>
      </w:r>
      <w:r w:rsidRPr="00FD7DB2">
        <w:rPr>
          <w:rFonts w:ascii="Arial" w:hAnsi="Arial" w:cs="Arial"/>
          <w:sz w:val="20"/>
        </w:rPr>
        <w:t>; e ii) rafforzare la risposta alle sfide poste dalla migrazione. L</w:t>
      </w:r>
      <w:r w:rsidR="00273747">
        <w:rPr>
          <w:rFonts w:ascii="Arial" w:hAnsi="Arial" w:cs="Arial"/>
          <w:sz w:val="20"/>
        </w:rPr>
        <w:t>’</w:t>
      </w:r>
      <w:r w:rsidRPr="00FD7DB2">
        <w:rPr>
          <w:rFonts w:ascii="Arial" w:hAnsi="Arial" w:cs="Arial"/>
          <w:sz w:val="20"/>
        </w:rPr>
        <w:t xml:space="preserve">iniziativa </w:t>
      </w:r>
      <w:r>
        <w:rPr>
          <w:rFonts w:ascii="Arial" w:hAnsi="Arial" w:cs="Arial"/>
          <w:sz w:val="20"/>
        </w:rPr>
        <w:t>si propone di migliorare</w:t>
      </w:r>
      <w:r w:rsidRPr="00FD7DB2">
        <w:rPr>
          <w:rFonts w:ascii="Arial" w:hAnsi="Arial" w:cs="Arial"/>
          <w:sz w:val="20"/>
        </w:rPr>
        <w:t xml:space="preserve"> in particolare le statistiche europee sull</w:t>
      </w:r>
      <w:r w:rsidR="00273747">
        <w:rPr>
          <w:rFonts w:ascii="Arial" w:hAnsi="Arial" w:cs="Arial"/>
          <w:sz w:val="20"/>
        </w:rPr>
        <w:t>’</w:t>
      </w:r>
      <w:r w:rsidRPr="00FD7DB2">
        <w:rPr>
          <w:rFonts w:ascii="Arial" w:hAnsi="Arial" w:cs="Arial"/>
          <w:sz w:val="20"/>
        </w:rPr>
        <w:t>asilo e sulla gestione della migrazione fornendo una</w:t>
      </w:r>
      <w:r>
        <w:rPr>
          <w:rFonts w:ascii="Arial" w:hAnsi="Arial" w:cs="Arial"/>
          <w:sz w:val="20"/>
        </w:rPr>
        <w:t xml:space="preserve"> </w:t>
      </w:r>
      <w:r w:rsidRPr="00835446">
        <w:rPr>
          <w:rFonts w:ascii="Arial" w:hAnsi="Arial" w:cs="Arial"/>
          <w:sz w:val="20"/>
        </w:rPr>
        <w:t xml:space="preserve">base giuridica </w:t>
      </w:r>
      <w:r>
        <w:rPr>
          <w:rFonts w:ascii="Arial" w:hAnsi="Arial" w:cs="Arial"/>
          <w:sz w:val="20"/>
        </w:rPr>
        <w:t xml:space="preserve">anche </w:t>
      </w:r>
      <w:r w:rsidRPr="00835446">
        <w:rPr>
          <w:rFonts w:ascii="Arial" w:hAnsi="Arial" w:cs="Arial"/>
          <w:sz w:val="20"/>
        </w:rPr>
        <w:t xml:space="preserve">per le statistiche </w:t>
      </w:r>
      <w:r>
        <w:rPr>
          <w:rFonts w:ascii="Arial" w:hAnsi="Arial" w:cs="Arial"/>
          <w:sz w:val="20"/>
        </w:rPr>
        <w:t>in passato</w:t>
      </w:r>
      <w:r w:rsidRPr="00835446">
        <w:rPr>
          <w:rFonts w:ascii="Arial" w:hAnsi="Arial" w:cs="Arial"/>
          <w:sz w:val="20"/>
        </w:rPr>
        <w:t xml:space="preserve"> rilevate su base volontaria</w:t>
      </w:r>
      <w:r w:rsidRPr="00FD7DB2">
        <w:rPr>
          <w:rFonts w:ascii="Arial" w:hAnsi="Arial" w:cs="Arial"/>
          <w:sz w:val="20"/>
        </w:rPr>
        <w:t>.</w:t>
      </w:r>
      <w:r>
        <w:rPr>
          <w:rFonts w:ascii="Arial" w:hAnsi="Arial" w:cs="Arial"/>
          <w:sz w:val="20"/>
        </w:rPr>
        <w:t xml:space="preserve"> </w:t>
      </w:r>
      <w:r w:rsidRPr="00FD7DB2">
        <w:rPr>
          <w:rFonts w:ascii="Arial" w:hAnsi="Arial" w:cs="Arial"/>
          <w:sz w:val="20"/>
        </w:rPr>
        <w:t>La revisione del regolamento (CE) n. 862/2007</w:t>
      </w:r>
      <w:r>
        <w:rPr>
          <w:rFonts w:ascii="Arial" w:hAnsi="Arial" w:cs="Arial"/>
          <w:sz w:val="20"/>
        </w:rPr>
        <w:t xml:space="preserve"> è inoltre volto</w:t>
      </w:r>
      <w:r w:rsidRPr="00FD7DB2">
        <w:rPr>
          <w:rFonts w:ascii="Arial" w:hAnsi="Arial" w:cs="Arial"/>
          <w:sz w:val="20"/>
        </w:rPr>
        <w:t xml:space="preserve"> </w:t>
      </w:r>
      <w:r>
        <w:rPr>
          <w:rFonts w:ascii="Arial" w:hAnsi="Arial" w:cs="Arial"/>
          <w:sz w:val="20"/>
        </w:rPr>
        <w:t xml:space="preserve">a migliorare </w:t>
      </w:r>
      <w:r w:rsidRPr="00FD7DB2">
        <w:rPr>
          <w:rFonts w:ascii="Arial" w:hAnsi="Arial" w:cs="Arial"/>
          <w:sz w:val="20"/>
        </w:rPr>
        <w:t>la</w:t>
      </w:r>
      <w:r>
        <w:rPr>
          <w:rFonts w:ascii="Arial" w:hAnsi="Arial" w:cs="Arial"/>
          <w:sz w:val="20"/>
        </w:rPr>
        <w:t xml:space="preserve"> </w:t>
      </w:r>
      <w:r w:rsidRPr="00835446">
        <w:rPr>
          <w:rFonts w:ascii="Arial" w:hAnsi="Arial" w:cs="Arial"/>
          <w:sz w:val="20"/>
        </w:rPr>
        <w:t>completezza, la precisione, la tempestività e la certezza delle attuali trasmissioni di dati su base volontaria da parte delle autorità nazionali</w:t>
      </w:r>
      <w:r w:rsidRPr="00FD7DB2">
        <w:rPr>
          <w:rFonts w:ascii="Arial" w:hAnsi="Arial" w:cs="Arial"/>
          <w:sz w:val="20"/>
        </w:rPr>
        <w:t>.</w:t>
      </w:r>
      <w:r w:rsidR="00C819B6">
        <w:rPr>
          <w:rFonts w:ascii="Arial" w:hAnsi="Arial" w:cs="Arial"/>
          <w:sz w:val="20"/>
        </w:rPr>
        <w:t xml:space="preserve"> </w:t>
      </w:r>
      <w:r w:rsidR="003C72AD">
        <w:rPr>
          <w:rFonts w:ascii="Arial" w:hAnsi="Arial" w:cs="Arial"/>
          <w:sz w:val="20"/>
        </w:rPr>
        <w:t xml:space="preserve">Numerosi sono i provvedimenti che a livello nazionale regolano gli ingressi di cittadini non comunitari, la loro permanenza sul </w:t>
      </w:r>
      <w:r w:rsidR="00DF5DD1">
        <w:rPr>
          <w:rFonts w:ascii="Arial" w:hAnsi="Arial" w:cs="Arial"/>
          <w:sz w:val="20"/>
        </w:rPr>
        <w:t>territorio</w:t>
      </w:r>
      <w:r w:rsidR="003C72AD">
        <w:rPr>
          <w:rFonts w:ascii="Arial" w:hAnsi="Arial" w:cs="Arial"/>
          <w:sz w:val="20"/>
        </w:rPr>
        <w:t xml:space="preserve"> e l’acquisizione della cittadinanza. </w:t>
      </w:r>
      <w:r w:rsidR="007E7B7D">
        <w:rPr>
          <w:rFonts w:ascii="Arial" w:hAnsi="Arial" w:cs="Arial"/>
          <w:sz w:val="20"/>
        </w:rPr>
        <w:t xml:space="preserve">Il </w:t>
      </w:r>
      <w:r w:rsidR="007E7B7D" w:rsidRPr="008A1851">
        <w:rPr>
          <w:rFonts w:ascii="Arial" w:hAnsi="Arial" w:cs="Arial"/>
          <w:sz w:val="20"/>
        </w:rPr>
        <w:t>Testo unico sull</w:t>
      </w:r>
      <w:r w:rsidR="00273747">
        <w:rPr>
          <w:rFonts w:ascii="Arial" w:hAnsi="Arial" w:cs="Arial"/>
          <w:sz w:val="20"/>
        </w:rPr>
        <w:t>’</w:t>
      </w:r>
      <w:r w:rsidR="007E7B7D" w:rsidRPr="008A1851">
        <w:rPr>
          <w:rFonts w:ascii="Arial" w:hAnsi="Arial" w:cs="Arial"/>
          <w:sz w:val="20"/>
        </w:rPr>
        <w:t>immigrazione</w:t>
      </w:r>
      <w:r w:rsidR="007E7B7D">
        <w:rPr>
          <w:rFonts w:ascii="Arial" w:hAnsi="Arial" w:cs="Arial"/>
          <w:sz w:val="20"/>
        </w:rPr>
        <w:t xml:space="preserve"> </w:t>
      </w:r>
      <w:r w:rsidR="00024864">
        <w:rPr>
          <w:rFonts w:ascii="Arial" w:hAnsi="Arial" w:cs="Arial"/>
          <w:sz w:val="20"/>
        </w:rPr>
        <w:t>(</w:t>
      </w:r>
      <w:r w:rsidR="007E7B7D" w:rsidRPr="007E7B7D">
        <w:rPr>
          <w:rFonts w:ascii="Arial" w:hAnsi="Arial" w:cs="Arial"/>
          <w:sz w:val="20"/>
        </w:rPr>
        <w:t>Decreto Legislativo 25 luglio 1998, n. 286</w:t>
      </w:r>
      <w:r w:rsidR="00024864">
        <w:rPr>
          <w:rFonts w:ascii="Arial" w:hAnsi="Arial" w:cs="Arial"/>
          <w:sz w:val="20"/>
        </w:rPr>
        <w:t>)</w:t>
      </w:r>
      <w:r w:rsidR="007E7B7D">
        <w:rPr>
          <w:rFonts w:ascii="Arial" w:hAnsi="Arial" w:cs="Arial"/>
          <w:sz w:val="20"/>
        </w:rPr>
        <w:t xml:space="preserve"> resta un punto di riferimento </w:t>
      </w:r>
      <w:r w:rsidR="00024864">
        <w:rPr>
          <w:rFonts w:ascii="Arial" w:hAnsi="Arial" w:cs="Arial"/>
          <w:sz w:val="20"/>
        </w:rPr>
        <w:t xml:space="preserve">sebbene modificato successivamente da numerosi provvedimenti. </w:t>
      </w:r>
      <w:r w:rsidR="00A54791">
        <w:rPr>
          <w:rFonts w:ascii="Arial" w:hAnsi="Arial" w:cs="Arial"/>
          <w:sz w:val="20"/>
        </w:rPr>
        <w:t xml:space="preserve">L’acquisizione della cittadinanza è regolata dalla </w:t>
      </w:r>
      <w:r w:rsidR="001435C2">
        <w:rPr>
          <w:rFonts w:ascii="Arial" w:hAnsi="Arial" w:cs="Arial"/>
          <w:sz w:val="20"/>
        </w:rPr>
        <w:t>Legge 91 del 5 febbraio del 1992</w:t>
      </w:r>
      <w:r w:rsidR="0012051C">
        <w:rPr>
          <w:rFonts w:ascii="Arial" w:hAnsi="Arial" w:cs="Arial"/>
          <w:sz w:val="20"/>
        </w:rPr>
        <w:t xml:space="preserve"> e dalle successive norme di modifica. </w:t>
      </w:r>
    </w:p>
    <w:p w14:paraId="2E6D473B" w14:textId="77777777" w:rsidR="00273747" w:rsidRPr="007E7B7D" w:rsidRDefault="00273747" w:rsidP="00273747">
      <w:pPr>
        <w:spacing w:after="120"/>
        <w:jc w:val="both"/>
        <w:rPr>
          <w:rFonts w:ascii="Arial" w:hAnsi="Arial" w:cs="Arial"/>
          <w:sz w:val="20"/>
        </w:rPr>
      </w:pPr>
    </w:p>
    <w:p w14:paraId="130AB9A8" w14:textId="46C6221E" w:rsidR="00B93C72" w:rsidRPr="00A76939" w:rsidRDefault="00B93C72" w:rsidP="00B93C72">
      <w:pPr>
        <w:spacing w:after="120"/>
        <w:jc w:val="both"/>
        <w:rPr>
          <w:rFonts w:ascii="Arial" w:hAnsi="Arial" w:cs="Arial"/>
          <w:b/>
          <w:color w:val="1F497D"/>
          <w:sz w:val="22"/>
          <w:szCs w:val="22"/>
        </w:rPr>
      </w:pPr>
      <w:r w:rsidRPr="00A76939">
        <w:rPr>
          <w:rFonts w:ascii="Arial" w:hAnsi="Arial" w:cs="Arial"/>
          <w:b/>
          <w:color w:val="1F497D"/>
          <w:sz w:val="22"/>
          <w:szCs w:val="22"/>
        </w:rPr>
        <w:t>Descrizione de</w:t>
      </w:r>
      <w:r w:rsidR="00F92C55">
        <w:rPr>
          <w:rFonts w:ascii="Arial" w:hAnsi="Arial" w:cs="Arial"/>
          <w:b/>
          <w:color w:val="1F497D"/>
          <w:sz w:val="22"/>
          <w:szCs w:val="22"/>
        </w:rPr>
        <w:t>lle fonti e de</w:t>
      </w:r>
      <w:r w:rsidR="00C24EAF">
        <w:rPr>
          <w:rFonts w:ascii="Arial" w:hAnsi="Arial" w:cs="Arial"/>
          <w:b/>
          <w:color w:val="1F497D"/>
          <w:sz w:val="22"/>
          <w:szCs w:val="22"/>
        </w:rPr>
        <w:t>i</w:t>
      </w:r>
      <w:r w:rsidRPr="00A76939">
        <w:rPr>
          <w:rFonts w:ascii="Arial" w:hAnsi="Arial" w:cs="Arial"/>
          <w:b/>
          <w:color w:val="1F497D"/>
          <w:sz w:val="22"/>
          <w:szCs w:val="22"/>
        </w:rPr>
        <w:t xml:space="preserve"> dati</w:t>
      </w:r>
    </w:p>
    <w:p w14:paraId="0F1B4A4E" w14:textId="5252F1B5" w:rsidR="00A74CE1" w:rsidRPr="00C33ADF" w:rsidRDefault="00A74CE1" w:rsidP="00A74CE1">
      <w:pPr>
        <w:spacing w:after="120"/>
        <w:jc w:val="both"/>
        <w:rPr>
          <w:rFonts w:ascii="Arial" w:hAnsi="Arial" w:cs="Arial"/>
          <w:sz w:val="20"/>
        </w:rPr>
      </w:pPr>
      <w:r w:rsidRPr="00C33ADF">
        <w:rPr>
          <w:rFonts w:ascii="Arial" w:hAnsi="Arial" w:cs="Arial"/>
          <w:sz w:val="20"/>
        </w:rPr>
        <w:t>Il permesso di soggiorno consente agli stranieri e agli apolidi presenti sul territorio dello Stato di soggiornare in Italia, alle condizioni e nei limiti previsti dalla normativa vigente.</w:t>
      </w:r>
    </w:p>
    <w:p w14:paraId="24FE4DAE" w14:textId="18BE0AAE" w:rsidR="00A74CE1" w:rsidRPr="00C33ADF" w:rsidRDefault="00A74CE1" w:rsidP="00A74CE1">
      <w:pPr>
        <w:spacing w:after="120"/>
        <w:jc w:val="both"/>
        <w:rPr>
          <w:rFonts w:ascii="Arial" w:hAnsi="Arial" w:cs="Arial"/>
          <w:sz w:val="20"/>
        </w:rPr>
      </w:pPr>
      <w:r w:rsidRPr="00C33ADF">
        <w:rPr>
          <w:rFonts w:ascii="Arial" w:hAnsi="Arial" w:cs="Arial"/>
          <w:sz w:val="20"/>
        </w:rPr>
        <w:t>Chi arriva in Italia per la prima volta ha </w:t>
      </w:r>
      <w:r w:rsidRPr="008A1851">
        <w:rPr>
          <w:rFonts w:ascii="Arial" w:hAnsi="Arial" w:cs="Arial"/>
          <w:sz w:val="20"/>
        </w:rPr>
        <w:t xml:space="preserve">8 giorni lavorativi </w:t>
      </w:r>
      <w:r w:rsidR="005D1320" w:rsidRPr="00C33ADF">
        <w:rPr>
          <w:rFonts w:ascii="Arial" w:hAnsi="Arial" w:cs="Arial"/>
          <w:sz w:val="20"/>
        </w:rPr>
        <w:t xml:space="preserve">di tempo </w:t>
      </w:r>
      <w:r w:rsidRPr="008A1851">
        <w:rPr>
          <w:rFonts w:ascii="Arial" w:hAnsi="Arial" w:cs="Arial"/>
          <w:sz w:val="20"/>
        </w:rPr>
        <w:t>dal suo ingresso nel territorio dello Stato</w:t>
      </w:r>
      <w:r w:rsidRPr="00C33ADF">
        <w:rPr>
          <w:rFonts w:ascii="Arial" w:hAnsi="Arial" w:cs="Arial"/>
          <w:sz w:val="20"/>
        </w:rPr>
        <w:t> per chiedere il permesso di soggiorno che deve essere richiesto al Questore della provincia in cui lo straniero intende soggiornare, in determinat</w:t>
      </w:r>
      <w:r w:rsidR="00221D2A">
        <w:rPr>
          <w:rFonts w:ascii="Arial" w:hAnsi="Arial" w:cs="Arial"/>
          <w:sz w:val="20"/>
        </w:rPr>
        <w:t>i</w:t>
      </w:r>
      <w:r w:rsidRPr="00C33ADF">
        <w:rPr>
          <w:rFonts w:ascii="Arial" w:hAnsi="Arial" w:cs="Arial"/>
          <w:sz w:val="20"/>
        </w:rPr>
        <w:t xml:space="preserve"> </w:t>
      </w:r>
      <w:r w:rsidR="00221D2A">
        <w:rPr>
          <w:rFonts w:ascii="Arial" w:hAnsi="Arial" w:cs="Arial"/>
          <w:sz w:val="20"/>
        </w:rPr>
        <w:t>casi</w:t>
      </w:r>
      <w:r w:rsidRPr="00C33ADF">
        <w:rPr>
          <w:rFonts w:ascii="Arial" w:hAnsi="Arial" w:cs="Arial"/>
          <w:sz w:val="20"/>
        </w:rPr>
        <w:t>, anche tramite gli uffici postali abilitati.</w:t>
      </w:r>
    </w:p>
    <w:p w14:paraId="1D812252" w14:textId="77777777" w:rsidR="00B93C72" w:rsidRPr="00A76939" w:rsidRDefault="00B93C72" w:rsidP="00B93C72">
      <w:pPr>
        <w:spacing w:after="120"/>
        <w:jc w:val="both"/>
        <w:rPr>
          <w:rFonts w:ascii="Arial" w:hAnsi="Arial" w:cs="Arial"/>
          <w:sz w:val="20"/>
        </w:rPr>
      </w:pPr>
      <w:r w:rsidRPr="00A76939">
        <w:rPr>
          <w:rFonts w:ascii="Arial" w:hAnsi="Arial" w:cs="Arial"/>
          <w:sz w:val="20"/>
        </w:rPr>
        <w:t>Dai primi anni Novanta fino al 2007 l'Istat ha diffuso dati sui permessi di soggiorno elaborati a partire dai dati forniti dal Ministero dell'Interno. Dal 2008 l'Istat elabora una nuova serie sui cittadini non comunitari in cui non sono più compresi i cittadini comunitari, tra i quali anche i “nuovi” cittadini dell'Unione europea (come rumeni e bulgari), per i quali, dal 27 marzo 2007, non è più previsto il rilascio del documento di soggiorno.</w:t>
      </w:r>
    </w:p>
    <w:p w14:paraId="350E07EE" w14:textId="21CBA32A" w:rsidR="00B93C72" w:rsidRPr="00A76939" w:rsidRDefault="00B93C72" w:rsidP="002449A9">
      <w:pPr>
        <w:spacing w:after="120"/>
        <w:jc w:val="both"/>
        <w:rPr>
          <w:rFonts w:ascii="Arial" w:hAnsi="Arial" w:cs="Arial"/>
          <w:sz w:val="20"/>
        </w:rPr>
      </w:pPr>
      <w:r w:rsidRPr="00A76939">
        <w:rPr>
          <w:rFonts w:ascii="Arial" w:hAnsi="Arial" w:cs="Arial"/>
          <w:sz w:val="20"/>
        </w:rPr>
        <w:t xml:space="preserve">Dall’entrata in vigore del Regolamento (CE) 862/2007, relativo alle statistiche comunitarie in materia di migrazione e di protezione internazionale, l’Istat sta, inoltre, collaborando con il Ministero dell’Interno per il miglioramento della qualità dei dati diffusi a partire dalle informazioni raccolte attraverso i permessi di soggiorno. Ciò ha condotto, negli anni, a una revisione dei criteri di elaborazione dei dati, basata sulle indicazioni fornite da Eurostat per l’utilizzo statistico dei dati dei permessi di soggiorno. </w:t>
      </w:r>
      <w:r w:rsidR="00D931D6">
        <w:rPr>
          <w:rFonts w:ascii="Arial" w:hAnsi="Arial" w:cs="Arial"/>
          <w:sz w:val="20"/>
        </w:rPr>
        <w:t xml:space="preserve">I dati forniti ad Istat dal Ministero riguardano essenzialmente lo stock di </w:t>
      </w:r>
      <w:r w:rsidR="00B25ED6">
        <w:rPr>
          <w:rFonts w:ascii="Arial" w:hAnsi="Arial" w:cs="Arial"/>
          <w:sz w:val="20"/>
        </w:rPr>
        <w:t xml:space="preserve">permessi di soggiorno validi alla fine dell’anno </w:t>
      </w:r>
      <w:r w:rsidR="00D931D6">
        <w:rPr>
          <w:rFonts w:ascii="Arial" w:hAnsi="Arial" w:cs="Arial"/>
          <w:sz w:val="20"/>
        </w:rPr>
        <w:t>e i flussi</w:t>
      </w:r>
      <w:r w:rsidR="00B25ED6">
        <w:rPr>
          <w:rFonts w:ascii="Arial" w:hAnsi="Arial" w:cs="Arial"/>
          <w:sz w:val="20"/>
        </w:rPr>
        <w:t xml:space="preserve"> di nuovi rilasci di permessi avvenuto durante l’anno. </w:t>
      </w:r>
      <w:r w:rsidR="00411E8C">
        <w:rPr>
          <w:rFonts w:ascii="Arial" w:hAnsi="Arial" w:cs="Arial"/>
          <w:sz w:val="20"/>
        </w:rPr>
        <w:t xml:space="preserve">L’Istat elabora e valida il dataset anche per la fornitura dei dati previsti dal Regolamento ad Eurostat. </w:t>
      </w:r>
      <w:r w:rsidR="00D931D6">
        <w:rPr>
          <w:rFonts w:ascii="Arial" w:hAnsi="Arial" w:cs="Arial"/>
          <w:sz w:val="20"/>
        </w:rPr>
        <w:t xml:space="preserve"> </w:t>
      </w:r>
    </w:p>
    <w:p w14:paraId="7653075B" w14:textId="203A4F08" w:rsidR="00B93C72" w:rsidRDefault="00B93C72" w:rsidP="00B93C72">
      <w:pPr>
        <w:spacing w:after="120"/>
        <w:jc w:val="both"/>
        <w:rPr>
          <w:rFonts w:ascii="Arial" w:hAnsi="Arial" w:cs="Arial"/>
          <w:sz w:val="20"/>
        </w:rPr>
      </w:pPr>
      <w:r w:rsidRPr="00A76939">
        <w:rPr>
          <w:rFonts w:ascii="Arial" w:hAnsi="Arial" w:cs="Arial"/>
          <w:sz w:val="20"/>
        </w:rPr>
        <w:t>Per quanto concerne le acquisizioni di cittadinanza l’Istat a partire dai dati riferiti al 2011 realizza delle stime utilizzate anche per la fornitura ad Eurostat dei dati richiesti in base al Regolamento 862/2007 relativo alle statistiche comunitarie in materia di migrazione e di protezione internazionale. Le stime vengono elaborate a partire da un ampio set di informazioni costituito: a) dalla rilevazione di fonte amministrativa dei giuramenti e delle concessioni di cittadinanza gestita dal Ministero dell’Interno,</w:t>
      </w:r>
      <w:r w:rsidR="008B207D">
        <w:rPr>
          <w:rFonts w:ascii="Arial" w:hAnsi="Arial" w:cs="Arial"/>
          <w:sz w:val="20"/>
        </w:rPr>
        <w:t xml:space="preserve"> </w:t>
      </w:r>
      <w:r w:rsidR="00E55379">
        <w:rPr>
          <w:rFonts w:ascii="Arial" w:hAnsi="Arial" w:cs="Arial"/>
          <w:sz w:val="20"/>
        </w:rPr>
        <w:t xml:space="preserve">b) </w:t>
      </w:r>
      <w:r w:rsidRPr="00A76939">
        <w:rPr>
          <w:rFonts w:ascii="Arial" w:hAnsi="Arial" w:cs="Arial"/>
          <w:sz w:val="20"/>
        </w:rPr>
        <w:t>dal</w:t>
      </w:r>
      <w:r w:rsidR="00106D35">
        <w:rPr>
          <w:rFonts w:ascii="Arial" w:hAnsi="Arial" w:cs="Arial"/>
          <w:sz w:val="20"/>
        </w:rPr>
        <w:t xml:space="preserve"> Registro Base degli Individui</w:t>
      </w:r>
      <w:r w:rsidRPr="00A76939">
        <w:rPr>
          <w:rFonts w:ascii="Arial" w:hAnsi="Arial" w:cs="Arial"/>
          <w:sz w:val="20"/>
        </w:rPr>
        <w:t xml:space="preserve"> </w:t>
      </w:r>
      <w:r w:rsidR="000A0626">
        <w:rPr>
          <w:rFonts w:ascii="Arial" w:hAnsi="Arial" w:cs="Arial"/>
          <w:sz w:val="20"/>
        </w:rPr>
        <w:t>c) da</w:t>
      </w:r>
      <w:r w:rsidR="004E1735">
        <w:rPr>
          <w:rFonts w:ascii="Arial" w:hAnsi="Arial" w:cs="Arial"/>
          <w:sz w:val="20"/>
        </w:rPr>
        <w:t>lla rilevazione delle iscrizioni e cancellazioni anagrafiche</w:t>
      </w:r>
      <w:r w:rsidR="000A0626">
        <w:rPr>
          <w:rFonts w:ascii="Arial" w:hAnsi="Arial" w:cs="Arial"/>
          <w:sz w:val="20"/>
        </w:rPr>
        <w:t>.</w:t>
      </w:r>
    </w:p>
    <w:p w14:paraId="68A58268" w14:textId="4404E9DB" w:rsidR="00273747" w:rsidRPr="00BE0AE4" w:rsidRDefault="00FA2194" w:rsidP="00BE0AE4">
      <w:pPr>
        <w:pStyle w:val="NormaleWeb"/>
        <w:shd w:val="clear" w:color="auto" w:fill="FFFFFF"/>
        <w:spacing w:before="0" w:beforeAutospacing="0" w:after="150" w:afterAutospacing="0"/>
        <w:jc w:val="both"/>
        <w:rPr>
          <w:rFonts w:ascii="Arial" w:hAnsi="Arial" w:cs="Arial"/>
          <w:sz w:val="20"/>
        </w:rPr>
      </w:pPr>
      <w:r>
        <w:rPr>
          <w:rFonts w:ascii="Arial" w:hAnsi="Arial" w:cs="Arial"/>
          <w:sz w:val="20"/>
        </w:rPr>
        <w:t xml:space="preserve">Per le richieste asilo e le relative decisioni si fa riferimento ai dati diffusi da Eurostat: </w:t>
      </w:r>
      <w:r w:rsidRPr="00FA2194">
        <w:rPr>
          <w:rFonts w:ascii="Arial" w:hAnsi="Arial" w:cs="Arial"/>
          <w:sz w:val="20"/>
        </w:rPr>
        <w:t>https://ec.europa.eu/eurostat/web/migration-asylum/asylum/database</w:t>
      </w:r>
    </w:p>
    <w:p w14:paraId="6A4E1C5A" w14:textId="77777777" w:rsidR="00B93C72" w:rsidRPr="00A76939" w:rsidRDefault="00B93C72" w:rsidP="00B93C72">
      <w:pPr>
        <w:spacing w:after="120"/>
        <w:jc w:val="both"/>
        <w:rPr>
          <w:rFonts w:ascii="Arial" w:hAnsi="Arial" w:cs="Arial"/>
          <w:b/>
          <w:color w:val="1F497D"/>
          <w:sz w:val="22"/>
          <w:szCs w:val="22"/>
        </w:rPr>
      </w:pPr>
      <w:r w:rsidRPr="00A76939">
        <w:rPr>
          <w:rFonts w:ascii="Arial" w:hAnsi="Arial" w:cs="Arial"/>
          <w:b/>
          <w:color w:val="1F497D"/>
          <w:sz w:val="22"/>
          <w:szCs w:val="22"/>
        </w:rPr>
        <w:lastRenderedPageBreak/>
        <w:t>Processo di validazione e ricodifica</w:t>
      </w:r>
    </w:p>
    <w:p w14:paraId="51A290EB" w14:textId="77777777" w:rsidR="00B93C72" w:rsidRPr="00A76939" w:rsidRDefault="00B93C72" w:rsidP="00B93C72">
      <w:pPr>
        <w:spacing w:after="120"/>
        <w:jc w:val="both"/>
        <w:rPr>
          <w:rFonts w:ascii="Arial" w:hAnsi="Arial" w:cs="Arial"/>
          <w:sz w:val="20"/>
        </w:rPr>
      </w:pPr>
      <w:r w:rsidRPr="00A76939">
        <w:rPr>
          <w:rFonts w:ascii="Arial" w:hAnsi="Arial" w:cs="Arial"/>
          <w:sz w:val="20"/>
        </w:rPr>
        <w:t xml:space="preserve">Per quanto riguarda i permessi di soggiorno la procedura di validazione dei dati viene condotta attraverso controlli di coerenza interni e con altre fonti. Particolare cura viene dedicata all’individuazione di permessi duplicati e di individui che non appartengono più al collettivo di riferimento. Le procedure di </w:t>
      </w:r>
      <w:r w:rsidRPr="00A2284C">
        <w:rPr>
          <w:rFonts w:ascii="Arial" w:hAnsi="Arial" w:cs="Arial"/>
          <w:i/>
          <w:sz w:val="20"/>
        </w:rPr>
        <w:t>record linkage</w:t>
      </w:r>
      <w:r w:rsidRPr="00A76939">
        <w:rPr>
          <w:rFonts w:ascii="Arial" w:hAnsi="Arial" w:cs="Arial"/>
          <w:sz w:val="20"/>
        </w:rPr>
        <w:t xml:space="preserve"> effettuato con dati provenienti da archivi differenti hanno consentito, nel tempo, di migliorare l’accuratezza dei dati dell’archivio dei permessi di soggiorno. Il </w:t>
      </w:r>
      <w:r w:rsidRPr="00A2284C">
        <w:rPr>
          <w:rFonts w:ascii="Arial" w:hAnsi="Arial" w:cs="Arial"/>
          <w:i/>
          <w:sz w:val="20"/>
        </w:rPr>
        <w:t>linkage</w:t>
      </w:r>
      <w:r w:rsidRPr="00A76939">
        <w:rPr>
          <w:rFonts w:ascii="Arial" w:hAnsi="Arial" w:cs="Arial"/>
          <w:sz w:val="20"/>
        </w:rPr>
        <w:t xml:space="preserve"> con l’archivio delle acquisizioni di cittadinanza (cfr. sotto) ad esempio ha consentito di eliminare più tempestivamente dal dataset coloro che, pur avendo acquisito la cittadinanza italiana, non sono ancora stati cancellati dall’archivio dei permessi di soggiorno.</w:t>
      </w:r>
    </w:p>
    <w:p w14:paraId="649E7A9C" w14:textId="5AB8F528" w:rsidR="00B93C72" w:rsidRPr="00A76939" w:rsidRDefault="00B93C72" w:rsidP="00B93C72">
      <w:pPr>
        <w:spacing w:after="120"/>
        <w:jc w:val="both"/>
        <w:rPr>
          <w:rFonts w:ascii="Arial" w:hAnsi="Arial" w:cs="Arial"/>
          <w:sz w:val="20"/>
        </w:rPr>
      </w:pPr>
      <w:r w:rsidRPr="00A76939">
        <w:rPr>
          <w:rFonts w:ascii="Arial" w:hAnsi="Arial" w:cs="Arial"/>
          <w:sz w:val="20"/>
        </w:rPr>
        <w:t>Alla fine delle procedure di controllo si opera una ricodifica delle variabili in base alle classificazioni ufficiali diffuse dall’Istituto.</w:t>
      </w:r>
    </w:p>
    <w:p w14:paraId="66CEF4DB" w14:textId="7FC49AFE" w:rsidR="00E24875" w:rsidRDefault="00B93C72" w:rsidP="00FA2194">
      <w:pPr>
        <w:spacing w:after="120"/>
        <w:jc w:val="both"/>
        <w:rPr>
          <w:rFonts w:ascii="Arial" w:hAnsi="Arial" w:cs="Arial"/>
          <w:sz w:val="20"/>
        </w:rPr>
      </w:pPr>
      <w:r w:rsidRPr="00A76939">
        <w:rPr>
          <w:rFonts w:ascii="Arial" w:hAnsi="Arial" w:cs="Arial"/>
          <w:sz w:val="20"/>
        </w:rPr>
        <w:t>Anche per le acquisizioni di cittadinanza, prima di procedere alle stime, vengono effettuati controlli di coerenza interna e tra le tre diverse fonti utilizzate.</w:t>
      </w:r>
    </w:p>
    <w:p w14:paraId="06BA809C" w14:textId="77777777" w:rsidR="00273747" w:rsidRPr="00604DCE" w:rsidRDefault="00273747" w:rsidP="00B93C72">
      <w:pPr>
        <w:spacing w:after="120"/>
        <w:jc w:val="both"/>
        <w:rPr>
          <w:rFonts w:ascii="Arial" w:hAnsi="Arial" w:cs="Arial"/>
          <w:sz w:val="8"/>
        </w:rPr>
      </w:pPr>
    </w:p>
    <w:p w14:paraId="607BF735" w14:textId="77777777" w:rsidR="00B93C72" w:rsidRPr="00A76939" w:rsidRDefault="00B93C72" w:rsidP="00B93C72">
      <w:pPr>
        <w:spacing w:after="120"/>
        <w:jc w:val="both"/>
        <w:rPr>
          <w:rFonts w:ascii="Arial" w:hAnsi="Arial" w:cs="Arial"/>
          <w:b/>
          <w:color w:val="1F497D"/>
          <w:sz w:val="22"/>
          <w:szCs w:val="22"/>
        </w:rPr>
      </w:pPr>
      <w:r w:rsidRPr="00A76939">
        <w:rPr>
          <w:rFonts w:ascii="Arial" w:hAnsi="Arial" w:cs="Arial"/>
          <w:b/>
          <w:color w:val="1F497D"/>
          <w:sz w:val="22"/>
          <w:szCs w:val="22"/>
        </w:rPr>
        <w:t>Procedure di stima</w:t>
      </w:r>
      <w:r>
        <w:rPr>
          <w:rFonts w:ascii="Arial" w:hAnsi="Arial" w:cs="Arial"/>
          <w:b/>
          <w:color w:val="1F497D"/>
          <w:sz w:val="22"/>
          <w:szCs w:val="22"/>
        </w:rPr>
        <w:t xml:space="preserve"> delle acquisizioni di cittadinanza</w:t>
      </w:r>
    </w:p>
    <w:p w14:paraId="0EC78665" w14:textId="77777777" w:rsidR="00B93C72" w:rsidRPr="00A76939" w:rsidRDefault="00B93C72" w:rsidP="00B93C72">
      <w:pPr>
        <w:spacing w:after="120"/>
        <w:jc w:val="both"/>
        <w:rPr>
          <w:rFonts w:ascii="Arial" w:hAnsi="Arial" w:cs="Arial"/>
          <w:sz w:val="20"/>
        </w:rPr>
      </w:pPr>
      <w:r w:rsidRPr="00A76939">
        <w:rPr>
          <w:rFonts w:ascii="Arial" w:hAnsi="Arial" w:cs="Arial"/>
          <w:sz w:val="20"/>
        </w:rPr>
        <w:t>Per quanto riguarda le acquisizioni di cittadinanza, anche al fine di rispondere alle esigenze del Regolamento (CE) 862/2007, art.4, l’Istat produce, a partire dai dati riferiti all’anno 2011, delle stime che consentono di avere informazioni sulle caratteristiche di coloro che acquisiscono la cittadinanza (cittadinanza precedente, sesso, età) e sulle modalità di acquisizione.</w:t>
      </w:r>
    </w:p>
    <w:p w14:paraId="7A78D0A7" w14:textId="3BE48D68" w:rsidR="00B93C72" w:rsidRDefault="007F16FC" w:rsidP="0031734F">
      <w:pPr>
        <w:spacing w:after="120"/>
        <w:jc w:val="both"/>
        <w:rPr>
          <w:rFonts w:ascii="Arial" w:hAnsi="Arial" w:cs="Arial"/>
          <w:sz w:val="20"/>
        </w:rPr>
      </w:pPr>
      <w:r>
        <w:rPr>
          <w:rFonts w:ascii="Arial" w:hAnsi="Arial" w:cs="Arial"/>
          <w:sz w:val="20"/>
        </w:rPr>
        <w:t>A partire dai dati riferiti al 2021 n</w:t>
      </w:r>
      <w:r w:rsidR="00974D66">
        <w:rPr>
          <w:rFonts w:ascii="Arial" w:hAnsi="Arial" w:cs="Arial"/>
          <w:sz w:val="20"/>
        </w:rPr>
        <w:t>el processo di stima vengono utilizzati sia i dati del Ministero relativi a</w:t>
      </w:r>
      <w:r w:rsidR="00EB5551">
        <w:rPr>
          <w:rFonts w:ascii="Arial" w:hAnsi="Arial" w:cs="Arial"/>
          <w:sz w:val="20"/>
        </w:rPr>
        <w:t>lle concessioni di cittadinanza e ai giuramenti, sia i dati dell’Istat relativi al registro base degli individui che ven</w:t>
      </w:r>
      <w:r w:rsidR="0031734F">
        <w:rPr>
          <w:rFonts w:ascii="Arial" w:hAnsi="Arial" w:cs="Arial"/>
          <w:sz w:val="20"/>
        </w:rPr>
        <w:t xml:space="preserve">gono poi integrati con dati provenienti </w:t>
      </w:r>
      <w:r w:rsidR="00C92FC8">
        <w:rPr>
          <w:rFonts w:ascii="Arial" w:hAnsi="Arial" w:cs="Arial"/>
          <w:sz w:val="20"/>
        </w:rPr>
        <w:t>anche da</w:t>
      </w:r>
      <w:r w:rsidR="0031734F">
        <w:rPr>
          <w:rFonts w:ascii="Arial" w:hAnsi="Arial" w:cs="Arial"/>
          <w:sz w:val="20"/>
        </w:rPr>
        <w:t xml:space="preserve"> altri dataset lavorati dall’Istituto di Statistica. </w:t>
      </w:r>
    </w:p>
    <w:p w14:paraId="4A11931E" w14:textId="77777777" w:rsidR="00273747" w:rsidRPr="00604DCE" w:rsidRDefault="00273747" w:rsidP="0031734F">
      <w:pPr>
        <w:spacing w:after="120"/>
        <w:jc w:val="both"/>
        <w:rPr>
          <w:rFonts w:ascii="Arial" w:hAnsi="Arial" w:cs="Arial"/>
          <w:sz w:val="6"/>
        </w:rPr>
      </w:pPr>
    </w:p>
    <w:p w14:paraId="5E0F3592" w14:textId="77777777" w:rsidR="008D2F5D" w:rsidRPr="00835446" w:rsidRDefault="008D2F5D" w:rsidP="008D2F5D">
      <w:pPr>
        <w:spacing w:after="120"/>
        <w:jc w:val="both"/>
        <w:rPr>
          <w:rFonts w:ascii="Arial" w:hAnsi="Arial" w:cs="Arial"/>
          <w:b/>
          <w:color w:val="1F497D"/>
          <w:sz w:val="22"/>
          <w:szCs w:val="22"/>
        </w:rPr>
      </w:pPr>
      <w:r w:rsidRPr="00835446">
        <w:rPr>
          <w:rFonts w:ascii="Arial" w:hAnsi="Arial" w:cs="Arial"/>
          <w:b/>
          <w:color w:val="1F497D"/>
          <w:sz w:val="22"/>
          <w:szCs w:val="22"/>
        </w:rPr>
        <w:t xml:space="preserve">Dettaglio territoriale </w:t>
      </w:r>
    </w:p>
    <w:p w14:paraId="088718A7" w14:textId="1F45B28D" w:rsidR="008D2F5D" w:rsidRDefault="008D2F5D" w:rsidP="008D2F5D">
      <w:pPr>
        <w:spacing w:after="120"/>
        <w:jc w:val="both"/>
        <w:rPr>
          <w:rFonts w:ascii="Arial" w:hAnsi="Arial" w:cs="Arial"/>
          <w:sz w:val="20"/>
        </w:rPr>
      </w:pPr>
      <w:r>
        <w:rPr>
          <w:rFonts w:ascii="Arial" w:hAnsi="Arial" w:cs="Arial"/>
          <w:sz w:val="20"/>
        </w:rPr>
        <w:t xml:space="preserve">I dati sono acquisiti dal Ministero dell’Interno con dettaglio individuale. </w:t>
      </w:r>
      <w:r w:rsidRPr="004C6A79">
        <w:rPr>
          <w:rFonts w:ascii="Arial" w:hAnsi="Arial" w:cs="Arial"/>
          <w:sz w:val="20"/>
        </w:rPr>
        <w:t xml:space="preserve">Le statistiche sono disponibili a livello nazionale, di ripartizione geografica, di regione e di provincia. </w:t>
      </w:r>
    </w:p>
    <w:p w14:paraId="4FDF9E18" w14:textId="77777777" w:rsidR="00273747" w:rsidRPr="00604DCE" w:rsidRDefault="00273747" w:rsidP="008D2F5D">
      <w:pPr>
        <w:spacing w:after="120"/>
        <w:jc w:val="both"/>
        <w:rPr>
          <w:rFonts w:ascii="Arial" w:hAnsi="Arial" w:cs="Arial"/>
          <w:sz w:val="8"/>
        </w:rPr>
      </w:pPr>
    </w:p>
    <w:p w14:paraId="41C986C0" w14:textId="77777777" w:rsidR="008D2F5D" w:rsidRPr="00835446" w:rsidRDefault="008D2F5D" w:rsidP="008D2F5D">
      <w:pPr>
        <w:spacing w:after="120"/>
        <w:jc w:val="both"/>
        <w:rPr>
          <w:rFonts w:ascii="Arial" w:hAnsi="Arial" w:cs="Arial"/>
          <w:b/>
          <w:color w:val="1F497D"/>
          <w:sz w:val="22"/>
          <w:szCs w:val="22"/>
        </w:rPr>
      </w:pPr>
      <w:r w:rsidRPr="00835446">
        <w:rPr>
          <w:rFonts w:ascii="Arial" w:hAnsi="Arial" w:cs="Arial"/>
          <w:b/>
          <w:color w:val="1F497D"/>
          <w:sz w:val="22"/>
          <w:szCs w:val="22"/>
        </w:rPr>
        <w:t xml:space="preserve">Tempestività </w:t>
      </w:r>
    </w:p>
    <w:p w14:paraId="6B43438C" w14:textId="50C0D483" w:rsidR="008D2F5D" w:rsidRDefault="008D2F5D" w:rsidP="008D2F5D">
      <w:pPr>
        <w:spacing w:after="120"/>
        <w:jc w:val="both"/>
        <w:rPr>
          <w:rFonts w:ascii="Arial" w:hAnsi="Arial" w:cs="Arial"/>
          <w:sz w:val="20"/>
        </w:rPr>
      </w:pPr>
      <w:r w:rsidRPr="004C6A79">
        <w:rPr>
          <w:rFonts w:ascii="Arial" w:hAnsi="Arial" w:cs="Arial"/>
          <w:sz w:val="20"/>
        </w:rPr>
        <w:t>I dati relativi all’anno 202</w:t>
      </w:r>
      <w:r>
        <w:rPr>
          <w:rFonts w:ascii="Arial" w:hAnsi="Arial" w:cs="Arial"/>
          <w:sz w:val="20"/>
        </w:rPr>
        <w:t>4</w:t>
      </w:r>
      <w:r w:rsidRPr="004C6A79">
        <w:rPr>
          <w:rFonts w:ascii="Arial" w:hAnsi="Arial" w:cs="Arial"/>
          <w:sz w:val="20"/>
        </w:rPr>
        <w:t xml:space="preserve"> sono diffusi a circa </w:t>
      </w:r>
      <w:r>
        <w:rPr>
          <w:rFonts w:ascii="Arial" w:hAnsi="Arial" w:cs="Arial"/>
          <w:sz w:val="20"/>
        </w:rPr>
        <w:t>10</w:t>
      </w:r>
      <w:r w:rsidRPr="004C6A79">
        <w:rPr>
          <w:rFonts w:ascii="Arial" w:hAnsi="Arial" w:cs="Arial"/>
          <w:sz w:val="20"/>
        </w:rPr>
        <w:t xml:space="preserve"> mesi di distanza. </w:t>
      </w:r>
    </w:p>
    <w:p w14:paraId="10A57E9C" w14:textId="77777777" w:rsidR="00273747" w:rsidRPr="00604DCE" w:rsidRDefault="00273747" w:rsidP="008D2F5D">
      <w:pPr>
        <w:spacing w:after="120"/>
        <w:jc w:val="both"/>
        <w:rPr>
          <w:rFonts w:ascii="Arial" w:hAnsi="Arial" w:cs="Arial"/>
          <w:sz w:val="6"/>
        </w:rPr>
      </w:pPr>
    </w:p>
    <w:p w14:paraId="0E833CDC" w14:textId="77777777" w:rsidR="008D2F5D" w:rsidRPr="00835446" w:rsidRDefault="008D2F5D" w:rsidP="008D2F5D">
      <w:pPr>
        <w:spacing w:after="120"/>
        <w:jc w:val="both"/>
        <w:rPr>
          <w:rFonts w:ascii="Arial" w:hAnsi="Arial" w:cs="Arial"/>
          <w:b/>
          <w:color w:val="1F497D"/>
          <w:sz w:val="22"/>
          <w:szCs w:val="22"/>
        </w:rPr>
      </w:pPr>
      <w:r w:rsidRPr="00835446">
        <w:rPr>
          <w:rFonts w:ascii="Arial" w:hAnsi="Arial" w:cs="Arial"/>
          <w:b/>
          <w:color w:val="1F497D"/>
          <w:sz w:val="22"/>
          <w:szCs w:val="22"/>
        </w:rPr>
        <w:t>Diffusione</w:t>
      </w:r>
    </w:p>
    <w:p w14:paraId="5BC28615" w14:textId="4037D02F" w:rsidR="008D2F5D" w:rsidRPr="00E016A0" w:rsidRDefault="008D2F5D" w:rsidP="008D2F5D">
      <w:pPr>
        <w:spacing w:after="120"/>
        <w:jc w:val="both"/>
        <w:rPr>
          <w:rFonts w:ascii="Arial" w:hAnsi="Arial" w:cs="Arial"/>
          <w:sz w:val="20"/>
        </w:rPr>
      </w:pPr>
      <w:r w:rsidRPr="004C6A79">
        <w:rPr>
          <w:rFonts w:ascii="Arial" w:hAnsi="Arial" w:cs="Arial"/>
          <w:sz w:val="20"/>
        </w:rPr>
        <w:t>Le statistiche su</w:t>
      </w:r>
      <w:r>
        <w:rPr>
          <w:rFonts w:ascii="Arial" w:hAnsi="Arial" w:cs="Arial"/>
          <w:sz w:val="20"/>
        </w:rPr>
        <w:t xml:space="preserve">i permessi di soggiorno e le acquisizioni di cittadinanza </w:t>
      </w:r>
      <w:r w:rsidRPr="004C6A79">
        <w:rPr>
          <w:rFonts w:ascii="Arial" w:hAnsi="Arial" w:cs="Arial"/>
          <w:sz w:val="20"/>
        </w:rPr>
        <w:t xml:space="preserve">sono regolarmente diffuse su Istat.it oltre che sul sito tematico https://demo.istat.it/. Inoltre, a conclusione del processo produttivo, con cadenza annuale, i risultati ottenuti vengono pubblicati </w:t>
      </w:r>
      <w:r>
        <w:rPr>
          <w:rFonts w:ascii="Arial" w:hAnsi="Arial" w:cs="Arial"/>
          <w:sz w:val="20"/>
        </w:rPr>
        <w:t xml:space="preserve">annualmente </w:t>
      </w:r>
      <w:r w:rsidRPr="004C6A79">
        <w:rPr>
          <w:rFonts w:ascii="Arial" w:hAnsi="Arial" w:cs="Arial"/>
          <w:sz w:val="20"/>
        </w:rPr>
        <w:t xml:space="preserve">attraverso la </w:t>
      </w:r>
      <w:r>
        <w:rPr>
          <w:rFonts w:ascii="Arial" w:hAnsi="Arial" w:cs="Arial"/>
          <w:sz w:val="20"/>
        </w:rPr>
        <w:t xml:space="preserve">presente </w:t>
      </w:r>
      <w:r w:rsidRPr="004C6A79">
        <w:rPr>
          <w:rFonts w:ascii="Arial" w:hAnsi="Arial" w:cs="Arial"/>
          <w:sz w:val="20"/>
        </w:rPr>
        <w:t>Statistica Report</w:t>
      </w:r>
      <w:r w:rsidR="008C0641">
        <w:rPr>
          <w:rFonts w:ascii="Arial" w:hAnsi="Arial" w:cs="Arial"/>
          <w:sz w:val="20"/>
        </w:rPr>
        <w:t xml:space="preserve"> sui “Cittadini non comunitari in Italia”</w:t>
      </w:r>
      <w:r w:rsidRPr="004C6A79">
        <w:rPr>
          <w:rFonts w:ascii="Arial" w:hAnsi="Arial" w:cs="Arial"/>
          <w:sz w:val="20"/>
        </w:rPr>
        <w:t xml:space="preserve">. </w:t>
      </w:r>
      <w:r w:rsidR="00723B99">
        <w:rPr>
          <w:rFonts w:ascii="Arial" w:hAnsi="Arial" w:cs="Arial"/>
          <w:sz w:val="20"/>
        </w:rPr>
        <w:t>Alcuni</w:t>
      </w:r>
      <w:r w:rsidRPr="004C6A79">
        <w:rPr>
          <w:rFonts w:ascii="Arial" w:hAnsi="Arial" w:cs="Arial"/>
          <w:sz w:val="20"/>
        </w:rPr>
        <w:t xml:space="preserve"> dei dati risultano consultabili anche sul sito di Eurostat in conformità al Regolamento europeo </w:t>
      </w:r>
      <w:r>
        <w:rPr>
          <w:rFonts w:ascii="Arial" w:hAnsi="Arial" w:cs="Arial"/>
          <w:sz w:val="20"/>
        </w:rPr>
        <w:t xml:space="preserve">862/2007 </w:t>
      </w:r>
      <w:r w:rsidRPr="002D0B4D">
        <w:rPr>
          <w:rFonts w:ascii="Arial" w:hAnsi="Arial" w:cs="Arial"/>
          <w:sz w:val="20"/>
        </w:rPr>
        <w:t>in materia di migrazione e di protezione internazionale</w:t>
      </w:r>
      <w:r w:rsidRPr="004C6A79">
        <w:rPr>
          <w:rFonts w:ascii="Arial" w:hAnsi="Arial" w:cs="Arial"/>
          <w:sz w:val="20"/>
        </w:rPr>
        <w:t xml:space="preserve">. </w:t>
      </w:r>
      <w:r w:rsidR="005353A3">
        <w:rPr>
          <w:rFonts w:ascii="Arial" w:hAnsi="Arial" w:cs="Arial"/>
          <w:sz w:val="20"/>
        </w:rPr>
        <w:t>I dati vengono forniti a INPS ed INAIL</w:t>
      </w:r>
      <w:r w:rsidR="00D67F92">
        <w:rPr>
          <w:rFonts w:ascii="Arial" w:hAnsi="Arial" w:cs="Arial"/>
          <w:sz w:val="20"/>
        </w:rPr>
        <w:t xml:space="preserve">, come previsto dal </w:t>
      </w:r>
      <w:r w:rsidR="007B7C26">
        <w:rPr>
          <w:rFonts w:ascii="Arial" w:hAnsi="Arial" w:cs="Arial"/>
          <w:sz w:val="20"/>
        </w:rPr>
        <w:t>programma statistico nazionale,</w:t>
      </w:r>
      <w:r w:rsidR="005353A3">
        <w:rPr>
          <w:rFonts w:ascii="Arial" w:hAnsi="Arial" w:cs="Arial"/>
          <w:sz w:val="20"/>
        </w:rPr>
        <w:t xml:space="preserve"> per il trattamento nell’ambito dei loro processi di ela</w:t>
      </w:r>
      <w:r w:rsidR="00D67F92">
        <w:rPr>
          <w:rFonts w:ascii="Arial" w:hAnsi="Arial" w:cs="Arial"/>
          <w:sz w:val="20"/>
        </w:rPr>
        <w:t xml:space="preserve">borazione statistica dei loro rispettivi dati. </w:t>
      </w:r>
      <w:r w:rsidR="00723B99">
        <w:rPr>
          <w:rFonts w:ascii="Arial" w:hAnsi="Arial" w:cs="Arial"/>
          <w:sz w:val="20"/>
        </w:rPr>
        <w:t>Parte</w:t>
      </w:r>
      <w:r w:rsidRPr="004C6A79">
        <w:rPr>
          <w:rFonts w:ascii="Arial" w:hAnsi="Arial" w:cs="Arial"/>
          <w:sz w:val="20"/>
        </w:rPr>
        <w:t xml:space="preserve"> degli output </w:t>
      </w:r>
      <w:r w:rsidR="00723B99">
        <w:rPr>
          <w:rFonts w:ascii="Arial" w:hAnsi="Arial" w:cs="Arial"/>
          <w:sz w:val="20"/>
        </w:rPr>
        <w:t>è diffusa</w:t>
      </w:r>
      <w:r w:rsidRPr="004C6A79">
        <w:rPr>
          <w:rFonts w:ascii="Arial" w:hAnsi="Arial" w:cs="Arial"/>
          <w:sz w:val="20"/>
        </w:rPr>
        <w:t xml:space="preserve"> nelle pubblicazioni “Annuario statistico italiano”, “Rapporto Annuale”. </w:t>
      </w:r>
      <w:r w:rsidR="007B7C26">
        <w:rPr>
          <w:rFonts w:ascii="Arial" w:hAnsi="Arial" w:cs="Arial"/>
          <w:sz w:val="20"/>
        </w:rPr>
        <w:t xml:space="preserve">Elaborazioni dei dati vengono fornite al Ministero dell’Interno e al Ministero del Lavoro e delle Politiche Sociali. </w:t>
      </w:r>
      <w:r w:rsidRPr="004C6A79">
        <w:rPr>
          <w:rFonts w:ascii="Arial" w:hAnsi="Arial" w:cs="Arial"/>
          <w:sz w:val="20"/>
        </w:rPr>
        <w:t xml:space="preserve">I dati elementari </w:t>
      </w:r>
      <w:r>
        <w:rPr>
          <w:rFonts w:ascii="Arial" w:hAnsi="Arial" w:cs="Arial"/>
          <w:sz w:val="20"/>
        </w:rPr>
        <w:t xml:space="preserve">dei permessi di soggiorno, resi anonimi, sono accessibili presso il Laboratorio ADELE. </w:t>
      </w:r>
    </w:p>
    <w:p w14:paraId="09ABB475" w14:textId="77777777" w:rsidR="00B93C72" w:rsidRPr="008A1851" w:rsidRDefault="00B93C72" w:rsidP="00A82F33">
      <w:pPr>
        <w:jc w:val="both"/>
        <w:rPr>
          <w:rFonts w:ascii="Arial" w:hAnsi="Arial" w:cs="Arial"/>
          <w:sz w:val="2"/>
        </w:rPr>
      </w:pPr>
    </w:p>
    <w:p w14:paraId="0ECBDC8B" w14:textId="122CEFF4" w:rsidR="00B93C72" w:rsidRDefault="005D45E1" w:rsidP="00B93C72">
      <w:pPr>
        <w:pStyle w:val="NormaleWeb"/>
        <w:spacing w:before="120" w:beforeAutospacing="0" w:after="120" w:afterAutospacing="0"/>
        <w:rPr>
          <w:rFonts w:ascii="Georgia" w:hAnsi="Georgia"/>
          <w:bCs/>
          <w:color w:val="1F497D" w:themeColor="text2"/>
          <w:sz w:val="36"/>
          <w:szCs w:val="36"/>
        </w:rPr>
      </w:pPr>
      <w:r w:rsidRPr="005D45E1">
        <w:rPr>
          <w:rFonts w:ascii="Georgia" w:hAnsi="Georgia"/>
          <w:bCs/>
          <w:color w:val="1F497D" w:themeColor="text2"/>
          <w:sz w:val="36"/>
          <w:szCs w:val="36"/>
        </w:rPr>
        <w:t>Per chiarimenti tecnici e metodologici</w:t>
      </w:r>
    </w:p>
    <w:tbl>
      <w:tblPr>
        <w:tblStyle w:val="Grigliatabel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5"/>
        <w:gridCol w:w="2835"/>
      </w:tblGrid>
      <w:tr w:rsidR="00D14E7A" w:rsidRPr="00553090" w14:paraId="38AD0B52" w14:textId="3CDA6288" w:rsidTr="008A1851">
        <w:tc>
          <w:tcPr>
            <w:tcW w:w="3119" w:type="dxa"/>
          </w:tcPr>
          <w:p w14:paraId="1983920A" w14:textId="77777777" w:rsidR="00D14E7A" w:rsidRPr="00553090" w:rsidRDefault="00D14E7A" w:rsidP="00285747">
            <w:pPr>
              <w:pStyle w:val="NormaleWeb"/>
              <w:spacing w:before="0" w:beforeAutospacing="0" w:after="0" w:afterAutospacing="0"/>
              <w:rPr>
                <w:rFonts w:ascii="Arial" w:hAnsi="Arial" w:cs="Arial"/>
                <w:b/>
                <w:bCs/>
                <w:color w:val="1F497D"/>
                <w:sz w:val="22"/>
                <w:szCs w:val="22"/>
              </w:rPr>
            </w:pPr>
            <w:r w:rsidRPr="00553090">
              <w:rPr>
                <w:rFonts w:ascii="Arial" w:hAnsi="Arial" w:cs="Arial"/>
                <w:b/>
                <w:bCs/>
                <w:color w:val="1F497D"/>
                <w:sz w:val="22"/>
                <w:szCs w:val="22"/>
              </w:rPr>
              <w:t>Eugenia Bellini</w:t>
            </w:r>
          </w:p>
          <w:p w14:paraId="6BC62360" w14:textId="2DC2D76C" w:rsidR="008A6E86" w:rsidRPr="005869D1" w:rsidRDefault="008A6E86" w:rsidP="00285747">
            <w:pPr>
              <w:pStyle w:val="NormaleWeb"/>
              <w:spacing w:before="0" w:beforeAutospacing="0" w:after="0" w:afterAutospacing="0"/>
              <w:rPr>
                <w:rFonts w:ascii="Arial" w:hAnsi="Arial" w:cs="Arial"/>
                <w:color w:val="1F497D"/>
                <w:sz w:val="22"/>
                <w:szCs w:val="22"/>
              </w:rPr>
            </w:pPr>
            <w:r w:rsidRPr="005869D1">
              <w:rPr>
                <w:rFonts w:ascii="Arial" w:hAnsi="Arial" w:cs="Arial"/>
                <w:color w:val="1F497D"/>
                <w:sz w:val="22"/>
                <w:szCs w:val="22"/>
              </w:rPr>
              <w:t>06 4673.7599</w:t>
            </w:r>
          </w:p>
          <w:p w14:paraId="35078CE9" w14:textId="1A979651" w:rsidR="00D14E7A" w:rsidRPr="00553090" w:rsidRDefault="002057A7">
            <w:pPr>
              <w:pStyle w:val="NormaleWeb"/>
              <w:spacing w:before="0" w:beforeAutospacing="0" w:after="0" w:afterAutospacing="0"/>
              <w:rPr>
                <w:rFonts w:ascii="Arial" w:hAnsi="Arial" w:cs="Arial"/>
                <w:bCs/>
                <w:color w:val="1F497D"/>
                <w:sz w:val="22"/>
                <w:szCs w:val="22"/>
              </w:rPr>
            </w:pPr>
            <w:r>
              <w:rPr>
                <w:rFonts w:ascii="Arial" w:hAnsi="Arial" w:cs="Arial"/>
              </w:rPr>
              <w:t>eu</w:t>
            </w:r>
            <w:hyperlink r:id="rId31" w:history="1">
              <w:r w:rsidRPr="00711780">
                <w:rPr>
                  <w:rStyle w:val="Collegamentoipertestuale"/>
                  <w:rFonts w:ascii="Arial" w:hAnsi="Arial" w:cs="Arial"/>
                </w:rPr>
                <w:t>bellini@istat.it</w:t>
              </w:r>
            </w:hyperlink>
          </w:p>
        </w:tc>
        <w:tc>
          <w:tcPr>
            <w:tcW w:w="2835" w:type="dxa"/>
          </w:tcPr>
          <w:p w14:paraId="585F1777" w14:textId="77777777" w:rsidR="00D14E7A" w:rsidRPr="00553090" w:rsidRDefault="00D14E7A" w:rsidP="00923AE7">
            <w:pPr>
              <w:pStyle w:val="NormaleWeb"/>
              <w:spacing w:before="0" w:beforeAutospacing="0" w:after="0" w:afterAutospacing="0"/>
              <w:rPr>
                <w:rFonts w:ascii="Arial" w:hAnsi="Arial" w:cs="Arial"/>
                <w:b/>
                <w:bCs/>
                <w:color w:val="1F497D"/>
                <w:sz w:val="22"/>
                <w:szCs w:val="22"/>
              </w:rPr>
            </w:pPr>
            <w:r w:rsidRPr="00553090">
              <w:rPr>
                <w:rFonts w:ascii="Arial" w:hAnsi="Arial" w:cs="Arial"/>
                <w:b/>
                <w:bCs/>
                <w:color w:val="1F497D"/>
                <w:sz w:val="22"/>
                <w:szCs w:val="22"/>
              </w:rPr>
              <w:t>Cinzia Conti</w:t>
            </w:r>
          </w:p>
          <w:p w14:paraId="3EE21F38" w14:textId="77777777" w:rsidR="00894E20" w:rsidRPr="005869D1" w:rsidRDefault="00894E20" w:rsidP="00894E20">
            <w:pPr>
              <w:pStyle w:val="NormaleWeb"/>
              <w:spacing w:before="0" w:beforeAutospacing="0" w:after="0" w:afterAutospacing="0"/>
              <w:rPr>
                <w:rFonts w:ascii="Arial" w:hAnsi="Arial" w:cs="Arial"/>
                <w:color w:val="1F497D"/>
                <w:sz w:val="22"/>
                <w:szCs w:val="22"/>
              </w:rPr>
            </w:pPr>
            <w:r w:rsidRPr="005869D1">
              <w:rPr>
                <w:rFonts w:ascii="Arial" w:hAnsi="Arial" w:cs="Arial"/>
                <w:color w:val="1F497D"/>
                <w:sz w:val="22"/>
                <w:szCs w:val="22"/>
              </w:rPr>
              <w:t>06 4673.7366</w:t>
            </w:r>
          </w:p>
          <w:p w14:paraId="7DB58B47" w14:textId="1E29B1CD" w:rsidR="00D14E7A" w:rsidRPr="00553090" w:rsidRDefault="00884BBB">
            <w:pPr>
              <w:pStyle w:val="NormaleWeb"/>
              <w:spacing w:before="0" w:beforeAutospacing="0" w:after="0" w:afterAutospacing="0"/>
              <w:rPr>
                <w:rFonts w:ascii="Arial" w:hAnsi="Arial" w:cs="Arial"/>
                <w:bCs/>
                <w:iCs/>
                <w:color w:val="1F497D"/>
                <w:sz w:val="22"/>
                <w:szCs w:val="22"/>
              </w:rPr>
            </w:pPr>
            <w:hyperlink r:id="rId32" w:history="1">
              <w:r w:rsidR="00D14E7A" w:rsidRPr="00553090">
                <w:rPr>
                  <w:rStyle w:val="Collegamentoipertestuale"/>
                  <w:rFonts w:ascii="Arial" w:hAnsi="Arial" w:cs="Arial"/>
                  <w:bCs/>
                  <w:iCs/>
                  <w:sz w:val="22"/>
                  <w:szCs w:val="22"/>
                </w:rPr>
                <w:t>ciconti@istat.it</w:t>
              </w:r>
            </w:hyperlink>
          </w:p>
        </w:tc>
        <w:tc>
          <w:tcPr>
            <w:tcW w:w="2835" w:type="dxa"/>
          </w:tcPr>
          <w:p w14:paraId="11743E42" w14:textId="77777777" w:rsidR="00D14E7A" w:rsidRPr="00553090" w:rsidRDefault="00D14E7A" w:rsidP="00D14E7A">
            <w:pPr>
              <w:pStyle w:val="NormaleWeb"/>
              <w:spacing w:before="0" w:beforeAutospacing="0" w:after="0" w:afterAutospacing="0"/>
              <w:rPr>
                <w:rFonts w:ascii="Arial" w:hAnsi="Arial" w:cs="Arial"/>
                <w:b/>
                <w:bCs/>
                <w:color w:val="1F497D"/>
                <w:sz w:val="22"/>
                <w:szCs w:val="22"/>
              </w:rPr>
            </w:pPr>
            <w:r w:rsidRPr="00553090">
              <w:rPr>
                <w:rFonts w:ascii="Arial" w:hAnsi="Arial" w:cs="Arial"/>
                <w:b/>
                <w:bCs/>
                <w:color w:val="1F497D"/>
                <w:sz w:val="22"/>
                <w:szCs w:val="22"/>
              </w:rPr>
              <w:t xml:space="preserve">Fabio Massimo </w:t>
            </w:r>
            <w:proofErr w:type="spellStart"/>
            <w:r w:rsidRPr="00553090">
              <w:rPr>
                <w:rFonts w:ascii="Arial" w:hAnsi="Arial" w:cs="Arial"/>
                <w:b/>
                <w:bCs/>
                <w:color w:val="1F497D"/>
                <w:sz w:val="22"/>
                <w:szCs w:val="22"/>
              </w:rPr>
              <w:t>Rottino</w:t>
            </w:r>
            <w:proofErr w:type="spellEnd"/>
          </w:p>
          <w:p w14:paraId="1DA5A23B" w14:textId="750BC22A" w:rsidR="005D1320" w:rsidRPr="005869D1" w:rsidRDefault="005D1320" w:rsidP="00D14E7A">
            <w:pPr>
              <w:pStyle w:val="NormaleWeb"/>
              <w:spacing w:before="0" w:beforeAutospacing="0" w:after="0" w:afterAutospacing="0"/>
              <w:rPr>
                <w:rFonts w:ascii="Arial" w:hAnsi="Arial" w:cs="Arial"/>
                <w:color w:val="1F497D"/>
                <w:sz w:val="22"/>
                <w:szCs w:val="22"/>
              </w:rPr>
            </w:pPr>
            <w:r w:rsidRPr="005869D1">
              <w:rPr>
                <w:rFonts w:ascii="Arial" w:hAnsi="Arial" w:cs="Arial"/>
                <w:color w:val="1F497D"/>
                <w:sz w:val="22"/>
                <w:szCs w:val="22"/>
              </w:rPr>
              <w:t>06 4673.7589</w:t>
            </w:r>
          </w:p>
          <w:p w14:paraId="2102DA58" w14:textId="6F041A14" w:rsidR="00D14E7A" w:rsidRPr="00553090" w:rsidRDefault="00D14E7A" w:rsidP="00923AE7">
            <w:pPr>
              <w:pStyle w:val="NormaleWeb"/>
              <w:spacing w:before="0" w:beforeAutospacing="0" w:after="0" w:afterAutospacing="0"/>
              <w:rPr>
                <w:rFonts w:ascii="Arial" w:hAnsi="Arial" w:cs="Arial"/>
                <w:b/>
                <w:bCs/>
                <w:color w:val="1F497D"/>
                <w:sz w:val="22"/>
                <w:szCs w:val="22"/>
              </w:rPr>
            </w:pPr>
            <w:r w:rsidRPr="00553090">
              <w:rPr>
                <w:rStyle w:val="Collegamentoipertestuale"/>
                <w:rFonts w:ascii="Arial" w:hAnsi="Arial" w:cs="Arial"/>
                <w:sz w:val="22"/>
                <w:szCs w:val="22"/>
              </w:rPr>
              <w:t>rottino</w:t>
            </w:r>
            <w:hyperlink r:id="rId33" w:history="1">
              <w:r w:rsidRPr="00553090">
                <w:rPr>
                  <w:rStyle w:val="Collegamentoipertestuale"/>
                  <w:rFonts w:ascii="Arial" w:hAnsi="Arial" w:cs="Arial"/>
                  <w:sz w:val="22"/>
                  <w:szCs w:val="22"/>
                </w:rPr>
                <w:t>@istat.it</w:t>
              </w:r>
            </w:hyperlink>
          </w:p>
        </w:tc>
      </w:tr>
      <w:tr w:rsidR="00D14E7A" w:rsidRPr="00553090" w14:paraId="2C1BAA3F" w14:textId="057F1AC5" w:rsidTr="008A1851">
        <w:tc>
          <w:tcPr>
            <w:tcW w:w="3119" w:type="dxa"/>
          </w:tcPr>
          <w:p w14:paraId="24271314" w14:textId="77777777" w:rsidR="00D14E7A" w:rsidRPr="00553090" w:rsidRDefault="00D14E7A" w:rsidP="00D14E7A">
            <w:pPr>
              <w:pStyle w:val="NormaleWeb"/>
              <w:spacing w:before="0" w:beforeAutospacing="0" w:after="0" w:afterAutospacing="0"/>
              <w:rPr>
                <w:rFonts w:ascii="Arial" w:hAnsi="Arial" w:cs="Arial"/>
                <w:b/>
                <w:bCs/>
                <w:color w:val="1F497D"/>
                <w:sz w:val="22"/>
                <w:szCs w:val="22"/>
              </w:rPr>
            </w:pPr>
          </w:p>
          <w:p w14:paraId="291E2780" w14:textId="4956DB47" w:rsidR="00D14E7A" w:rsidRPr="00553090" w:rsidRDefault="00D14E7A" w:rsidP="00D14E7A">
            <w:pPr>
              <w:pStyle w:val="NormaleWeb"/>
              <w:spacing w:before="0" w:beforeAutospacing="0" w:after="0" w:afterAutospacing="0"/>
              <w:rPr>
                <w:rFonts w:ascii="Arial" w:hAnsi="Arial" w:cs="Arial"/>
                <w:b/>
                <w:bCs/>
                <w:color w:val="1F497D"/>
                <w:sz w:val="22"/>
                <w:szCs w:val="22"/>
              </w:rPr>
            </w:pPr>
            <w:r w:rsidRPr="00553090">
              <w:rPr>
                <w:rFonts w:ascii="Arial" w:hAnsi="Arial" w:cs="Arial"/>
                <w:b/>
                <w:bCs/>
                <w:color w:val="1F497D"/>
                <w:sz w:val="22"/>
                <w:szCs w:val="22"/>
              </w:rPr>
              <w:t>Roberto Petrillo</w:t>
            </w:r>
          </w:p>
          <w:p w14:paraId="163B6C4D" w14:textId="0890B6A0" w:rsidR="008A6E86" w:rsidRPr="005869D1" w:rsidRDefault="008A6E86" w:rsidP="00D14E7A">
            <w:pPr>
              <w:pStyle w:val="NormaleWeb"/>
              <w:spacing w:before="0" w:beforeAutospacing="0" w:after="0" w:afterAutospacing="0"/>
              <w:rPr>
                <w:rFonts w:ascii="Arial" w:hAnsi="Arial" w:cs="Arial"/>
                <w:color w:val="1F497D"/>
                <w:sz w:val="22"/>
                <w:szCs w:val="22"/>
              </w:rPr>
            </w:pPr>
            <w:r w:rsidRPr="005869D1">
              <w:rPr>
                <w:rFonts w:ascii="Arial" w:hAnsi="Arial" w:cs="Arial"/>
                <w:color w:val="1F497D"/>
                <w:sz w:val="22"/>
                <w:szCs w:val="22"/>
              </w:rPr>
              <w:t>06 4673.7560</w:t>
            </w:r>
          </w:p>
          <w:p w14:paraId="6A8A90CC" w14:textId="60DBC7F6" w:rsidR="00D14E7A" w:rsidRPr="00553090" w:rsidRDefault="00884BBB" w:rsidP="00D14E7A">
            <w:pPr>
              <w:pStyle w:val="NormaleWeb"/>
              <w:spacing w:before="0" w:beforeAutospacing="0" w:after="0" w:afterAutospacing="0"/>
              <w:rPr>
                <w:rFonts w:ascii="Arial" w:hAnsi="Arial" w:cs="Arial"/>
                <w:bCs/>
                <w:color w:val="1F497D"/>
                <w:sz w:val="22"/>
                <w:szCs w:val="22"/>
              </w:rPr>
            </w:pPr>
            <w:hyperlink r:id="rId34" w:history="1">
              <w:r w:rsidR="00D14E7A" w:rsidRPr="00553090">
                <w:rPr>
                  <w:rStyle w:val="Collegamentoipertestuale"/>
                  <w:rFonts w:ascii="Arial" w:hAnsi="Arial" w:cs="Arial"/>
                </w:rPr>
                <w:t>petrillo@istat.it</w:t>
              </w:r>
            </w:hyperlink>
          </w:p>
          <w:p w14:paraId="2672741B" w14:textId="6B605ADC" w:rsidR="00D14E7A" w:rsidRPr="00553090" w:rsidRDefault="00D14E7A" w:rsidP="00D14E7A">
            <w:pPr>
              <w:pStyle w:val="NormaleWeb"/>
              <w:spacing w:before="0" w:beforeAutospacing="0" w:after="0" w:afterAutospacing="0"/>
              <w:rPr>
                <w:rFonts w:ascii="Arial" w:hAnsi="Arial" w:cs="Arial"/>
                <w:bCs/>
                <w:color w:val="1F497D"/>
                <w:sz w:val="22"/>
                <w:szCs w:val="22"/>
              </w:rPr>
            </w:pPr>
          </w:p>
        </w:tc>
        <w:tc>
          <w:tcPr>
            <w:tcW w:w="2835" w:type="dxa"/>
          </w:tcPr>
          <w:p w14:paraId="6CFA4664" w14:textId="77777777" w:rsidR="00D14E7A" w:rsidRPr="00553090" w:rsidRDefault="00D14E7A" w:rsidP="00D14E7A">
            <w:pPr>
              <w:pStyle w:val="NormaleWeb"/>
              <w:spacing w:before="0" w:beforeAutospacing="0" w:after="0" w:afterAutospacing="0"/>
              <w:rPr>
                <w:rFonts w:ascii="Arial" w:hAnsi="Arial" w:cs="Arial"/>
                <w:b/>
                <w:iCs/>
                <w:color w:val="1F497D"/>
                <w:sz w:val="22"/>
                <w:szCs w:val="22"/>
              </w:rPr>
            </w:pPr>
          </w:p>
          <w:p w14:paraId="3F08472D" w14:textId="0884E2B7" w:rsidR="00D14E7A" w:rsidRPr="00553090" w:rsidRDefault="00D14E7A" w:rsidP="00D14E7A">
            <w:pPr>
              <w:pStyle w:val="NormaleWeb"/>
              <w:spacing w:before="0" w:beforeAutospacing="0" w:after="0" w:afterAutospacing="0"/>
              <w:rPr>
                <w:rFonts w:ascii="Arial" w:hAnsi="Arial" w:cs="Arial"/>
                <w:b/>
                <w:iCs/>
                <w:color w:val="1F497D"/>
                <w:sz w:val="22"/>
                <w:szCs w:val="22"/>
              </w:rPr>
            </w:pPr>
            <w:r w:rsidRPr="00553090">
              <w:rPr>
                <w:rFonts w:ascii="Arial" w:hAnsi="Arial" w:cs="Arial"/>
                <w:b/>
                <w:iCs/>
                <w:color w:val="1F497D"/>
                <w:sz w:val="22"/>
                <w:szCs w:val="22"/>
              </w:rPr>
              <w:t>Marco Rizzo</w:t>
            </w:r>
          </w:p>
          <w:p w14:paraId="50B6045E" w14:textId="74C8E104" w:rsidR="008A6E86" w:rsidRPr="005869D1" w:rsidRDefault="008A6E86" w:rsidP="00D14E7A">
            <w:pPr>
              <w:pStyle w:val="NormaleWeb"/>
              <w:spacing w:before="0" w:beforeAutospacing="0" w:after="0" w:afterAutospacing="0"/>
              <w:rPr>
                <w:rFonts w:ascii="Arial" w:hAnsi="Arial" w:cs="Arial"/>
                <w:color w:val="1F497D"/>
                <w:sz w:val="22"/>
                <w:szCs w:val="22"/>
              </w:rPr>
            </w:pPr>
            <w:r w:rsidRPr="005869D1">
              <w:rPr>
                <w:rFonts w:ascii="Arial" w:hAnsi="Arial" w:cs="Arial"/>
                <w:color w:val="1F497D"/>
                <w:sz w:val="22"/>
                <w:szCs w:val="22"/>
              </w:rPr>
              <w:t>06 4673.7202</w:t>
            </w:r>
          </w:p>
          <w:p w14:paraId="160435DE" w14:textId="3B86C22E" w:rsidR="00D14E7A" w:rsidRPr="00553090" w:rsidRDefault="00884BBB" w:rsidP="00D14E7A">
            <w:pPr>
              <w:pStyle w:val="NormaleWeb"/>
              <w:spacing w:before="0" w:beforeAutospacing="0" w:after="0" w:afterAutospacing="0"/>
              <w:rPr>
                <w:rFonts w:ascii="Arial" w:hAnsi="Arial" w:cs="Arial"/>
                <w:bCs/>
                <w:iCs/>
                <w:color w:val="1F497D"/>
                <w:sz w:val="22"/>
                <w:szCs w:val="22"/>
              </w:rPr>
            </w:pPr>
            <w:hyperlink r:id="rId35" w:history="1">
              <w:r w:rsidR="00D14E7A" w:rsidRPr="00553090">
                <w:rPr>
                  <w:rStyle w:val="Collegamentoipertestuale"/>
                  <w:rFonts w:ascii="Arial" w:hAnsi="Arial" w:cs="Arial"/>
                  <w:bCs/>
                  <w:iCs/>
                  <w:sz w:val="22"/>
                  <w:szCs w:val="22"/>
                </w:rPr>
                <w:t>rizzo@istat.it</w:t>
              </w:r>
            </w:hyperlink>
          </w:p>
          <w:p w14:paraId="0FDCFE7D" w14:textId="2AE7B47F" w:rsidR="00D14E7A" w:rsidRPr="00553090" w:rsidRDefault="00D14E7A" w:rsidP="00D14E7A">
            <w:pPr>
              <w:pStyle w:val="NormaleWeb"/>
              <w:spacing w:before="0" w:beforeAutospacing="0" w:after="0" w:afterAutospacing="0"/>
              <w:rPr>
                <w:rFonts w:ascii="Arial" w:hAnsi="Arial" w:cs="Arial"/>
                <w:bCs/>
                <w:iCs/>
                <w:color w:val="1F497D"/>
                <w:sz w:val="22"/>
                <w:szCs w:val="22"/>
              </w:rPr>
            </w:pPr>
          </w:p>
        </w:tc>
        <w:tc>
          <w:tcPr>
            <w:tcW w:w="2835" w:type="dxa"/>
          </w:tcPr>
          <w:p w14:paraId="06A57669" w14:textId="77777777" w:rsidR="00D14E7A" w:rsidRPr="00553090" w:rsidRDefault="00D14E7A" w:rsidP="00D14E7A">
            <w:pPr>
              <w:pStyle w:val="NormaleWeb"/>
              <w:spacing w:before="0" w:beforeAutospacing="0" w:after="0" w:afterAutospacing="0"/>
              <w:rPr>
                <w:rFonts w:ascii="Arial" w:hAnsi="Arial" w:cs="Arial"/>
                <w:b/>
                <w:bCs/>
                <w:color w:val="1F497D"/>
                <w:sz w:val="22"/>
                <w:szCs w:val="22"/>
              </w:rPr>
            </w:pPr>
          </w:p>
          <w:p w14:paraId="78329EE7" w14:textId="0FEF6BB8" w:rsidR="00D14E7A" w:rsidRPr="00553090" w:rsidRDefault="00D14E7A" w:rsidP="00D14E7A">
            <w:pPr>
              <w:pStyle w:val="NormaleWeb"/>
              <w:spacing w:before="0" w:beforeAutospacing="0" w:after="0" w:afterAutospacing="0"/>
              <w:rPr>
                <w:rFonts w:ascii="Arial" w:hAnsi="Arial" w:cs="Arial"/>
                <w:b/>
                <w:iCs/>
                <w:color w:val="1F497D"/>
                <w:sz w:val="22"/>
                <w:szCs w:val="22"/>
              </w:rPr>
            </w:pPr>
          </w:p>
        </w:tc>
      </w:tr>
      <w:tr w:rsidR="00D14E7A" w:rsidRPr="00AC05F6" w14:paraId="57B06144" w14:textId="4906EB9E" w:rsidTr="008A1851">
        <w:tc>
          <w:tcPr>
            <w:tcW w:w="3119" w:type="dxa"/>
          </w:tcPr>
          <w:p w14:paraId="6EDDF0B0" w14:textId="43E1C9EC" w:rsidR="00D14E7A" w:rsidRPr="00AC05F6" w:rsidRDefault="00D14E7A" w:rsidP="00D14E7A">
            <w:pPr>
              <w:pStyle w:val="NormaleWeb"/>
              <w:spacing w:before="0" w:beforeAutospacing="0" w:after="0" w:afterAutospacing="0"/>
              <w:rPr>
                <w:rFonts w:ascii="Arial" w:hAnsi="Arial" w:cs="Arial"/>
                <w:bCs/>
                <w:iCs/>
                <w:color w:val="1F497D"/>
                <w:sz w:val="22"/>
                <w:szCs w:val="22"/>
              </w:rPr>
            </w:pPr>
          </w:p>
        </w:tc>
        <w:tc>
          <w:tcPr>
            <w:tcW w:w="2835" w:type="dxa"/>
          </w:tcPr>
          <w:p w14:paraId="34183C21" w14:textId="37FFE416" w:rsidR="00D14E7A" w:rsidRPr="00AC05F6" w:rsidRDefault="00D14E7A" w:rsidP="00D14E7A">
            <w:pPr>
              <w:pStyle w:val="NormaleWeb"/>
              <w:spacing w:before="0" w:beforeAutospacing="0" w:after="0" w:afterAutospacing="0"/>
              <w:rPr>
                <w:rFonts w:ascii="Arial" w:hAnsi="Arial" w:cs="Arial"/>
                <w:bCs/>
                <w:iCs/>
                <w:color w:val="1F497D"/>
                <w:sz w:val="22"/>
                <w:szCs w:val="22"/>
              </w:rPr>
            </w:pPr>
          </w:p>
        </w:tc>
        <w:tc>
          <w:tcPr>
            <w:tcW w:w="2835" w:type="dxa"/>
          </w:tcPr>
          <w:p w14:paraId="2989F53A" w14:textId="77777777" w:rsidR="00D14E7A" w:rsidRPr="00AC05F6" w:rsidRDefault="00D14E7A" w:rsidP="00D14E7A">
            <w:pPr>
              <w:pStyle w:val="NormaleWeb"/>
              <w:spacing w:before="0" w:beforeAutospacing="0" w:after="0" w:afterAutospacing="0"/>
              <w:rPr>
                <w:rFonts w:ascii="Arial" w:hAnsi="Arial" w:cs="Arial"/>
                <w:bCs/>
                <w:iCs/>
                <w:color w:val="1F497D"/>
                <w:sz w:val="22"/>
                <w:szCs w:val="22"/>
              </w:rPr>
            </w:pPr>
          </w:p>
        </w:tc>
      </w:tr>
    </w:tbl>
    <w:p w14:paraId="249048BE" w14:textId="722BD42E" w:rsidR="00B93C72" w:rsidRPr="00604DCE" w:rsidRDefault="00604DCE" w:rsidP="00604DCE">
      <w:pPr>
        <w:jc w:val="both"/>
        <w:rPr>
          <w:rFonts w:ascii="Arial" w:hAnsi="Arial" w:cs="Arial"/>
          <w:b/>
          <w:color w:val="1F497D"/>
          <w:sz w:val="28"/>
          <w:szCs w:val="20"/>
        </w:rPr>
      </w:pPr>
      <w:r w:rsidRPr="00604DCE">
        <w:rPr>
          <w:rFonts w:ascii="Arial" w:hAnsi="Arial" w:cs="Arial"/>
          <w:b/>
          <w:color w:val="1F497D"/>
          <w:sz w:val="28"/>
          <w:szCs w:val="20"/>
        </w:rPr>
        <w:t>Note</w:t>
      </w:r>
    </w:p>
    <w:sectPr w:rsidR="00B93C72" w:rsidRPr="00604DCE" w:rsidSect="00715E8B">
      <w:footerReference w:type="default" r:id="rId36"/>
      <w:pgSz w:w="11906" w:h="16838" w:code="9"/>
      <w:pgMar w:top="567" w:right="707" w:bottom="714" w:left="992" w:header="0" w:footer="0" w:gutter="0"/>
      <w:cols w:space="43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3B39E" w14:textId="77777777" w:rsidR="00311746" w:rsidRDefault="00311746">
      <w:r>
        <w:separator/>
      </w:r>
    </w:p>
  </w:endnote>
  <w:endnote w:type="continuationSeparator" w:id="0">
    <w:p w14:paraId="13452655" w14:textId="77777777" w:rsidR="00311746" w:rsidRDefault="00311746">
      <w:r>
        <w:continuationSeparator/>
      </w:r>
    </w:p>
  </w:endnote>
  <w:endnote w:id="1">
    <w:p w14:paraId="02CD2D8C" w14:textId="5E44D630" w:rsidR="005864F6" w:rsidRPr="00604DCE" w:rsidRDefault="005864F6" w:rsidP="00733DB8">
      <w:pPr>
        <w:pStyle w:val="Testonotadichiusura"/>
        <w:jc w:val="both"/>
        <w:rPr>
          <w:rFonts w:ascii="Arial" w:hAnsi="Arial" w:cs="Arial"/>
          <w:sz w:val="16"/>
        </w:rPr>
      </w:pPr>
      <w:r w:rsidRPr="00604DCE">
        <w:rPr>
          <w:rStyle w:val="Rimandonotadichiusura"/>
          <w:rFonts w:ascii="Arial" w:hAnsi="Arial" w:cs="Arial"/>
          <w:sz w:val="16"/>
        </w:rPr>
        <w:endnoteRef/>
      </w:r>
      <w:r w:rsidRPr="00604DCE">
        <w:rPr>
          <w:rFonts w:ascii="Arial" w:hAnsi="Arial" w:cs="Arial"/>
          <w:sz w:val="16"/>
        </w:rPr>
        <w:t xml:space="preserve"> Molti di coloro le cui richieste di asilo sono valutate nell’anno hanno già un primo permesso per richiesta asilo e a seguito della decisione potrebbero cambiare status (ad esempio da permesso per richiesta asilo a permesso per rifugiato riconosciuto). Altri, ai quali non è stato ancora rilasciato un permesso, potrebbero acquisirlo alla fine del procedimento.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Cnd-Normal">
    <w:altName w:val="Arial"/>
    <w:panose1 w:val="00000000000000000000"/>
    <w:charset w:val="00"/>
    <w:family w:val="swiss"/>
    <w:notTrueType/>
    <w:pitch w:val="default"/>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highlight w:val="lightGray"/>
      </w:rPr>
      <w:id w:val="-1838525298"/>
      <w:docPartObj>
        <w:docPartGallery w:val="Page Numbers (Bottom of Page)"/>
        <w:docPartUnique/>
      </w:docPartObj>
    </w:sdtPr>
    <w:sdtEndPr/>
    <w:sdtContent>
      <w:p w14:paraId="75D7970D" w14:textId="25E53FAB" w:rsidR="00F679D2" w:rsidRDefault="00F679D2">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85376" behindDoc="0" locked="0" layoutInCell="1" allowOverlap="1" wp14:anchorId="719077F5" wp14:editId="037E806A">
                  <wp:simplePos x="0" y="0"/>
                  <wp:positionH relativeFrom="column">
                    <wp:posOffset>-629920</wp:posOffset>
                  </wp:positionH>
                  <wp:positionV relativeFrom="page">
                    <wp:posOffset>7267575</wp:posOffset>
                  </wp:positionV>
                  <wp:extent cx="7553325" cy="3476625"/>
                  <wp:effectExtent l="0" t="0" r="0" b="0"/>
                  <wp:wrapNone/>
                  <wp:docPr id="10" name="Rettangolo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3325" cy="34766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C891A57" id="Rettangolo 10" o:spid="_x0000_s1026" style="position:absolute;margin-left:-49.6pt;margin-top:572.25pt;width:594.75pt;height:273.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" fillcolor="#d8d8d8 [2732]" stroked="f" strokeweight="2pt">
                  <w10:wrap anchory="page"/>
                </v:rect>
              </w:pict>
            </mc:Fallback>
          </mc:AlternateContent>
        </w:r>
        <w:r>
          <w:rPr>
            <w:rFonts w:ascii="Arial Narrow" w:hAnsi="Arial Narrow"/>
            <w:noProof/>
            <w:color w:val="FFFFFF" w:themeColor="background1"/>
          </w:rPr>
          <mc:AlternateContent>
            <mc:Choice Requires="wps">
              <w:drawing>
                <wp:anchor distT="0" distB="0" distL="114300" distR="114300" simplePos="0" relativeHeight="251687424" behindDoc="0" locked="0" layoutInCell="0" allowOverlap="1" wp14:anchorId="4E56EA6A" wp14:editId="5B9442FD">
                  <wp:simplePos x="0" y="0"/>
                  <wp:positionH relativeFrom="rightMargin">
                    <wp:posOffset>47625</wp:posOffset>
                  </wp:positionH>
                  <wp:positionV relativeFrom="margin">
                    <wp:posOffset>9758045</wp:posOffset>
                  </wp:positionV>
                  <wp:extent cx="398780" cy="329565"/>
                  <wp:effectExtent l="0" t="0" r="0" b="0"/>
                  <wp:wrapNone/>
                  <wp:docPr id="545" name="Rettangolo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8780" cy="329565"/>
                          </a:xfrm>
                          <a:prstGeom prst="rect">
                            <a:avLst/>
                          </a:prstGeom>
                          <a:noFill/>
                        </wps:spPr>
                        <wps:txbx>
                          <w:txbxContent>
                            <w:p w14:paraId="1E898A5B" w14:textId="08D16540" w:rsidR="00F679D2" w:rsidRPr="001B745D" w:rsidRDefault="00F679D2" w:rsidP="00CA469E">
                              <w:pPr>
                                <w:jc w:val="right"/>
                                <w:rPr>
                                  <w:rFonts w:ascii="Arial" w:hAnsi="Arial" w:cs="Arial"/>
                                  <w:b/>
                                  <w:color w:val="244061" w:themeColor="accent1" w:themeShade="80"/>
                                  <w:sz w:val="20"/>
                                  <w:szCs w:val="20"/>
                                </w:rPr>
                              </w:pPr>
                              <w:r w:rsidRPr="00CA469E">
                                <w:rPr>
                                  <w:rFonts w:ascii="Arial" w:hAnsi="Arial" w:cs="Arial"/>
                                  <w:b/>
                                  <w:color w:val="244061" w:themeColor="accent1" w:themeShade="80"/>
                                  <w:sz w:val="20"/>
                                  <w:szCs w:val="20"/>
                                </w:rPr>
                                <w:fldChar w:fldCharType="begin"/>
                              </w:r>
                              <w:r w:rsidRPr="00CA469E">
                                <w:rPr>
                                  <w:rFonts w:ascii="Arial" w:hAnsi="Arial" w:cs="Arial"/>
                                  <w:b/>
                                  <w:color w:val="244061" w:themeColor="accent1" w:themeShade="80"/>
                                  <w:sz w:val="20"/>
                                  <w:szCs w:val="20"/>
                                </w:rPr>
                                <w:instrText>PAGE   \* MERGEFORMAT</w:instrText>
                              </w:r>
                              <w:r w:rsidRPr="00CA469E">
                                <w:rPr>
                                  <w:rFonts w:ascii="Arial" w:hAnsi="Arial" w:cs="Arial"/>
                                  <w:b/>
                                  <w:color w:val="244061" w:themeColor="accent1" w:themeShade="80"/>
                                  <w:sz w:val="20"/>
                                  <w:szCs w:val="20"/>
                                </w:rPr>
                                <w:fldChar w:fldCharType="separate"/>
                              </w:r>
                              <w:r w:rsidR="000A2C16">
                                <w:rPr>
                                  <w:rFonts w:ascii="Arial" w:hAnsi="Arial" w:cs="Arial"/>
                                  <w:b/>
                                  <w:noProof/>
                                  <w:color w:val="244061" w:themeColor="accent1" w:themeShade="80"/>
                                  <w:sz w:val="20"/>
                                  <w:szCs w:val="20"/>
                                </w:rPr>
                                <w:t>8</w:t>
                              </w:r>
                              <w:r w:rsidRPr="00CA469E">
                                <w:rPr>
                                  <w:rFonts w:ascii="Arial" w:hAnsi="Arial" w:cs="Arial"/>
                                  <w:b/>
                                  <w:color w:val="244061" w:themeColor="accent1" w:themeShade="80"/>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E56EA6A" id="Rettangolo 4" o:spid="_x0000_s1027" style="position:absolute;margin-left:3.75pt;margin-top:768.35pt;width:31.4pt;height:25.95pt;z-index:251687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" o:allowincell="f" filled="f" stroked="f">
                  <o:lock v:ext="edit" aspectratio="t"/>
                  <v:textbox>
                    <w:txbxContent>
                      <w:p w14:paraId="1E898A5B" w14:textId="08D16540" w:rsidR="00F679D2" w:rsidRPr="001B745D" w:rsidRDefault="00F679D2" w:rsidP="00CA469E">
                        <w:pPr>
                          <w:jc w:val="right"/>
                          <w:rPr>
                            <w:rFonts w:ascii="Arial" w:hAnsi="Arial" w:cs="Arial"/>
                            <w:b/>
                            <w:color w:val="244061" w:themeColor="accent1" w:themeShade="80"/>
                            <w:sz w:val="20"/>
                            <w:szCs w:val="20"/>
                          </w:rPr>
                        </w:pPr>
                        <w:r w:rsidRPr="00CA469E">
                          <w:rPr>
                            <w:rFonts w:ascii="Arial" w:hAnsi="Arial" w:cs="Arial"/>
                            <w:b/>
                            <w:color w:val="244061" w:themeColor="accent1" w:themeShade="80"/>
                            <w:sz w:val="20"/>
                            <w:szCs w:val="20"/>
                          </w:rPr>
                          <w:fldChar w:fldCharType="begin"/>
                        </w:r>
                        <w:r w:rsidRPr="00CA469E">
                          <w:rPr>
                            <w:rFonts w:ascii="Arial" w:hAnsi="Arial" w:cs="Arial"/>
                            <w:b/>
                            <w:color w:val="244061" w:themeColor="accent1" w:themeShade="80"/>
                            <w:sz w:val="20"/>
                            <w:szCs w:val="20"/>
                          </w:rPr>
                          <w:instrText>PAGE   \* MERGEFORMAT</w:instrText>
                        </w:r>
                        <w:r w:rsidRPr="00CA469E">
                          <w:rPr>
                            <w:rFonts w:ascii="Arial" w:hAnsi="Arial" w:cs="Arial"/>
                            <w:b/>
                            <w:color w:val="244061" w:themeColor="accent1" w:themeShade="80"/>
                            <w:sz w:val="20"/>
                            <w:szCs w:val="20"/>
                          </w:rPr>
                          <w:fldChar w:fldCharType="separate"/>
                        </w:r>
                        <w:r w:rsidR="000A2C16">
                          <w:rPr>
                            <w:rFonts w:ascii="Arial" w:hAnsi="Arial" w:cs="Arial"/>
                            <w:b/>
                            <w:noProof/>
                            <w:color w:val="244061" w:themeColor="accent1" w:themeShade="80"/>
                            <w:sz w:val="20"/>
                            <w:szCs w:val="20"/>
                          </w:rPr>
                          <w:t>8</w:t>
                        </w:r>
                        <w:r w:rsidRPr="00CA469E">
                          <w:rPr>
                            <w:rFonts w:ascii="Arial" w:hAnsi="Arial" w:cs="Arial"/>
                            <w:b/>
                            <w:color w:val="244061" w:themeColor="accent1" w:themeShade="80"/>
                            <w:sz w:val="20"/>
                            <w:szCs w:val="20"/>
                          </w:rPr>
                          <w:fldChar w:fldCharType="end"/>
                        </w:r>
                      </w:p>
                    </w:txbxContent>
                  </v:textbox>
                  <w10:wrap anchorx="margin" anchory="margin"/>
                </v:rect>
              </w:pict>
            </mc:Fallback>
          </mc:AlternateContent>
        </w:r>
        <w:r>
          <w:rPr>
            <w:noProof/>
            <w:sz w:val="28"/>
            <w:szCs w:val="28"/>
          </w:rPr>
          <mc:AlternateContent>
            <mc:Choice Requires="wps">
              <w:drawing>
                <wp:anchor distT="4294967295" distB="4294967295" distL="114300" distR="114300" simplePos="0" relativeHeight="251691520" behindDoc="0" locked="0" layoutInCell="1" allowOverlap="1" wp14:anchorId="776BBA73" wp14:editId="241DA1D1">
                  <wp:simplePos x="0" y="0"/>
                  <wp:positionH relativeFrom="column">
                    <wp:posOffset>-10160</wp:posOffset>
                  </wp:positionH>
                  <wp:positionV relativeFrom="paragraph">
                    <wp:posOffset>-2532381</wp:posOffset>
                  </wp:positionV>
                  <wp:extent cx="6299835" cy="0"/>
                  <wp:effectExtent l="0" t="0" r="0" b="0"/>
                  <wp:wrapNone/>
                  <wp:docPr id="12" name="Connettore 1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835" cy="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E3C6E3D" id="Connettore 1 12" o:spid="_x0000_s1026" style="position:absolute;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pt,-199.4pt" to="495.25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" strokecolor="white [3212]" strokeweight="1.25pt">
                  <o:lock v:ext="edit" shapetype="f"/>
                </v:line>
              </w:pict>
            </mc:Fallback>
          </mc:AlternateContent>
        </w:r>
        <w:r>
          <w:rPr>
            <w:noProof/>
            <w:sz w:val="28"/>
            <w:szCs w:val="28"/>
          </w:rPr>
          <mc:AlternateContent>
            <mc:Choice Requires="wps">
              <w:drawing>
                <wp:anchor distT="4294967295" distB="4294967295" distL="114300" distR="114300" simplePos="0" relativeHeight="251689472" behindDoc="0" locked="0" layoutInCell="1" allowOverlap="1" wp14:anchorId="7ADCB4BA" wp14:editId="514FE660">
                  <wp:simplePos x="0" y="0"/>
                  <wp:positionH relativeFrom="column">
                    <wp:posOffset>-10160</wp:posOffset>
                  </wp:positionH>
                  <wp:positionV relativeFrom="paragraph">
                    <wp:posOffset>-127636</wp:posOffset>
                  </wp:positionV>
                  <wp:extent cx="6299835" cy="0"/>
                  <wp:effectExtent l="0" t="0" r="0" b="0"/>
                  <wp:wrapNone/>
                  <wp:docPr id="28" name="Connettore 1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835" cy="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73DD3BD" id="Connettore 1 28" o:spid="_x0000_s1026" style="position:absolute;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pt,-10.05pt" to="495.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" strokecolor="white [3212]" strokeweight="1.25pt">
                  <o:lock v:ext="edit" shapetype="f"/>
                </v:line>
              </w:pict>
            </mc:Fallback>
          </mc:AlternateContent>
        </w:r>
        <w:r w:rsidRPr="00A17739">
          <w:rPr>
            <w:rFonts w:ascii="Arial" w:hAnsi="Arial" w:cs="Arial"/>
            <w:noProof/>
            <w:sz w:val="22"/>
            <w:szCs w:val="22"/>
          </w:rPr>
          <w:drawing>
            <wp:anchor distT="0" distB="0" distL="114300" distR="114300" simplePos="0" relativeHeight="251688448" behindDoc="0" locked="0" layoutInCell="1" allowOverlap="1" wp14:anchorId="000E3398" wp14:editId="3BDDF09D">
              <wp:simplePos x="0" y="0"/>
              <wp:positionH relativeFrom="column">
                <wp:posOffset>-545465</wp:posOffset>
              </wp:positionH>
              <wp:positionV relativeFrom="paragraph">
                <wp:posOffset>-3345505</wp:posOffset>
              </wp:positionV>
              <wp:extent cx="466725" cy="483235"/>
              <wp:effectExtent l="0" t="0" r="9525" b="0"/>
              <wp:wrapNone/>
              <wp:docPr id="49" name="Immagin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66725" cy="483235"/>
                      </a:xfrm>
                      <a:prstGeom prst="rect">
                        <a:avLst/>
                      </a:prstGeom>
                    </pic:spPr>
                  </pic:pic>
                </a:graphicData>
              </a:graphic>
            </wp:anchor>
          </w:drawing>
        </w:r>
        <w:sdt>
          <w:sdtPr>
            <w:rPr>
              <w:rFonts w:asciiTheme="majorHAnsi" w:eastAsiaTheme="majorEastAsia" w:hAnsiTheme="majorHAnsi" w:cstheme="majorBidi"/>
              <w:highlight w:val="lightGray"/>
            </w:rPr>
            <w:id w:val="779771888"/>
            <w:docPartObj>
              <w:docPartGallery w:val="Page Numbers (Margins)"/>
              <w:docPartUnique/>
            </w:docPartObj>
          </w:sdtPr>
          <w:sdtEndPr/>
          <w:sdtContent>
            <w:r>
              <w:rPr>
                <w:noProof/>
              </w:rPr>
              <w:drawing>
                <wp:anchor distT="0" distB="0" distL="114300" distR="114300" simplePos="0" relativeHeight="251686400" behindDoc="0" locked="0" layoutInCell="1" allowOverlap="1" wp14:anchorId="4C6478D3" wp14:editId="457C0A33">
                  <wp:simplePos x="0" y="0"/>
                  <wp:positionH relativeFrom="column">
                    <wp:posOffset>5678170</wp:posOffset>
                  </wp:positionH>
                  <wp:positionV relativeFrom="paragraph">
                    <wp:posOffset>-263525</wp:posOffset>
                  </wp:positionV>
                  <wp:extent cx="1256030" cy="788035"/>
                  <wp:effectExtent l="0" t="0" r="1270" b="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estateReport_Tavola disegno 1 copia 2.png"/>
                          <pic:cNvPicPr/>
                        </pic:nvPicPr>
                        <pic:blipFill>
                          <a:blip r:embed="rId2"/>
                          <a:stretch>
                            <a:fillRect/>
                          </a:stretch>
                        </pic:blipFill>
                        <pic:spPr>
                          <a:xfrm>
                            <a:off x="0" y="0"/>
                            <a:ext cx="1256030" cy="788035"/>
                          </a:xfrm>
                          <a:prstGeom prst="rect">
                            <a:avLst/>
                          </a:prstGeom>
                        </pic:spPr>
                      </pic:pic>
                    </a:graphicData>
                  </a:graphic>
                </wp:anchor>
              </w:drawing>
            </w:r>
          </w:sdtContent>
        </w:sdt>
      </w:p>
    </w:sdtContent>
  </w:sdt>
  <w:p w14:paraId="6ACAC8E7" w14:textId="77777777" w:rsidR="00F679D2" w:rsidRDefault="00F679D2" w:rsidP="00842757">
    <w:pPr>
      <w:pStyle w:val="Pidipagina"/>
      <w:tabs>
        <w:tab w:val="clear" w:pos="4819"/>
        <w:tab w:val="clear" w:pos="9638"/>
        <w:tab w:val="left" w:pos="777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DFD2" w14:textId="4C1EBA4B" w:rsidR="00F679D2" w:rsidRDefault="00F679D2" w:rsidP="00A36314">
    <w:pPr>
      <w:pStyle w:val="Pidipagina"/>
      <w:ind w:left="-992"/>
    </w:pPr>
    <w:r>
      <w:rPr>
        <w:noProof/>
        <w:sz w:val="18"/>
      </w:rPr>
      <mc:AlternateContent>
        <mc:Choice Requires="wps">
          <w:drawing>
            <wp:anchor distT="0" distB="0" distL="114300" distR="114300" simplePos="0" relativeHeight="251693568" behindDoc="0" locked="0" layoutInCell="1" allowOverlap="1" wp14:anchorId="094BAD08" wp14:editId="38227639">
              <wp:simplePos x="0" y="0"/>
              <wp:positionH relativeFrom="column">
                <wp:posOffset>-145593</wp:posOffset>
              </wp:positionH>
              <wp:positionV relativeFrom="paragraph">
                <wp:posOffset>623570</wp:posOffset>
              </wp:positionV>
              <wp:extent cx="3648710" cy="762000"/>
              <wp:effectExtent l="0" t="0" r="0" b="0"/>
              <wp:wrapNone/>
              <wp:docPr id="37" name="Casella di tes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710" cy="762000"/>
                      </a:xfrm>
                      <a:prstGeom prst="rect">
                        <a:avLst/>
                      </a:prstGeom>
                      <a:noFill/>
                      <a:ln w="6350">
                        <a:noFill/>
                      </a:ln>
                    </wps:spPr>
                    <wps:txbx>
                      <w:txbxContent>
                        <w:tbl>
                          <w:tblPr>
                            <w:tblStyle w:val="Grigliatabella"/>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126"/>
                          </w:tblGrid>
                          <w:tr w:rsidR="00F679D2" w:rsidRPr="004912F9" w14:paraId="395D4E6F" w14:textId="77777777" w:rsidTr="00876EE5">
                            <w:trPr>
                              <w:trHeight w:val="1195"/>
                            </w:trPr>
                            <w:tc>
                              <w:tcPr>
                                <w:tcW w:w="3544" w:type="dxa"/>
                              </w:tcPr>
                              <w:p w14:paraId="5AE24893" w14:textId="77777777" w:rsidR="00F679D2" w:rsidRPr="004649F8" w:rsidRDefault="00F679D2" w:rsidP="00876EE5">
                                <w:pPr>
                                  <w:rPr>
                                    <w:rFonts w:ascii="Arial Narrow" w:hAnsi="Arial Narrow"/>
                                    <w:b/>
                                    <w:bCs/>
                                    <w:color w:val="1F497D"/>
                                  </w:rPr>
                                </w:pPr>
                                <w:r w:rsidRPr="004649F8">
                                  <w:rPr>
                                    <w:rFonts w:ascii="Arial Narrow" w:hAnsi="Arial Narrow"/>
                                    <w:b/>
                                    <w:bCs/>
                                    <w:color w:val="1F497D"/>
                                  </w:rPr>
                                  <w:t>UFFICIO STAMPA</w:t>
                                </w:r>
                              </w:p>
                              <w:p w14:paraId="36070AE4" w14:textId="77777777" w:rsidR="00F679D2" w:rsidRPr="004649F8" w:rsidRDefault="00F679D2" w:rsidP="00876EE5">
                                <w:pPr>
                                  <w:rPr>
                                    <w:rFonts w:ascii="Arial Narrow" w:hAnsi="Arial Narrow"/>
                                    <w:color w:val="1F497D"/>
                                  </w:rPr>
                                </w:pPr>
                                <w:r w:rsidRPr="004649F8">
                                  <w:rPr>
                                    <w:rFonts w:ascii="Arial Narrow" w:hAnsi="Arial Narrow"/>
                                    <w:color w:val="1F497D"/>
                                  </w:rPr>
                                  <w:t>tel. +39 06 4673.2243/44</w:t>
                                </w:r>
                              </w:p>
                              <w:p w14:paraId="47399E5A" w14:textId="77777777" w:rsidR="00F679D2" w:rsidRPr="004649F8" w:rsidRDefault="00884BBB" w:rsidP="00876EE5">
                                <w:pPr>
                                  <w:rPr>
                                    <w:rFonts w:ascii="Arial Narrow" w:hAnsi="Arial Narrow"/>
                                    <w:color w:val="1F497D"/>
                                  </w:rPr>
                                </w:pPr>
                                <w:hyperlink r:id="rId1" w:history="1">
                                  <w:r w:rsidR="00F679D2" w:rsidRPr="002E68C4">
                                    <w:rPr>
                                      <w:rStyle w:val="Collegamentoipertestuale"/>
                                      <w:rFonts w:ascii="Arial Narrow" w:hAnsi="Arial Narrow"/>
                                      <w:color w:val="023859"/>
                                    </w:rPr>
                                    <w:t>ufficiostampa@istat.it</w:t>
                                  </w:r>
                                </w:hyperlink>
                              </w:p>
                            </w:tc>
                            <w:tc>
                              <w:tcPr>
                                <w:tcW w:w="2126" w:type="dxa"/>
                              </w:tcPr>
                              <w:p w14:paraId="087CAE27" w14:textId="15481D7D" w:rsidR="00F679D2" w:rsidRPr="007314B8" w:rsidRDefault="00F679D2" w:rsidP="00876EE5">
                                <w:pPr>
                                  <w:rPr>
                                    <w:rFonts w:ascii="Arial Narrow" w:hAnsi="Arial Narrow"/>
                                    <w:color w:val="1F497D"/>
                                    <w:lang w:val="fr-FR"/>
                                  </w:rPr>
                                </w:pPr>
                                <w:r w:rsidRPr="007314B8">
                                  <w:rPr>
                                    <w:rFonts w:ascii="Arial Narrow" w:hAnsi="Arial Narrow"/>
                                    <w:b/>
                                    <w:bCs/>
                                    <w:color w:val="1F497D"/>
                                    <w:lang w:val="fr-FR"/>
                                  </w:rPr>
                                  <w:t>CONTACT CENTRE</w:t>
                                </w:r>
                                <w:r w:rsidRPr="007314B8">
                                  <w:rPr>
                                    <w:rFonts w:ascii="Arial Narrow" w:hAnsi="Arial Narrow"/>
                                    <w:color w:val="1F497D"/>
                                    <w:lang w:val="fr-FR"/>
                                  </w:rPr>
                                  <w:br/>
                                </w:r>
                                <w:hyperlink r:id="rId2" w:history="1">
                                  <w:r w:rsidRPr="007314B8">
                                    <w:rPr>
                                      <w:rStyle w:val="Collegamentoipertestuale"/>
                                      <w:rFonts w:ascii="Arial Narrow" w:hAnsi="Arial Narrow"/>
                                      <w:color w:val="023859"/>
                                      <w:lang w:val="fr-FR"/>
                                    </w:rPr>
                                    <w:t>contact.istat.it</w:t>
                                  </w:r>
                                </w:hyperlink>
                              </w:p>
                              <w:p w14:paraId="3231BE46" w14:textId="77777777" w:rsidR="00F679D2" w:rsidRPr="007314B8" w:rsidRDefault="00F679D2" w:rsidP="00876EE5">
                                <w:pPr>
                                  <w:rPr>
                                    <w:rFonts w:ascii="Arial Narrow" w:hAnsi="Arial Narrow"/>
                                    <w:color w:val="1F497D"/>
                                    <w:lang w:val="fr-FR"/>
                                  </w:rPr>
                                </w:pPr>
                              </w:p>
                            </w:tc>
                          </w:tr>
                        </w:tbl>
                        <w:p w14:paraId="4B96CB58" w14:textId="77777777" w:rsidR="00F679D2" w:rsidRPr="007314B8" w:rsidRDefault="00F679D2" w:rsidP="005E6F03">
                          <w:pPr>
                            <w:rPr>
                              <w:rFonts w:ascii="Arial Narrow" w:hAnsi="Arial Narrow"/>
                              <w:color w:val="1F497D"/>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BAD08" id="_x0000_t202" coordsize="21600,21600" o:spt="202" path="m,l,21600r21600,l21600,xe">
              <v:stroke joinstyle="miter"/>
              <v:path gradientshapeok="t" o:connecttype="rect"/>
            </v:shapetype>
            <v:shape id="Casella di testo 37" o:spid="_x0000_s1028" type="#_x0000_t202" style="position:absolute;left:0;text-align:left;margin-left:-11.45pt;margin-top:49.1pt;width:287.3pt;height:60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" filled="f" stroked="f" strokeweight=".5pt">
              <v:textbox inset="0,0,0,0">
                <w:txbxContent>
                  <w:tbl>
                    <w:tblPr>
                      <w:tblStyle w:val="Grigliatabella"/>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126"/>
                    </w:tblGrid>
                    <w:tr w:rsidR="00F679D2" w:rsidRPr="004912F9" w14:paraId="395D4E6F" w14:textId="77777777" w:rsidTr="00876EE5">
                      <w:trPr>
                        <w:trHeight w:val="1195"/>
                      </w:trPr>
                      <w:tc>
                        <w:tcPr>
                          <w:tcW w:w="3544" w:type="dxa"/>
                        </w:tcPr>
                        <w:p w14:paraId="5AE24893" w14:textId="77777777" w:rsidR="00F679D2" w:rsidRPr="004649F8" w:rsidRDefault="00F679D2" w:rsidP="00876EE5">
                          <w:pPr>
                            <w:rPr>
                              <w:rFonts w:ascii="Arial Narrow" w:hAnsi="Arial Narrow"/>
                              <w:b/>
                              <w:bCs/>
                              <w:color w:val="1F497D"/>
                            </w:rPr>
                          </w:pPr>
                          <w:r w:rsidRPr="004649F8">
                            <w:rPr>
                              <w:rFonts w:ascii="Arial Narrow" w:hAnsi="Arial Narrow"/>
                              <w:b/>
                              <w:bCs/>
                              <w:color w:val="1F497D"/>
                            </w:rPr>
                            <w:t>UFFICIO STAMPA</w:t>
                          </w:r>
                        </w:p>
                        <w:p w14:paraId="36070AE4" w14:textId="77777777" w:rsidR="00F679D2" w:rsidRPr="004649F8" w:rsidRDefault="00F679D2" w:rsidP="00876EE5">
                          <w:pPr>
                            <w:rPr>
                              <w:rFonts w:ascii="Arial Narrow" w:hAnsi="Arial Narrow"/>
                              <w:color w:val="1F497D"/>
                            </w:rPr>
                          </w:pPr>
                          <w:r w:rsidRPr="004649F8">
                            <w:rPr>
                              <w:rFonts w:ascii="Arial Narrow" w:hAnsi="Arial Narrow"/>
                              <w:color w:val="1F497D"/>
                            </w:rPr>
                            <w:t>tel. +39 06 4673.2243/44</w:t>
                          </w:r>
                        </w:p>
                        <w:p w14:paraId="47399E5A" w14:textId="77777777" w:rsidR="00F679D2" w:rsidRPr="004649F8" w:rsidRDefault="00884BBB" w:rsidP="00876EE5">
                          <w:pPr>
                            <w:rPr>
                              <w:rFonts w:ascii="Arial Narrow" w:hAnsi="Arial Narrow"/>
                              <w:color w:val="1F497D"/>
                            </w:rPr>
                          </w:pPr>
                          <w:hyperlink r:id="rId3" w:history="1">
                            <w:r w:rsidR="00F679D2" w:rsidRPr="002E68C4">
                              <w:rPr>
                                <w:rStyle w:val="Collegamentoipertestuale"/>
                                <w:rFonts w:ascii="Arial Narrow" w:hAnsi="Arial Narrow"/>
                                <w:color w:val="023859"/>
                              </w:rPr>
                              <w:t>ufficiostampa@istat.it</w:t>
                            </w:r>
                          </w:hyperlink>
                        </w:p>
                      </w:tc>
                      <w:tc>
                        <w:tcPr>
                          <w:tcW w:w="2126" w:type="dxa"/>
                        </w:tcPr>
                        <w:p w14:paraId="087CAE27" w14:textId="15481D7D" w:rsidR="00F679D2" w:rsidRPr="007314B8" w:rsidRDefault="00F679D2" w:rsidP="00876EE5">
                          <w:pPr>
                            <w:rPr>
                              <w:rFonts w:ascii="Arial Narrow" w:hAnsi="Arial Narrow"/>
                              <w:color w:val="1F497D"/>
                              <w:lang w:val="fr-FR"/>
                            </w:rPr>
                          </w:pPr>
                          <w:r w:rsidRPr="007314B8">
                            <w:rPr>
                              <w:rFonts w:ascii="Arial Narrow" w:hAnsi="Arial Narrow"/>
                              <w:b/>
                              <w:bCs/>
                              <w:color w:val="1F497D"/>
                              <w:lang w:val="fr-FR"/>
                            </w:rPr>
                            <w:t>CONTACT CENTRE</w:t>
                          </w:r>
                          <w:r w:rsidRPr="007314B8">
                            <w:rPr>
                              <w:rFonts w:ascii="Arial Narrow" w:hAnsi="Arial Narrow"/>
                              <w:color w:val="1F497D"/>
                              <w:lang w:val="fr-FR"/>
                            </w:rPr>
                            <w:br/>
                          </w:r>
                          <w:hyperlink r:id="rId4" w:history="1">
                            <w:r w:rsidRPr="007314B8">
                              <w:rPr>
                                <w:rStyle w:val="Collegamentoipertestuale"/>
                                <w:rFonts w:ascii="Arial Narrow" w:hAnsi="Arial Narrow"/>
                                <w:color w:val="023859"/>
                                <w:lang w:val="fr-FR"/>
                              </w:rPr>
                              <w:t>contact.istat.it</w:t>
                            </w:r>
                          </w:hyperlink>
                        </w:p>
                        <w:p w14:paraId="3231BE46" w14:textId="77777777" w:rsidR="00F679D2" w:rsidRPr="007314B8" w:rsidRDefault="00F679D2" w:rsidP="00876EE5">
                          <w:pPr>
                            <w:rPr>
                              <w:rFonts w:ascii="Arial Narrow" w:hAnsi="Arial Narrow"/>
                              <w:color w:val="1F497D"/>
                              <w:lang w:val="fr-FR"/>
                            </w:rPr>
                          </w:pPr>
                        </w:p>
                      </w:tc>
                    </w:tr>
                  </w:tbl>
                  <w:p w14:paraId="4B96CB58" w14:textId="77777777" w:rsidR="00F679D2" w:rsidRPr="007314B8" w:rsidRDefault="00F679D2" w:rsidP="005E6F03">
                    <w:pPr>
                      <w:rPr>
                        <w:rFonts w:ascii="Arial Narrow" w:hAnsi="Arial Narrow"/>
                        <w:color w:val="1F497D"/>
                        <w:lang w:val="fr-FR"/>
                      </w:rPr>
                    </w:pPr>
                  </w:p>
                </w:txbxContent>
              </v:textbox>
            </v:shape>
          </w:pict>
        </mc:Fallback>
      </mc:AlternateContent>
    </w:r>
    <w:r w:rsidRPr="007314B8">
      <w:rPr>
        <w:noProof/>
        <w:sz w:val="18"/>
      </w:rPr>
      <w:drawing>
        <wp:inline distT="0" distB="0" distL="0" distR="0" wp14:anchorId="3739CC92" wp14:editId="3F69CD83">
          <wp:extent cx="7524000" cy="1638000"/>
          <wp:effectExtent l="0" t="0" r="1270" b="63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000" cy="16380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A8AAE" w14:textId="096999E0" w:rsidR="00F679D2" w:rsidRDefault="00F679D2">
    <w:pPr>
      <w:rPr>
        <w:rFonts w:asciiTheme="majorHAnsi" w:eastAsiaTheme="majorEastAsia" w:hAnsiTheme="majorHAnsi" w:cstheme="majorBidi"/>
      </w:rPr>
    </w:pPr>
    <w:r>
      <w:rPr>
        <w:rFonts w:ascii="Arial Narrow" w:hAnsi="Arial Narrow"/>
        <w:noProof/>
        <w:color w:val="FFFFFF" w:themeColor="background1"/>
      </w:rPr>
      <mc:AlternateContent>
        <mc:Choice Requires="wps">
          <w:drawing>
            <wp:anchor distT="0" distB="0" distL="114300" distR="114300" simplePos="0" relativeHeight="251683328" behindDoc="0" locked="0" layoutInCell="0" allowOverlap="1" wp14:anchorId="58FDF793" wp14:editId="1984742D">
              <wp:simplePos x="0" y="0"/>
              <wp:positionH relativeFrom="rightMargin">
                <wp:posOffset>7620</wp:posOffset>
              </wp:positionH>
              <wp:positionV relativeFrom="margin">
                <wp:posOffset>9816465</wp:posOffset>
              </wp:positionV>
              <wp:extent cx="398780" cy="329565"/>
              <wp:effectExtent l="0" t="0" r="0" b="0"/>
              <wp:wrapNone/>
              <wp:docPr id="54" name="Rettangolo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8780" cy="329565"/>
                      </a:xfrm>
                      <a:prstGeom prst="rect">
                        <a:avLst/>
                      </a:prstGeom>
                      <a:noFill/>
                    </wps:spPr>
                    <wps:txbx>
                      <w:txbxContent>
                        <w:p w14:paraId="74B6EDCC" w14:textId="7182BE41" w:rsidR="00F679D2" w:rsidRPr="001B745D" w:rsidRDefault="00F679D2" w:rsidP="00ED45A5">
                          <w:pPr>
                            <w:jc w:val="right"/>
                            <w:rPr>
                              <w:rFonts w:ascii="Arial" w:hAnsi="Arial" w:cs="Arial"/>
                              <w:b/>
                              <w:color w:val="244061" w:themeColor="accent1" w:themeShade="80"/>
                              <w:sz w:val="20"/>
                              <w:szCs w:val="20"/>
                            </w:rPr>
                          </w:pPr>
                          <w:r w:rsidRPr="00CA469E">
                            <w:rPr>
                              <w:rFonts w:ascii="Arial" w:hAnsi="Arial" w:cs="Arial"/>
                              <w:b/>
                              <w:color w:val="244061" w:themeColor="accent1" w:themeShade="80"/>
                              <w:sz w:val="20"/>
                              <w:szCs w:val="20"/>
                            </w:rPr>
                            <w:fldChar w:fldCharType="begin"/>
                          </w:r>
                          <w:r w:rsidRPr="00CA469E">
                            <w:rPr>
                              <w:rFonts w:ascii="Arial" w:hAnsi="Arial" w:cs="Arial"/>
                              <w:b/>
                              <w:color w:val="244061" w:themeColor="accent1" w:themeShade="80"/>
                              <w:sz w:val="20"/>
                              <w:szCs w:val="20"/>
                            </w:rPr>
                            <w:instrText>PAGE   \* MERGEFORMAT</w:instrText>
                          </w:r>
                          <w:r w:rsidRPr="00CA469E">
                            <w:rPr>
                              <w:rFonts w:ascii="Arial" w:hAnsi="Arial" w:cs="Arial"/>
                              <w:b/>
                              <w:color w:val="244061" w:themeColor="accent1" w:themeShade="80"/>
                              <w:sz w:val="20"/>
                              <w:szCs w:val="20"/>
                            </w:rPr>
                            <w:fldChar w:fldCharType="separate"/>
                          </w:r>
                          <w:r w:rsidR="000A2C16">
                            <w:rPr>
                              <w:rFonts w:ascii="Arial" w:hAnsi="Arial" w:cs="Arial"/>
                              <w:b/>
                              <w:noProof/>
                              <w:color w:val="244061" w:themeColor="accent1" w:themeShade="80"/>
                              <w:sz w:val="20"/>
                              <w:szCs w:val="20"/>
                            </w:rPr>
                            <w:t>13</w:t>
                          </w:r>
                          <w:r w:rsidRPr="00CA469E">
                            <w:rPr>
                              <w:rFonts w:ascii="Arial" w:hAnsi="Arial" w:cs="Arial"/>
                              <w:b/>
                              <w:color w:val="244061" w:themeColor="accent1" w:themeShade="80"/>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8FDF793" id="_x0000_s1029" style="position:absolute;margin-left:.6pt;margin-top:772.95pt;width:31.4pt;height:25.95pt;z-index:251683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" o:allowincell="f" filled="f" stroked="f">
              <o:lock v:ext="edit" aspectratio="t"/>
              <v:textbox>
                <w:txbxContent>
                  <w:p w14:paraId="74B6EDCC" w14:textId="7182BE41" w:rsidR="00F679D2" w:rsidRPr="001B745D" w:rsidRDefault="00F679D2" w:rsidP="00ED45A5">
                    <w:pPr>
                      <w:jc w:val="right"/>
                      <w:rPr>
                        <w:rFonts w:ascii="Arial" w:hAnsi="Arial" w:cs="Arial"/>
                        <w:b/>
                        <w:color w:val="244061" w:themeColor="accent1" w:themeShade="80"/>
                        <w:sz w:val="20"/>
                        <w:szCs w:val="20"/>
                      </w:rPr>
                    </w:pPr>
                    <w:r w:rsidRPr="00CA469E">
                      <w:rPr>
                        <w:rFonts w:ascii="Arial" w:hAnsi="Arial" w:cs="Arial"/>
                        <w:b/>
                        <w:color w:val="244061" w:themeColor="accent1" w:themeShade="80"/>
                        <w:sz w:val="20"/>
                        <w:szCs w:val="20"/>
                      </w:rPr>
                      <w:fldChar w:fldCharType="begin"/>
                    </w:r>
                    <w:r w:rsidRPr="00CA469E">
                      <w:rPr>
                        <w:rFonts w:ascii="Arial" w:hAnsi="Arial" w:cs="Arial"/>
                        <w:b/>
                        <w:color w:val="244061" w:themeColor="accent1" w:themeShade="80"/>
                        <w:sz w:val="20"/>
                        <w:szCs w:val="20"/>
                      </w:rPr>
                      <w:instrText>PAGE   \* MERGEFORMAT</w:instrText>
                    </w:r>
                    <w:r w:rsidRPr="00CA469E">
                      <w:rPr>
                        <w:rFonts w:ascii="Arial" w:hAnsi="Arial" w:cs="Arial"/>
                        <w:b/>
                        <w:color w:val="244061" w:themeColor="accent1" w:themeShade="80"/>
                        <w:sz w:val="20"/>
                        <w:szCs w:val="20"/>
                      </w:rPr>
                      <w:fldChar w:fldCharType="separate"/>
                    </w:r>
                    <w:r w:rsidR="000A2C16">
                      <w:rPr>
                        <w:rFonts w:ascii="Arial" w:hAnsi="Arial" w:cs="Arial"/>
                        <w:b/>
                        <w:noProof/>
                        <w:color w:val="244061" w:themeColor="accent1" w:themeShade="80"/>
                        <w:sz w:val="20"/>
                        <w:szCs w:val="20"/>
                      </w:rPr>
                      <w:t>13</w:t>
                    </w:r>
                    <w:r w:rsidRPr="00CA469E">
                      <w:rPr>
                        <w:rFonts w:ascii="Arial" w:hAnsi="Arial" w:cs="Arial"/>
                        <w:b/>
                        <w:color w:val="244061" w:themeColor="accent1" w:themeShade="80"/>
                        <w:sz w:val="20"/>
                        <w:szCs w:val="20"/>
                      </w:rPr>
                      <w:fldChar w:fldCharType="end"/>
                    </w:r>
                  </w:p>
                </w:txbxContent>
              </v:textbox>
              <w10:wrap anchorx="margin" anchory="margin"/>
            </v:rect>
          </w:pict>
        </mc:Fallback>
      </mc:AlternateContent>
    </w:r>
    <w:sdt>
      <w:sdtPr>
        <w:rPr>
          <w:rFonts w:asciiTheme="majorHAnsi" w:eastAsiaTheme="majorEastAsia" w:hAnsiTheme="majorHAnsi" w:cstheme="majorBidi"/>
          <w:highlight w:val="lightGray"/>
        </w:rPr>
        <w:id w:val="236214241"/>
        <w:docPartObj>
          <w:docPartGallery w:val="Page Numbers (Bottom of Page)"/>
          <w:docPartUnique/>
        </w:docPartObj>
      </w:sdtPr>
      <w:sdtEndPr/>
      <w:sdtContent>
        <w:r>
          <w:rPr>
            <w:noProof/>
            <w:sz w:val="28"/>
            <w:szCs w:val="28"/>
          </w:rPr>
          <mc:AlternateContent>
            <mc:Choice Requires="wps">
              <w:drawing>
                <wp:anchor distT="4294967295" distB="4294967295" distL="114300" distR="114300" simplePos="0" relativeHeight="251681280" behindDoc="0" locked="0" layoutInCell="1" allowOverlap="1" wp14:anchorId="220FAC34" wp14:editId="6CC02C75">
                  <wp:simplePos x="0" y="0"/>
                  <wp:positionH relativeFrom="column">
                    <wp:posOffset>13335</wp:posOffset>
                  </wp:positionH>
                  <wp:positionV relativeFrom="paragraph">
                    <wp:posOffset>-71756</wp:posOffset>
                  </wp:positionV>
                  <wp:extent cx="6299835" cy="0"/>
                  <wp:effectExtent l="0" t="0" r="0" b="0"/>
                  <wp:wrapNone/>
                  <wp:docPr id="45" name="Connettore 1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835" cy="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AD046A5" id="Connettore 1 45"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5pt,-5.65pt" to="497.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" strokecolor="white [3212]" strokeweight="1.25pt">
                  <o:lock v:ext="edit" shapetype="f"/>
                </v:line>
              </w:pict>
            </mc:Fallback>
          </mc:AlternateContent>
        </w:r>
        <w:r>
          <w:rPr>
            <w:noProof/>
            <w:sz w:val="28"/>
            <w:szCs w:val="28"/>
          </w:rPr>
          <mc:AlternateContent>
            <mc:Choice Requires="wps">
              <w:drawing>
                <wp:anchor distT="4294967295" distB="4294967295" distL="114300" distR="114300" simplePos="0" relativeHeight="251680256" behindDoc="0" locked="0" layoutInCell="1" allowOverlap="1" wp14:anchorId="4E4E0CA6" wp14:editId="6C727735">
                  <wp:simplePos x="0" y="0"/>
                  <wp:positionH relativeFrom="column">
                    <wp:posOffset>13970</wp:posOffset>
                  </wp:positionH>
                  <wp:positionV relativeFrom="paragraph">
                    <wp:posOffset>-2493646</wp:posOffset>
                  </wp:positionV>
                  <wp:extent cx="6299835" cy="0"/>
                  <wp:effectExtent l="0" t="0" r="0" b="0"/>
                  <wp:wrapNone/>
                  <wp:docPr id="46" name="Connettore 1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9835" cy="0"/>
                          </a:xfrm>
                          <a:prstGeom prst="line">
                            <a:avLst/>
                          </a:prstGeom>
                          <a:ln w="158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E2D9AEA" id="Connettore 1 46"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pt,-196.35pt" to="497.15pt,-1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" strokecolor="white [3212]" strokeweight="1.25pt">
                  <o:lock v:ext="edit" shapetype="f"/>
                </v:line>
              </w:pict>
            </mc:Fallback>
          </mc:AlternateContent>
        </w:r>
        <w:sdt>
          <w:sdtPr>
            <w:rPr>
              <w:rFonts w:asciiTheme="majorHAnsi" w:eastAsiaTheme="majorEastAsia" w:hAnsiTheme="majorHAnsi" w:cstheme="majorBidi"/>
              <w:highlight w:val="lightGray"/>
            </w:rPr>
            <w:id w:val="-1441141864"/>
            <w:docPartObj>
              <w:docPartGallery w:val="Page Numbers (Margins)"/>
              <w:docPartUnique/>
            </w:docPartObj>
          </w:sdtPr>
          <w:sdtEndPr/>
          <w:sdtContent>
            <w:r>
              <w:rPr>
                <w:noProof/>
              </w:rPr>
              <w:drawing>
                <wp:anchor distT="0" distB="0" distL="114300" distR="114300" simplePos="0" relativeHeight="251677184" behindDoc="0" locked="0" layoutInCell="1" allowOverlap="1" wp14:anchorId="23481A44" wp14:editId="20247401">
                  <wp:simplePos x="0" y="0"/>
                  <wp:positionH relativeFrom="column">
                    <wp:posOffset>5678170</wp:posOffset>
                  </wp:positionH>
                  <wp:positionV relativeFrom="paragraph">
                    <wp:posOffset>-263525</wp:posOffset>
                  </wp:positionV>
                  <wp:extent cx="1256030" cy="788035"/>
                  <wp:effectExtent l="0" t="0" r="127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estateReport_Tavola disegno 1 copia 2.png"/>
                          <pic:cNvPicPr/>
                        </pic:nvPicPr>
                        <pic:blipFill>
                          <a:blip r:embed="rId1"/>
                          <a:stretch>
                            <a:fillRect/>
                          </a:stretch>
                        </pic:blipFill>
                        <pic:spPr>
                          <a:xfrm>
                            <a:off x="0" y="0"/>
                            <a:ext cx="1256030" cy="788035"/>
                          </a:xfrm>
                          <a:prstGeom prst="rect">
                            <a:avLst/>
                          </a:prstGeom>
                        </pic:spPr>
                      </pic:pic>
                    </a:graphicData>
                  </a:graphic>
                </wp:anchor>
              </w:drawing>
            </w:r>
          </w:sdtContent>
        </w:sdt>
      </w:sdtContent>
    </w:sdt>
  </w:p>
  <w:p w14:paraId="398724EE" w14:textId="77777777" w:rsidR="00F679D2" w:rsidRDefault="00F679D2" w:rsidP="00842757">
    <w:pPr>
      <w:pStyle w:val="Pidipagina"/>
      <w:tabs>
        <w:tab w:val="clear" w:pos="4819"/>
        <w:tab w:val="clear" w:pos="9638"/>
        <w:tab w:val="left" w:pos="777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23FCE" w14:textId="77777777" w:rsidR="00311746" w:rsidRDefault="00311746">
      <w:r>
        <w:separator/>
      </w:r>
    </w:p>
  </w:footnote>
  <w:footnote w:type="continuationSeparator" w:id="0">
    <w:p w14:paraId="2AE95E55" w14:textId="77777777" w:rsidR="00311746" w:rsidRDefault="00311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1233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323"/>
      <w:gridCol w:w="3016"/>
    </w:tblGrid>
    <w:tr w:rsidR="00F679D2" w:rsidRPr="00DD6CCE" w14:paraId="377196E6" w14:textId="77777777" w:rsidTr="00A03717">
      <w:trPr>
        <w:trHeight w:hRule="exact" w:val="567"/>
      </w:trPr>
      <w:tc>
        <w:tcPr>
          <w:tcW w:w="9323" w:type="dxa"/>
          <w:shd w:val="clear" w:color="auto" w:fill="1F497D"/>
          <w:vAlign w:val="center"/>
        </w:tcPr>
        <w:p w14:paraId="6B4CCB84" w14:textId="05A3AA2C" w:rsidR="00F679D2" w:rsidRPr="005D6783" w:rsidRDefault="00F679D2" w:rsidP="00B46F80">
          <w:pPr>
            <w:pStyle w:val="Intestazione"/>
            <w:spacing w:before="80"/>
            <w:ind w:left="567"/>
            <w:jc w:val="left"/>
            <w:rPr>
              <w:rFonts w:ascii="Arial Narrow" w:hAnsi="Arial Narrow"/>
              <w:color w:val="FFFFFF" w:themeColor="background1"/>
              <w:sz w:val="24"/>
            </w:rPr>
          </w:pPr>
          <w:r>
            <w:rPr>
              <w:rFonts w:ascii="Arial Narrow" w:hAnsi="Arial Narrow"/>
              <w:color w:val="FFFFFF" w:themeColor="background1"/>
              <w:sz w:val="24"/>
            </w:rPr>
            <w:t>CITTADINI NON COMUNITARI IN ITALIA</w:t>
          </w:r>
        </w:p>
      </w:tc>
      <w:tc>
        <w:tcPr>
          <w:tcW w:w="3016" w:type="dxa"/>
          <w:shd w:val="clear" w:color="auto" w:fill="1F497D" w:themeFill="text2"/>
          <w:vAlign w:val="center"/>
        </w:tcPr>
        <w:p w14:paraId="7C287731" w14:textId="77777777" w:rsidR="00F679D2" w:rsidRPr="00DD6CCE" w:rsidRDefault="00F679D2" w:rsidP="00C312B1">
          <w:pPr>
            <w:pStyle w:val="Intestazione"/>
            <w:tabs>
              <w:tab w:val="left" w:pos="2160"/>
            </w:tabs>
            <w:ind w:left="284" w:hanging="100"/>
            <w:jc w:val="left"/>
            <w:rPr>
              <w:color w:val="FFFFFF" w:themeColor="background1"/>
            </w:rPr>
          </w:pPr>
          <w:r>
            <w:rPr>
              <w:noProof/>
              <w:color w:val="FFFFFF" w:themeColor="background1"/>
            </w:rPr>
            <w:drawing>
              <wp:anchor distT="0" distB="0" distL="114300" distR="114300" simplePos="0" relativeHeight="251690496" behindDoc="0" locked="0" layoutInCell="1" allowOverlap="1" wp14:anchorId="2E9B93F4" wp14:editId="2187CB56">
                <wp:simplePos x="0" y="0"/>
                <wp:positionH relativeFrom="column">
                  <wp:posOffset>598805</wp:posOffset>
                </wp:positionH>
                <wp:positionV relativeFrom="paragraph">
                  <wp:posOffset>-1905</wp:posOffset>
                </wp:positionV>
                <wp:extent cx="695325" cy="198120"/>
                <wp:effectExtent l="0" t="0" r="9525" b="0"/>
                <wp:wrapNone/>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lWhite-01.png"/>
                        <pic:cNvPicPr/>
                      </pic:nvPicPr>
                      <pic:blipFill>
                        <a:blip r:embed="rId1"/>
                        <a:stretch>
                          <a:fillRect/>
                        </a:stretch>
                      </pic:blipFill>
                      <pic:spPr>
                        <a:xfrm>
                          <a:off x="0" y="0"/>
                          <a:ext cx="695325" cy="198120"/>
                        </a:xfrm>
                        <a:prstGeom prst="rect">
                          <a:avLst/>
                        </a:prstGeom>
                      </pic:spPr>
                    </pic:pic>
                  </a:graphicData>
                </a:graphic>
              </wp:anchor>
            </w:drawing>
          </w:r>
        </w:p>
      </w:tc>
    </w:tr>
  </w:tbl>
  <w:p w14:paraId="1BB6D863" w14:textId="77777777" w:rsidR="00F679D2" w:rsidRPr="007D0BF5" w:rsidRDefault="00F679D2" w:rsidP="00B15087">
    <w:pPr>
      <w:pStyle w:val="Intestazione"/>
      <w:tabs>
        <w:tab w:val="clear" w:pos="4819"/>
        <w:tab w:val="clear" w:pos="9638"/>
        <w:tab w:val="left" w:pos="5959"/>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7E5B" w14:textId="77777777" w:rsidR="00F679D2" w:rsidRDefault="00F679D2" w:rsidP="00311B8C">
    <w:pPr>
      <w:pStyle w:val="Intestazione"/>
      <w:ind w:left="-992"/>
    </w:pPr>
    <w:r>
      <w:rPr>
        <w:noProof/>
      </w:rPr>
      <w:drawing>
        <wp:inline distT="0" distB="0" distL="0" distR="0" wp14:anchorId="42A00E4F" wp14:editId="1151C6FE">
          <wp:extent cx="7488000" cy="1629057"/>
          <wp:effectExtent l="0" t="0" r="0" b="9525"/>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estateReport_Tavola disegno 1.jpg"/>
                  <pic:cNvPicPr/>
                </pic:nvPicPr>
                <pic:blipFill>
                  <a:blip r:embed="rId1"/>
                  <a:stretch>
                    <a:fillRect/>
                  </a:stretch>
                </pic:blipFill>
                <pic:spPr>
                  <a:xfrm>
                    <a:off x="0" y="0"/>
                    <a:ext cx="7488000" cy="16290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20FC8"/>
    <w:multiLevelType w:val="hybridMultilevel"/>
    <w:tmpl w:val="8E76E6FA"/>
    <w:lvl w:ilvl="0" w:tplc="8FC05DA6">
      <w:start w:val="3"/>
      <w:numFmt w:val="decimal"/>
      <w:lvlText w:val="%1."/>
      <w:lvlJc w:val="left"/>
      <w:pPr>
        <w:ind w:left="1080" w:hanging="360"/>
      </w:pPr>
      <w:rPr>
        <w:rFonts w:ascii="Times New Roman" w:hAnsi="Times New Roman" w:cs="Times New Roman" w:hint="default"/>
        <w:color w:val="auto"/>
        <w:sz w:val="16"/>
        <w:vertAlign w:val="superscrip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1A16619B"/>
    <w:multiLevelType w:val="hybridMultilevel"/>
    <w:tmpl w:val="9034B5B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2F39C6"/>
    <w:multiLevelType w:val="hybridMultilevel"/>
    <w:tmpl w:val="51A818E4"/>
    <w:lvl w:ilvl="0" w:tplc="D3F015B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9C7F42"/>
    <w:multiLevelType w:val="hybridMultilevel"/>
    <w:tmpl w:val="51A818E4"/>
    <w:lvl w:ilvl="0" w:tplc="D3F015B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C60D11"/>
    <w:multiLevelType w:val="hybridMultilevel"/>
    <w:tmpl w:val="F2EE25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E01C60"/>
    <w:multiLevelType w:val="hybridMultilevel"/>
    <w:tmpl w:val="6C30F53E"/>
    <w:lvl w:ilvl="0" w:tplc="D220CF82">
      <w:start w:val="1"/>
      <w:numFmt w:val="bullet"/>
      <w:lvlText w:val=""/>
      <w:lvlJc w:val="left"/>
      <w:pPr>
        <w:tabs>
          <w:tab w:val="num" w:pos="720"/>
        </w:tabs>
        <w:ind w:left="720" w:hanging="360"/>
      </w:pPr>
      <w:rPr>
        <w:rFonts w:ascii="Wingdings" w:hAnsi="Wingdings" w:hint="default"/>
      </w:rPr>
    </w:lvl>
    <w:lvl w:ilvl="1" w:tplc="56DA67FC" w:tentative="1">
      <w:start w:val="1"/>
      <w:numFmt w:val="bullet"/>
      <w:lvlText w:val=""/>
      <w:lvlJc w:val="left"/>
      <w:pPr>
        <w:tabs>
          <w:tab w:val="num" w:pos="1440"/>
        </w:tabs>
        <w:ind w:left="1440" w:hanging="360"/>
      </w:pPr>
      <w:rPr>
        <w:rFonts w:ascii="Wingdings" w:hAnsi="Wingdings" w:hint="default"/>
      </w:rPr>
    </w:lvl>
    <w:lvl w:ilvl="2" w:tplc="C39019A6" w:tentative="1">
      <w:start w:val="1"/>
      <w:numFmt w:val="bullet"/>
      <w:lvlText w:val=""/>
      <w:lvlJc w:val="left"/>
      <w:pPr>
        <w:tabs>
          <w:tab w:val="num" w:pos="2160"/>
        </w:tabs>
        <w:ind w:left="2160" w:hanging="360"/>
      </w:pPr>
      <w:rPr>
        <w:rFonts w:ascii="Wingdings" w:hAnsi="Wingdings" w:hint="default"/>
      </w:rPr>
    </w:lvl>
    <w:lvl w:ilvl="3" w:tplc="38242D5C" w:tentative="1">
      <w:start w:val="1"/>
      <w:numFmt w:val="bullet"/>
      <w:lvlText w:val=""/>
      <w:lvlJc w:val="left"/>
      <w:pPr>
        <w:tabs>
          <w:tab w:val="num" w:pos="2880"/>
        </w:tabs>
        <w:ind w:left="2880" w:hanging="360"/>
      </w:pPr>
      <w:rPr>
        <w:rFonts w:ascii="Wingdings" w:hAnsi="Wingdings" w:hint="default"/>
      </w:rPr>
    </w:lvl>
    <w:lvl w:ilvl="4" w:tplc="A9943FF4" w:tentative="1">
      <w:start w:val="1"/>
      <w:numFmt w:val="bullet"/>
      <w:lvlText w:val=""/>
      <w:lvlJc w:val="left"/>
      <w:pPr>
        <w:tabs>
          <w:tab w:val="num" w:pos="3600"/>
        </w:tabs>
        <w:ind w:left="3600" w:hanging="360"/>
      </w:pPr>
      <w:rPr>
        <w:rFonts w:ascii="Wingdings" w:hAnsi="Wingdings" w:hint="default"/>
      </w:rPr>
    </w:lvl>
    <w:lvl w:ilvl="5" w:tplc="D8583B80" w:tentative="1">
      <w:start w:val="1"/>
      <w:numFmt w:val="bullet"/>
      <w:lvlText w:val=""/>
      <w:lvlJc w:val="left"/>
      <w:pPr>
        <w:tabs>
          <w:tab w:val="num" w:pos="4320"/>
        </w:tabs>
        <w:ind w:left="4320" w:hanging="360"/>
      </w:pPr>
      <w:rPr>
        <w:rFonts w:ascii="Wingdings" w:hAnsi="Wingdings" w:hint="default"/>
      </w:rPr>
    </w:lvl>
    <w:lvl w:ilvl="6" w:tplc="FFA27B98" w:tentative="1">
      <w:start w:val="1"/>
      <w:numFmt w:val="bullet"/>
      <w:lvlText w:val=""/>
      <w:lvlJc w:val="left"/>
      <w:pPr>
        <w:tabs>
          <w:tab w:val="num" w:pos="5040"/>
        </w:tabs>
        <w:ind w:left="5040" w:hanging="360"/>
      </w:pPr>
      <w:rPr>
        <w:rFonts w:ascii="Wingdings" w:hAnsi="Wingdings" w:hint="default"/>
      </w:rPr>
    </w:lvl>
    <w:lvl w:ilvl="7" w:tplc="00121CB6" w:tentative="1">
      <w:start w:val="1"/>
      <w:numFmt w:val="bullet"/>
      <w:lvlText w:val=""/>
      <w:lvlJc w:val="left"/>
      <w:pPr>
        <w:tabs>
          <w:tab w:val="num" w:pos="5760"/>
        </w:tabs>
        <w:ind w:left="5760" w:hanging="360"/>
      </w:pPr>
      <w:rPr>
        <w:rFonts w:ascii="Wingdings" w:hAnsi="Wingdings" w:hint="default"/>
      </w:rPr>
    </w:lvl>
    <w:lvl w:ilvl="8" w:tplc="E36AE7A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3C6D18"/>
    <w:multiLevelType w:val="hybridMultilevel"/>
    <w:tmpl w:val="3AB4561A"/>
    <w:lvl w:ilvl="0" w:tplc="B4D4A96C">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EE6E99"/>
    <w:multiLevelType w:val="hybridMultilevel"/>
    <w:tmpl w:val="8A369FFC"/>
    <w:lvl w:ilvl="0" w:tplc="B4D4A96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386E13"/>
    <w:multiLevelType w:val="hybridMultilevel"/>
    <w:tmpl w:val="405C98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E04290"/>
    <w:multiLevelType w:val="hybridMultilevel"/>
    <w:tmpl w:val="9BFCBCEC"/>
    <w:lvl w:ilvl="0" w:tplc="B4D4A96C">
      <w:numFmt w:val="bullet"/>
      <w:lvlText w:val="-"/>
      <w:lvlJc w:val="left"/>
      <w:pPr>
        <w:ind w:left="720" w:hanging="360"/>
      </w:pPr>
      <w:rPr>
        <w:rFonts w:ascii="Calibri" w:eastAsiaTheme="minorHAnsi" w:hAnsi="Calibri" w:cstheme="minorBidi"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0ED59FB"/>
    <w:multiLevelType w:val="hybridMultilevel"/>
    <w:tmpl w:val="85D851A4"/>
    <w:lvl w:ilvl="0" w:tplc="5B483D00">
      <w:start w:val="1"/>
      <w:numFmt w:val="bullet"/>
      <w:lvlText w:val=""/>
      <w:lvlJc w:val="left"/>
      <w:pPr>
        <w:tabs>
          <w:tab w:val="num" w:pos="720"/>
        </w:tabs>
        <w:ind w:left="720" w:hanging="360"/>
      </w:pPr>
      <w:rPr>
        <w:rFonts w:ascii="Wingdings" w:hAnsi="Wingdings" w:hint="default"/>
      </w:rPr>
    </w:lvl>
    <w:lvl w:ilvl="1" w:tplc="7F602A00" w:tentative="1">
      <w:start w:val="1"/>
      <w:numFmt w:val="bullet"/>
      <w:lvlText w:val=""/>
      <w:lvlJc w:val="left"/>
      <w:pPr>
        <w:tabs>
          <w:tab w:val="num" w:pos="1440"/>
        </w:tabs>
        <w:ind w:left="1440" w:hanging="360"/>
      </w:pPr>
      <w:rPr>
        <w:rFonts w:ascii="Wingdings" w:hAnsi="Wingdings" w:hint="default"/>
      </w:rPr>
    </w:lvl>
    <w:lvl w:ilvl="2" w:tplc="BF268A02" w:tentative="1">
      <w:start w:val="1"/>
      <w:numFmt w:val="bullet"/>
      <w:lvlText w:val=""/>
      <w:lvlJc w:val="left"/>
      <w:pPr>
        <w:tabs>
          <w:tab w:val="num" w:pos="2160"/>
        </w:tabs>
        <w:ind w:left="2160" w:hanging="360"/>
      </w:pPr>
      <w:rPr>
        <w:rFonts w:ascii="Wingdings" w:hAnsi="Wingdings" w:hint="default"/>
      </w:rPr>
    </w:lvl>
    <w:lvl w:ilvl="3" w:tplc="D42659EC" w:tentative="1">
      <w:start w:val="1"/>
      <w:numFmt w:val="bullet"/>
      <w:lvlText w:val=""/>
      <w:lvlJc w:val="left"/>
      <w:pPr>
        <w:tabs>
          <w:tab w:val="num" w:pos="2880"/>
        </w:tabs>
        <w:ind w:left="2880" w:hanging="360"/>
      </w:pPr>
      <w:rPr>
        <w:rFonts w:ascii="Wingdings" w:hAnsi="Wingdings" w:hint="default"/>
      </w:rPr>
    </w:lvl>
    <w:lvl w:ilvl="4" w:tplc="41C6B098" w:tentative="1">
      <w:start w:val="1"/>
      <w:numFmt w:val="bullet"/>
      <w:lvlText w:val=""/>
      <w:lvlJc w:val="left"/>
      <w:pPr>
        <w:tabs>
          <w:tab w:val="num" w:pos="3600"/>
        </w:tabs>
        <w:ind w:left="3600" w:hanging="360"/>
      </w:pPr>
      <w:rPr>
        <w:rFonts w:ascii="Wingdings" w:hAnsi="Wingdings" w:hint="default"/>
      </w:rPr>
    </w:lvl>
    <w:lvl w:ilvl="5" w:tplc="31C49102" w:tentative="1">
      <w:start w:val="1"/>
      <w:numFmt w:val="bullet"/>
      <w:lvlText w:val=""/>
      <w:lvlJc w:val="left"/>
      <w:pPr>
        <w:tabs>
          <w:tab w:val="num" w:pos="4320"/>
        </w:tabs>
        <w:ind w:left="4320" w:hanging="360"/>
      </w:pPr>
      <w:rPr>
        <w:rFonts w:ascii="Wingdings" w:hAnsi="Wingdings" w:hint="default"/>
      </w:rPr>
    </w:lvl>
    <w:lvl w:ilvl="6" w:tplc="7BF26E18" w:tentative="1">
      <w:start w:val="1"/>
      <w:numFmt w:val="bullet"/>
      <w:lvlText w:val=""/>
      <w:lvlJc w:val="left"/>
      <w:pPr>
        <w:tabs>
          <w:tab w:val="num" w:pos="5040"/>
        </w:tabs>
        <w:ind w:left="5040" w:hanging="360"/>
      </w:pPr>
      <w:rPr>
        <w:rFonts w:ascii="Wingdings" w:hAnsi="Wingdings" w:hint="default"/>
      </w:rPr>
    </w:lvl>
    <w:lvl w:ilvl="7" w:tplc="296ED830" w:tentative="1">
      <w:start w:val="1"/>
      <w:numFmt w:val="bullet"/>
      <w:lvlText w:val=""/>
      <w:lvlJc w:val="left"/>
      <w:pPr>
        <w:tabs>
          <w:tab w:val="num" w:pos="5760"/>
        </w:tabs>
        <w:ind w:left="5760" w:hanging="360"/>
      </w:pPr>
      <w:rPr>
        <w:rFonts w:ascii="Wingdings" w:hAnsi="Wingdings" w:hint="default"/>
      </w:rPr>
    </w:lvl>
    <w:lvl w:ilvl="8" w:tplc="38289D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2438AD"/>
    <w:multiLevelType w:val="hybridMultilevel"/>
    <w:tmpl w:val="2C2879CA"/>
    <w:lvl w:ilvl="0" w:tplc="B4D4A96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2FD5ED0"/>
    <w:multiLevelType w:val="hybridMultilevel"/>
    <w:tmpl w:val="A022C566"/>
    <w:lvl w:ilvl="0" w:tplc="7B0E58BC">
      <w:start w:val="1"/>
      <w:numFmt w:val="decimal"/>
      <w:lvlText w:val="%1."/>
      <w:lvlJc w:val="left"/>
      <w:pPr>
        <w:ind w:left="720" w:hanging="360"/>
      </w:pPr>
      <w:rPr>
        <w:rFonts w:ascii="Times New Roman" w:hAnsi="Times New Roman" w:cs="Times New Roman" w:hint="default"/>
        <w:color w:val="auto"/>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4194D27"/>
    <w:multiLevelType w:val="multilevel"/>
    <w:tmpl w:val="4B767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2066C2"/>
    <w:multiLevelType w:val="hybridMultilevel"/>
    <w:tmpl w:val="C1FA435A"/>
    <w:lvl w:ilvl="0" w:tplc="B4D4A96C">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DA326C7"/>
    <w:multiLevelType w:val="hybridMultilevel"/>
    <w:tmpl w:val="90CAFABE"/>
    <w:lvl w:ilvl="0" w:tplc="B4D4A96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4"/>
  </w:num>
  <w:num w:numId="4">
    <w:abstractNumId w:val="15"/>
  </w:num>
  <w:num w:numId="5">
    <w:abstractNumId w:val="7"/>
  </w:num>
  <w:num w:numId="6">
    <w:abstractNumId w:val="11"/>
  </w:num>
  <w:num w:numId="7">
    <w:abstractNumId w:val="4"/>
  </w:num>
  <w:num w:numId="8">
    <w:abstractNumId w:val="9"/>
  </w:num>
  <w:num w:numId="9">
    <w:abstractNumId w:val="10"/>
  </w:num>
  <w:num w:numId="10">
    <w:abstractNumId w:val="5"/>
  </w:num>
  <w:num w:numId="11">
    <w:abstractNumId w:val="1"/>
  </w:num>
  <w:num w:numId="12">
    <w:abstractNumId w:val="3"/>
  </w:num>
  <w:num w:numId="13">
    <w:abstractNumId w:val="2"/>
  </w:num>
  <w:num w:numId="14">
    <w:abstractNumId w:val="12"/>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it-IT" w:vendorID="64" w:dllVersion="6" w:nlCheck="1" w:checkStyle="0"/>
  <w:activeWritingStyle w:appName="MSWord" w:lang="it-IT" w:vendorID="64" w:dllVersion="0" w:nlCheck="1" w:checkStyle="0"/>
  <w:activeWritingStyle w:appName="MSWord" w:lang="en-US" w:vendorID="64" w:dllVersion="6" w:nlCheck="1" w:checkStyle="1"/>
  <w:activeWritingStyle w:appName="MSWord" w:lang="en-US" w:vendorID="64" w:dllVersion="0" w:nlCheck="1" w:checkStyle="0"/>
  <w:activeWritingStyle w:appName="MSWord" w:lang="fr-FR" w:vendorID="64" w:dllVersion="6" w:nlCheck="1" w:checkStyle="0"/>
  <w:activeWritingStyle w:appName="MSWord" w:lang="fr-FR" w:vendorID="64" w:dllVersion="0" w:nlCheck="1" w:checkStyle="0"/>
  <w:activeWritingStyle w:appName="MSWord" w:lang="it-IT"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4FF"/>
    <w:rsid w:val="00000ACC"/>
    <w:rsid w:val="00000DE6"/>
    <w:rsid w:val="00000FA9"/>
    <w:rsid w:val="00000FAD"/>
    <w:rsid w:val="00001763"/>
    <w:rsid w:val="00001BB9"/>
    <w:rsid w:val="000020C7"/>
    <w:rsid w:val="00002177"/>
    <w:rsid w:val="000023A0"/>
    <w:rsid w:val="000028F9"/>
    <w:rsid w:val="00002932"/>
    <w:rsid w:val="000031E5"/>
    <w:rsid w:val="00003640"/>
    <w:rsid w:val="000036C7"/>
    <w:rsid w:val="000038C4"/>
    <w:rsid w:val="0000396F"/>
    <w:rsid w:val="000042EB"/>
    <w:rsid w:val="0000480A"/>
    <w:rsid w:val="00004C60"/>
    <w:rsid w:val="00005763"/>
    <w:rsid w:val="00005AD1"/>
    <w:rsid w:val="00006161"/>
    <w:rsid w:val="00006D10"/>
    <w:rsid w:val="00007066"/>
    <w:rsid w:val="000074A1"/>
    <w:rsid w:val="000075FC"/>
    <w:rsid w:val="0000784B"/>
    <w:rsid w:val="00007D48"/>
    <w:rsid w:val="00007F49"/>
    <w:rsid w:val="00010170"/>
    <w:rsid w:val="00011037"/>
    <w:rsid w:val="000113B5"/>
    <w:rsid w:val="000121B9"/>
    <w:rsid w:val="0001240E"/>
    <w:rsid w:val="00012478"/>
    <w:rsid w:val="00013043"/>
    <w:rsid w:val="00013125"/>
    <w:rsid w:val="00013136"/>
    <w:rsid w:val="0001372C"/>
    <w:rsid w:val="0001392E"/>
    <w:rsid w:val="00013B47"/>
    <w:rsid w:val="00013D54"/>
    <w:rsid w:val="00014593"/>
    <w:rsid w:val="000146BB"/>
    <w:rsid w:val="000146F2"/>
    <w:rsid w:val="000149F8"/>
    <w:rsid w:val="00014F90"/>
    <w:rsid w:val="00015061"/>
    <w:rsid w:val="0001544F"/>
    <w:rsid w:val="00016859"/>
    <w:rsid w:val="00016A80"/>
    <w:rsid w:val="00016F4D"/>
    <w:rsid w:val="0001727A"/>
    <w:rsid w:val="0001738B"/>
    <w:rsid w:val="00017E1E"/>
    <w:rsid w:val="00017EAE"/>
    <w:rsid w:val="00017EC8"/>
    <w:rsid w:val="0002046C"/>
    <w:rsid w:val="00020F6E"/>
    <w:rsid w:val="00021079"/>
    <w:rsid w:val="000213C6"/>
    <w:rsid w:val="00021F28"/>
    <w:rsid w:val="0002222D"/>
    <w:rsid w:val="00022348"/>
    <w:rsid w:val="00022629"/>
    <w:rsid w:val="000230BE"/>
    <w:rsid w:val="000232F7"/>
    <w:rsid w:val="00023987"/>
    <w:rsid w:val="00023B4F"/>
    <w:rsid w:val="0002428F"/>
    <w:rsid w:val="00024864"/>
    <w:rsid w:val="00024D7E"/>
    <w:rsid w:val="0002505D"/>
    <w:rsid w:val="000254D3"/>
    <w:rsid w:val="000268C6"/>
    <w:rsid w:val="00026A04"/>
    <w:rsid w:val="000279A8"/>
    <w:rsid w:val="00027BB2"/>
    <w:rsid w:val="00027CD4"/>
    <w:rsid w:val="00030092"/>
    <w:rsid w:val="000305A6"/>
    <w:rsid w:val="00030D17"/>
    <w:rsid w:val="00031115"/>
    <w:rsid w:val="00032172"/>
    <w:rsid w:val="000325D7"/>
    <w:rsid w:val="0003264F"/>
    <w:rsid w:val="000327BE"/>
    <w:rsid w:val="0003298F"/>
    <w:rsid w:val="00033F2B"/>
    <w:rsid w:val="00033F31"/>
    <w:rsid w:val="000340FB"/>
    <w:rsid w:val="000343A2"/>
    <w:rsid w:val="00034708"/>
    <w:rsid w:val="00034A66"/>
    <w:rsid w:val="00034BAB"/>
    <w:rsid w:val="00034EAC"/>
    <w:rsid w:val="00035302"/>
    <w:rsid w:val="0003541C"/>
    <w:rsid w:val="00035516"/>
    <w:rsid w:val="000357BA"/>
    <w:rsid w:val="0003583C"/>
    <w:rsid w:val="0003603A"/>
    <w:rsid w:val="00036154"/>
    <w:rsid w:val="00036839"/>
    <w:rsid w:val="00036AB8"/>
    <w:rsid w:val="00036B5F"/>
    <w:rsid w:val="00037D38"/>
    <w:rsid w:val="00037F71"/>
    <w:rsid w:val="00040F2F"/>
    <w:rsid w:val="00040F97"/>
    <w:rsid w:val="0004131D"/>
    <w:rsid w:val="00041C97"/>
    <w:rsid w:val="00041DC5"/>
    <w:rsid w:val="000425AA"/>
    <w:rsid w:val="00042608"/>
    <w:rsid w:val="000426E7"/>
    <w:rsid w:val="00042E4A"/>
    <w:rsid w:val="00042F26"/>
    <w:rsid w:val="00043696"/>
    <w:rsid w:val="00043DCB"/>
    <w:rsid w:val="00043DEC"/>
    <w:rsid w:val="00043EC8"/>
    <w:rsid w:val="000441E3"/>
    <w:rsid w:val="000444BF"/>
    <w:rsid w:val="00044503"/>
    <w:rsid w:val="00044591"/>
    <w:rsid w:val="0004481A"/>
    <w:rsid w:val="00044B69"/>
    <w:rsid w:val="00044BA7"/>
    <w:rsid w:val="0004526F"/>
    <w:rsid w:val="00045472"/>
    <w:rsid w:val="000463B5"/>
    <w:rsid w:val="000467F2"/>
    <w:rsid w:val="00046C57"/>
    <w:rsid w:val="00047479"/>
    <w:rsid w:val="0004769F"/>
    <w:rsid w:val="000476DC"/>
    <w:rsid w:val="00047A1F"/>
    <w:rsid w:val="0005078C"/>
    <w:rsid w:val="000507CF"/>
    <w:rsid w:val="000508BE"/>
    <w:rsid w:val="00051F83"/>
    <w:rsid w:val="000521DF"/>
    <w:rsid w:val="0005356B"/>
    <w:rsid w:val="0005369B"/>
    <w:rsid w:val="000539C6"/>
    <w:rsid w:val="00053FF5"/>
    <w:rsid w:val="000541C4"/>
    <w:rsid w:val="000541EC"/>
    <w:rsid w:val="0005451A"/>
    <w:rsid w:val="00054871"/>
    <w:rsid w:val="00054C02"/>
    <w:rsid w:val="00054F7A"/>
    <w:rsid w:val="000556E0"/>
    <w:rsid w:val="00056503"/>
    <w:rsid w:val="00056A13"/>
    <w:rsid w:val="00056CE5"/>
    <w:rsid w:val="0005708A"/>
    <w:rsid w:val="00057838"/>
    <w:rsid w:val="00057C05"/>
    <w:rsid w:val="00057EFB"/>
    <w:rsid w:val="000611D6"/>
    <w:rsid w:val="00061A09"/>
    <w:rsid w:val="00061B12"/>
    <w:rsid w:val="00061D00"/>
    <w:rsid w:val="00062292"/>
    <w:rsid w:val="00062A73"/>
    <w:rsid w:val="00062D4D"/>
    <w:rsid w:val="00062E94"/>
    <w:rsid w:val="00063761"/>
    <w:rsid w:val="00063871"/>
    <w:rsid w:val="00063D09"/>
    <w:rsid w:val="00063EAE"/>
    <w:rsid w:val="00064102"/>
    <w:rsid w:val="00064D7A"/>
    <w:rsid w:val="000650D7"/>
    <w:rsid w:val="000654B6"/>
    <w:rsid w:val="00065E58"/>
    <w:rsid w:val="000665DC"/>
    <w:rsid w:val="00066662"/>
    <w:rsid w:val="00066AD6"/>
    <w:rsid w:val="00066F5C"/>
    <w:rsid w:val="0006744B"/>
    <w:rsid w:val="000674BF"/>
    <w:rsid w:val="000679B2"/>
    <w:rsid w:val="0007004B"/>
    <w:rsid w:val="0007054D"/>
    <w:rsid w:val="0007093C"/>
    <w:rsid w:val="00070C45"/>
    <w:rsid w:val="00070CBB"/>
    <w:rsid w:val="00070E9D"/>
    <w:rsid w:val="00070F20"/>
    <w:rsid w:val="00070FF7"/>
    <w:rsid w:val="000717CD"/>
    <w:rsid w:val="0007183B"/>
    <w:rsid w:val="000718B8"/>
    <w:rsid w:val="00071D59"/>
    <w:rsid w:val="00071F99"/>
    <w:rsid w:val="000726D1"/>
    <w:rsid w:val="000729D7"/>
    <w:rsid w:val="00072EE8"/>
    <w:rsid w:val="000733EE"/>
    <w:rsid w:val="0007346F"/>
    <w:rsid w:val="0007364E"/>
    <w:rsid w:val="000737C5"/>
    <w:rsid w:val="00074368"/>
    <w:rsid w:val="00074406"/>
    <w:rsid w:val="00074992"/>
    <w:rsid w:val="00074A77"/>
    <w:rsid w:val="00075049"/>
    <w:rsid w:val="000750E3"/>
    <w:rsid w:val="000757EA"/>
    <w:rsid w:val="000758BC"/>
    <w:rsid w:val="00075D4D"/>
    <w:rsid w:val="000761A6"/>
    <w:rsid w:val="00076403"/>
    <w:rsid w:val="0007651D"/>
    <w:rsid w:val="00076B04"/>
    <w:rsid w:val="00076C5D"/>
    <w:rsid w:val="00077332"/>
    <w:rsid w:val="0007734E"/>
    <w:rsid w:val="0007745A"/>
    <w:rsid w:val="00077664"/>
    <w:rsid w:val="0007789E"/>
    <w:rsid w:val="00077B36"/>
    <w:rsid w:val="00077D12"/>
    <w:rsid w:val="00080193"/>
    <w:rsid w:val="00080222"/>
    <w:rsid w:val="000807FB"/>
    <w:rsid w:val="00081681"/>
    <w:rsid w:val="00081A49"/>
    <w:rsid w:val="0008204C"/>
    <w:rsid w:val="000824CF"/>
    <w:rsid w:val="00082F25"/>
    <w:rsid w:val="00082F91"/>
    <w:rsid w:val="0008350C"/>
    <w:rsid w:val="000835DD"/>
    <w:rsid w:val="00083619"/>
    <w:rsid w:val="00083EA8"/>
    <w:rsid w:val="0008427D"/>
    <w:rsid w:val="000842A5"/>
    <w:rsid w:val="000843B1"/>
    <w:rsid w:val="00084532"/>
    <w:rsid w:val="0008509D"/>
    <w:rsid w:val="0008573D"/>
    <w:rsid w:val="00085A07"/>
    <w:rsid w:val="00085D39"/>
    <w:rsid w:val="00085E81"/>
    <w:rsid w:val="000860AB"/>
    <w:rsid w:val="00086597"/>
    <w:rsid w:val="00086F15"/>
    <w:rsid w:val="00086F21"/>
    <w:rsid w:val="0008701E"/>
    <w:rsid w:val="00087532"/>
    <w:rsid w:val="00087F2B"/>
    <w:rsid w:val="00087FB0"/>
    <w:rsid w:val="00090CA1"/>
    <w:rsid w:val="00090EB0"/>
    <w:rsid w:val="000912D8"/>
    <w:rsid w:val="00091688"/>
    <w:rsid w:val="00091B50"/>
    <w:rsid w:val="000923A6"/>
    <w:rsid w:val="00092B2E"/>
    <w:rsid w:val="00093839"/>
    <w:rsid w:val="00094010"/>
    <w:rsid w:val="0009401D"/>
    <w:rsid w:val="000940FB"/>
    <w:rsid w:val="00094437"/>
    <w:rsid w:val="0009519B"/>
    <w:rsid w:val="00095707"/>
    <w:rsid w:val="0009576C"/>
    <w:rsid w:val="0009586E"/>
    <w:rsid w:val="00095914"/>
    <w:rsid w:val="00096098"/>
    <w:rsid w:val="00096F31"/>
    <w:rsid w:val="000A0264"/>
    <w:rsid w:val="000A0304"/>
    <w:rsid w:val="000A0626"/>
    <w:rsid w:val="000A0680"/>
    <w:rsid w:val="000A1A44"/>
    <w:rsid w:val="000A24D0"/>
    <w:rsid w:val="000A24F3"/>
    <w:rsid w:val="000A29F9"/>
    <w:rsid w:val="000A2B36"/>
    <w:rsid w:val="000A2BC1"/>
    <w:rsid w:val="000A2C16"/>
    <w:rsid w:val="000A2CE3"/>
    <w:rsid w:val="000A31B1"/>
    <w:rsid w:val="000A33E7"/>
    <w:rsid w:val="000A35DD"/>
    <w:rsid w:val="000A3DA6"/>
    <w:rsid w:val="000A3F16"/>
    <w:rsid w:val="000A3FBE"/>
    <w:rsid w:val="000A42D0"/>
    <w:rsid w:val="000A49A3"/>
    <w:rsid w:val="000A4D3D"/>
    <w:rsid w:val="000A4F3E"/>
    <w:rsid w:val="000A53CF"/>
    <w:rsid w:val="000A5962"/>
    <w:rsid w:val="000A62D3"/>
    <w:rsid w:val="000A65B1"/>
    <w:rsid w:val="000A68D2"/>
    <w:rsid w:val="000A7801"/>
    <w:rsid w:val="000A7B69"/>
    <w:rsid w:val="000A7E2D"/>
    <w:rsid w:val="000A7EEA"/>
    <w:rsid w:val="000B0188"/>
    <w:rsid w:val="000B0D6F"/>
    <w:rsid w:val="000B1D60"/>
    <w:rsid w:val="000B1FDA"/>
    <w:rsid w:val="000B26F7"/>
    <w:rsid w:val="000B2771"/>
    <w:rsid w:val="000B29E5"/>
    <w:rsid w:val="000B33BB"/>
    <w:rsid w:val="000B3556"/>
    <w:rsid w:val="000B395C"/>
    <w:rsid w:val="000B3D10"/>
    <w:rsid w:val="000B41D3"/>
    <w:rsid w:val="000B4257"/>
    <w:rsid w:val="000B4826"/>
    <w:rsid w:val="000B5051"/>
    <w:rsid w:val="000B54EA"/>
    <w:rsid w:val="000B5CF0"/>
    <w:rsid w:val="000B5EE2"/>
    <w:rsid w:val="000B5F30"/>
    <w:rsid w:val="000B5F37"/>
    <w:rsid w:val="000B5FAD"/>
    <w:rsid w:val="000B6060"/>
    <w:rsid w:val="000B644B"/>
    <w:rsid w:val="000B665F"/>
    <w:rsid w:val="000B68CB"/>
    <w:rsid w:val="000B6E6E"/>
    <w:rsid w:val="000B724A"/>
    <w:rsid w:val="000B78AF"/>
    <w:rsid w:val="000B7DD1"/>
    <w:rsid w:val="000C031F"/>
    <w:rsid w:val="000C041E"/>
    <w:rsid w:val="000C06DA"/>
    <w:rsid w:val="000C0A8C"/>
    <w:rsid w:val="000C0E96"/>
    <w:rsid w:val="000C1301"/>
    <w:rsid w:val="000C1776"/>
    <w:rsid w:val="000C23C8"/>
    <w:rsid w:val="000C24A9"/>
    <w:rsid w:val="000C2AF7"/>
    <w:rsid w:val="000C2DC1"/>
    <w:rsid w:val="000C321C"/>
    <w:rsid w:val="000C32A4"/>
    <w:rsid w:val="000C3ACA"/>
    <w:rsid w:val="000C3BA4"/>
    <w:rsid w:val="000C3F65"/>
    <w:rsid w:val="000C4258"/>
    <w:rsid w:val="000C43DA"/>
    <w:rsid w:val="000C473D"/>
    <w:rsid w:val="000C4CBB"/>
    <w:rsid w:val="000C4FED"/>
    <w:rsid w:val="000C5239"/>
    <w:rsid w:val="000C54FD"/>
    <w:rsid w:val="000C5D95"/>
    <w:rsid w:val="000C5DC0"/>
    <w:rsid w:val="000C6338"/>
    <w:rsid w:val="000C683D"/>
    <w:rsid w:val="000C6949"/>
    <w:rsid w:val="000C6A75"/>
    <w:rsid w:val="000C6AAC"/>
    <w:rsid w:val="000C6D3F"/>
    <w:rsid w:val="000C6E06"/>
    <w:rsid w:val="000C7AF6"/>
    <w:rsid w:val="000C7E7F"/>
    <w:rsid w:val="000D01FA"/>
    <w:rsid w:val="000D0F0B"/>
    <w:rsid w:val="000D1FF1"/>
    <w:rsid w:val="000D20C3"/>
    <w:rsid w:val="000D31ED"/>
    <w:rsid w:val="000D3343"/>
    <w:rsid w:val="000D3BE3"/>
    <w:rsid w:val="000D3C30"/>
    <w:rsid w:val="000D44EE"/>
    <w:rsid w:val="000D46BA"/>
    <w:rsid w:val="000D4700"/>
    <w:rsid w:val="000D49B6"/>
    <w:rsid w:val="000D4A9A"/>
    <w:rsid w:val="000D4B90"/>
    <w:rsid w:val="000D4C06"/>
    <w:rsid w:val="000D4E89"/>
    <w:rsid w:val="000D5E76"/>
    <w:rsid w:val="000D61A6"/>
    <w:rsid w:val="000D758D"/>
    <w:rsid w:val="000D7970"/>
    <w:rsid w:val="000D7B00"/>
    <w:rsid w:val="000E01E0"/>
    <w:rsid w:val="000E08A2"/>
    <w:rsid w:val="000E0C99"/>
    <w:rsid w:val="000E0E0E"/>
    <w:rsid w:val="000E0E4A"/>
    <w:rsid w:val="000E0F08"/>
    <w:rsid w:val="000E11CF"/>
    <w:rsid w:val="000E2017"/>
    <w:rsid w:val="000E2097"/>
    <w:rsid w:val="000E2184"/>
    <w:rsid w:val="000E2725"/>
    <w:rsid w:val="000E28C7"/>
    <w:rsid w:val="000E290B"/>
    <w:rsid w:val="000E2C69"/>
    <w:rsid w:val="000E3177"/>
    <w:rsid w:val="000E38F8"/>
    <w:rsid w:val="000E3C8E"/>
    <w:rsid w:val="000E442C"/>
    <w:rsid w:val="000E447E"/>
    <w:rsid w:val="000E4B55"/>
    <w:rsid w:val="000E4C5D"/>
    <w:rsid w:val="000E4F88"/>
    <w:rsid w:val="000E5D77"/>
    <w:rsid w:val="000E69BC"/>
    <w:rsid w:val="000E72D7"/>
    <w:rsid w:val="000E731D"/>
    <w:rsid w:val="000E7444"/>
    <w:rsid w:val="000F080C"/>
    <w:rsid w:val="000F0DE8"/>
    <w:rsid w:val="000F19C2"/>
    <w:rsid w:val="000F2103"/>
    <w:rsid w:val="000F26D6"/>
    <w:rsid w:val="000F270C"/>
    <w:rsid w:val="000F31EB"/>
    <w:rsid w:val="000F3224"/>
    <w:rsid w:val="000F352B"/>
    <w:rsid w:val="000F35DC"/>
    <w:rsid w:val="000F38F0"/>
    <w:rsid w:val="000F3EE9"/>
    <w:rsid w:val="000F440B"/>
    <w:rsid w:val="000F4B3F"/>
    <w:rsid w:val="000F5596"/>
    <w:rsid w:val="000F56AC"/>
    <w:rsid w:val="000F56B4"/>
    <w:rsid w:val="000F582E"/>
    <w:rsid w:val="000F5BA3"/>
    <w:rsid w:val="000F5C62"/>
    <w:rsid w:val="000F5E14"/>
    <w:rsid w:val="000F5E4E"/>
    <w:rsid w:val="000F5F7E"/>
    <w:rsid w:val="000F612E"/>
    <w:rsid w:val="000F61BC"/>
    <w:rsid w:val="000F6BD7"/>
    <w:rsid w:val="000F6D28"/>
    <w:rsid w:val="000F73C6"/>
    <w:rsid w:val="000F741A"/>
    <w:rsid w:val="000F7425"/>
    <w:rsid w:val="00100046"/>
    <w:rsid w:val="00100FDB"/>
    <w:rsid w:val="00101076"/>
    <w:rsid w:val="0010107B"/>
    <w:rsid w:val="00101371"/>
    <w:rsid w:val="00101A70"/>
    <w:rsid w:val="00101EBD"/>
    <w:rsid w:val="00102064"/>
    <w:rsid w:val="00102103"/>
    <w:rsid w:val="00102185"/>
    <w:rsid w:val="001021A7"/>
    <w:rsid w:val="00102284"/>
    <w:rsid w:val="00102E24"/>
    <w:rsid w:val="001035E3"/>
    <w:rsid w:val="001038B2"/>
    <w:rsid w:val="00103C89"/>
    <w:rsid w:val="001042B2"/>
    <w:rsid w:val="00104329"/>
    <w:rsid w:val="00104336"/>
    <w:rsid w:val="00104474"/>
    <w:rsid w:val="00104C97"/>
    <w:rsid w:val="00104E17"/>
    <w:rsid w:val="00104FD0"/>
    <w:rsid w:val="001051FB"/>
    <w:rsid w:val="00105931"/>
    <w:rsid w:val="00105962"/>
    <w:rsid w:val="001059FA"/>
    <w:rsid w:val="00106434"/>
    <w:rsid w:val="001067B6"/>
    <w:rsid w:val="00106D35"/>
    <w:rsid w:val="0010707F"/>
    <w:rsid w:val="001071F8"/>
    <w:rsid w:val="001079C9"/>
    <w:rsid w:val="00110109"/>
    <w:rsid w:val="00110300"/>
    <w:rsid w:val="001103B3"/>
    <w:rsid w:val="0011055E"/>
    <w:rsid w:val="00110DB2"/>
    <w:rsid w:val="00110EAF"/>
    <w:rsid w:val="001115DD"/>
    <w:rsid w:val="00111A05"/>
    <w:rsid w:val="00111A23"/>
    <w:rsid w:val="00111AB8"/>
    <w:rsid w:val="00111DB1"/>
    <w:rsid w:val="001127C5"/>
    <w:rsid w:val="0011297B"/>
    <w:rsid w:val="00112A64"/>
    <w:rsid w:val="00112B06"/>
    <w:rsid w:val="00112D4E"/>
    <w:rsid w:val="00112DB1"/>
    <w:rsid w:val="00112DCA"/>
    <w:rsid w:val="00113177"/>
    <w:rsid w:val="00113336"/>
    <w:rsid w:val="00113587"/>
    <w:rsid w:val="00113D70"/>
    <w:rsid w:val="0011401D"/>
    <w:rsid w:val="00114057"/>
    <w:rsid w:val="00114B2C"/>
    <w:rsid w:val="00115005"/>
    <w:rsid w:val="001158CB"/>
    <w:rsid w:val="0011616C"/>
    <w:rsid w:val="001163E6"/>
    <w:rsid w:val="00116407"/>
    <w:rsid w:val="00116480"/>
    <w:rsid w:val="00116B70"/>
    <w:rsid w:val="00116F87"/>
    <w:rsid w:val="00117732"/>
    <w:rsid w:val="001178D5"/>
    <w:rsid w:val="00117C9A"/>
    <w:rsid w:val="00117F44"/>
    <w:rsid w:val="00117FE2"/>
    <w:rsid w:val="00120005"/>
    <w:rsid w:val="0012051C"/>
    <w:rsid w:val="00120AC0"/>
    <w:rsid w:val="00121944"/>
    <w:rsid w:val="00121A5E"/>
    <w:rsid w:val="00121B60"/>
    <w:rsid w:val="00121D77"/>
    <w:rsid w:val="00121E45"/>
    <w:rsid w:val="00121EC3"/>
    <w:rsid w:val="0012282C"/>
    <w:rsid w:val="001228A3"/>
    <w:rsid w:val="00122B32"/>
    <w:rsid w:val="00123033"/>
    <w:rsid w:val="0012358F"/>
    <w:rsid w:val="001237AF"/>
    <w:rsid w:val="0012394C"/>
    <w:rsid w:val="00123E17"/>
    <w:rsid w:val="00123E2A"/>
    <w:rsid w:val="00124010"/>
    <w:rsid w:val="001247F8"/>
    <w:rsid w:val="00124892"/>
    <w:rsid w:val="00124A59"/>
    <w:rsid w:val="00124C23"/>
    <w:rsid w:val="001251FD"/>
    <w:rsid w:val="00125C52"/>
    <w:rsid w:val="0012609B"/>
    <w:rsid w:val="001266B6"/>
    <w:rsid w:val="00126785"/>
    <w:rsid w:val="00126D99"/>
    <w:rsid w:val="0012777E"/>
    <w:rsid w:val="00127A7C"/>
    <w:rsid w:val="00127D20"/>
    <w:rsid w:val="001300E7"/>
    <w:rsid w:val="00130C69"/>
    <w:rsid w:val="00131166"/>
    <w:rsid w:val="001312B0"/>
    <w:rsid w:val="00131AA4"/>
    <w:rsid w:val="00131B50"/>
    <w:rsid w:val="00131D24"/>
    <w:rsid w:val="001323E7"/>
    <w:rsid w:val="00132AFB"/>
    <w:rsid w:val="00132CAF"/>
    <w:rsid w:val="00133310"/>
    <w:rsid w:val="001349F8"/>
    <w:rsid w:val="001350C3"/>
    <w:rsid w:val="00135378"/>
    <w:rsid w:val="001359BA"/>
    <w:rsid w:val="00135B50"/>
    <w:rsid w:val="001360FF"/>
    <w:rsid w:val="00136280"/>
    <w:rsid w:val="001365DB"/>
    <w:rsid w:val="001365F6"/>
    <w:rsid w:val="001369A2"/>
    <w:rsid w:val="00136A09"/>
    <w:rsid w:val="00136B4E"/>
    <w:rsid w:val="00136BCF"/>
    <w:rsid w:val="001370CF"/>
    <w:rsid w:val="00137157"/>
    <w:rsid w:val="0013738F"/>
    <w:rsid w:val="00137759"/>
    <w:rsid w:val="00137B6F"/>
    <w:rsid w:val="00137C1A"/>
    <w:rsid w:val="001410DE"/>
    <w:rsid w:val="00141E62"/>
    <w:rsid w:val="0014204A"/>
    <w:rsid w:val="00142ED4"/>
    <w:rsid w:val="0014327D"/>
    <w:rsid w:val="0014340B"/>
    <w:rsid w:val="001435C2"/>
    <w:rsid w:val="001440C7"/>
    <w:rsid w:val="00144A4E"/>
    <w:rsid w:val="00144AFF"/>
    <w:rsid w:val="00146DBB"/>
    <w:rsid w:val="00146F39"/>
    <w:rsid w:val="001471E6"/>
    <w:rsid w:val="001473C5"/>
    <w:rsid w:val="0014787D"/>
    <w:rsid w:val="00147D55"/>
    <w:rsid w:val="00147EE9"/>
    <w:rsid w:val="001502ED"/>
    <w:rsid w:val="00150A24"/>
    <w:rsid w:val="00150D5E"/>
    <w:rsid w:val="00150F71"/>
    <w:rsid w:val="001511FA"/>
    <w:rsid w:val="001512E9"/>
    <w:rsid w:val="001517D8"/>
    <w:rsid w:val="001523E8"/>
    <w:rsid w:val="00152C53"/>
    <w:rsid w:val="0015326C"/>
    <w:rsid w:val="00153311"/>
    <w:rsid w:val="00153BB8"/>
    <w:rsid w:val="00153F0B"/>
    <w:rsid w:val="00154156"/>
    <w:rsid w:val="00154931"/>
    <w:rsid w:val="00154EB9"/>
    <w:rsid w:val="00154FC6"/>
    <w:rsid w:val="00155234"/>
    <w:rsid w:val="00155496"/>
    <w:rsid w:val="00155E16"/>
    <w:rsid w:val="00156454"/>
    <w:rsid w:val="00156870"/>
    <w:rsid w:val="001569C5"/>
    <w:rsid w:val="00156AB8"/>
    <w:rsid w:val="00156F48"/>
    <w:rsid w:val="00156F99"/>
    <w:rsid w:val="00157219"/>
    <w:rsid w:val="001572C8"/>
    <w:rsid w:val="00157DDF"/>
    <w:rsid w:val="00157E85"/>
    <w:rsid w:val="00157F5E"/>
    <w:rsid w:val="001609B4"/>
    <w:rsid w:val="001610D5"/>
    <w:rsid w:val="001610DB"/>
    <w:rsid w:val="0016161C"/>
    <w:rsid w:val="001617DA"/>
    <w:rsid w:val="001617EA"/>
    <w:rsid w:val="00161868"/>
    <w:rsid w:val="00161A02"/>
    <w:rsid w:val="00161D2D"/>
    <w:rsid w:val="00163067"/>
    <w:rsid w:val="00163106"/>
    <w:rsid w:val="0016359C"/>
    <w:rsid w:val="00163645"/>
    <w:rsid w:val="00163CE2"/>
    <w:rsid w:val="001642B2"/>
    <w:rsid w:val="0016448B"/>
    <w:rsid w:val="00164DBF"/>
    <w:rsid w:val="00164F19"/>
    <w:rsid w:val="00165763"/>
    <w:rsid w:val="00165826"/>
    <w:rsid w:val="00165868"/>
    <w:rsid w:val="00166145"/>
    <w:rsid w:val="001661BE"/>
    <w:rsid w:val="00166293"/>
    <w:rsid w:val="001663CB"/>
    <w:rsid w:val="00166956"/>
    <w:rsid w:val="00166CB3"/>
    <w:rsid w:val="00167170"/>
    <w:rsid w:val="001672F4"/>
    <w:rsid w:val="00167798"/>
    <w:rsid w:val="00167CBA"/>
    <w:rsid w:val="00170617"/>
    <w:rsid w:val="001706B7"/>
    <w:rsid w:val="00170884"/>
    <w:rsid w:val="00170A86"/>
    <w:rsid w:val="00171303"/>
    <w:rsid w:val="00171977"/>
    <w:rsid w:val="00171991"/>
    <w:rsid w:val="00173008"/>
    <w:rsid w:val="00173274"/>
    <w:rsid w:val="00173F37"/>
    <w:rsid w:val="001740A5"/>
    <w:rsid w:val="00174429"/>
    <w:rsid w:val="00174A5A"/>
    <w:rsid w:val="00174C79"/>
    <w:rsid w:val="00174DC1"/>
    <w:rsid w:val="00174FE1"/>
    <w:rsid w:val="00175253"/>
    <w:rsid w:val="001754E7"/>
    <w:rsid w:val="001762E8"/>
    <w:rsid w:val="00176435"/>
    <w:rsid w:val="00176521"/>
    <w:rsid w:val="001768BF"/>
    <w:rsid w:val="00176C81"/>
    <w:rsid w:val="00176D20"/>
    <w:rsid w:val="00176D4F"/>
    <w:rsid w:val="001770FF"/>
    <w:rsid w:val="00177F0E"/>
    <w:rsid w:val="00180125"/>
    <w:rsid w:val="0018019C"/>
    <w:rsid w:val="001807B6"/>
    <w:rsid w:val="00180BEC"/>
    <w:rsid w:val="00180DF5"/>
    <w:rsid w:val="00180E98"/>
    <w:rsid w:val="00181074"/>
    <w:rsid w:val="00181263"/>
    <w:rsid w:val="0018156B"/>
    <w:rsid w:val="001815CC"/>
    <w:rsid w:val="0018181F"/>
    <w:rsid w:val="00181916"/>
    <w:rsid w:val="00181C60"/>
    <w:rsid w:val="00181FA5"/>
    <w:rsid w:val="001822F0"/>
    <w:rsid w:val="001826FE"/>
    <w:rsid w:val="00182894"/>
    <w:rsid w:val="0018289C"/>
    <w:rsid w:val="00182AA0"/>
    <w:rsid w:val="00182E41"/>
    <w:rsid w:val="001839EF"/>
    <w:rsid w:val="00186025"/>
    <w:rsid w:val="00186393"/>
    <w:rsid w:val="001864A6"/>
    <w:rsid w:val="00186BBB"/>
    <w:rsid w:val="0018717A"/>
    <w:rsid w:val="00187341"/>
    <w:rsid w:val="00187FA1"/>
    <w:rsid w:val="00190006"/>
    <w:rsid w:val="001900F9"/>
    <w:rsid w:val="00190158"/>
    <w:rsid w:val="001903D6"/>
    <w:rsid w:val="0019057B"/>
    <w:rsid w:val="00190C48"/>
    <w:rsid w:val="00190F23"/>
    <w:rsid w:val="00191477"/>
    <w:rsid w:val="0019172B"/>
    <w:rsid w:val="001917F1"/>
    <w:rsid w:val="00191B5D"/>
    <w:rsid w:val="00191EA1"/>
    <w:rsid w:val="00191FAC"/>
    <w:rsid w:val="00192235"/>
    <w:rsid w:val="001923DB"/>
    <w:rsid w:val="001926AB"/>
    <w:rsid w:val="001927E2"/>
    <w:rsid w:val="0019337E"/>
    <w:rsid w:val="00193702"/>
    <w:rsid w:val="0019385B"/>
    <w:rsid w:val="00193A8D"/>
    <w:rsid w:val="001942B7"/>
    <w:rsid w:val="00194B56"/>
    <w:rsid w:val="00194F41"/>
    <w:rsid w:val="00195299"/>
    <w:rsid w:val="00195481"/>
    <w:rsid w:val="001958B2"/>
    <w:rsid w:val="00195DFA"/>
    <w:rsid w:val="0019616E"/>
    <w:rsid w:val="00196A4B"/>
    <w:rsid w:val="0019704A"/>
    <w:rsid w:val="0019745C"/>
    <w:rsid w:val="00197D76"/>
    <w:rsid w:val="001A0217"/>
    <w:rsid w:val="001A03A9"/>
    <w:rsid w:val="001A0DB8"/>
    <w:rsid w:val="001A10C1"/>
    <w:rsid w:val="001A1346"/>
    <w:rsid w:val="001A1785"/>
    <w:rsid w:val="001A1A29"/>
    <w:rsid w:val="001A1AA4"/>
    <w:rsid w:val="001A238D"/>
    <w:rsid w:val="001A2679"/>
    <w:rsid w:val="001A28E2"/>
    <w:rsid w:val="001A29C8"/>
    <w:rsid w:val="001A34FF"/>
    <w:rsid w:val="001A3B4E"/>
    <w:rsid w:val="001A3C67"/>
    <w:rsid w:val="001A3EDC"/>
    <w:rsid w:val="001A4130"/>
    <w:rsid w:val="001A486F"/>
    <w:rsid w:val="001A4C6D"/>
    <w:rsid w:val="001A5053"/>
    <w:rsid w:val="001A509B"/>
    <w:rsid w:val="001A5571"/>
    <w:rsid w:val="001A611B"/>
    <w:rsid w:val="001A62B0"/>
    <w:rsid w:val="001A62B5"/>
    <w:rsid w:val="001A65D3"/>
    <w:rsid w:val="001A7CAF"/>
    <w:rsid w:val="001A7CB5"/>
    <w:rsid w:val="001A7F1A"/>
    <w:rsid w:val="001B0152"/>
    <w:rsid w:val="001B1B38"/>
    <w:rsid w:val="001B20FD"/>
    <w:rsid w:val="001B235D"/>
    <w:rsid w:val="001B27FD"/>
    <w:rsid w:val="001B287E"/>
    <w:rsid w:val="001B288D"/>
    <w:rsid w:val="001B347B"/>
    <w:rsid w:val="001B396C"/>
    <w:rsid w:val="001B41C2"/>
    <w:rsid w:val="001B42B8"/>
    <w:rsid w:val="001B497D"/>
    <w:rsid w:val="001B4B91"/>
    <w:rsid w:val="001B4C91"/>
    <w:rsid w:val="001B4D79"/>
    <w:rsid w:val="001B4E91"/>
    <w:rsid w:val="001B5106"/>
    <w:rsid w:val="001B5332"/>
    <w:rsid w:val="001B64E1"/>
    <w:rsid w:val="001B6617"/>
    <w:rsid w:val="001B6728"/>
    <w:rsid w:val="001B72D9"/>
    <w:rsid w:val="001B743D"/>
    <w:rsid w:val="001B745D"/>
    <w:rsid w:val="001B7AC2"/>
    <w:rsid w:val="001C0092"/>
    <w:rsid w:val="001C0143"/>
    <w:rsid w:val="001C033A"/>
    <w:rsid w:val="001C052F"/>
    <w:rsid w:val="001C0BF3"/>
    <w:rsid w:val="001C1CE1"/>
    <w:rsid w:val="001C1EBE"/>
    <w:rsid w:val="001C2986"/>
    <w:rsid w:val="001C333E"/>
    <w:rsid w:val="001C3445"/>
    <w:rsid w:val="001C386C"/>
    <w:rsid w:val="001C3E12"/>
    <w:rsid w:val="001C45B0"/>
    <w:rsid w:val="001C473A"/>
    <w:rsid w:val="001C481B"/>
    <w:rsid w:val="001C4C02"/>
    <w:rsid w:val="001C4DA0"/>
    <w:rsid w:val="001C584B"/>
    <w:rsid w:val="001C58CB"/>
    <w:rsid w:val="001C617F"/>
    <w:rsid w:val="001C6222"/>
    <w:rsid w:val="001C635F"/>
    <w:rsid w:val="001C67FC"/>
    <w:rsid w:val="001C6D75"/>
    <w:rsid w:val="001C70B7"/>
    <w:rsid w:val="001C7160"/>
    <w:rsid w:val="001C7182"/>
    <w:rsid w:val="001C71E9"/>
    <w:rsid w:val="001C77B0"/>
    <w:rsid w:val="001C7EC9"/>
    <w:rsid w:val="001D0137"/>
    <w:rsid w:val="001D05A4"/>
    <w:rsid w:val="001D0EB7"/>
    <w:rsid w:val="001D12C7"/>
    <w:rsid w:val="001D1586"/>
    <w:rsid w:val="001D1701"/>
    <w:rsid w:val="001D1845"/>
    <w:rsid w:val="001D2FBF"/>
    <w:rsid w:val="001D384D"/>
    <w:rsid w:val="001D3DA7"/>
    <w:rsid w:val="001D4282"/>
    <w:rsid w:val="001D475E"/>
    <w:rsid w:val="001D4DBB"/>
    <w:rsid w:val="001D4EA9"/>
    <w:rsid w:val="001D5186"/>
    <w:rsid w:val="001D5578"/>
    <w:rsid w:val="001D58B6"/>
    <w:rsid w:val="001D6301"/>
    <w:rsid w:val="001D64EE"/>
    <w:rsid w:val="001D68C7"/>
    <w:rsid w:val="001D68FD"/>
    <w:rsid w:val="001D6BC4"/>
    <w:rsid w:val="001D6FBA"/>
    <w:rsid w:val="001D7102"/>
    <w:rsid w:val="001D715C"/>
    <w:rsid w:val="001D75A9"/>
    <w:rsid w:val="001D7A31"/>
    <w:rsid w:val="001D7A38"/>
    <w:rsid w:val="001D7A7B"/>
    <w:rsid w:val="001D7BCA"/>
    <w:rsid w:val="001D7CF3"/>
    <w:rsid w:val="001D7E42"/>
    <w:rsid w:val="001D7ED4"/>
    <w:rsid w:val="001E000A"/>
    <w:rsid w:val="001E0863"/>
    <w:rsid w:val="001E0990"/>
    <w:rsid w:val="001E0AC3"/>
    <w:rsid w:val="001E0C0B"/>
    <w:rsid w:val="001E1B2B"/>
    <w:rsid w:val="001E1BA2"/>
    <w:rsid w:val="001E25D2"/>
    <w:rsid w:val="001E25D3"/>
    <w:rsid w:val="001E2676"/>
    <w:rsid w:val="001E3DB6"/>
    <w:rsid w:val="001E42F3"/>
    <w:rsid w:val="001E4E04"/>
    <w:rsid w:val="001E5399"/>
    <w:rsid w:val="001E5A43"/>
    <w:rsid w:val="001E5B04"/>
    <w:rsid w:val="001E5EDB"/>
    <w:rsid w:val="001E6225"/>
    <w:rsid w:val="001E6A87"/>
    <w:rsid w:val="001E6D2C"/>
    <w:rsid w:val="001E7B4B"/>
    <w:rsid w:val="001E7E08"/>
    <w:rsid w:val="001F00CC"/>
    <w:rsid w:val="001F05F8"/>
    <w:rsid w:val="001F1688"/>
    <w:rsid w:val="001F1697"/>
    <w:rsid w:val="001F16F7"/>
    <w:rsid w:val="001F1761"/>
    <w:rsid w:val="001F1773"/>
    <w:rsid w:val="001F17C6"/>
    <w:rsid w:val="001F2DCA"/>
    <w:rsid w:val="001F313D"/>
    <w:rsid w:val="001F429E"/>
    <w:rsid w:val="001F486C"/>
    <w:rsid w:val="001F5109"/>
    <w:rsid w:val="001F52CE"/>
    <w:rsid w:val="001F58C7"/>
    <w:rsid w:val="001F5A44"/>
    <w:rsid w:val="001F5D7B"/>
    <w:rsid w:val="001F5D7F"/>
    <w:rsid w:val="001F609C"/>
    <w:rsid w:val="001F61BA"/>
    <w:rsid w:val="001F6640"/>
    <w:rsid w:val="001F6677"/>
    <w:rsid w:val="001F6AD6"/>
    <w:rsid w:val="001F749F"/>
    <w:rsid w:val="001F7C78"/>
    <w:rsid w:val="001F7FB5"/>
    <w:rsid w:val="002000AC"/>
    <w:rsid w:val="0020087D"/>
    <w:rsid w:val="00200A94"/>
    <w:rsid w:val="00200D8B"/>
    <w:rsid w:val="00200E75"/>
    <w:rsid w:val="00201066"/>
    <w:rsid w:val="00202172"/>
    <w:rsid w:val="002021AD"/>
    <w:rsid w:val="00202C51"/>
    <w:rsid w:val="00202E62"/>
    <w:rsid w:val="00203378"/>
    <w:rsid w:val="00203BEE"/>
    <w:rsid w:val="00203F9E"/>
    <w:rsid w:val="0020406B"/>
    <w:rsid w:val="002044EC"/>
    <w:rsid w:val="002046F2"/>
    <w:rsid w:val="00204CD6"/>
    <w:rsid w:val="0020556C"/>
    <w:rsid w:val="0020558E"/>
    <w:rsid w:val="002056F7"/>
    <w:rsid w:val="002057A7"/>
    <w:rsid w:val="002058AC"/>
    <w:rsid w:val="00205959"/>
    <w:rsid w:val="00205ADF"/>
    <w:rsid w:val="00205D0A"/>
    <w:rsid w:val="00205F98"/>
    <w:rsid w:val="00206883"/>
    <w:rsid w:val="002068EA"/>
    <w:rsid w:val="00206DEE"/>
    <w:rsid w:val="002071D7"/>
    <w:rsid w:val="002072B2"/>
    <w:rsid w:val="00207646"/>
    <w:rsid w:val="002077AF"/>
    <w:rsid w:val="0020791F"/>
    <w:rsid w:val="0021003A"/>
    <w:rsid w:val="002103C3"/>
    <w:rsid w:val="00210741"/>
    <w:rsid w:val="002107DD"/>
    <w:rsid w:val="00210DA8"/>
    <w:rsid w:val="00210DE0"/>
    <w:rsid w:val="00211478"/>
    <w:rsid w:val="002116E4"/>
    <w:rsid w:val="0021197E"/>
    <w:rsid w:val="00211F66"/>
    <w:rsid w:val="00212529"/>
    <w:rsid w:val="0021285C"/>
    <w:rsid w:val="002128BD"/>
    <w:rsid w:val="002137BA"/>
    <w:rsid w:val="00214035"/>
    <w:rsid w:val="0021431E"/>
    <w:rsid w:val="00214722"/>
    <w:rsid w:val="00214ABC"/>
    <w:rsid w:val="00214B49"/>
    <w:rsid w:val="0021505E"/>
    <w:rsid w:val="002153EA"/>
    <w:rsid w:val="00215503"/>
    <w:rsid w:val="00215FD0"/>
    <w:rsid w:val="002168ED"/>
    <w:rsid w:val="00216B5F"/>
    <w:rsid w:val="00216C77"/>
    <w:rsid w:val="00216E68"/>
    <w:rsid w:val="00217234"/>
    <w:rsid w:val="002172C3"/>
    <w:rsid w:val="00217798"/>
    <w:rsid w:val="00217DC2"/>
    <w:rsid w:val="00217F75"/>
    <w:rsid w:val="0022013F"/>
    <w:rsid w:val="002208FF"/>
    <w:rsid w:val="00220D5E"/>
    <w:rsid w:val="00221079"/>
    <w:rsid w:val="00221D2A"/>
    <w:rsid w:val="002222D4"/>
    <w:rsid w:val="00222966"/>
    <w:rsid w:val="00222B78"/>
    <w:rsid w:val="002232DE"/>
    <w:rsid w:val="0022351B"/>
    <w:rsid w:val="00223D5C"/>
    <w:rsid w:val="00224405"/>
    <w:rsid w:val="00224787"/>
    <w:rsid w:val="00224936"/>
    <w:rsid w:val="00224E7E"/>
    <w:rsid w:val="0022526A"/>
    <w:rsid w:val="002252BB"/>
    <w:rsid w:val="0022551D"/>
    <w:rsid w:val="00225A82"/>
    <w:rsid w:val="00225B32"/>
    <w:rsid w:val="00226116"/>
    <w:rsid w:val="002262C4"/>
    <w:rsid w:val="002267DF"/>
    <w:rsid w:val="002268E7"/>
    <w:rsid w:val="00226C04"/>
    <w:rsid w:val="00226C2C"/>
    <w:rsid w:val="00226C8E"/>
    <w:rsid w:val="0022778D"/>
    <w:rsid w:val="00227B4B"/>
    <w:rsid w:val="00227D6E"/>
    <w:rsid w:val="00230196"/>
    <w:rsid w:val="00230239"/>
    <w:rsid w:val="00230982"/>
    <w:rsid w:val="00230AF5"/>
    <w:rsid w:val="0023216A"/>
    <w:rsid w:val="002323B9"/>
    <w:rsid w:val="00232935"/>
    <w:rsid w:val="00232AA7"/>
    <w:rsid w:val="00232E22"/>
    <w:rsid w:val="002330DF"/>
    <w:rsid w:val="0023318D"/>
    <w:rsid w:val="00233595"/>
    <w:rsid w:val="002337E9"/>
    <w:rsid w:val="00233A11"/>
    <w:rsid w:val="002348ED"/>
    <w:rsid w:val="00234ED4"/>
    <w:rsid w:val="002351A7"/>
    <w:rsid w:val="002356AA"/>
    <w:rsid w:val="0023588D"/>
    <w:rsid w:val="00235D87"/>
    <w:rsid w:val="00236BAB"/>
    <w:rsid w:val="00240140"/>
    <w:rsid w:val="002402C9"/>
    <w:rsid w:val="002408C2"/>
    <w:rsid w:val="00240909"/>
    <w:rsid w:val="00241583"/>
    <w:rsid w:val="00241882"/>
    <w:rsid w:val="00241950"/>
    <w:rsid w:val="00241B1B"/>
    <w:rsid w:val="00241C9F"/>
    <w:rsid w:val="0024234A"/>
    <w:rsid w:val="0024278F"/>
    <w:rsid w:val="002432DF"/>
    <w:rsid w:val="002437D5"/>
    <w:rsid w:val="00243910"/>
    <w:rsid w:val="00243EAF"/>
    <w:rsid w:val="00243F15"/>
    <w:rsid w:val="00244329"/>
    <w:rsid w:val="002449A9"/>
    <w:rsid w:val="00244C72"/>
    <w:rsid w:val="00245CAE"/>
    <w:rsid w:val="00246065"/>
    <w:rsid w:val="00246551"/>
    <w:rsid w:val="0024697E"/>
    <w:rsid w:val="00246C5C"/>
    <w:rsid w:val="0024708F"/>
    <w:rsid w:val="00247F20"/>
    <w:rsid w:val="00250448"/>
    <w:rsid w:val="00250A8D"/>
    <w:rsid w:val="00251CA6"/>
    <w:rsid w:val="00251DCD"/>
    <w:rsid w:val="002521EC"/>
    <w:rsid w:val="0025287B"/>
    <w:rsid w:val="00252A9A"/>
    <w:rsid w:val="00252E4D"/>
    <w:rsid w:val="00253018"/>
    <w:rsid w:val="002533A7"/>
    <w:rsid w:val="002542DD"/>
    <w:rsid w:val="00254523"/>
    <w:rsid w:val="0025483F"/>
    <w:rsid w:val="00254851"/>
    <w:rsid w:val="00254B53"/>
    <w:rsid w:val="00254FF9"/>
    <w:rsid w:val="002552A7"/>
    <w:rsid w:val="00255694"/>
    <w:rsid w:val="00255A74"/>
    <w:rsid w:val="00255CE4"/>
    <w:rsid w:val="00255D3D"/>
    <w:rsid w:val="00255F62"/>
    <w:rsid w:val="002561CF"/>
    <w:rsid w:val="002563B8"/>
    <w:rsid w:val="002566BD"/>
    <w:rsid w:val="00256868"/>
    <w:rsid w:val="002568ED"/>
    <w:rsid w:val="00256BCA"/>
    <w:rsid w:val="0025731A"/>
    <w:rsid w:val="002573E5"/>
    <w:rsid w:val="00257739"/>
    <w:rsid w:val="00257924"/>
    <w:rsid w:val="00260076"/>
    <w:rsid w:val="0026035B"/>
    <w:rsid w:val="002604A1"/>
    <w:rsid w:val="002608D2"/>
    <w:rsid w:val="00260F23"/>
    <w:rsid w:val="002617CA"/>
    <w:rsid w:val="002617E8"/>
    <w:rsid w:val="00261BED"/>
    <w:rsid w:val="00261E46"/>
    <w:rsid w:val="00261F49"/>
    <w:rsid w:val="002623EA"/>
    <w:rsid w:val="00262592"/>
    <w:rsid w:val="002625E7"/>
    <w:rsid w:val="00262A39"/>
    <w:rsid w:val="0026334D"/>
    <w:rsid w:val="00263536"/>
    <w:rsid w:val="002637A8"/>
    <w:rsid w:val="00263950"/>
    <w:rsid w:val="00263991"/>
    <w:rsid w:val="00264198"/>
    <w:rsid w:val="00264A23"/>
    <w:rsid w:val="00264BF7"/>
    <w:rsid w:val="00264DC5"/>
    <w:rsid w:val="002655FE"/>
    <w:rsid w:val="00266532"/>
    <w:rsid w:val="002665A8"/>
    <w:rsid w:val="00266C71"/>
    <w:rsid w:val="002674BB"/>
    <w:rsid w:val="00267511"/>
    <w:rsid w:val="002675C8"/>
    <w:rsid w:val="00267634"/>
    <w:rsid w:val="002676E0"/>
    <w:rsid w:val="002700BA"/>
    <w:rsid w:val="002701DC"/>
    <w:rsid w:val="00270E8B"/>
    <w:rsid w:val="00271138"/>
    <w:rsid w:val="002713CE"/>
    <w:rsid w:val="00271B23"/>
    <w:rsid w:val="00271F96"/>
    <w:rsid w:val="0027204B"/>
    <w:rsid w:val="002722DA"/>
    <w:rsid w:val="0027250A"/>
    <w:rsid w:val="00272675"/>
    <w:rsid w:val="0027294C"/>
    <w:rsid w:val="0027327E"/>
    <w:rsid w:val="002734A4"/>
    <w:rsid w:val="00273608"/>
    <w:rsid w:val="00273747"/>
    <w:rsid w:val="00273A74"/>
    <w:rsid w:val="00273D68"/>
    <w:rsid w:val="00274387"/>
    <w:rsid w:val="002746D9"/>
    <w:rsid w:val="00274C09"/>
    <w:rsid w:val="0027553A"/>
    <w:rsid w:val="002756D5"/>
    <w:rsid w:val="00275866"/>
    <w:rsid w:val="00275C81"/>
    <w:rsid w:val="00275E9E"/>
    <w:rsid w:val="00275F5F"/>
    <w:rsid w:val="00276072"/>
    <w:rsid w:val="002762AF"/>
    <w:rsid w:val="0027654F"/>
    <w:rsid w:val="00276B92"/>
    <w:rsid w:val="00276E3F"/>
    <w:rsid w:val="00276FFE"/>
    <w:rsid w:val="0027790B"/>
    <w:rsid w:val="00277EAA"/>
    <w:rsid w:val="00280866"/>
    <w:rsid w:val="0028087D"/>
    <w:rsid w:val="00280C4D"/>
    <w:rsid w:val="00281E71"/>
    <w:rsid w:val="00281FB7"/>
    <w:rsid w:val="002822D3"/>
    <w:rsid w:val="0028289B"/>
    <w:rsid w:val="00282971"/>
    <w:rsid w:val="00282F5D"/>
    <w:rsid w:val="0028321B"/>
    <w:rsid w:val="002833BA"/>
    <w:rsid w:val="0028397D"/>
    <w:rsid w:val="00283D81"/>
    <w:rsid w:val="00283E84"/>
    <w:rsid w:val="00283FFD"/>
    <w:rsid w:val="0028463E"/>
    <w:rsid w:val="002846D8"/>
    <w:rsid w:val="002846FD"/>
    <w:rsid w:val="00284CC1"/>
    <w:rsid w:val="00285170"/>
    <w:rsid w:val="00285594"/>
    <w:rsid w:val="00285747"/>
    <w:rsid w:val="00285783"/>
    <w:rsid w:val="00285A6D"/>
    <w:rsid w:val="00285C33"/>
    <w:rsid w:val="0028606F"/>
    <w:rsid w:val="0028627A"/>
    <w:rsid w:val="00286634"/>
    <w:rsid w:val="0028727D"/>
    <w:rsid w:val="002874A2"/>
    <w:rsid w:val="00287928"/>
    <w:rsid w:val="002879AE"/>
    <w:rsid w:val="00290985"/>
    <w:rsid w:val="00290D88"/>
    <w:rsid w:val="00291139"/>
    <w:rsid w:val="002911C3"/>
    <w:rsid w:val="002916D4"/>
    <w:rsid w:val="0029177C"/>
    <w:rsid w:val="002919B2"/>
    <w:rsid w:val="00291A61"/>
    <w:rsid w:val="00291A83"/>
    <w:rsid w:val="00291B3B"/>
    <w:rsid w:val="00291BC0"/>
    <w:rsid w:val="00291C99"/>
    <w:rsid w:val="002929F5"/>
    <w:rsid w:val="002935E6"/>
    <w:rsid w:val="002940AA"/>
    <w:rsid w:val="002940B7"/>
    <w:rsid w:val="0029417D"/>
    <w:rsid w:val="00294927"/>
    <w:rsid w:val="00294DC2"/>
    <w:rsid w:val="00294DF8"/>
    <w:rsid w:val="002951E4"/>
    <w:rsid w:val="0029545F"/>
    <w:rsid w:val="00295F01"/>
    <w:rsid w:val="0029627E"/>
    <w:rsid w:val="002967DB"/>
    <w:rsid w:val="0029738C"/>
    <w:rsid w:val="0029791E"/>
    <w:rsid w:val="002A07C4"/>
    <w:rsid w:val="002A0D85"/>
    <w:rsid w:val="002A151D"/>
    <w:rsid w:val="002A18E8"/>
    <w:rsid w:val="002A1EED"/>
    <w:rsid w:val="002A2A36"/>
    <w:rsid w:val="002A2D78"/>
    <w:rsid w:val="002A2EA8"/>
    <w:rsid w:val="002A3E8C"/>
    <w:rsid w:val="002A44D2"/>
    <w:rsid w:val="002A47BC"/>
    <w:rsid w:val="002A48EC"/>
    <w:rsid w:val="002A4BA6"/>
    <w:rsid w:val="002A5097"/>
    <w:rsid w:val="002A51C3"/>
    <w:rsid w:val="002A5447"/>
    <w:rsid w:val="002A57C5"/>
    <w:rsid w:val="002A5D0A"/>
    <w:rsid w:val="002A5F61"/>
    <w:rsid w:val="002A6126"/>
    <w:rsid w:val="002A64A3"/>
    <w:rsid w:val="002A6A34"/>
    <w:rsid w:val="002A6BD1"/>
    <w:rsid w:val="002A700E"/>
    <w:rsid w:val="002A7384"/>
    <w:rsid w:val="002A7991"/>
    <w:rsid w:val="002A7C30"/>
    <w:rsid w:val="002A7D5C"/>
    <w:rsid w:val="002B01A8"/>
    <w:rsid w:val="002B0B8E"/>
    <w:rsid w:val="002B229E"/>
    <w:rsid w:val="002B2393"/>
    <w:rsid w:val="002B35DD"/>
    <w:rsid w:val="002B36F2"/>
    <w:rsid w:val="002B3C9D"/>
    <w:rsid w:val="002B3CE0"/>
    <w:rsid w:val="002B4203"/>
    <w:rsid w:val="002B4662"/>
    <w:rsid w:val="002B4A54"/>
    <w:rsid w:val="002B5BD2"/>
    <w:rsid w:val="002B5CD5"/>
    <w:rsid w:val="002B6658"/>
    <w:rsid w:val="002B6C28"/>
    <w:rsid w:val="002B6DBF"/>
    <w:rsid w:val="002B6F7E"/>
    <w:rsid w:val="002B79AA"/>
    <w:rsid w:val="002B79E7"/>
    <w:rsid w:val="002B7EBA"/>
    <w:rsid w:val="002C027D"/>
    <w:rsid w:val="002C0402"/>
    <w:rsid w:val="002C051F"/>
    <w:rsid w:val="002C1AD7"/>
    <w:rsid w:val="002C24B2"/>
    <w:rsid w:val="002C28B1"/>
    <w:rsid w:val="002C2AA7"/>
    <w:rsid w:val="002C2BE3"/>
    <w:rsid w:val="002C32FA"/>
    <w:rsid w:val="002C4572"/>
    <w:rsid w:val="002C48F1"/>
    <w:rsid w:val="002C53F3"/>
    <w:rsid w:val="002C5451"/>
    <w:rsid w:val="002C6956"/>
    <w:rsid w:val="002C6EE8"/>
    <w:rsid w:val="002C6F97"/>
    <w:rsid w:val="002C7425"/>
    <w:rsid w:val="002C79A8"/>
    <w:rsid w:val="002C7B51"/>
    <w:rsid w:val="002D001C"/>
    <w:rsid w:val="002D0C2F"/>
    <w:rsid w:val="002D12C0"/>
    <w:rsid w:val="002D1385"/>
    <w:rsid w:val="002D179E"/>
    <w:rsid w:val="002D18E7"/>
    <w:rsid w:val="002D1983"/>
    <w:rsid w:val="002D1F72"/>
    <w:rsid w:val="002D2251"/>
    <w:rsid w:val="002D266D"/>
    <w:rsid w:val="002D27CA"/>
    <w:rsid w:val="002D2882"/>
    <w:rsid w:val="002D2A78"/>
    <w:rsid w:val="002D3C11"/>
    <w:rsid w:val="002D47FC"/>
    <w:rsid w:val="002D484C"/>
    <w:rsid w:val="002D4B33"/>
    <w:rsid w:val="002D4F31"/>
    <w:rsid w:val="002D501E"/>
    <w:rsid w:val="002D5590"/>
    <w:rsid w:val="002D55DE"/>
    <w:rsid w:val="002D5AFB"/>
    <w:rsid w:val="002D5ECA"/>
    <w:rsid w:val="002D6157"/>
    <w:rsid w:val="002D698C"/>
    <w:rsid w:val="002D6A3D"/>
    <w:rsid w:val="002D6C8C"/>
    <w:rsid w:val="002D727C"/>
    <w:rsid w:val="002D72B5"/>
    <w:rsid w:val="002D7578"/>
    <w:rsid w:val="002D7BB6"/>
    <w:rsid w:val="002D7D4D"/>
    <w:rsid w:val="002D7EAD"/>
    <w:rsid w:val="002E0444"/>
    <w:rsid w:val="002E0EDC"/>
    <w:rsid w:val="002E0F37"/>
    <w:rsid w:val="002E11AD"/>
    <w:rsid w:val="002E16C8"/>
    <w:rsid w:val="002E1938"/>
    <w:rsid w:val="002E19A5"/>
    <w:rsid w:val="002E1C64"/>
    <w:rsid w:val="002E2D2D"/>
    <w:rsid w:val="002E33E4"/>
    <w:rsid w:val="002E440C"/>
    <w:rsid w:val="002E47FC"/>
    <w:rsid w:val="002E5123"/>
    <w:rsid w:val="002E5141"/>
    <w:rsid w:val="002E5367"/>
    <w:rsid w:val="002E5718"/>
    <w:rsid w:val="002E5C60"/>
    <w:rsid w:val="002E6040"/>
    <w:rsid w:val="002E685F"/>
    <w:rsid w:val="002E6E50"/>
    <w:rsid w:val="002E6F5C"/>
    <w:rsid w:val="002E7582"/>
    <w:rsid w:val="002F00AA"/>
    <w:rsid w:val="002F0324"/>
    <w:rsid w:val="002F0454"/>
    <w:rsid w:val="002F0764"/>
    <w:rsid w:val="002F0CD3"/>
    <w:rsid w:val="002F0E1F"/>
    <w:rsid w:val="002F10BE"/>
    <w:rsid w:val="002F1207"/>
    <w:rsid w:val="002F1412"/>
    <w:rsid w:val="002F1D5A"/>
    <w:rsid w:val="002F1D7B"/>
    <w:rsid w:val="002F21DF"/>
    <w:rsid w:val="002F2291"/>
    <w:rsid w:val="002F25BE"/>
    <w:rsid w:val="002F2835"/>
    <w:rsid w:val="002F2953"/>
    <w:rsid w:val="002F2DFA"/>
    <w:rsid w:val="002F3ACF"/>
    <w:rsid w:val="002F3AEE"/>
    <w:rsid w:val="002F3D75"/>
    <w:rsid w:val="002F424A"/>
    <w:rsid w:val="002F43FC"/>
    <w:rsid w:val="002F4637"/>
    <w:rsid w:val="002F4B7F"/>
    <w:rsid w:val="002F5184"/>
    <w:rsid w:val="002F5530"/>
    <w:rsid w:val="002F5695"/>
    <w:rsid w:val="002F65BF"/>
    <w:rsid w:val="002F68D7"/>
    <w:rsid w:val="002F710D"/>
    <w:rsid w:val="002F7740"/>
    <w:rsid w:val="002F7760"/>
    <w:rsid w:val="002F78F5"/>
    <w:rsid w:val="002F7AA0"/>
    <w:rsid w:val="002F7BA7"/>
    <w:rsid w:val="002F7DCF"/>
    <w:rsid w:val="002F7F02"/>
    <w:rsid w:val="00300160"/>
    <w:rsid w:val="0030058D"/>
    <w:rsid w:val="00300653"/>
    <w:rsid w:val="00300D17"/>
    <w:rsid w:val="00300DF3"/>
    <w:rsid w:val="0030128D"/>
    <w:rsid w:val="003014A9"/>
    <w:rsid w:val="003022E2"/>
    <w:rsid w:val="0030264F"/>
    <w:rsid w:val="003032B0"/>
    <w:rsid w:val="00303507"/>
    <w:rsid w:val="003036A0"/>
    <w:rsid w:val="00304079"/>
    <w:rsid w:val="003047B0"/>
    <w:rsid w:val="00304C63"/>
    <w:rsid w:val="00304FC3"/>
    <w:rsid w:val="0030591E"/>
    <w:rsid w:val="003059F8"/>
    <w:rsid w:val="00305A32"/>
    <w:rsid w:val="00305E78"/>
    <w:rsid w:val="00306006"/>
    <w:rsid w:val="00306416"/>
    <w:rsid w:val="00306579"/>
    <w:rsid w:val="00306CA3"/>
    <w:rsid w:val="0030749A"/>
    <w:rsid w:val="0030756B"/>
    <w:rsid w:val="0030794D"/>
    <w:rsid w:val="0031013A"/>
    <w:rsid w:val="0031022F"/>
    <w:rsid w:val="003105F9"/>
    <w:rsid w:val="00310902"/>
    <w:rsid w:val="00310F7F"/>
    <w:rsid w:val="00311079"/>
    <w:rsid w:val="003110B1"/>
    <w:rsid w:val="00311746"/>
    <w:rsid w:val="0031188E"/>
    <w:rsid w:val="00311B8C"/>
    <w:rsid w:val="00311F7E"/>
    <w:rsid w:val="003122DE"/>
    <w:rsid w:val="0031235B"/>
    <w:rsid w:val="003125DA"/>
    <w:rsid w:val="00312AD7"/>
    <w:rsid w:val="0031304E"/>
    <w:rsid w:val="00313273"/>
    <w:rsid w:val="003138E9"/>
    <w:rsid w:val="00314AAC"/>
    <w:rsid w:val="003152CD"/>
    <w:rsid w:val="003158F5"/>
    <w:rsid w:val="003159AB"/>
    <w:rsid w:val="00315A68"/>
    <w:rsid w:val="00315EE3"/>
    <w:rsid w:val="003161C1"/>
    <w:rsid w:val="0031685A"/>
    <w:rsid w:val="00317081"/>
    <w:rsid w:val="003172DF"/>
    <w:rsid w:val="0031734F"/>
    <w:rsid w:val="00317388"/>
    <w:rsid w:val="00317713"/>
    <w:rsid w:val="00317B3E"/>
    <w:rsid w:val="00320674"/>
    <w:rsid w:val="00320750"/>
    <w:rsid w:val="00320E6E"/>
    <w:rsid w:val="00320EBD"/>
    <w:rsid w:val="00321123"/>
    <w:rsid w:val="003215E2"/>
    <w:rsid w:val="00321749"/>
    <w:rsid w:val="00321DF0"/>
    <w:rsid w:val="00321E29"/>
    <w:rsid w:val="003227E6"/>
    <w:rsid w:val="003228FC"/>
    <w:rsid w:val="00322B53"/>
    <w:rsid w:val="00322DBC"/>
    <w:rsid w:val="00323588"/>
    <w:rsid w:val="0032369B"/>
    <w:rsid w:val="0032378E"/>
    <w:rsid w:val="00323E06"/>
    <w:rsid w:val="003243EA"/>
    <w:rsid w:val="00324761"/>
    <w:rsid w:val="003247E0"/>
    <w:rsid w:val="00325DA1"/>
    <w:rsid w:val="00326106"/>
    <w:rsid w:val="003264CB"/>
    <w:rsid w:val="0032671A"/>
    <w:rsid w:val="00326B3B"/>
    <w:rsid w:val="00326D0A"/>
    <w:rsid w:val="003273C8"/>
    <w:rsid w:val="003275A9"/>
    <w:rsid w:val="00327847"/>
    <w:rsid w:val="00327940"/>
    <w:rsid w:val="003303D9"/>
    <w:rsid w:val="00330A0D"/>
    <w:rsid w:val="00330AEC"/>
    <w:rsid w:val="00330BD2"/>
    <w:rsid w:val="0033187D"/>
    <w:rsid w:val="003318C9"/>
    <w:rsid w:val="003320AC"/>
    <w:rsid w:val="003321FD"/>
    <w:rsid w:val="00332547"/>
    <w:rsid w:val="00332646"/>
    <w:rsid w:val="00333831"/>
    <w:rsid w:val="00333AED"/>
    <w:rsid w:val="00334025"/>
    <w:rsid w:val="003342E0"/>
    <w:rsid w:val="0033437E"/>
    <w:rsid w:val="00334605"/>
    <w:rsid w:val="00334AF5"/>
    <w:rsid w:val="00334BE0"/>
    <w:rsid w:val="00334D3B"/>
    <w:rsid w:val="003351CC"/>
    <w:rsid w:val="00335785"/>
    <w:rsid w:val="003363F4"/>
    <w:rsid w:val="003373DE"/>
    <w:rsid w:val="003376A9"/>
    <w:rsid w:val="003379EA"/>
    <w:rsid w:val="00337EDD"/>
    <w:rsid w:val="00337F2B"/>
    <w:rsid w:val="00340275"/>
    <w:rsid w:val="00340288"/>
    <w:rsid w:val="003406B4"/>
    <w:rsid w:val="00340833"/>
    <w:rsid w:val="00340A11"/>
    <w:rsid w:val="00340EC1"/>
    <w:rsid w:val="00341069"/>
    <w:rsid w:val="003419C8"/>
    <w:rsid w:val="00342438"/>
    <w:rsid w:val="00342D54"/>
    <w:rsid w:val="00342D71"/>
    <w:rsid w:val="00343312"/>
    <w:rsid w:val="00343606"/>
    <w:rsid w:val="003439A0"/>
    <w:rsid w:val="00343EB0"/>
    <w:rsid w:val="00343EFB"/>
    <w:rsid w:val="0034404A"/>
    <w:rsid w:val="00344444"/>
    <w:rsid w:val="003446CB"/>
    <w:rsid w:val="003448E7"/>
    <w:rsid w:val="0034492E"/>
    <w:rsid w:val="00344A08"/>
    <w:rsid w:val="00344A1B"/>
    <w:rsid w:val="00344FB5"/>
    <w:rsid w:val="00345281"/>
    <w:rsid w:val="00345471"/>
    <w:rsid w:val="00345DFA"/>
    <w:rsid w:val="003463DA"/>
    <w:rsid w:val="003468CB"/>
    <w:rsid w:val="00346B06"/>
    <w:rsid w:val="00346D09"/>
    <w:rsid w:val="0034728B"/>
    <w:rsid w:val="003475A2"/>
    <w:rsid w:val="00347917"/>
    <w:rsid w:val="00347E15"/>
    <w:rsid w:val="003501BE"/>
    <w:rsid w:val="0035025D"/>
    <w:rsid w:val="00350415"/>
    <w:rsid w:val="0035093A"/>
    <w:rsid w:val="003510C4"/>
    <w:rsid w:val="00351D51"/>
    <w:rsid w:val="00351D85"/>
    <w:rsid w:val="0035209E"/>
    <w:rsid w:val="003530B0"/>
    <w:rsid w:val="00353148"/>
    <w:rsid w:val="00353181"/>
    <w:rsid w:val="003531AA"/>
    <w:rsid w:val="00353CF6"/>
    <w:rsid w:val="00353F2A"/>
    <w:rsid w:val="00354457"/>
    <w:rsid w:val="003554C9"/>
    <w:rsid w:val="003558F7"/>
    <w:rsid w:val="00355B8E"/>
    <w:rsid w:val="00355F39"/>
    <w:rsid w:val="00356235"/>
    <w:rsid w:val="00356A62"/>
    <w:rsid w:val="00356C2F"/>
    <w:rsid w:val="00356C42"/>
    <w:rsid w:val="00356C84"/>
    <w:rsid w:val="00356C8B"/>
    <w:rsid w:val="00356FFD"/>
    <w:rsid w:val="00357129"/>
    <w:rsid w:val="00357A04"/>
    <w:rsid w:val="003600B1"/>
    <w:rsid w:val="0036010F"/>
    <w:rsid w:val="00360582"/>
    <w:rsid w:val="00360674"/>
    <w:rsid w:val="00360F82"/>
    <w:rsid w:val="003612ED"/>
    <w:rsid w:val="003617DE"/>
    <w:rsid w:val="00362433"/>
    <w:rsid w:val="003629F7"/>
    <w:rsid w:val="00363685"/>
    <w:rsid w:val="00363B41"/>
    <w:rsid w:val="00363B6B"/>
    <w:rsid w:val="00364030"/>
    <w:rsid w:val="003640CC"/>
    <w:rsid w:val="0036439D"/>
    <w:rsid w:val="0036488D"/>
    <w:rsid w:val="00365153"/>
    <w:rsid w:val="003653F5"/>
    <w:rsid w:val="00365AA3"/>
    <w:rsid w:val="00365AF1"/>
    <w:rsid w:val="00365D0A"/>
    <w:rsid w:val="00366073"/>
    <w:rsid w:val="003663D9"/>
    <w:rsid w:val="003664A7"/>
    <w:rsid w:val="003669F9"/>
    <w:rsid w:val="00366EDD"/>
    <w:rsid w:val="00366EEA"/>
    <w:rsid w:val="003670A4"/>
    <w:rsid w:val="00367402"/>
    <w:rsid w:val="00367526"/>
    <w:rsid w:val="0036799C"/>
    <w:rsid w:val="003679ED"/>
    <w:rsid w:val="00367A0C"/>
    <w:rsid w:val="00370144"/>
    <w:rsid w:val="003705AB"/>
    <w:rsid w:val="0037067D"/>
    <w:rsid w:val="0037080F"/>
    <w:rsid w:val="00370AE5"/>
    <w:rsid w:val="00370FD4"/>
    <w:rsid w:val="00371606"/>
    <w:rsid w:val="003728BE"/>
    <w:rsid w:val="00372D41"/>
    <w:rsid w:val="00373868"/>
    <w:rsid w:val="003748FE"/>
    <w:rsid w:val="00375493"/>
    <w:rsid w:val="00375770"/>
    <w:rsid w:val="00376040"/>
    <w:rsid w:val="00376726"/>
    <w:rsid w:val="00376C25"/>
    <w:rsid w:val="003772F2"/>
    <w:rsid w:val="00377640"/>
    <w:rsid w:val="003806FA"/>
    <w:rsid w:val="00380C81"/>
    <w:rsid w:val="00381013"/>
    <w:rsid w:val="00381463"/>
    <w:rsid w:val="00381557"/>
    <w:rsid w:val="00381A59"/>
    <w:rsid w:val="003824B1"/>
    <w:rsid w:val="0038266F"/>
    <w:rsid w:val="00382A55"/>
    <w:rsid w:val="00382A8C"/>
    <w:rsid w:val="00382E7F"/>
    <w:rsid w:val="00382F4B"/>
    <w:rsid w:val="0038305F"/>
    <w:rsid w:val="00383153"/>
    <w:rsid w:val="00383173"/>
    <w:rsid w:val="003831D9"/>
    <w:rsid w:val="003834ED"/>
    <w:rsid w:val="003837C1"/>
    <w:rsid w:val="00383E74"/>
    <w:rsid w:val="003840CE"/>
    <w:rsid w:val="0038412A"/>
    <w:rsid w:val="00384667"/>
    <w:rsid w:val="003848B6"/>
    <w:rsid w:val="00384A9E"/>
    <w:rsid w:val="00384ABB"/>
    <w:rsid w:val="00384B0B"/>
    <w:rsid w:val="00384F10"/>
    <w:rsid w:val="00385126"/>
    <w:rsid w:val="0038522A"/>
    <w:rsid w:val="0038543F"/>
    <w:rsid w:val="003859B2"/>
    <w:rsid w:val="00385F96"/>
    <w:rsid w:val="0038659B"/>
    <w:rsid w:val="00386D14"/>
    <w:rsid w:val="00387C0C"/>
    <w:rsid w:val="00390103"/>
    <w:rsid w:val="0039055D"/>
    <w:rsid w:val="00391190"/>
    <w:rsid w:val="003916E5"/>
    <w:rsid w:val="00391CED"/>
    <w:rsid w:val="00391D14"/>
    <w:rsid w:val="00391E06"/>
    <w:rsid w:val="00391F2A"/>
    <w:rsid w:val="00392665"/>
    <w:rsid w:val="00392EA3"/>
    <w:rsid w:val="00393306"/>
    <w:rsid w:val="00393B8C"/>
    <w:rsid w:val="00393EFA"/>
    <w:rsid w:val="003945C5"/>
    <w:rsid w:val="00394886"/>
    <w:rsid w:val="00394BD1"/>
    <w:rsid w:val="00395195"/>
    <w:rsid w:val="00395B77"/>
    <w:rsid w:val="00395BB2"/>
    <w:rsid w:val="00395CD1"/>
    <w:rsid w:val="00395CE7"/>
    <w:rsid w:val="00395E53"/>
    <w:rsid w:val="00396094"/>
    <w:rsid w:val="0039744D"/>
    <w:rsid w:val="00397BD6"/>
    <w:rsid w:val="00397D8D"/>
    <w:rsid w:val="00397EAE"/>
    <w:rsid w:val="00397FC4"/>
    <w:rsid w:val="003A0264"/>
    <w:rsid w:val="003A0595"/>
    <w:rsid w:val="003A05CF"/>
    <w:rsid w:val="003A06E6"/>
    <w:rsid w:val="003A07AE"/>
    <w:rsid w:val="003A0CDB"/>
    <w:rsid w:val="003A0F5D"/>
    <w:rsid w:val="003A1257"/>
    <w:rsid w:val="003A154B"/>
    <w:rsid w:val="003A1C4A"/>
    <w:rsid w:val="003A23BB"/>
    <w:rsid w:val="003A2920"/>
    <w:rsid w:val="003A2B49"/>
    <w:rsid w:val="003A2CBD"/>
    <w:rsid w:val="003A2D6A"/>
    <w:rsid w:val="003A2FE0"/>
    <w:rsid w:val="003A3A1F"/>
    <w:rsid w:val="003A3FE4"/>
    <w:rsid w:val="003A460A"/>
    <w:rsid w:val="003A5196"/>
    <w:rsid w:val="003A5A2C"/>
    <w:rsid w:val="003A5B38"/>
    <w:rsid w:val="003A5F37"/>
    <w:rsid w:val="003A619A"/>
    <w:rsid w:val="003A71C5"/>
    <w:rsid w:val="003A722D"/>
    <w:rsid w:val="003B009F"/>
    <w:rsid w:val="003B08E5"/>
    <w:rsid w:val="003B0932"/>
    <w:rsid w:val="003B0B2E"/>
    <w:rsid w:val="003B0DB7"/>
    <w:rsid w:val="003B0F1A"/>
    <w:rsid w:val="003B1839"/>
    <w:rsid w:val="003B1CA1"/>
    <w:rsid w:val="003B21E6"/>
    <w:rsid w:val="003B2FDE"/>
    <w:rsid w:val="003B3908"/>
    <w:rsid w:val="003B40A3"/>
    <w:rsid w:val="003B4168"/>
    <w:rsid w:val="003B4534"/>
    <w:rsid w:val="003B459B"/>
    <w:rsid w:val="003B4934"/>
    <w:rsid w:val="003B4D30"/>
    <w:rsid w:val="003B5381"/>
    <w:rsid w:val="003B5DA1"/>
    <w:rsid w:val="003B5DD9"/>
    <w:rsid w:val="003B5E1A"/>
    <w:rsid w:val="003B636D"/>
    <w:rsid w:val="003B67F2"/>
    <w:rsid w:val="003B6B0E"/>
    <w:rsid w:val="003B6D15"/>
    <w:rsid w:val="003B6E67"/>
    <w:rsid w:val="003B709F"/>
    <w:rsid w:val="003B78D6"/>
    <w:rsid w:val="003C00C6"/>
    <w:rsid w:val="003C0230"/>
    <w:rsid w:val="003C04F8"/>
    <w:rsid w:val="003C07C9"/>
    <w:rsid w:val="003C0B2F"/>
    <w:rsid w:val="003C143C"/>
    <w:rsid w:val="003C1656"/>
    <w:rsid w:val="003C174A"/>
    <w:rsid w:val="003C1897"/>
    <w:rsid w:val="003C1A76"/>
    <w:rsid w:val="003C1AE5"/>
    <w:rsid w:val="003C1F9F"/>
    <w:rsid w:val="003C4213"/>
    <w:rsid w:val="003C44CE"/>
    <w:rsid w:val="003C45F2"/>
    <w:rsid w:val="003C4615"/>
    <w:rsid w:val="003C49A5"/>
    <w:rsid w:val="003C4B3F"/>
    <w:rsid w:val="003C4E14"/>
    <w:rsid w:val="003C4FE2"/>
    <w:rsid w:val="003C51BF"/>
    <w:rsid w:val="003C53B1"/>
    <w:rsid w:val="003C53EC"/>
    <w:rsid w:val="003C5438"/>
    <w:rsid w:val="003C5587"/>
    <w:rsid w:val="003C57D2"/>
    <w:rsid w:val="003C5CEB"/>
    <w:rsid w:val="003C6140"/>
    <w:rsid w:val="003C650B"/>
    <w:rsid w:val="003C6562"/>
    <w:rsid w:val="003C683E"/>
    <w:rsid w:val="003C68E7"/>
    <w:rsid w:val="003C6B4D"/>
    <w:rsid w:val="003C6BB6"/>
    <w:rsid w:val="003C6BE0"/>
    <w:rsid w:val="003C6E2F"/>
    <w:rsid w:val="003C72AD"/>
    <w:rsid w:val="003C74F3"/>
    <w:rsid w:val="003C75CC"/>
    <w:rsid w:val="003C792E"/>
    <w:rsid w:val="003D0B5C"/>
    <w:rsid w:val="003D0B6C"/>
    <w:rsid w:val="003D0E89"/>
    <w:rsid w:val="003D10B4"/>
    <w:rsid w:val="003D15A7"/>
    <w:rsid w:val="003D269A"/>
    <w:rsid w:val="003D280A"/>
    <w:rsid w:val="003D2AA3"/>
    <w:rsid w:val="003D2E02"/>
    <w:rsid w:val="003D336D"/>
    <w:rsid w:val="003D39F6"/>
    <w:rsid w:val="003D4981"/>
    <w:rsid w:val="003D4AD1"/>
    <w:rsid w:val="003D4B09"/>
    <w:rsid w:val="003D52DD"/>
    <w:rsid w:val="003D5353"/>
    <w:rsid w:val="003D5A13"/>
    <w:rsid w:val="003D5A1E"/>
    <w:rsid w:val="003D5ABC"/>
    <w:rsid w:val="003D5BEA"/>
    <w:rsid w:val="003D6388"/>
    <w:rsid w:val="003D6688"/>
    <w:rsid w:val="003D678C"/>
    <w:rsid w:val="003D6A81"/>
    <w:rsid w:val="003D6ED7"/>
    <w:rsid w:val="003D72B6"/>
    <w:rsid w:val="003D772E"/>
    <w:rsid w:val="003D7ED4"/>
    <w:rsid w:val="003E034F"/>
    <w:rsid w:val="003E050A"/>
    <w:rsid w:val="003E0787"/>
    <w:rsid w:val="003E0B0E"/>
    <w:rsid w:val="003E0BC9"/>
    <w:rsid w:val="003E0FEF"/>
    <w:rsid w:val="003E14B8"/>
    <w:rsid w:val="003E1974"/>
    <w:rsid w:val="003E19C3"/>
    <w:rsid w:val="003E1D65"/>
    <w:rsid w:val="003E1FE4"/>
    <w:rsid w:val="003E21DD"/>
    <w:rsid w:val="003E2546"/>
    <w:rsid w:val="003E2C2C"/>
    <w:rsid w:val="003E2FAD"/>
    <w:rsid w:val="003E318F"/>
    <w:rsid w:val="003E3510"/>
    <w:rsid w:val="003E35C7"/>
    <w:rsid w:val="003E382C"/>
    <w:rsid w:val="003E3D63"/>
    <w:rsid w:val="003E3F0C"/>
    <w:rsid w:val="003E458F"/>
    <w:rsid w:val="003E47D6"/>
    <w:rsid w:val="003E4DAC"/>
    <w:rsid w:val="003E4E39"/>
    <w:rsid w:val="003E5332"/>
    <w:rsid w:val="003E637D"/>
    <w:rsid w:val="003E6879"/>
    <w:rsid w:val="003E6D3B"/>
    <w:rsid w:val="003E6D91"/>
    <w:rsid w:val="003F0E0D"/>
    <w:rsid w:val="003F1181"/>
    <w:rsid w:val="003F1449"/>
    <w:rsid w:val="003F14DC"/>
    <w:rsid w:val="003F2094"/>
    <w:rsid w:val="003F20FF"/>
    <w:rsid w:val="003F2554"/>
    <w:rsid w:val="003F2805"/>
    <w:rsid w:val="003F28F3"/>
    <w:rsid w:val="003F2BD7"/>
    <w:rsid w:val="003F30C3"/>
    <w:rsid w:val="003F3334"/>
    <w:rsid w:val="003F334B"/>
    <w:rsid w:val="003F4226"/>
    <w:rsid w:val="003F43F8"/>
    <w:rsid w:val="003F4E4E"/>
    <w:rsid w:val="003F5032"/>
    <w:rsid w:val="003F5A7E"/>
    <w:rsid w:val="003F64F9"/>
    <w:rsid w:val="003F65F1"/>
    <w:rsid w:val="003F65F8"/>
    <w:rsid w:val="003F6617"/>
    <w:rsid w:val="003F7B71"/>
    <w:rsid w:val="0040007E"/>
    <w:rsid w:val="004002AF"/>
    <w:rsid w:val="004009A3"/>
    <w:rsid w:val="004010FC"/>
    <w:rsid w:val="0040125C"/>
    <w:rsid w:val="00401726"/>
    <w:rsid w:val="004017A4"/>
    <w:rsid w:val="0040190D"/>
    <w:rsid w:val="00401A11"/>
    <w:rsid w:val="00401F7B"/>
    <w:rsid w:val="004021DB"/>
    <w:rsid w:val="00402514"/>
    <w:rsid w:val="00402799"/>
    <w:rsid w:val="00402A07"/>
    <w:rsid w:val="004031AF"/>
    <w:rsid w:val="004037D9"/>
    <w:rsid w:val="00403EA9"/>
    <w:rsid w:val="0040426C"/>
    <w:rsid w:val="00404CA4"/>
    <w:rsid w:val="00405B40"/>
    <w:rsid w:val="00405D71"/>
    <w:rsid w:val="004063DE"/>
    <w:rsid w:val="00406A4D"/>
    <w:rsid w:val="00407053"/>
    <w:rsid w:val="004071A4"/>
    <w:rsid w:val="00407625"/>
    <w:rsid w:val="00407C3F"/>
    <w:rsid w:val="00407D27"/>
    <w:rsid w:val="00407DEA"/>
    <w:rsid w:val="00407E67"/>
    <w:rsid w:val="00410142"/>
    <w:rsid w:val="00410321"/>
    <w:rsid w:val="004107FB"/>
    <w:rsid w:val="0041093B"/>
    <w:rsid w:val="00410B15"/>
    <w:rsid w:val="00410DD2"/>
    <w:rsid w:val="004117A9"/>
    <w:rsid w:val="00411E8C"/>
    <w:rsid w:val="00412F31"/>
    <w:rsid w:val="004133E8"/>
    <w:rsid w:val="00413AF0"/>
    <w:rsid w:val="00414128"/>
    <w:rsid w:val="004145C8"/>
    <w:rsid w:val="00414778"/>
    <w:rsid w:val="00414C7A"/>
    <w:rsid w:val="00414F49"/>
    <w:rsid w:val="00414F8A"/>
    <w:rsid w:val="004152F1"/>
    <w:rsid w:val="0041552A"/>
    <w:rsid w:val="00415734"/>
    <w:rsid w:val="004159AF"/>
    <w:rsid w:val="004160A0"/>
    <w:rsid w:val="00416725"/>
    <w:rsid w:val="00416B4D"/>
    <w:rsid w:val="00417606"/>
    <w:rsid w:val="004177FA"/>
    <w:rsid w:val="00417D17"/>
    <w:rsid w:val="00420036"/>
    <w:rsid w:val="004201A8"/>
    <w:rsid w:val="00420856"/>
    <w:rsid w:val="00420E81"/>
    <w:rsid w:val="00421766"/>
    <w:rsid w:val="00421BBB"/>
    <w:rsid w:val="00421D30"/>
    <w:rsid w:val="00421DAF"/>
    <w:rsid w:val="0042205A"/>
    <w:rsid w:val="0042205C"/>
    <w:rsid w:val="004222CA"/>
    <w:rsid w:val="0042246F"/>
    <w:rsid w:val="00422F64"/>
    <w:rsid w:val="00422FA1"/>
    <w:rsid w:val="004238FF"/>
    <w:rsid w:val="00423F12"/>
    <w:rsid w:val="00424072"/>
    <w:rsid w:val="00424171"/>
    <w:rsid w:val="0042474A"/>
    <w:rsid w:val="0042497B"/>
    <w:rsid w:val="00424A23"/>
    <w:rsid w:val="00424B45"/>
    <w:rsid w:val="00424CB9"/>
    <w:rsid w:val="0042529E"/>
    <w:rsid w:val="004252F4"/>
    <w:rsid w:val="004253AF"/>
    <w:rsid w:val="004253DC"/>
    <w:rsid w:val="0042561D"/>
    <w:rsid w:val="0042581A"/>
    <w:rsid w:val="00425944"/>
    <w:rsid w:val="00425A85"/>
    <w:rsid w:val="00425BC7"/>
    <w:rsid w:val="00425E15"/>
    <w:rsid w:val="004264C5"/>
    <w:rsid w:val="00426A8A"/>
    <w:rsid w:val="00426C65"/>
    <w:rsid w:val="004270E1"/>
    <w:rsid w:val="004273C4"/>
    <w:rsid w:val="00427549"/>
    <w:rsid w:val="0042762B"/>
    <w:rsid w:val="00427C8A"/>
    <w:rsid w:val="00427DFA"/>
    <w:rsid w:val="004300F3"/>
    <w:rsid w:val="00430583"/>
    <w:rsid w:val="004309DA"/>
    <w:rsid w:val="00430C21"/>
    <w:rsid w:val="004310F8"/>
    <w:rsid w:val="004311B4"/>
    <w:rsid w:val="00431928"/>
    <w:rsid w:val="00432739"/>
    <w:rsid w:val="00432EED"/>
    <w:rsid w:val="0043349E"/>
    <w:rsid w:val="00433616"/>
    <w:rsid w:val="00433AE7"/>
    <w:rsid w:val="00433E13"/>
    <w:rsid w:val="00434505"/>
    <w:rsid w:val="00436072"/>
    <w:rsid w:val="00436186"/>
    <w:rsid w:val="00436B0C"/>
    <w:rsid w:val="00437041"/>
    <w:rsid w:val="004375D4"/>
    <w:rsid w:val="0043767A"/>
    <w:rsid w:val="00437806"/>
    <w:rsid w:val="00437878"/>
    <w:rsid w:val="00437AA6"/>
    <w:rsid w:val="004407DC"/>
    <w:rsid w:val="0044083A"/>
    <w:rsid w:val="004408FA"/>
    <w:rsid w:val="004409C7"/>
    <w:rsid w:val="00440A6A"/>
    <w:rsid w:val="00440F7C"/>
    <w:rsid w:val="0044115C"/>
    <w:rsid w:val="0044170B"/>
    <w:rsid w:val="004417A9"/>
    <w:rsid w:val="004418EE"/>
    <w:rsid w:val="0044196E"/>
    <w:rsid w:val="00441ADA"/>
    <w:rsid w:val="00441B36"/>
    <w:rsid w:val="00442004"/>
    <w:rsid w:val="0044236F"/>
    <w:rsid w:val="00442485"/>
    <w:rsid w:val="0044285C"/>
    <w:rsid w:val="00442BF2"/>
    <w:rsid w:val="00442E8D"/>
    <w:rsid w:val="004431DD"/>
    <w:rsid w:val="00443CBF"/>
    <w:rsid w:val="00445214"/>
    <w:rsid w:val="00445DAA"/>
    <w:rsid w:val="004460A6"/>
    <w:rsid w:val="004466D1"/>
    <w:rsid w:val="00446708"/>
    <w:rsid w:val="00446AF4"/>
    <w:rsid w:val="00446FDC"/>
    <w:rsid w:val="004476FC"/>
    <w:rsid w:val="00447A9A"/>
    <w:rsid w:val="00447C72"/>
    <w:rsid w:val="00447E86"/>
    <w:rsid w:val="00450209"/>
    <w:rsid w:val="00450258"/>
    <w:rsid w:val="00450268"/>
    <w:rsid w:val="00450677"/>
    <w:rsid w:val="004510E5"/>
    <w:rsid w:val="004516F9"/>
    <w:rsid w:val="004517DC"/>
    <w:rsid w:val="00451DD6"/>
    <w:rsid w:val="004520DD"/>
    <w:rsid w:val="004522ED"/>
    <w:rsid w:val="00452536"/>
    <w:rsid w:val="004528BC"/>
    <w:rsid w:val="00452B04"/>
    <w:rsid w:val="00452C22"/>
    <w:rsid w:val="004532F6"/>
    <w:rsid w:val="00453A6C"/>
    <w:rsid w:val="00453B63"/>
    <w:rsid w:val="00453E51"/>
    <w:rsid w:val="0045425E"/>
    <w:rsid w:val="00454BD8"/>
    <w:rsid w:val="004559F4"/>
    <w:rsid w:val="00455A7C"/>
    <w:rsid w:val="00455F00"/>
    <w:rsid w:val="00456448"/>
    <w:rsid w:val="004566E6"/>
    <w:rsid w:val="0045741F"/>
    <w:rsid w:val="004579A6"/>
    <w:rsid w:val="00460084"/>
    <w:rsid w:val="00460328"/>
    <w:rsid w:val="00460B84"/>
    <w:rsid w:val="00460D4F"/>
    <w:rsid w:val="00461291"/>
    <w:rsid w:val="00461C88"/>
    <w:rsid w:val="00461DA5"/>
    <w:rsid w:val="00462036"/>
    <w:rsid w:val="00462387"/>
    <w:rsid w:val="004628C0"/>
    <w:rsid w:val="00462D8D"/>
    <w:rsid w:val="00463198"/>
    <w:rsid w:val="004633F7"/>
    <w:rsid w:val="00463467"/>
    <w:rsid w:val="004638E8"/>
    <w:rsid w:val="00463973"/>
    <w:rsid w:val="00463E2E"/>
    <w:rsid w:val="0046402A"/>
    <w:rsid w:val="004646A1"/>
    <w:rsid w:val="00464867"/>
    <w:rsid w:val="00464BB7"/>
    <w:rsid w:val="00464CB4"/>
    <w:rsid w:val="00465338"/>
    <w:rsid w:val="0046539E"/>
    <w:rsid w:val="00465747"/>
    <w:rsid w:val="00466219"/>
    <w:rsid w:val="00466259"/>
    <w:rsid w:val="0046690C"/>
    <w:rsid w:val="00466A3C"/>
    <w:rsid w:val="00466BD1"/>
    <w:rsid w:val="00466CE6"/>
    <w:rsid w:val="00470607"/>
    <w:rsid w:val="00470B51"/>
    <w:rsid w:val="00470D1B"/>
    <w:rsid w:val="004711A7"/>
    <w:rsid w:val="004712B9"/>
    <w:rsid w:val="00471785"/>
    <w:rsid w:val="00471C43"/>
    <w:rsid w:val="00471C59"/>
    <w:rsid w:val="0047230D"/>
    <w:rsid w:val="00472D5A"/>
    <w:rsid w:val="004733FE"/>
    <w:rsid w:val="004735C3"/>
    <w:rsid w:val="00473605"/>
    <w:rsid w:val="004746EF"/>
    <w:rsid w:val="0047471D"/>
    <w:rsid w:val="00474882"/>
    <w:rsid w:val="00474FD8"/>
    <w:rsid w:val="004752DB"/>
    <w:rsid w:val="00475309"/>
    <w:rsid w:val="004758FB"/>
    <w:rsid w:val="00475AE6"/>
    <w:rsid w:val="00475D73"/>
    <w:rsid w:val="00476107"/>
    <w:rsid w:val="00476450"/>
    <w:rsid w:val="0047656D"/>
    <w:rsid w:val="004765E9"/>
    <w:rsid w:val="00476E7D"/>
    <w:rsid w:val="00477075"/>
    <w:rsid w:val="0047713F"/>
    <w:rsid w:val="004773FD"/>
    <w:rsid w:val="0047746A"/>
    <w:rsid w:val="00477956"/>
    <w:rsid w:val="00477DC5"/>
    <w:rsid w:val="00480219"/>
    <w:rsid w:val="00480930"/>
    <w:rsid w:val="00480FAF"/>
    <w:rsid w:val="00481362"/>
    <w:rsid w:val="0048199C"/>
    <w:rsid w:val="004819F7"/>
    <w:rsid w:val="00482048"/>
    <w:rsid w:val="00482231"/>
    <w:rsid w:val="0048224F"/>
    <w:rsid w:val="00482990"/>
    <w:rsid w:val="00482B05"/>
    <w:rsid w:val="00483460"/>
    <w:rsid w:val="004836CD"/>
    <w:rsid w:val="00483D37"/>
    <w:rsid w:val="00484475"/>
    <w:rsid w:val="00484791"/>
    <w:rsid w:val="00484846"/>
    <w:rsid w:val="00484BB1"/>
    <w:rsid w:val="00484FD0"/>
    <w:rsid w:val="004856C3"/>
    <w:rsid w:val="0048595F"/>
    <w:rsid w:val="00485D49"/>
    <w:rsid w:val="00485DFE"/>
    <w:rsid w:val="0048614C"/>
    <w:rsid w:val="004863A3"/>
    <w:rsid w:val="004865AE"/>
    <w:rsid w:val="0048689D"/>
    <w:rsid w:val="00486C02"/>
    <w:rsid w:val="00486CC6"/>
    <w:rsid w:val="00486F41"/>
    <w:rsid w:val="004875BE"/>
    <w:rsid w:val="00487618"/>
    <w:rsid w:val="0048761E"/>
    <w:rsid w:val="00487649"/>
    <w:rsid w:val="004876AC"/>
    <w:rsid w:val="00487E37"/>
    <w:rsid w:val="00487FAD"/>
    <w:rsid w:val="00490740"/>
    <w:rsid w:val="00490A68"/>
    <w:rsid w:val="00490A81"/>
    <w:rsid w:val="00490B44"/>
    <w:rsid w:val="00490C49"/>
    <w:rsid w:val="00490E6A"/>
    <w:rsid w:val="00490E77"/>
    <w:rsid w:val="004912F9"/>
    <w:rsid w:val="00491348"/>
    <w:rsid w:val="00491389"/>
    <w:rsid w:val="004913C7"/>
    <w:rsid w:val="00491CDD"/>
    <w:rsid w:val="004926B4"/>
    <w:rsid w:val="00492AFA"/>
    <w:rsid w:val="00492BCA"/>
    <w:rsid w:val="00492D73"/>
    <w:rsid w:val="00492F4E"/>
    <w:rsid w:val="00493137"/>
    <w:rsid w:val="00493668"/>
    <w:rsid w:val="0049424F"/>
    <w:rsid w:val="0049482A"/>
    <w:rsid w:val="0049524F"/>
    <w:rsid w:val="00496275"/>
    <w:rsid w:val="00496EF2"/>
    <w:rsid w:val="00497063"/>
    <w:rsid w:val="0049712C"/>
    <w:rsid w:val="0049775D"/>
    <w:rsid w:val="00497B7F"/>
    <w:rsid w:val="004A01F0"/>
    <w:rsid w:val="004A094F"/>
    <w:rsid w:val="004A0DE5"/>
    <w:rsid w:val="004A1194"/>
    <w:rsid w:val="004A15AC"/>
    <w:rsid w:val="004A1760"/>
    <w:rsid w:val="004A1D83"/>
    <w:rsid w:val="004A1F6F"/>
    <w:rsid w:val="004A2328"/>
    <w:rsid w:val="004A285B"/>
    <w:rsid w:val="004A3025"/>
    <w:rsid w:val="004A3256"/>
    <w:rsid w:val="004A33F4"/>
    <w:rsid w:val="004A395F"/>
    <w:rsid w:val="004A3AF2"/>
    <w:rsid w:val="004A3F08"/>
    <w:rsid w:val="004A42D3"/>
    <w:rsid w:val="004A42F0"/>
    <w:rsid w:val="004A44CA"/>
    <w:rsid w:val="004A452E"/>
    <w:rsid w:val="004A51C1"/>
    <w:rsid w:val="004A55D7"/>
    <w:rsid w:val="004A5BC5"/>
    <w:rsid w:val="004A6396"/>
    <w:rsid w:val="004A6608"/>
    <w:rsid w:val="004A661D"/>
    <w:rsid w:val="004A66A3"/>
    <w:rsid w:val="004A68C3"/>
    <w:rsid w:val="004A6F3F"/>
    <w:rsid w:val="004A6FBD"/>
    <w:rsid w:val="004A7055"/>
    <w:rsid w:val="004A758B"/>
    <w:rsid w:val="004A7607"/>
    <w:rsid w:val="004A78D8"/>
    <w:rsid w:val="004B0575"/>
    <w:rsid w:val="004B1150"/>
    <w:rsid w:val="004B11F7"/>
    <w:rsid w:val="004B1382"/>
    <w:rsid w:val="004B1449"/>
    <w:rsid w:val="004B1AAE"/>
    <w:rsid w:val="004B1B77"/>
    <w:rsid w:val="004B202F"/>
    <w:rsid w:val="004B21E2"/>
    <w:rsid w:val="004B24FA"/>
    <w:rsid w:val="004B34C7"/>
    <w:rsid w:val="004B48BE"/>
    <w:rsid w:val="004B497F"/>
    <w:rsid w:val="004B49F3"/>
    <w:rsid w:val="004B69E8"/>
    <w:rsid w:val="004B6ACB"/>
    <w:rsid w:val="004B6AEC"/>
    <w:rsid w:val="004B6B99"/>
    <w:rsid w:val="004B743E"/>
    <w:rsid w:val="004B77D3"/>
    <w:rsid w:val="004B781A"/>
    <w:rsid w:val="004B7DE5"/>
    <w:rsid w:val="004B7F3C"/>
    <w:rsid w:val="004C0AC8"/>
    <w:rsid w:val="004C0D58"/>
    <w:rsid w:val="004C1139"/>
    <w:rsid w:val="004C127D"/>
    <w:rsid w:val="004C16F4"/>
    <w:rsid w:val="004C26E1"/>
    <w:rsid w:val="004C2B70"/>
    <w:rsid w:val="004C2C11"/>
    <w:rsid w:val="004C2E53"/>
    <w:rsid w:val="004C2E80"/>
    <w:rsid w:val="004C32E3"/>
    <w:rsid w:val="004C3C49"/>
    <w:rsid w:val="004C3C91"/>
    <w:rsid w:val="004C3CE0"/>
    <w:rsid w:val="004C4260"/>
    <w:rsid w:val="004C42E2"/>
    <w:rsid w:val="004C43B5"/>
    <w:rsid w:val="004C4695"/>
    <w:rsid w:val="004C4A8A"/>
    <w:rsid w:val="004C56C4"/>
    <w:rsid w:val="004C5DFD"/>
    <w:rsid w:val="004C65EA"/>
    <w:rsid w:val="004C7156"/>
    <w:rsid w:val="004C726D"/>
    <w:rsid w:val="004C75D6"/>
    <w:rsid w:val="004D00FE"/>
    <w:rsid w:val="004D03E5"/>
    <w:rsid w:val="004D07A3"/>
    <w:rsid w:val="004D14F2"/>
    <w:rsid w:val="004D1D84"/>
    <w:rsid w:val="004D220D"/>
    <w:rsid w:val="004D26BE"/>
    <w:rsid w:val="004D27F1"/>
    <w:rsid w:val="004D2919"/>
    <w:rsid w:val="004D2B01"/>
    <w:rsid w:val="004D353B"/>
    <w:rsid w:val="004D365B"/>
    <w:rsid w:val="004D3A3F"/>
    <w:rsid w:val="004D3A90"/>
    <w:rsid w:val="004D3DD3"/>
    <w:rsid w:val="004D408C"/>
    <w:rsid w:val="004D4B4A"/>
    <w:rsid w:val="004D4CB9"/>
    <w:rsid w:val="004D4E84"/>
    <w:rsid w:val="004D5726"/>
    <w:rsid w:val="004D57EA"/>
    <w:rsid w:val="004D5BBE"/>
    <w:rsid w:val="004D5BEA"/>
    <w:rsid w:val="004D5F95"/>
    <w:rsid w:val="004D7AE1"/>
    <w:rsid w:val="004D7D47"/>
    <w:rsid w:val="004D7FE0"/>
    <w:rsid w:val="004E00C3"/>
    <w:rsid w:val="004E02C8"/>
    <w:rsid w:val="004E086A"/>
    <w:rsid w:val="004E133E"/>
    <w:rsid w:val="004E146E"/>
    <w:rsid w:val="004E1735"/>
    <w:rsid w:val="004E1B9A"/>
    <w:rsid w:val="004E1F4A"/>
    <w:rsid w:val="004E2410"/>
    <w:rsid w:val="004E2894"/>
    <w:rsid w:val="004E3652"/>
    <w:rsid w:val="004E3CA5"/>
    <w:rsid w:val="004E3E0A"/>
    <w:rsid w:val="004E4244"/>
    <w:rsid w:val="004E54C9"/>
    <w:rsid w:val="004E5585"/>
    <w:rsid w:val="004E657B"/>
    <w:rsid w:val="004E682F"/>
    <w:rsid w:val="004E69FF"/>
    <w:rsid w:val="004E70C7"/>
    <w:rsid w:val="004E73C8"/>
    <w:rsid w:val="004E744D"/>
    <w:rsid w:val="004E754F"/>
    <w:rsid w:val="004E776E"/>
    <w:rsid w:val="004E7D6A"/>
    <w:rsid w:val="004F182D"/>
    <w:rsid w:val="004F203D"/>
    <w:rsid w:val="004F25BD"/>
    <w:rsid w:val="004F2A70"/>
    <w:rsid w:val="004F2D04"/>
    <w:rsid w:val="004F2E9A"/>
    <w:rsid w:val="004F3081"/>
    <w:rsid w:val="004F35F7"/>
    <w:rsid w:val="004F39B7"/>
    <w:rsid w:val="004F402C"/>
    <w:rsid w:val="004F477D"/>
    <w:rsid w:val="004F4C04"/>
    <w:rsid w:val="004F4D96"/>
    <w:rsid w:val="004F4DD7"/>
    <w:rsid w:val="004F5A68"/>
    <w:rsid w:val="004F6688"/>
    <w:rsid w:val="004F6861"/>
    <w:rsid w:val="004F6A6A"/>
    <w:rsid w:val="004F728C"/>
    <w:rsid w:val="004F77E9"/>
    <w:rsid w:val="004F7906"/>
    <w:rsid w:val="004F7CE8"/>
    <w:rsid w:val="0050005F"/>
    <w:rsid w:val="0050017F"/>
    <w:rsid w:val="00500335"/>
    <w:rsid w:val="005003CF"/>
    <w:rsid w:val="00500472"/>
    <w:rsid w:val="005006D0"/>
    <w:rsid w:val="00500A57"/>
    <w:rsid w:val="00500D85"/>
    <w:rsid w:val="00500DF4"/>
    <w:rsid w:val="0050119C"/>
    <w:rsid w:val="0050195C"/>
    <w:rsid w:val="00501D27"/>
    <w:rsid w:val="00502E67"/>
    <w:rsid w:val="005032E2"/>
    <w:rsid w:val="005037D8"/>
    <w:rsid w:val="00503C6F"/>
    <w:rsid w:val="0050406F"/>
    <w:rsid w:val="00504081"/>
    <w:rsid w:val="005041B8"/>
    <w:rsid w:val="005051EC"/>
    <w:rsid w:val="0050544C"/>
    <w:rsid w:val="0050574B"/>
    <w:rsid w:val="00505AD2"/>
    <w:rsid w:val="00505BDF"/>
    <w:rsid w:val="00505C4F"/>
    <w:rsid w:val="005060FA"/>
    <w:rsid w:val="0050625F"/>
    <w:rsid w:val="00506983"/>
    <w:rsid w:val="00506D0D"/>
    <w:rsid w:val="00506EB6"/>
    <w:rsid w:val="00506FF6"/>
    <w:rsid w:val="005072DE"/>
    <w:rsid w:val="00507524"/>
    <w:rsid w:val="005075BC"/>
    <w:rsid w:val="00507EDD"/>
    <w:rsid w:val="00510256"/>
    <w:rsid w:val="00510487"/>
    <w:rsid w:val="0051052B"/>
    <w:rsid w:val="0051064A"/>
    <w:rsid w:val="00511025"/>
    <w:rsid w:val="005112B0"/>
    <w:rsid w:val="0051159E"/>
    <w:rsid w:val="00511BDB"/>
    <w:rsid w:val="00511F94"/>
    <w:rsid w:val="00511FEC"/>
    <w:rsid w:val="0051212E"/>
    <w:rsid w:val="00512441"/>
    <w:rsid w:val="0051284D"/>
    <w:rsid w:val="00512A38"/>
    <w:rsid w:val="00512D56"/>
    <w:rsid w:val="00512E91"/>
    <w:rsid w:val="005132D1"/>
    <w:rsid w:val="00514086"/>
    <w:rsid w:val="00514682"/>
    <w:rsid w:val="00514DC4"/>
    <w:rsid w:val="0051518F"/>
    <w:rsid w:val="00515573"/>
    <w:rsid w:val="005160A0"/>
    <w:rsid w:val="00516148"/>
    <w:rsid w:val="005169BA"/>
    <w:rsid w:val="0051707A"/>
    <w:rsid w:val="00517086"/>
    <w:rsid w:val="00517186"/>
    <w:rsid w:val="0051720F"/>
    <w:rsid w:val="005175DE"/>
    <w:rsid w:val="00517DD0"/>
    <w:rsid w:val="00517E09"/>
    <w:rsid w:val="0052014F"/>
    <w:rsid w:val="005205E2"/>
    <w:rsid w:val="00520D79"/>
    <w:rsid w:val="00521171"/>
    <w:rsid w:val="005214D6"/>
    <w:rsid w:val="00521C3A"/>
    <w:rsid w:val="0052217C"/>
    <w:rsid w:val="005227B6"/>
    <w:rsid w:val="005229D4"/>
    <w:rsid w:val="0052381D"/>
    <w:rsid w:val="00523A4F"/>
    <w:rsid w:val="00523E0A"/>
    <w:rsid w:val="0052406A"/>
    <w:rsid w:val="005247F9"/>
    <w:rsid w:val="00524AA2"/>
    <w:rsid w:val="005252BC"/>
    <w:rsid w:val="00525354"/>
    <w:rsid w:val="00525560"/>
    <w:rsid w:val="0052558F"/>
    <w:rsid w:val="00525688"/>
    <w:rsid w:val="0052594E"/>
    <w:rsid w:val="00525A4D"/>
    <w:rsid w:val="00526180"/>
    <w:rsid w:val="005263CF"/>
    <w:rsid w:val="00526475"/>
    <w:rsid w:val="005272CA"/>
    <w:rsid w:val="00527569"/>
    <w:rsid w:val="005275C8"/>
    <w:rsid w:val="005279C8"/>
    <w:rsid w:val="00527C13"/>
    <w:rsid w:val="005308B5"/>
    <w:rsid w:val="00530908"/>
    <w:rsid w:val="00530941"/>
    <w:rsid w:val="00530B85"/>
    <w:rsid w:val="00530D15"/>
    <w:rsid w:val="00530D2D"/>
    <w:rsid w:val="005311AD"/>
    <w:rsid w:val="005311B1"/>
    <w:rsid w:val="005313F4"/>
    <w:rsid w:val="0053147C"/>
    <w:rsid w:val="00531631"/>
    <w:rsid w:val="005316BF"/>
    <w:rsid w:val="005327F1"/>
    <w:rsid w:val="00532CEB"/>
    <w:rsid w:val="00532D28"/>
    <w:rsid w:val="00532FAC"/>
    <w:rsid w:val="0053317B"/>
    <w:rsid w:val="005338E6"/>
    <w:rsid w:val="005338F2"/>
    <w:rsid w:val="0053395C"/>
    <w:rsid w:val="005340F0"/>
    <w:rsid w:val="005345AE"/>
    <w:rsid w:val="0053534A"/>
    <w:rsid w:val="005353A3"/>
    <w:rsid w:val="005358DB"/>
    <w:rsid w:val="00536453"/>
    <w:rsid w:val="0053649C"/>
    <w:rsid w:val="0053659E"/>
    <w:rsid w:val="00536924"/>
    <w:rsid w:val="00536FEB"/>
    <w:rsid w:val="005373F7"/>
    <w:rsid w:val="005374E4"/>
    <w:rsid w:val="00540184"/>
    <w:rsid w:val="00540446"/>
    <w:rsid w:val="005409AE"/>
    <w:rsid w:val="00541906"/>
    <w:rsid w:val="00542223"/>
    <w:rsid w:val="00542566"/>
    <w:rsid w:val="005425DD"/>
    <w:rsid w:val="00542729"/>
    <w:rsid w:val="005428D7"/>
    <w:rsid w:val="00542A17"/>
    <w:rsid w:val="00542E70"/>
    <w:rsid w:val="00542F35"/>
    <w:rsid w:val="00542F3F"/>
    <w:rsid w:val="00543218"/>
    <w:rsid w:val="005438F7"/>
    <w:rsid w:val="00543977"/>
    <w:rsid w:val="00543D31"/>
    <w:rsid w:val="00543E16"/>
    <w:rsid w:val="00544804"/>
    <w:rsid w:val="00544A4E"/>
    <w:rsid w:val="00544BF6"/>
    <w:rsid w:val="00544D27"/>
    <w:rsid w:val="00545631"/>
    <w:rsid w:val="00545AC4"/>
    <w:rsid w:val="00545CD6"/>
    <w:rsid w:val="005463B3"/>
    <w:rsid w:val="005463F6"/>
    <w:rsid w:val="005468E6"/>
    <w:rsid w:val="00546CEB"/>
    <w:rsid w:val="00546EAC"/>
    <w:rsid w:val="00546F35"/>
    <w:rsid w:val="00547314"/>
    <w:rsid w:val="0054762C"/>
    <w:rsid w:val="00547BC1"/>
    <w:rsid w:val="0055004D"/>
    <w:rsid w:val="00550733"/>
    <w:rsid w:val="00550B10"/>
    <w:rsid w:val="00550C64"/>
    <w:rsid w:val="00551098"/>
    <w:rsid w:val="0055114B"/>
    <w:rsid w:val="005514F1"/>
    <w:rsid w:val="0055209F"/>
    <w:rsid w:val="005521B5"/>
    <w:rsid w:val="005523D4"/>
    <w:rsid w:val="005524FF"/>
    <w:rsid w:val="00552588"/>
    <w:rsid w:val="00552789"/>
    <w:rsid w:val="005527AE"/>
    <w:rsid w:val="005528F7"/>
    <w:rsid w:val="00552C07"/>
    <w:rsid w:val="00552F83"/>
    <w:rsid w:val="00553090"/>
    <w:rsid w:val="00553131"/>
    <w:rsid w:val="005537CA"/>
    <w:rsid w:val="005537F5"/>
    <w:rsid w:val="00553F47"/>
    <w:rsid w:val="00554192"/>
    <w:rsid w:val="005549A0"/>
    <w:rsid w:val="00554CD4"/>
    <w:rsid w:val="005552E6"/>
    <w:rsid w:val="005553A1"/>
    <w:rsid w:val="00555831"/>
    <w:rsid w:val="00555B0A"/>
    <w:rsid w:val="00555BA3"/>
    <w:rsid w:val="00555E08"/>
    <w:rsid w:val="0055625D"/>
    <w:rsid w:val="005565B9"/>
    <w:rsid w:val="005569C5"/>
    <w:rsid w:val="0055725F"/>
    <w:rsid w:val="00557775"/>
    <w:rsid w:val="00557863"/>
    <w:rsid w:val="0055797F"/>
    <w:rsid w:val="00557A85"/>
    <w:rsid w:val="005603A0"/>
    <w:rsid w:val="00560868"/>
    <w:rsid w:val="00560D03"/>
    <w:rsid w:val="00561184"/>
    <w:rsid w:val="00561CDD"/>
    <w:rsid w:val="00562E76"/>
    <w:rsid w:val="00562EE9"/>
    <w:rsid w:val="00563604"/>
    <w:rsid w:val="005637BD"/>
    <w:rsid w:val="0056389B"/>
    <w:rsid w:val="00563C3D"/>
    <w:rsid w:val="00564026"/>
    <w:rsid w:val="005640EA"/>
    <w:rsid w:val="00564469"/>
    <w:rsid w:val="00564F55"/>
    <w:rsid w:val="00565639"/>
    <w:rsid w:val="0056637F"/>
    <w:rsid w:val="00566C57"/>
    <w:rsid w:val="00567044"/>
    <w:rsid w:val="005676B8"/>
    <w:rsid w:val="0056789E"/>
    <w:rsid w:val="00567E00"/>
    <w:rsid w:val="00567F52"/>
    <w:rsid w:val="005702FA"/>
    <w:rsid w:val="00570533"/>
    <w:rsid w:val="005705DD"/>
    <w:rsid w:val="00570D8B"/>
    <w:rsid w:val="00571296"/>
    <w:rsid w:val="00571981"/>
    <w:rsid w:val="0057282D"/>
    <w:rsid w:val="005734F3"/>
    <w:rsid w:val="005738AE"/>
    <w:rsid w:val="00573934"/>
    <w:rsid w:val="00573A24"/>
    <w:rsid w:val="005741F1"/>
    <w:rsid w:val="00574513"/>
    <w:rsid w:val="00574967"/>
    <w:rsid w:val="00574B65"/>
    <w:rsid w:val="00576121"/>
    <w:rsid w:val="00576193"/>
    <w:rsid w:val="005761BD"/>
    <w:rsid w:val="005762AF"/>
    <w:rsid w:val="00576FB4"/>
    <w:rsid w:val="005772F7"/>
    <w:rsid w:val="00577697"/>
    <w:rsid w:val="00577738"/>
    <w:rsid w:val="00577AA1"/>
    <w:rsid w:val="0058002A"/>
    <w:rsid w:val="00580247"/>
    <w:rsid w:val="00580F47"/>
    <w:rsid w:val="00580FF4"/>
    <w:rsid w:val="005812F1"/>
    <w:rsid w:val="00581482"/>
    <w:rsid w:val="00581586"/>
    <w:rsid w:val="00581762"/>
    <w:rsid w:val="00581A20"/>
    <w:rsid w:val="00581B2D"/>
    <w:rsid w:val="00581BD3"/>
    <w:rsid w:val="00581DD4"/>
    <w:rsid w:val="0058200F"/>
    <w:rsid w:val="00582743"/>
    <w:rsid w:val="005829A7"/>
    <w:rsid w:val="005830F4"/>
    <w:rsid w:val="005836C4"/>
    <w:rsid w:val="005838E1"/>
    <w:rsid w:val="00583C6A"/>
    <w:rsid w:val="00584A0E"/>
    <w:rsid w:val="00584C4A"/>
    <w:rsid w:val="00585108"/>
    <w:rsid w:val="00585937"/>
    <w:rsid w:val="00585F65"/>
    <w:rsid w:val="00585FE0"/>
    <w:rsid w:val="005864F6"/>
    <w:rsid w:val="005865ED"/>
    <w:rsid w:val="005869D1"/>
    <w:rsid w:val="0058702E"/>
    <w:rsid w:val="00587489"/>
    <w:rsid w:val="00587C25"/>
    <w:rsid w:val="00590000"/>
    <w:rsid w:val="00590063"/>
    <w:rsid w:val="00590C6C"/>
    <w:rsid w:val="00590EAF"/>
    <w:rsid w:val="0059115B"/>
    <w:rsid w:val="0059207A"/>
    <w:rsid w:val="005922E2"/>
    <w:rsid w:val="00592645"/>
    <w:rsid w:val="00592707"/>
    <w:rsid w:val="005928BF"/>
    <w:rsid w:val="0059321B"/>
    <w:rsid w:val="005932FD"/>
    <w:rsid w:val="005940AB"/>
    <w:rsid w:val="00594322"/>
    <w:rsid w:val="005943F6"/>
    <w:rsid w:val="00594863"/>
    <w:rsid w:val="00594BD6"/>
    <w:rsid w:val="005959E3"/>
    <w:rsid w:val="00596385"/>
    <w:rsid w:val="00596768"/>
    <w:rsid w:val="005967C5"/>
    <w:rsid w:val="00596938"/>
    <w:rsid w:val="00596EA4"/>
    <w:rsid w:val="00596EEE"/>
    <w:rsid w:val="005971CC"/>
    <w:rsid w:val="005977ED"/>
    <w:rsid w:val="00597837"/>
    <w:rsid w:val="0059794B"/>
    <w:rsid w:val="005A0531"/>
    <w:rsid w:val="005A0A29"/>
    <w:rsid w:val="005A0D30"/>
    <w:rsid w:val="005A0D49"/>
    <w:rsid w:val="005A0E05"/>
    <w:rsid w:val="005A18C5"/>
    <w:rsid w:val="005A196D"/>
    <w:rsid w:val="005A19FD"/>
    <w:rsid w:val="005A1CF3"/>
    <w:rsid w:val="005A26F5"/>
    <w:rsid w:val="005A2852"/>
    <w:rsid w:val="005A2AF9"/>
    <w:rsid w:val="005A2BB7"/>
    <w:rsid w:val="005A2C8A"/>
    <w:rsid w:val="005A3044"/>
    <w:rsid w:val="005A325C"/>
    <w:rsid w:val="005A38AE"/>
    <w:rsid w:val="005A4603"/>
    <w:rsid w:val="005A46A9"/>
    <w:rsid w:val="005A5415"/>
    <w:rsid w:val="005A5BC1"/>
    <w:rsid w:val="005A5BE3"/>
    <w:rsid w:val="005A6A9E"/>
    <w:rsid w:val="005A6AC4"/>
    <w:rsid w:val="005A738C"/>
    <w:rsid w:val="005A77A2"/>
    <w:rsid w:val="005A7AE1"/>
    <w:rsid w:val="005A7BE3"/>
    <w:rsid w:val="005B0001"/>
    <w:rsid w:val="005B07A6"/>
    <w:rsid w:val="005B0FEF"/>
    <w:rsid w:val="005B1562"/>
    <w:rsid w:val="005B1F61"/>
    <w:rsid w:val="005B2170"/>
    <w:rsid w:val="005B2771"/>
    <w:rsid w:val="005B2790"/>
    <w:rsid w:val="005B28F8"/>
    <w:rsid w:val="005B2B30"/>
    <w:rsid w:val="005B4127"/>
    <w:rsid w:val="005B4392"/>
    <w:rsid w:val="005B46BC"/>
    <w:rsid w:val="005B4C3B"/>
    <w:rsid w:val="005B4FE1"/>
    <w:rsid w:val="005B50E4"/>
    <w:rsid w:val="005B570C"/>
    <w:rsid w:val="005B652E"/>
    <w:rsid w:val="005B6A39"/>
    <w:rsid w:val="005B6E0B"/>
    <w:rsid w:val="005B7543"/>
    <w:rsid w:val="005B7A8A"/>
    <w:rsid w:val="005B7FD2"/>
    <w:rsid w:val="005C0052"/>
    <w:rsid w:val="005C0225"/>
    <w:rsid w:val="005C04B6"/>
    <w:rsid w:val="005C0A34"/>
    <w:rsid w:val="005C0F99"/>
    <w:rsid w:val="005C10B7"/>
    <w:rsid w:val="005C113D"/>
    <w:rsid w:val="005C1272"/>
    <w:rsid w:val="005C12A5"/>
    <w:rsid w:val="005C13B9"/>
    <w:rsid w:val="005C175F"/>
    <w:rsid w:val="005C1940"/>
    <w:rsid w:val="005C19F6"/>
    <w:rsid w:val="005C22F1"/>
    <w:rsid w:val="005C24EB"/>
    <w:rsid w:val="005C29E8"/>
    <w:rsid w:val="005C2E8F"/>
    <w:rsid w:val="005C338E"/>
    <w:rsid w:val="005C3547"/>
    <w:rsid w:val="005C3828"/>
    <w:rsid w:val="005C38A9"/>
    <w:rsid w:val="005C3F20"/>
    <w:rsid w:val="005C4AE1"/>
    <w:rsid w:val="005C4FBB"/>
    <w:rsid w:val="005C51C2"/>
    <w:rsid w:val="005C546E"/>
    <w:rsid w:val="005C557A"/>
    <w:rsid w:val="005C573F"/>
    <w:rsid w:val="005C5763"/>
    <w:rsid w:val="005C5AB5"/>
    <w:rsid w:val="005C5B84"/>
    <w:rsid w:val="005C5D27"/>
    <w:rsid w:val="005C673B"/>
    <w:rsid w:val="005C69CC"/>
    <w:rsid w:val="005C6A86"/>
    <w:rsid w:val="005C6B23"/>
    <w:rsid w:val="005C6B71"/>
    <w:rsid w:val="005C70E5"/>
    <w:rsid w:val="005C724C"/>
    <w:rsid w:val="005C76E1"/>
    <w:rsid w:val="005C7B1B"/>
    <w:rsid w:val="005D0192"/>
    <w:rsid w:val="005D02DA"/>
    <w:rsid w:val="005D06F4"/>
    <w:rsid w:val="005D131E"/>
    <w:rsid w:val="005D1320"/>
    <w:rsid w:val="005D26CA"/>
    <w:rsid w:val="005D280C"/>
    <w:rsid w:val="005D291B"/>
    <w:rsid w:val="005D2D80"/>
    <w:rsid w:val="005D3065"/>
    <w:rsid w:val="005D36F2"/>
    <w:rsid w:val="005D3B91"/>
    <w:rsid w:val="005D3D11"/>
    <w:rsid w:val="005D3D81"/>
    <w:rsid w:val="005D3F96"/>
    <w:rsid w:val="005D45E1"/>
    <w:rsid w:val="005D5059"/>
    <w:rsid w:val="005D55E1"/>
    <w:rsid w:val="005D5A64"/>
    <w:rsid w:val="005D5E20"/>
    <w:rsid w:val="005D614F"/>
    <w:rsid w:val="005D63E7"/>
    <w:rsid w:val="005D6783"/>
    <w:rsid w:val="005D6A70"/>
    <w:rsid w:val="005D6AC0"/>
    <w:rsid w:val="005D727F"/>
    <w:rsid w:val="005D750F"/>
    <w:rsid w:val="005D7DB3"/>
    <w:rsid w:val="005E0157"/>
    <w:rsid w:val="005E0395"/>
    <w:rsid w:val="005E091F"/>
    <w:rsid w:val="005E0FE0"/>
    <w:rsid w:val="005E1230"/>
    <w:rsid w:val="005E1534"/>
    <w:rsid w:val="005E1AC3"/>
    <w:rsid w:val="005E1E2E"/>
    <w:rsid w:val="005E26C7"/>
    <w:rsid w:val="005E2AA5"/>
    <w:rsid w:val="005E33A2"/>
    <w:rsid w:val="005E3AB5"/>
    <w:rsid w:val="005E3CAD"/>
    <w:rsid w:val="005E3FAC"/>
    <w:rsid w:val="005E4A0D"/>
    <w:rsid w:val="005E4A0E"/>
    <w:rsid w:val="005E4E9A"/>
    <w:rsid w:val="005E5122"/>
    <w:rsid w:val="005E5242"/>
    <w:rsid w:val="005E57D6"/>
    <w:rsid w:val="005E5939"/>
    <w:rsid w:val="005E5B49"/>
    <w:rsid w:val="005E662C"/>
    <w:rsid w:val="005E6F03"/>
    <w:rsid w:val="005E70D7"/>
    <w:rsid w:val="005E7157"/>
    <w:rsid w:val="005E77E6"/>
    <w:rsid w:val="005E7AD8"/>
    <w:rsid w:val="005E7B1C"/>
    <w:rsid w:val="005F007E"/>
    <w:rsid w:val="005F0197"/>
    <w:rsid w:val="005F07E1"/>
    <w:rsid w:val="005F0BC9"/>
    <w:rsid w:val="005F107C"/>
    <w:rsid w:val="005F1B5E"/>
    <w:rsid w:val="005F1EC9"/>
    <w:rsid w:val="005F259D"/>
    <w:rsid w:val="005F2D41"/>
    <w:rsid w:val="005F2E12"/>
    <w:rsid w:val="005F2E13"/>
    <w:rsid w:val="005F3149"/>
    <w:rsid w:val="005F32E6"/>
    <w:rsid w:val="005F3397"/>
    <w:rsid w:val="005F3811"/>
    <w:rsid w:val="005F3A9E"/>
    <w:rsid w:val="005F46B8"/>
    <w:rsid w:val="005F47B6"/>
    <w:rsid w:val="005F4D2F"/>
    <w:rsid w:val="005F50E2"/>
    <w:rsid w:val="005F55CF"/>
    <w:rsid w:val="005F5ACF"/>
    <w:rsid w:val="005F6023"/>
    <w:rsid w:val="005F63E1"/>
    <w:rsid w:val="005F642E"/>
    <w:rsid w:val="005F644A"/>
    <w:rsid w:val="005F6BEC"/>
    <w:rsid w:val="005F6D04"/>
    <w:rsid w:val="005F6F14"/>
    <w:rsid w:val="005F7AE7"/>
    <w:rsid w:val="005F7BC8"/>
    <w:rsid w:val="005F7D99"/>
    <w:rsid w:val="00600116"/>
    <w:rsid w:val="00600F26"/>
    <w:rsid w:val="00601460"/>
    <w:rsid w:val="0060159F"/>
    <w:rsid w:val="00601676"/>
    <w:rsid w:val="006020B7"/>
    <w:rsid w:val="00602ED4"/>
    <w:rsid w:val="0060304B"/>
    <w:rsid w:val="00603209"/>
    <w:rsid w:val="00603226"/>
    <w:rsid w:val="00603538"/>
    <w:rsid w:val="00603A59"/>
    <w:rsid w:val="006040BF"/>
    <w:rsid w:val="00604D49"/>
    <w:rsid w:val="00604DCE"/>
    <w:rsid w:val="00604E5A"/>
    <w:rsid w:val="00604F1A"/>
    <w:rsid w:val="0060521F"/>
    <w:rsid w:val="006054BA"/>
    <w:rsid w:val="006056FC"/>
    <w:rsid w:val="00606323"/>
    <w:rsid w:val="006066C0"/>
    <w:rsid w:val="00607028"/>
    <w:rsid w:val="00607162"/>
    <w:rsid w:val="00607DD6"/>
    <w:rsid w:val="006102FD"/>
    <w:rsid w:val="006109AA"/>
    <w:rsid w:val="00610BB6"/>
    <w:rsid w:val="00610C4C"/>
    <w:rsid w:val="00610C99"/>
    <w:rsid w:val="00610CBF"/>
    <w:rsid w:val="00611B6C"/>
    <w:rsid w:val="00611BD0"/>
    <w:rsid w:val="00611C79"/>
    <w:rsid w:val="00611DE8"/>
    <w:rsid w:val="00611E10"/>
    <w:rsid w:val="0061219B"/>
    <w:rsid w:val="0061282E"/>
    <w:rsid w:val="00612D8F"/>
    <w:rsid w:val="00612E9C"/>
    <w:rsid w:val="00613886"/>
    <w:rsid w:val="00613902"/>
    <w:rsid w:val="00613C50"/>
    <w:rsid w:val="00613D13"/>
    <w:rsid w:val="00613DDA"/>
    <w:rsid w:val="00614512"/>
    <w:rsid w:val="00614653"/>
    <w:rsid w:val="006147C6"/>
    <w:rsid w:val="00614886"/>
    <w:rsid w:val="00614AC0"/>
    <w:rsid w:val="00614E97"/>
    <w:rsid w:val="006151B0"/>
    <w:rsid w:val="0061545C"/>
    <w:rsid w:val="00615560"/>
    <w:rsid w:val="00615DBB"/>
    <w:rsid w:val="00615E14"/>
    <w:rsid w:val="006173BE"/>
    <w:rsid w:val="0061798A"/>
    <w:rsid w:val="00617B65"/>
    <w:rsid w:val="00617D8A"/>
    <w:rsid w:val="00617F1D"/>
    <w:rsid w:val="00620BB0"/>
    <w:rsid w:val="00620FE8"/>
    <w:rsid w:val="00621363"/>
    <w:rsid w:val="006214E3"/>
    <w:rsid w:val="006220F6"/>
    <w:rsid w:val="0062250A"/>
    <w:rsid w:val="006226F8"/>
    <w:rsid w:val="00622925"/>
    <w:rsid w:val="00622AA1"/>
    <w:rsid w:val="00622BD9"/>
    <w:rsid w:val="00622F3C"/>
    <w:rsid w:val="006237D7"/>
    <w:rsid w:val="00623909"/>
    <w:rsid w:val="006239B4"/>
    <w:rsid w:val="006239EA"/>
    <w:rsid w:val="00623FF8"/>
    <w:rsid w:val="006242CC"/>
    <w:rsid w:val="00624461"/>
    <w:rsid w:val="0062462F"/>
    <w:rsid w:val="00625121"/>
    <w:rsid w:val="00625127"/>
    <w:rsid w:val="00625181"/>
    <w:rsid w:val="006256EA"/>
    <w:rsid w:val="0062573F"/>
    <w:rsid w:val="00625DE3"/>
    <w:rsid w:val="00626288"/>
    <w:rsid w:val="00626332"/>
    <w:rsid w:val="00626911"/>
    <w:rsid w:val="0062735B"/>
    <w:rsid w:val="006277FE"/>
    <w:rsid w:val="00627984"/>
    <w:rsid w:val="006279AB"/>
    <w:rsid w:val="00627A6C"/>
    <w:rsid w:val="00627C80"/>
    <w:rsid w:val="00627D87"/>
    <w:rsid w:val="0063012C"/>
    <w:rsid w:val="006302CA"/>
    <w:rsid w:val="0063072B"/>
    <w:rsid w:val="0063075C"/>
    <w:rsid w:val="006307DD"/>
    <w:rsid w:val="00630CA2"/>
    <w:rsid w:val="00630DD3"/>
    <w:rsid w:val="00631E63"/>
    <w:rsid w:val="00633060"/>
    <w:rsid w:val="006336A8"/>
    <w:rsid w:val="00633A99"/>
    <w:rsid w:val="00633D80"/>
    <w:rsid w:val="0063467A"/>
    <w:rsid w:val="00634944"/>
    <w:rsid w:val="0063513D"/>
    <w:rsid w:val="0063518B"/>
    <w:rsid w:val="00636323"/>
    <w:rsid w:val="00636F04"/>
    <w:rsid w:val="0063768B"/>
    <w:rsid w:val="006376D7"/>
    <w:rsid w:val="00640037"/>
    <w:rsid w:val="00640045"/>
    <w:rsid w:val="006409F0"/>
    <w:rsid w:val="00640D07"/>
    <w:rsid w:val="00640D7E"/>
    <w:rsid w:val="00640E08"/>
    <w:rsid w:val="0064193F"/>
    <w:rsid w:val="006427A4"/>
    <w:rsid w:val="00642951"/>
    <w:rsid w:val="00642F25"/>
    <w:rsid w:val="00642F59"/>
    <w:rsid w:val="00643042"/>
    <w:rsid w:val="00643C4B"/>
    <w:rsid w:val="00643DB9"/>
    <w:rsid w:val="0064409E"/>
    <w:rsid w:val="00644292"/>
    <w:rsid w:val="00644524"/>
    <w:rsid w:val="00644992"/>
    <w:rsid w:val="00644BC1"/>
    <w:rsid w:val="00644C39"/>
    <w:rsid w:val="00644E65"/>
    <w:rsid w:val="00644FFC"/>
    <w:rsid w:val="0064502D"/>
    <w:rsid w:val="006456FD"/>
    <w:rsid w:val="00645742"/>
    <w:rsid w:val="0064574C"/>
    <w:rsid w:val="006465D3"/>
    <w:rsid w:val="0064661D"/>
    <w:rsid w:val="0064664C"/>
    <w:rsid w:val="0064694A"/>
    <w:rsid w:val="00646E35"/>
    <w:rsid w:val="00646E5A"/>
    <w:rsid w:val="00646EA0"/>
    <w:rsid w:val="006471F0"/>
    <w:rsid w:val="00650314"/>
    <w:rsid w:val="006508C5"/>
    <w:rsid w:val="0065099D"/>
    <w:rsid w:val="00650A22"/>
    <w:rsid w:val="00650B43"/>
    <w:rsid w:val="00650DA8"/>
    <w:rsid w:val="006529F1"/>
    <w:rsid w:val="00652ABA"/>
    <w:rsid w:val="00652C45"/>
    <w:rsid w:val="00652CB9"/>
    <w:rsid w:val="00652F23"/>
    <w:rsid w:val="00653450"/>
    <w:rsid w:val="0065386F"/>
    <w:rsid w:val="00653938"/>
    <w:rsid w:val="00653A80"/>
    <w:rsid w:val="00653C24"/>
    <w:rsid w:val="00653C4E"/>
    <w:rsid w:val="0065402F"/>
    <w:rsid w:val="00654C27"/>
    <w:rsid w:val="00654EF1"/>
    <w:rsid w:val="00655A50"/>
    <w:rsid w:val="00655C0C"/>
    <w:rsid w:val="00655C24"/>
    <w:rsid w:val="00655C59"/>
    <w:rsid w:val="00655F2F"/>
    <w:rsid w:val="006561D2"/>
    <w:rsid w:val="00656777"/>
    <w:rsid w:val="0065689A"/>
    <w:rsid w:val="00657614"/>
    <w:rsid w:val="00657661"/>
    <w:rsid w:val="00657CC9"/>
    <w:rsid w:val="00660021"/>
    <w:rsid w:val="0066004B"/>
    <w:rsid w:val="006602ED"/>
    <w:rsid w:val="006607C5"/>
    <w:rsid w:val="00661677"/>
    <w:rsid w:val="006618F3"/>
    <w:rsid w:val="006620AE"/>
    <w:rsid w:val="00662166"/>
    <w:rsid w:val="00662640"/>
    <w:rsid w:val="00662883"/>
    <w:rsid w:val="00662952"/>
    <w:rsid w:val="00663315"/>
    <w:rsid w:val="006641A3"/>
    <w:rsid w:val="006644B1"/>
    <w:rsid w:val="006646A8"/>
    <w:rsid w:val="00664B31"/>
    <w:rsid w:val="0066507D"/>
    <w:rsid w:val="00665380"/>
    <w:rsid w:val="0066549B"/>
    <w:rsid w:val="00665835"/>
    <w:rsid w:val="00665DC2"/>
    <w:rsid w:val="00665DE0"/>
    <w:rsid w:val="00665F6C"/>
    <w:rsid w:val="0066616A"/>
    <w:rsid w:val="00666252"/>
    <w:rsid w:val="006662C0"/>
    <w:rsid w:val="00666716"/>
    <w:rsid w:val="00666728"/>
    <w:rsid w:val="006667EC"/>
    <w:rsid w:val="00666818"/>
    <w:rsid w:val="00666F00"/>
    <w:rsid w:val="00667115"/>
    <w:rsid w:val="00667D61"/>
    <w:rsid w:val="0067009F"/>
    <w:rsid w:val="00670228"/>
    <w:rsid w:val="0067038B"/>
    <w:rsid w:val="006705A8"/>
    <w:rsid w:val="00670C6E"/>
    <w:rsid w:val="006713A5"/>
    <w:rsid w:val="0067178E"/>
    <w:rsid w:val="00671DCF"/>
    <w:rsid w:val="00672321"/>
    <w:rsid w:val="0067240A"/>
    <w:rsid w:val="006724EB"/>
    <w:rsid w:val="00672763"/>
    <w:rsid w:val="00672B8B"/>
    <w:rsid w:val="00672F40"/>
    <w:rsid w:val="00672FB4"/>
    <w:rsid w:val="00673039"/>
    <w:rsid w:val="0067318A"/>
    <w:rsid w:val="006734BA"/>
    <w:rsid w:val="0067355E"/>
    <w:rsid w:val="00673664"/>
    <w:rsid w:val="006739EF"/>
    <w:rsid w:val="00674721"/>
    <w:rsid w:val="00674A47"/>
    <w:rsid w:val="00674D02"/>
    <w:rsid w:val="0067527C"/>
    <w:rsid w:val="0067554D"/>
    <w:rsid w:val="00675580"/>
    <w:rsid w:val="00675B02"/>
    <w:rsid w:val="00675EAB"/>
    <w:rsid w:val="00676040"/>
    <w:rsid w:val="00676366"/>
    <w:rsid w:val="006763BD"/>
    <w:rsid w:val="0067644F"/>
    <w:rsid w:val="006768F6"/>
    <w:rsid w:val="006768FF"/>
    <w:rsid w:val="006769B6"/>
    <w:rsid w:val="00676DAE"/>
    <w:rsid w:val="00677356"/>
    <w:rsid w:val="006776CE"/>
    <w:rsid w:val="006778F4"/>
    <w:rsid w:val="00677EDE"/>
    <w:rsid w:val="0068037A"/>
    <w:rsid w:val="0068040E"/>
    <w:rsid w:val="00681867"/>
    <w:rsid w:val="006818CF"/>
    <w:rsid w:val="00681F5D"/>
    <w:rsid w:val="00682512"/>
    <w:rsid w:val="00682514"/>
    <w:rsid w:val="0068273B"/>
    <w:rsid w:val="00682997"/>
    <w:rsid w:val="00683022"/>
    <w:rsid w:val="00683C30"/>
    <w:rsid w:val="00683DB9"/>
    <w:rsid w:val="0068419A"/>
    <w:rsid w:val="00684F10"/>
    <w:rsid w:val="006853A8"/>
    <w:rsid w:val="00685A3D"/>
    <w:rsid w:val="00685D61"/>
    <w:rsid w:val="00686187"/>
    <w:rsid w:val="00686275"/>
    <w:rsid w:val="0068688B"/>
    <w:rsid w:val="00686B7F"/>
    <w:rsid w:val="00686CF4"/>
    <w:rsid w:val="00687894"/>
    <w:rsid w:val="00687D9A"/>
    <w:rsid w:val="0069061A"/>
    <w:rsid w:val="006906EF"/>
    <w:rsid w:val="00690A18"/>
    <w:rsid w:val="00690C34"/>
    <w:rsid w:val="00690D05"/>
    <w:rsid w:val="00691BE0"/>
    <w:rsid w:val="00691FC9"/>
    <w:rsid w:val="006928DA"/>
    <w:rsid w:val="00692B94"/>
    <w:rsid w:val="00692E7A"/>
    <w:rsid w:val="0069345C"/>
    <w:rsid w:val="0069432E"/>
    <w:rsid w:val="00694392"/>
    <w:rsid w:val="0069469E"/>
    <w:rsid w:val="006946A4"/>
    <w:rsid w:val="006949E3"/>
    <w:rsid w:val="00694DD1"/>
    <w:rsid w:val="00694F79"/>
    <w:rsid w:val="006950AD"/>
    <w:rsid w:val="00695F6B"/>
    <w:rsid w:val="0069660F"/>
    <w:rsid w:val="006967FD"/>
    <w:rsid w:val="00697C6D"/>
    <w:rsid w:val="006A036B"/>
    <w:rsid w:val="006A07DE"/>
    <w:rsid w:val="006A0C53"/>
    <w:rsid w:val="006A12C0"/>
    <w:rsid w:val="006A1625"/>
    <w:rsid w:val="006A2844"/>
    <w:rsid w:val="006A30D9"/>
    <w:rsid w:val="006A345D"/>
    <w:rsid w:val="006A3672"/>
    <w:rsid w:val="006A3D5F"/>
    <w:rsid w:val="006A411C"/>
    <w:rsid w:val="006A4BDE"/>
    <w:rsid w:val="006A4D90"/>
    <w:rsid w:val="006A4E51"/>
    <w:rsid w:val="006A4EA2"/>
    <w:rsid w:val="006A5328"/>
    <w:rsid w:val="006A53D2"/>
    <w:rsid w:val="006A5469"/>
    <w:rsid w:val="006A578D"/>
    <w:rsid w:val="006A5A48"/>
    <w:rsid w:val="006A62B0"/>
    <w:rsid w:val="006A6791"/>
    <w:rsid w:val="006A6C86"/>
    <w:rsid w:val="006A70AA"/>
    <w:rsid w:val="006A77F1"/>
    <w:rsid w:val="006A79BD"/>
    <w:rsid w:val="006A7A93"/>
    <w:rsid w:val="006A7F41"/>
    <w:rsid w:val="006B064C"/>
    <w:rsid w:val="006B0735"/>
    <w:rsid w:val="006B0D23"/>
    <w:rsid w:val="006B0E39"/>
    <w:rsid w:val="006B150C"/>
    <w:rsid w:val="006B1B1C"/>
    <w:rsid w:val="006B1B21"/>
    <w:rsid w:val="006B1C10"/>
    <w:rsid w:val="006B1E51"/>
    <w:rsid w:val="006B21E4"/>
    <w:rsid w:val="006B285F"/>
    <w:rsid w:val="006B2CA5"/>
    <w:rsid w:val="006B2DCA"/>
    <w:rsid w:val="006B2E36"/>
    <w:rsid w:val="006B31EB"/>
    <w:rsid w:val="006B327B"/>
    <w:rsid w:val="006B3347"/>
    <w:rsid w:val="006B35B2"/>
    <w:rsid w:val="006B3DDA"/>
    <w:rsid w:val="006B3F40"/>
    <w:rsid w:val="006B4702"/>
    <w:rsid w:val="006B4751"/>
    <w:rsid w:val="006B496B"/>
    <w:rsid w:val="006B49B3"/>
    <w:rsid w:val="006B528E"/>
    <w:rsid w:val="006B5840"/>
    <w:rsid w:val="006B59A1"/>
    <w:rsid w:val="006B5C4E"/>
    <w:rsid w:val="006B6346"/>
    <w:rsid w:val="006B671A"/>
    <w:rsid w:val="006B688C"/>
    <w:rsid w:val="006B6E3A"/>
    <w:rsid w:val="006B6F48"/>
    <w:rsid w:val="006B6FE6"/>
    <w:rsid w:val="006B7005"/>
    <w:rsid w:val="006B7069"/>
    <w:rsid w:val="006B7C60"/>
    <w:rsid w:val="006B7D93"/>
    <w:rsid w:val="006B7DDA"/>
    <w:rsid w:val="006C003D"/>
    <w:rsid w:val="006C034D"/>
    <w:rsid w:val="006C05CB"/>
    <w:rsid w:val="006C0BCB"/>
    <w:rsid w:val="006C0F2D"/>
    <w:rsid w:val="006C1701"/>
    <w:rsid w:val="006C187D"/>
    <w:rsid w:val="006C1ADB"/>
    <w:rsid w:val="006C240D"/>
    <w:rsid w:val="006C2849"/>
    <w:rsid w:val="006C3195"/>
    <w:rsid w:val="006C3343"/>
    <w:rsid w:val="006C35BC"/>
    <w:rsid w:val="006C3C3C"/>
    <w:rsid w:val="006C47E8"/>
    <w:rsid w:val="006C4808"/>
    <w:rsid w:val="006C48E0"/>
    <w:rsid w:val="006C4C38"/>
    <w:rsid w:val="006C4CEC"/>
    <w:rsid w:val="006C56E2"/>
    <w:rsid w:val="006C591C"/>
    <w:rsid w:val="006C5A2B"/>
    <w:rsid w:val="006C5AC3"/>
    <w:rsid w:val="006C5C86"/>
    <w:rsid w:val="006C66CD"/>
    <w:rsid w:val="006C6926"/>
    <w:rsid w:val="006C6BC9"/>
    <w:rsid w:val="006C7C38"/>
    <w:rsid w:val="006C7CCF"/>
    <w:rsid w:val="006D0766"/>
    <w:rsid w:val="006D07E6"/>
    <w:rsid w:val="006D0869"/>
    <w:rsid w:val="006D0DAE"/>
    <w:rsid w:val="006D0FE7"/>
    <w:rsid w:val="006D10ED"/>
    <w:rsid w:val="006D1376"/>
    <w:rsid w:val="006D1391"/>
    <w:rsid w:val="006D13A5"/>
    <w:rsid w:val="006D170B"/>
    <w:rsid w:val="006D1BC2"/>
    <w:rsid w:val="006D1C37"/>
    <w:rsid w:val="006D209D"/>
    <w:rsid w:val="006D2EE8"/>
    <w:rsid w:val="006D3605"/>
    <w:rsid w:val="006D3E55"/>
    <w:rsid w:val="006D3F5F"/>
    <w:rsid w:val="006D4003"/>
    <w:rsid w:val="006D43AE"/>
    <w:rsid w:val="006D4525"/>
    <w:rsid w:val="006D472E"/>
    <w:rsid w:val="006D4D86"/>
    <w:rsid w:val="006D502E"/>
    <w:rsid w:val="006D509F"/>
    <w:rsid w:val="006D5651"/>
    <w:rsid w:val="006D5CDC"/>
    <w:rsid w:val="006D5E27"/>
    <w:rsid w:val="006D6516"/>
    <w:rsid w:val="006D6F77"/>
    <w:rsid w:val="006D7005"/>
    <w:rsid w:val="006D705A"/>
    <w:rsid w:val="006D70DC"/>
    <w:rsid w:val="006D7636"/>
    <w:rsid w:val="006D7755"/>
    <w:rsid w:val="006D7833"/>
    <w:rsid w:val="006D7ADE"/>
    <w:rsid w:val="006D7BA7"/>
    <w:rsid w:val="006D7ED7"/>
    <w:rsid w:val="006D7FCF"/>
    <w:rsid w:val="006E00CF"/>
    <w:rsid w:val="006E03CF"/>
    <w:rsid w:val="006E06AE"/>
    <w:rsid w:val="006E08FC"/>
    <w:rsid w:val="006E1084"/>
    <w:rsid w:val="006E1097"/>
    <w:rsid w:val="006E1270"/>
    <w:rsid w:val="006E14BF"/>
    <w:rsid w:val="006E1865"/>
    <w:rsid w:val="006E1950"/>
    <w:rsid w:val="006E1967"/>
    <w:rsid w:val="006E1C41"/>
    <w:rsid w:val="006E231B"/>
    <w:rsid w:val="006E2AE6"/>
    <w:rsid w:val="006E2AF7"/>
    <w:rsid w:val="006E2E81"/>
    <w:rsid w:val="006E33FA"/>
    <w:rsid w:val="006E3543"/>
    <w:rsid w:val="006E3C1A"/>
    <w:rsid w:val="006E3D6F"/>
    <w:rsid w:val="006E40FB"/>
    <w:rsid w:val="006E42A7"/>
    <w:rsid w:val="006E48CF"/>
    <w:rsid w:val="006E4DD0"/>
    <w:rsid w:val="006E4DE2"/>
    <w:rsid w:val="006E501C"/>
    <w:rsid w:val="006E5764"/>
    <w:rsid w:val="006E5B43"/>
    <w:rsid w:val="006E6B56"/>
    <w:rsid w:val="006E6BC1"/>
    <w:rsid w:val="006E77E4"/>
    <w:rsid w:val="006E7A3C"/>
    <w:rsid w:val="006F0679"/>
    <w:rsid w:val="006F0949"/>
    <w:rsid w:val="006F0DD9"/>
    <w:rsid w:val="006F1009"/>
    <w:rsid w:val="006F108D"/>
    <w:rsid w:val="006F26B5"/>
    <w:rsid w:val="006F3253"/>
    <w:rsid w:val="006F38AF"/>
    <w:rsid w:val="006F39AE"/>
    <w:rsid w:val="006F3EC9"/>
    <w:rsid w:val="006F4395"/>
    <w:rsid w:val="006F4520"/>
    <w:rsid w:val="006F4771"/>
    <w:rsid w:val="006F48C8"/>
    <w:rsid w:val="006F4B18"/>
    <w:rsid w:val="006F4E1A"/>
    <w:rsid w:val="006F500D"/>
    <w:rsid w:val="006F510A"/>
    <w:rsid w:val="006F517B"/>
    <w:rsid w:val="006F629A"/>
    <w:rsid w:val="006F65A2"/>
    <w:rsid w:val="006F67C9"/>
    <w:rsid w:val="006F6A41"/>
    <w:rsid w:val="006F6FF1"/>
    <w:rsid w:val="006F72F0"/>
    <w:rsid w:val="006F76CE"/>
    <w:rsid w:val="006F7DF2"/>
    <w:rsid w:val="006F7FB6"/>
    <w:rsid w:val="0070048D"/>
    <w:rsid w:val="007009A1"/>
    <w:rsid w:val="0070115A"/>
    <w:rsid w:val="007014AB"/>
    <w:rsid w:val="007015D7"/>
    <w:rsid w:val="007017C6"/>
    <w:rsid w:val="00701883"/>
    <w:rsid w:val="00701B15"/>
    <w:rsid w:val="00701DD6"/>
    <w:rsid w:val="00702733"/>
    <w:rsid w:val="00702843"/>
    <w:rsid w:val="00703028"/>
    <w:rsid w:val="00703136"/>
    <w:rsid w:val="00703C04"/>
    <w:rsid w:val="00704138"/>
    <w:rsid w:val="0070417A"/>
    <w:rsid w:val="007043C0"/>
    <w:rsid w:val="00704757"/>
    <w:rsid w:val="00704805"/>
    <w:rsid w:val="00704895"/>
    <w:rsid w:val="00704D54"/>
    <w:rsid w:val="00705A7A"/>
    <w:rsid w:val="00705A88"/>
    <w:rsid w:val="00705E45"/>
    <w:rsid w:val="00706725"/>
    <w:rsid w:val="007069C3"/>
    <w:rsid w:val="00706B69"/>
    <w:rsid w:val="00707070"/>
    <w:rsid w:val="00707368"/>
    <w:rsid w:val="0070760F"/>
    <w:rsid w:val="007078E2"/>
    <w:rsid w:val="0070798D"/>
    <w:rsid w:val="00707B9D"/>
    <w:rsid w:val="007103D2"/>
    <w:rsid w:val="007106B9"/>
    <w:rsid w:val="00710821"/>
    <w:rsid w:val="007109E2"/>
    <w:rsid w:val="00711002"/>
    <w:rsid w:val="007119D8"/>
    <w:rsid w:val="00711C15"/>
    <w:rsid w:val="00711E55"/>
    <w:rsid w:val="007120D0"/>
    <w:rsid w:val="00712808"/>
    <w:rsid w:val="00712BAA"/>
    <w:rsid w:val="00712EA1"/>
    <w:rsid w:val="007135D6"/>
    <w:rsid w:val="00713606"/>
    <w:rsid w:val="007136A9"/>
    <w:rsid w:val="00713807"/>
    <w:rsid w:val="007142B4"/>
    <w:rsid w:val="00714403"/>
    <w:rsid w:val="0071453D"/>
    <w:rsid w:val="00714761"/>
    <w:rsid w:val="00715605"/>
    <w:rsid w:val="00715C32"/>
    <w:rsid w:val="00715E8B"/>
    <w:rsid w:val="007160E6"/>
    <w:rsid w:val="007165FF"/>
    <w:rsid w:val="0071676E"/>
    <w:rsid w:val="0071752E"/>
    <w:rsid w:val="00717666"/>
    <w:rsid w:val="00720468"/>
    <w:rsid w:val="00720816"/>
    <w:rsid w:val="00720A85"/>
    <w:rsid w:val="00720B88"/>
    <w:rsid w:val="00721B33"/>
    <w:rsid w:val="00722205"/>
    <w:rsid w:val="007223C1"/>
    <w:rsid w:val="00722FA8"/>
    <w:rsid w:val="00722FD0"/>
    <w:rsid w:val="00723376"/>
    <w:rsid w:val="00723B99"/>
    <w:rsid w:val="00723BD2"/>
    <w:rsid w:val="00723D63"/>
    <w:rsid w:val="00723E14"/>
    <w:rsid w:val="00723E4D"/>
    <w:rsid w:val="0072421B"/>
    <w:rsid w:val="00724836"/>
    <w:rsid w:val="00725048"/>
    <w:rsid w:val="007250D0"/>
    <w:rsid w:val="0072590A"/>
    <w:rsid w:val="00725A5F"/>
    <w:rsid w:val="0072671A"/>
    <w:rsid w:val="0072693F"/>
    <w:rsid w:val="0072712E"/>
    <w:rsid w:val="00727656"/>
    <w:rsid w:val="00727856"/>
    <w:rsid w:val="007301CD"/>
    <w:rsid w:val="0073094D"/>
    <w:rsid w:val="00730D2B"/>
    <w:rsid w:val="007314B8"/>
    <w:rsid w:val="007325E5"/>
    <w:rsid w:val="00732E05"/>
    <w:rsid w:val="007331FD"/>
    <w:rsid w:val="007332C4"/>
    <w:rsid w:val="00733776"/>
    <w:rsid w:val="00733850"/>
    <w:rsid w:val="00733A18"/>
    <w:rsid w:val="00733DB8"/>
    <w:rsid w:val="00734521"/>
    <w:rsid w:val="00734932"/>
    <w:rsid w:val="00734944"/>
    <w:rsid w:val="00734995"/>
    <w:rsid w:val="00734ACE"/>
    <w:rsid w:val="00734B77"/>
    <w:rsid w:val="0073559E"/>
    <w:rsid w:val="007358E5"/>
    <w:rsid w:val="007359D9"/>
    <w:rsid w:val="00735FDB"/>
    <w:rsid w:val="007364F9"/>
    <w:rsid w:val="00736ECE"/>
    <w:rsid w:val="00737109"/>
    <w:rsid w:val="0073765B"/>
    <w:rsid w:val="00740321"/>
    <w:rsid w:val="007407C5"/>
    <w:rsid w:val="00740A42"/>
    <w:rsid w:val="00740F4F"/>
    <w:rsid w:val="007416B1"/>
    <w:rsid w:val="00741AF9"/>
    <w:rsid w:val="00741C58"/>
    <w:rsid w:val="00741FA5"/>
    <w:rsid w:val="0074248E"/>
    <w:rsid w:val="00742985"/>
    <w:rsid w:val="00743314"/>
    <w:rsid w:val="007437CF"/>
    <w:rsid w:val="00743A47"/>
    <w:rsid w:val="00743AAE"/>
    <w:rsid w:val="00743C37"/>
    <w:rsid w:val="007449B7"/>
    <w:rsid w:val="00744A53"/>
    <w:rsid w:val="00744B5E"/>
    <w:rsid w:val="00744E83"/>
    <w:rsid w:val="007458FC"/>
    <w:rsid w:val="007464E5"/>
    <w:rsid w:val="00746B38"/>
    <w:rsid w:val="00746EDB"/>
    <w:rsid w:val="00746F87"/>
    <w:rsid w:val="00747053"/>
    <w:rsid w:val="007471FD"/>
    <w:rsid w:val="00747554"/>
    <w:rsid w:val="00747715"/>
    <w:rsid w:val="00747D11"/>
    <w:rsid w:val="00747D45"/>
    <w:rsid w:val="00747F6B"/>
    <w:rsid w:val="00750687"/>
    <w:rsid w:val="007508ED"/>
    <w:rsid w:val="00750B40"/>
    <w:rsid w:val="00750DA4"/>
    <w:rsid w:val="00750FC9"/>
    <w:rsid w:val="007510F2"/>
    <w:rsid w:val="0075131E"/>
    <w:rsid w:val="00751433"/>
    <w:rsid w:val="007518D6"/>
    <w:rsid w:val="007519FB"/>
    <w:rsid w:val="00751B43"/>
    <w:rsid w:val="00751F39"/>
    <w:rsid w:val="007520F6"/>
    <w:rsid w:val="00752187"/>
    <w:rsid w:val="0075228C"/>
    <w:rsid w:val="00752918"/>
    <w:rsid w:val="00752941"/>
    <w:rsid w:val="0075309E"/>
    <w:rsid w:val="00753278"/>
    <w:rsid w:val="00753299"/>
    <w:rsid w:val="007533B5"/>
    <w:rsid w:val="00753807"/>
    <w:rsid w:val="007539EA"/>
    <w:rsid w:val="00753FBC"/>
    <w:rsid w:val="00754804"/>
    <w:rsid w:val="00754B60"/>
    <w:rsid w:val="007553E7"/>
    <w:rsid w:val="00755829"/>
    <w:rsid w:val="00755C20"/>
    <w:rsid w:val="00755D7C"/>
    <w:rsid w:val="00756D63"/>
    <w:rsid w:val="00756E11"/>
    <w:rsid w:val="0075769D"/>
    <w:rsid w:val="00757A6A"/>
    <w:rsid w:val="00757AD9"/>
    <w:rsid w:val="0076071B"/>
    <w:rsid w:val="00760752"/>
    <w:rsid w:val="00760785"/>
    <w:rsid w:val="007613D5"/>
    <w:rsid w:val="007619F7"/>
    <w:rsid w:val="00761A16"/>
    <w:rsid w:val="00761D3E"/>
    <w:rsid w:val="00761FB0"/>
    <w:rsid w:val="00762DDF"/>
    <w:rsid w:val="00762FD8"/>
    <w:rsid w:val="00763400"/>
    <w:rsid w:val="00763EFA"/>
    <w:rsid w:val="00763F1F"/>
    <w:rsid w:val="00763FA1"/>
    <w:rsid w:val="0076407F"/>
    <w:rsid w:val="00765374"/>
    <w:rsid w:val="0076551D"/>
    <w:rsid w:val="00765E7D"/>
    <w:rsid w:val="007662DF"/>
    <w:rsid w:val="0076635F"/>
    <w:rsid w:val="00766A41"/>
    <w:rsid w:val="00766E62"/>
    <w:rsid w:val="00767011"/>
    <w:rsid w:val="0076722F"/>
    <w:rsid w:val="007676FE"/>
    <w:rsid w:val="007677C7"/>
    <w:rsid w:val="007704C5"/>
    <w:rsid w:val="007704E1"/>
    <w:rsid w:val="00770564"/>
    <w:rsid w:val="00770569"/>
    <w:rsid w:val="00770618"/>
    <w:rsid w:val="007708D7"/>
    <w:rsid w:val="007709F7"/>
    <w:rsid w:val="00770F4A"/>
    <w:rsid w:val="00771725"/>
    <w:rsid w:val="00771894"/>
    <w:rsid w:val="0077191E"/>
    <w:rsid w:val="00771B0A"/>
    <w:rsid w:val="0077246B"/>
    <w:rsid w:val="00772A8C"/>
    <w:rsid w:val="00772E94"/>
    <w:rsid w:val="0077327E"/>
    <w:rsid w:val="00773339"/>
    <w:rsid w:val="00773C7D"/>
    <w:rsid w:val="00773D2D"/>
    <w:rsid w:val="00773F0E"/>
    <w:rsid w:val="007742DB"/>
    <w:rsid w:val="007745E2"/>
    <w:rsid w:val="00775687"/>
    <w:rsid w:val="007758D3"/>
    <w:rsid w:val="00775EE2"/>
    <w:rsid w:val="0077632E"/>
    <w:rsid w:val="00776394"/>
    <w:rsid w:val="0077670C"/>
    <w:rsid w:val="00776BAC"/>
    <w:rsid w:val="00776CFC"/>
    <w:rsid w:val="00777783"/>
    <w:rsid w:val="00777905"/>
    <w:rsid w:val="00777B40"/>
    <w:rsid w:val="00777FFD"/>
    <w:rsid w:val="0078001B"/>
    <w:rsid w:val="00780275"/>
    <w:rsid w:val="007802C5"/>
    <w:rsid w:val="00780AA1"/>
    <w:rsid w:val="00780B67"/>
    <w:rsid w:val="00781A63"/>
    <w:rsid w:val="00781ABE"/>
    <w:rsid w:val="007827EE"/>
    <w:rsid w:val="00783568"/>
    <w:rsid w:val="007838C1"/>
    <w:rsid w:val="00783BC7"/>
    <w:rsid w:val="00783E36"/>
    <w:rsid w:val="007843FE"/>
    <w:rsid w:val="00784A6D"/>
    <w:rsid w:val="00784AF3"/>
    <w:rsid w:val="00784BC9"/>
    <w:rsid w:val="00784DBE"/>
    <w:rsid w:val="0078525A"/>
    <w:rsid w:val="0078564A"/>
    <w:rsid w:val="00785BAF"/>
    <w:rsid w:val="00786E55"/>
    <w:rsid w:val="00786FCF"/>
    <w:rsid w:val="00787138"/>
    <w:rsid w:val="00787186"/>
    <w:rsid w:val="0078778B"/>
    <w:rsid w:val="0079038A"/>
    <w:rsid w:val="00790924"/>
    <w:rsid w:val="00790B25"/>
    <w:rsid w:val="00791207"/>
    <w:rsid w:val="007912C9"/>
    <w:rsid w:val="00791AFF"/>
    <w:rsid w:val="00792208"/>
    <w:rsid w:val="0079237F"/>
    <w:rsid w:val="00792465"/>
    <w:rsid w:val="00792B31"/>
    <w:rsid w:val="00793713"/>
    <w:rsid w:val="00793B37"/>
    <w:rsid w:val="00793F70"/>
    <w:rsid w:val="007947BF"/>
    <w:rsid w:val="00794838"/>
    <w:rsid w:val="0079499D"/>
    <w:rsid w:val="007955CC"/>
    <w:rsid w:val="0079585F"/>
    <w:rsid w:val="00795B44"/>
    <w:rsid w:val="00795C5C"/>
    <w:rsid w:val="007960CF"/>
    <w:rsid w:val="007960FC"/>
    <w:rsid w:val="00796BE4"/>
    <w:rsid w:val="007971F5"/>
    <w:rsid w:val="00797558"/>
    <w:rsid w:val="007979DE"/>
    <w:rsid w:val="00797FEC"/>
    <w:rsid w:val="007A00E8"/>
    <w:rsid w:val="007A06E5"/>
    <w:rsid w:val="007A08ED"/>
    <w:rsid w:val="007A0F35"/>
    <w:rsid w:val="007A1BEB"/>
    <w:rsid w:val="007A1FB3"/>
    <w:rsid w:val="007A251C"/>
    <w:rsid w:val="007A2C0C"/>
    <w:rsid w:val="007A30F1"/>
    <w:rsid w:val="007A3317"/>
    <w:rsid w:val="007A390A"/>
    <w:rsid w:val="007A441D"/>
    <w:rsid w:val="007A45E2"/>
    <w:rsid w:val="007A4E39"/>
    <w:rsid w:val="007A4F40"/>
    <w:rsid w:val="007A578E"/>
    <w:rsid w:val="007A5955"/>
    <w:rsid w:val="007A59B7"/>
    <w:rsid w:val="007A5C21"/>
    <w:rsid w:val="007A5D43"/>
    <w:rsid w:val="007A6690"/>
    <w:rsid w:val="007A6BEF"/>
    <w:rsid w:val="007A6C88"/>
    <w:rsid w:val="007A72F9"/>
    <w:rsid w:val="007A737C"/>
    <w:rsid w:val="007A7AAB"/>
    <w:rsid w:val="007A7AD7"/>
    <w:rsid w:val="007B0741"/>
    <w:rsid w:val="007B0B6B"/>
    <w:rsid w:val="007B0DA4"/>
    <w:rsid w:val="007B0E38"/>
    <w:rsid w:val="007B0EC2"/>
    <w:rsid w:val="007B110E"/>
    <w:rsid w:val="007B1315"/>
    <w:rsid w:val="007B13EC"/>
    <w:rsid w:val="007B14B5"/>
    <w:rsid w:val="007B224C"/>
    <w:rsid w:val="007B281A"/>
    <w:rsid w:val="007B29BA"/>
    <w:rsid w:val="007B2E74"/>
    <w:rsid w:val="007B379B"/>
    <w:rsid w:val="007B3947"/>
    <w:rsid w:val="007B3C1F"/>
    <w:rsid w:val="007B405F"/>
    <w:rsid w:val="007B430C"/>
    <w:rsid w:val="007B4A6C"/>
    <w:rsid w:val="007B4A85"/>
    <w:rsid w:val="007B4BB3"/>
    <w:rsid w:val="007B4C83"/>
    <w:rsid w:val="007B5A1C"/>
    <w:rsid w:val="007B6A45"/>
    <w:rsid w:val="007B71CE"/>
    <w:rsid w:val="007B748E"/>
    <w:rsid w:val="007B77BC"/>
    <w:rsid w:val="007B7A96"/>
    <w:rsid w:val="007B7C26"/>
    <w:rsid w:val="007C0451"/>
    <w:rsid w:val="007C07E6"/>
    <w:rsid w:val="007C17B4"/>
    <w:rsid w:val="007C2377"/>
    <w:rsid w:val="007C2A10"/>
    <w:rsid w:val="007C3157"/>
    <w:rsid w:val="007C338D"/>
    <w:rsid w:val="007C38B5"/>
    <w:rsid w:val="007C395C"/>
    <w:rsid w:val="007C3E99"/>
    <w:rsid w:val="007C451C"/>
    <w:rsid w:val="007C45C8"/>
    <w:rsid w:val="007C4612"/>
    <w:rsid w:val="007C4CA9"/>
    <w:rsid w:val="007C4CB8"/>
    <w:rsid w:val="007C50BA"/>
    <w:rsid w:val="007C59DA"/>
    <w:rsid w:val="007C5CF3"/>
    <w:rsid w:val="007C5FF0"/>
    <w:rsid w:val="007C61A9"/>
    <w:rsid w:val="007C712D"/>
    <w:rsid w:val="007C7A28"/>
    <w:rsid w:val="007D0BF5"/>
    <w:rsid w:val="007D198C"/>
    <w:rsid w:val="007D19E9"/>
    <w:rsid w:val="007D1E16"/>
    <w:rsid w:val="007D1F9C"/>
    <w:rsid w:val="007D294B"/>
    <w:rsid w:val="007D2A18"/>
    <w:rsid w:val="007D35E4"/>
    <w:rsid w:val="007D3ABE"/>
    <w:rsid w:val="007D421B"/>
    <w:rsid w:val="007D435E"/>
    <w:rsid w:val="007D4596"/>
    <w:rsid w:val="007D54A2"/>
    <w:rsid w:val="007D55E6"/>
    <w:rsid w:val="007D5683"/>
    <w:rsid w:val="007D5E3D"/>
    <w:rsid w:val="007D6D04"/>
    <w:rsid w:val="007D6D09"/>
    <w:rsid w:val="007D6E40"/>
    <w:rsid w:val="007D749F"/>
    <w:rsid w:val="007D7876"/>
    <w:rsid w:val="007E02CF"/>
    <w:rsid w:val="007E041E"/>
    <w:rsid w:val="007E0D9E"/>
    <w:rsid w:val="007E1CEE"/>
    <w:rsid w:val="007E231D"/>
    <w:rsid w:val="007E2512"/>
    <w:rsid w:val="007E2A0C"/>
    <w:rsid w:val="007E2A8C"/>
    <w:rsid w:val="007E2BBF"/>
    <w:rsid w:val="007E2BD1"/>
    <w:rsid w:val="007E2F00"/>
    <w:rsid w:val="007E2F58"/>
    <w:rsid w:val="007E329F"/>
    <w:rsid w:val="007E32FD"/>
    <w:rsid w:val="007E36D9"/>
    <w:rsid w:val="007E52E8"/>
    <w:rsid w:val="007E5434"/>
    <w:rsid w:val="007E54D8"/>
    <w:rsid w:val="007E562F"/>
    <w:rsid w:val="007E5D10"/>
    <w:rsid w:val="007E5DA1"/>
    <w:rsid w:val="007E6325"/>
    <w:rsid w:val="007E657A"/>
    <w:rsid w:val="007E6EAA"/>
    <w:rsid w:val="007E6F25"/>
    <w:rsid w:val="007E771B"/>
    <w:rsid w:val="007E7B7D"/>
    <w:rsid w:val="007E7D85"/>
    <w:rsid w:val="007E7FC7"/>
    <w:rsid w:val="007F00DD"/>
    <w:rsid w:val="007F039F"/>
    <w:rsid w:val="007F03C2"/>
    <w:rsid w:val="007F0C5F"/>
    <w:rsid w:val="007F0E67"/>
    <w:rsid w:val="007F0F18"/>
    <w:rsid w:val="007F0FFF"/>
    <w:rsid w:val="007F16FC"/>
    <w:rsid w:val="007F1D97"/>
    <w:rsid w:val="007F2708"/>
    <w:rsid w:val="007F2BA9"/>
    <w:rsid w:val="007F2D85"/>
    <w:rsid w:val="007F2E1B"/>
    <w:rsid w:val="007F2E1D"/>
    <w:rsid w:val="007F3386"/>
    <w:rsid w:val="007F3428"/>
    <w:rsid w:val="007F383C"/>
    <w:rsid w:val="007F3952"/>
    <w:rsid w:val="007F39F6"/>
    <w:rsid w:val="007F3BE8"/>
    <w:rsid w:val="007F3D76"/>
    <w:rsid w:val="007F43C9"/>
    <w:rsid w:val="007F4507"/>
    <w:rsid w:val="007F4B6C"/>
    <w:rsid w:val="007F4FCF"/>
    <w:rsid w:val="007F52E0"/>
    <w:rsid w:val="007F5399"/>
    <w:rsid w:val="007F54E7"/>
    <w:rsid w:val="007F5AA8"/>
    <w:rsid w:val="007F5B0F"/>
    <w:rsid w:val="007F5E3A"/>
    <w:rsid w:val="007F6C31"/>
    <w:rsid w:val="007F7090"/>
    <w:rsid w:val="007F7498"/>
    <w:rsid w:val="007F757D"/>
    <w:rsid w:val="007F7DA7"/>
    <w:rsid w:val="008001E8"/>
    <w:rsid w:val="00800605"/>
    <w:rsid w:val="00800689"/>
    <w:rsid w:val="00800A79"/>
    <w:rsid w:val="00800BD9"/>
    <w:rsid w:val="00800DBD"/>
    <w:rsid w:val="008011AB"/>
    <w:rsid w:val="00801E3F"/>
    <w:rsid w:val="00802373"/>
    <w:rsid w:val="0080239A"/>
    <w:rsid w:val="00802CAA"/>
    <w:rsid w:val="00802D58"/>
    <w:rsid w:val="008031D3"/>
    <w:rsid w:val="00803716"/>
    <w:rsid w:val="00803917"/>
    <w:rsid w:val="00803D2D"/>
    <w:rsid w:val="008042A6"/>
    <w:rsid w:val="00804432"/>
    <w:rsid w:val="008046FD"/>
    <w:rsid w:val="00804895"/>
    <w:rsid w:val="008048D7"/>
    <w:rsid w:val="0080523E"/>
    <w:rsid w:val="00805CAA"/>
    <w:rsid w:val="00805CD8"/>
    <w:rsid w:val="00806891"/>
    <w:rsid w:val="00806DAE"/>
    <w:rsid w:val="00807AC8"/>
    <w:rsid w:val="00807D9E"/>
    <w:rsid w:val="00810873"/>
    <w:rsid w:val="00810948"/>
    <w:rsid w:val="00810C6F"/>
    <w:rsid w:val="00811331"/>
    <w:rsid w:val="00811BD3"/>
    <w:rsid w:val="00811DC4"/>
    <w:rsid w:val="00811FD1"/>
    <w:rsid w:val="00812355"/>
    <w:rsid w:val="008127B7"/>
    <w:rsid w:val="00812C20"/>
    <w:rsid w:val="00813945"/>
    <w:rsid w:val="00813E0B"/>
    <w:rsid w:val="00813EC6"/>
    <w:rsid w:val="00814023"/>
    <w:rsid w:val="00814162"/>
    <w:rsid w:val="008147E4"/>
    <w:rsid w:val="00814C9D"/>
    <w:rsid w:val="00815236"/>
    <w:rsid w:val="008159D7"/>
    <w:rsid w:val="00815A54"/>
    <w:rsid w:val="00815CF2"/>
    <w:rsid w:val="00815F09"/>
    <w:rsid w:val="0081600D"/>
    <w:rsid w:val="008167AC"/>
    <w:rsid w:val="008169C3"/>
    <w:rsid w:val="00816F6A"/>
    <w:rsid w:val="00817D27"/>
    <w:rsid w:val="00820BF6"/>
    <w:rsid w:val="00821438"/>
    <w:rsid w:val="00821622"/>
    <w:rsid w:val="00821ACA"/>
    <w:rsid w:val="00821C8E"/>
    <w:rsid w:val="00821D3F"/>
    <w:rsid w:val="00821FC9"/>
    <w:rsid w:val="00822E27"/>
    <w:rsid w:val="00822F15"/>
    <w:rsid w:val="0082329C"/>
    <w:rsid w:val="00823346"/>
    <w:rsid w:val="0082359B"/>
    <w:rsid w:val="00823914"/>
    <w:rsid w:val="00823B77"/>
    <w:rsid w:val="0082443B"/>
    <w:rsid w:val="00824879"/>
    <w:rsid w:val="00824B9D"/>
    <w:rsid w:val="0082500F"/>
    <w:rsid w:val="0082559E"/>
    <w:rsid w:val="00825A4D"/>
    <w:rsid w:val="00825BEE"/>
    <w:rsid w:val="00825C8C"/>
    <w:rsid w:val="00825E92"/>
    <w:rsid w:val="008263D1"/>
    <w:rsid w:val="008266C1"/>
    <w:rsid w:val="00826749"/>
    <w:rsid w:val="00826BBA"/>
    <w:rsid w:val="00826BBD"/>
    <w:rsid w:val="00826FFA"/>
    <w:rsid w:val="008274B0"/>
    <w:rsid w:val="008275E0"/>
    <w:rsid w:val="00827615"/>
    <w:rsid w:val="00827B41"/>
    <w:rsid w:val="00827D1F"/>
    <w:rsid w:val="0083033A"/>
    <w:rsid w:val="008303C2"/>
    <w:rsid w:val="00830AB6"/>
    <w:rsid w:val="00830F1C"/>
    <w:rsid w:val="0083114D"/>
    <w:rsid w:val="00831943"/>
    <w:rsid w:val="00831D3C"/>
    <w:rsid w:val="00831D56"/>
    <w:rsid w:val="00832B22"/>
    <w:rsid w:val="00832DF1"/>
    <w:rsid w:val="00833047"/>
    <w:rsid w:val="00833230"/>
    <w:rsid w:val="008335F8"/>
    <w:rsid w:val="008336E2"/>
    <w:rsid w:val="00833B04"/>
    <w:rsid w:val="00833B48"/>
    <w:rsid w:val="00833D48"/>
    <w:rsid w:val="00833E28"/>
    <w:rsid w:val="00833F20"/>
    <w:rsid w:val="00833F94"/>
    <w:rsid w:val="008341E9"/>
    <w:rsid w:val="008343E6"/>
    <w:rsid w:val="00834513"/>
    <w:rsid w:val="008345F0"/>
    <w:rsid w:val="00834A55"/>
    <w:rsid w:val="0083552C"/>
    <w:rsid w:val="00835A81"/>
    <w:rsid w:val="00835CC8"/>
    <w:rsid w:val="00835D39"/>
    <w:rsid w:val="00835DB2"/>
    <w:rsid w:val="00835E68"/>
    <w:rsid w:val="00837167"/>
    <w:rsid w:val="00837964"/>
    <w:rsid w:val="00840325"/>
    <w:rsid w:val="00840DF9"/>
    <w:rsid w:val="00840F49"/>
    <w:rsid w:val="00842523"/>
    <w:rsid w:val="0084259C"/>
    <w:rsid w:val="00842757"/>
    <w:rsid w:val="008429A0"/>
    <w:rsid w:val="008429C2"/>
    <w:rsid w:val="00842EB8"/>
    <w:rsid w:val="00843233"/>
    <w:rsid w:val="0084362C"/>
    <w:rsid w:val="0084363D"/>
    <w:rsid w:val="008436A7"/>
    <w:rsid w:val="00843980"/>
    <w:rsid w:val="00843E7E"/>
    <w:rsid w:val="008440BC"/>
    <w:rsid w:val="008441AD"/>
    <w:rsid w:val="00844202"/>
    <w:rsid w:val="00844266"/>
    <w:rsid w:val="00844532"/>
    <w:rsid w:val="0084488B"/>
    <w:rsid w:val="00845794"/>
    <w:rsid w:val="008464BB"/>
    <w:rsid w:val="00846B00"/>
    <w:rsid w:val="00846E3E"/>
    <w:rsid w:val="00847059"/>
    <w:rsid w:val="008470FD"/>
    <w:rsid w:val="00847122"/>
    <w:rsid w:val="00847179"/>
    <w:rsid w:val="00847330"/>
    <w:rsid w:val="00847B31"/>
    <w:rsid w:val="00847F76"/>
    <w:rsid w:val="00850AF4"/>
    <w:rsid w:val="00850F4A"/>
    <w:rsid w:val="0085176B"/>
    <w:rsid w:val="00851892"/>
    <w:rsid w:val="008519FC"/>
    <w:rsid w:val="00851F3E"/>
    <w:rsid w:val="00852067"/>
    <w:rsid w:val="008520D1"/>
    <w:rsid w:val="0085262E"/>
    <w:rsid w:val="00852707"/>
    <w:rsid w:val="00852768"/>
    <w:rsid w:val="00852929"/>
    <w:rsid w:val="00853214"/>
    <w:rsid w:val="008532B9"/>
    <w:rsid w:val="0085349D"/>
    <w:rsid w:val="00853504"/>
    <w:rsid w:val="0085377B"/>
    <w:rsid w:val="00853CBF"/>
    <w:rsid w:val="00853E79"/>
    <w:rsid w:val="008542DB"/>
    <w:rsid w:val="008543A8"/>
    <w:rsid w:val="00854A4D"/>
    <w:rsid w:val="00856323"/>
    <w:rsid w:val="00856985"/>
    <w:rsid w:val="00856A30"/>
    <w:rsid w:val="00856B22"/>
    <w:rsid w:val="00856D1C"/>
    <w:rsid w:val="00856F3E"/>
    <w:rsid w:val="0085719D"/>
    <w:rsid w:val="008571E3"/>
    <w:rsid w:val="008579E9"/>
    <w:rsid w:val="00857DC7"/>
    <w:rsid w:val="00860109"/>
    <w:rsid w:val="0086020E"/>
    <w:rsid w:val="00860701"/>
    <w:rsid w:val="00860810"/>
    <w:rsid w:val="00860DA3"/>
    <w:rsid w:val="00860DC2"/>
    <w:rsid w:val="00860F67"/>
    <w:rsid w:val="00860FBD"/>
    <w:rsid w:val="00861243"/>
    <w:rsid w:val="00861515"/>
    <w:rsid w:val="008616FE"/>
    <w:rsid w:val="0086226A"/>
    <w:rsid w:val="008622E7"/>
    <w:rsid w:val="00862305"/>
    <w:rsid w:val="00862729"/>
    <w:rsid w:val="00862CF0"/>
    <w:rsid w:val="008637CC"/>
    <w:rsid w:val="008639E5"/>
    <w:rsid w:val="00863D4D"/>
    <w:rsid w:val="00863F91"/>
    <w:rsid w:val="008643CB"/>
    <w:rsid w:val="00864880"/>
    <w:rsid w:val="008648C0"/>
    <w:rsid w:val="00865784"/>
    <w:rsid w:val="00866530"/>
    <w:rsid w:val="00866A90"/>
    <w:rsid w:val="00866AD3"/>
    <w:rsid w:val="00866BC3"/>
    <w:rsid w:val="00867DE9"/>
    <w:rsid w:val="00867F3E"/>
    <w:rsid w:val="008706B3"/>
    <w:rsid w:val="008706C0"/>
    <w:rsid w:val="008706E7"/>
    <w:rsid w:val="00870AB4"/>
    <w:rsid w:val="00870E99"/>
    <w:rsid w:val="00871248"/>
    <w:rsid w:val="00871988"/>
    <w:rsid w:val="00871C0C"/>
    <w:rsid w:val="00872088"/>
    <w:rsid w:val="008723D8"/>
    <w:rsid w:val="00872A48"/>
    <w:rsid w:val="00872DB8"/>
    <w:rsid w:val="00873090"/>
    <w:rsid w:val="0087313A"/>
    <w:rsid w:val="008736B0"/>
    <w:rsid w:val="0087400C"/>
    <w:rsid w:val="00874EE3"/>
    <w:rsid w:val="00875218"/>
    <w:rsid w:val="00875459"/>
    <w:rsid w:val="0087563E"/>
    <w:rsid w:val="00875F39"/>
    <w:rsid w:val="008765B6"/>
    <w:rsid w:val="008768F4"/>
    <w:rsid w:val="00876EB1"/>
    <w:rsid w:val="00876EE4"/>
    <w:rsid w:val="00876EE5"/>
    <w:rsid w:val="00876FF1"/>
    <w:rsid w:val="008770F7"/>
    <w:rsid w:val="00877803"/>
    <w:rsid w:val="0087796B"/>
    <w:rsid w:val="00880314"/>
    <w:rsid w:val="00880829"/>
    <w:rsid w:val="008814BA"/>
    <w:rsid w:val="0088165C"/>
    <w:rsid w:val="00881C9D"/>
    <w:rsid w:val="0088208B"/>
    <w:rsid w:val="00882269"/>
    <w:rsid w:val="00882437"/>
    <w:rsid w:val="008824E8"/>
    <w:rsid w:val="00882649"/>
    <w:rsid w:val="0088271B"/>
    <w:rsid w:val="00883D8A"/>
    <w:rsid w:val="008845AF"/>
    <w:rsid w:val="00884824"/>
    <w:rsid w:val="00884B27"/>
    <w:rsid w:val="00884BBB"/>
    <w:rsid w:val="0088517C"/>
    <w:rsid w:val="00885324"/>
    <w:rsid w:val="0088532A"/>
    <w:rsid w:val="00885334"/>
    <w:rsid w:val="008855DE"/>
    <w:rsid w:val="008856BD"/>
    <w:rsid w:val="00885D59"/>
    <w:rsid w:val="00885DE9"/>
    <w:rsid w:val="0088618B"/>
    <w:rsid w:val="00886215"/>
    <w:rsid w:val="00886A55"/>
    <w:rsid w:val="00886E5C"/>
    <w:rsid w:val="00887700"/>
    <w:rsid w:val="0088791E"/>
    <w:rsid w:val="00887A3C"/>
    <w:rsid w:val="00890725"/>
    <w:rsid w:val="008909CB"/>
    <w:rsid w:val="00890ED1"/>
    <w:rsid w:val="00891A2A"/>
    <w:rsid w:val="00891BE1"/>
    <w:rsid w:val="008923B4"/>
    <w:rsid w:val="0089259E"/>
    <w:rsid w:val="00892AD8"/>
    <w:rsid w:val="00892B20"/>
    <w:rsid w:val="00893093"/>
    <w:rsid w:val="008932E1"/>
    <w:rsid w:val="00893B2B"/>
    <w:rsid w:val="00893B36"/>
    <w:rsid w:val="00893BA7"/>
    <w:rsid w:val="008940F4"/>
    <w:rsid w:val="00894231"/>
    <w:rsid w:val="00894374"/>
    <w:rsid w:val="0089445D"/>
    <w:rsid w:val="0089488D"/>
    <w:rsid w:val="00894CB8"/>
    <w:rsid w:val="00894D00"/>
    <w:rsid w:val="00894DF4"/>
    <w:rsid w:val="00894E20"/>
    <w:rsid w:val="0089500C"/>
    <w:rsid w:val="0089526C"/>
    <w:rsid w:val="008955AA"/>
    <w:rsid w:val="008958D1"/>
    <w:rsid w:val="00895C43"/>
    <w:rsid w:val="00895CD6"/>
    <w:rsid w:val="00895DDD"/>
    <w:rsid w:val="00895FCF"/>
    <w:rsid w:val="00896DBC"/>
    <w:rsid w:val="00896E8F"/>
    <w:rsid w:val="0089762E"/>
    <w:rsid w:val="00897775"/>
    <w:rsid w:val="00897C43"/>
    <w:rsid w:val="00897DDF"/>
    <w:rsid w:val="008A042E"/>
    <w:rsid w:val="008A0C46"/>
    <w:rsid w:val="008A167B"/>
    <w:rsid w:val="008A1851"/>
    <w:rsid w:val="008A195E"/>
    <w:rsid w:val="008A1D31"/>
    <w:rsid w:val="008A25C2"/>
    <w:rsid w:val="008A27A9"/>
    <w:rsid w:val="008A2858"/>
    <w:rsid w:val="008A2C4B"/>
    <w:rsid w:val="008A2EFD"/>
    <w:rsid w:val="008A3CA5"/>
    <w:rsid w:val="008A401F"/>
    <w:rsid w:val="008A4439"/>
    <w:rsid w:val="008A59E6"/>
    <w:rsid w:val="008A59E9"/>
    <w:rsid w:val="008A6115"/>
    <w:rsid w:val="008A69B3"/>
    <w:rsid w:val="008A6B56"/>
    <w:rsid w:val="008A6C90"/>
    <w:rsid w:val="008A6E86"/>
    <w:rsid w:val="008A7415"/>
    <w:rsid w:val="008A747F"/>
    <w:rsid w:val="008A796E"/>
    <w:rsid w:val="008A79F0"/>
    <w:rsid w:val="008A7B31"/>
    <w:rsid w:val="008B0757"/>
    <w:rsid w:val="008B0819"/>
    <w:rsid w:val="008B0890"/>
    <w:rsid w:val="008B0919"/>
    <w:rsid w:val="008B09D0"/>
    <w:rsid w:val="008B14B7"/>
    <w:rsid w:val="008B178F"/>
    <w:rsid w:val="008B1917"/>
    <w:rsid w:val="008B1E21"/>
    <w:rsid w:val="008B207D"/>
    <w:rsid w:val="008B2251"/>
    <w:rsid w:val="008B22AC"/>
    <w:rsid w:val="008B2561"/>
    <w:rsid w:val="008B2CDB"/>
    <w:rsid w:val="008B2FCB"/>
    <w:rsid w:val="008B33F5"/>
    <w:rsid w:val="008B371A"/>
    <w:rsid w:val="008B38B9"/>
    <w:rsid w:val="008B4C41"/>
    <w:rsid w:val="008B4D80"/>
    <w:rsid w:val="008B50D1"/>
    <w:rsid w:val="008B5503"/>
    <w:rsid w:val="008B5747"/>
    <w:rsid w:val="008B57D0"/>
    <w:rsid w:val="008B64DD"/>
    <w:rsid w:val="008B6F55"/>
    <w:rsid w:val="008B73A8"/>
    <w:rsid w:val="008B74CC"/>
    <w:rsid w:val="008B7585"/>
    <w:rsid w:val="008B788C"/>
    <w:rsid w:val="008B7911"/>
    <w:rsid w:val="008B7ACF"/>
    <w:rsid w:val="008B7D19"/>
    <w:rsid w:val="008C0022"/>
    <w:rsid w:val="008C0641"/>
    <w:rsid w:val="008C09DE"/>
    <w:rsid w:val="008C0C17"/>
    <w:rsid w:val="008C1277"/>
    <w:rsid w:val="008C17FB"/>
    <w:rsid w:val="008C1ACF"/>
    <w:rsid w:val="008C1B7F"/>
    <w:rsid w:val="008C1B9C"/>
    <w:rsid w:val="008C280A"/>
    <w:rsid w:val="008C2946"/>
    <w:rsid w:val="008C2DEA"/>
    <w:rsid w:val="008C3530"/>
    <w:rsid w:val="008C3863"/>
    <w:rsid w:val="008C408E"/>
    <w:rsid w:val="008C4C51"/>
    <w:rsid w:val="008C4D28"/>
    <w:rsid w:val="008C5312"/>
    <w:rsid w:val="008C69D8"/>
    <w:rsid w:val="008C6D2A"/>
    <w:rsid w:val="008C7F7F"/>
    <w:rsid w:val="008D0116"/>
    <w:rsid w:val="008D0861"/>
    <w:rsid w:val="008D0CC9"/>
    <w:rsid w:val="008D0D4E"/>
    <w:rsid w:val="008D0E86"/>
    <w:rsid w:val="008D0EF5"/>
    <w:rsid w:val="008D1871"/>
    <w:rsid w:val="008D1D2B"/>
    <w:rsid w:val="008D1E1E"/>
    <w:rsid w:val="008D1E30"/>
    <w:rsid w:val="008D1F29"/>
    <w:rsid w:val="008D27F0"/>
    <w:rsid w:val="008D2970"/>
    <w:rsid w:val="008D2B9B"/>
    <w:rsid w:val="008D2D40"/>
    <w:rsid w:val="008D2F5D"/>
    <w:rsid w:val="008D304B"/>
    <w:rsid w:val="008D356B"/>
    <w:rsid w:val="008D3FF0"/>
    <w:rsid w:val="008D4126"/>
    <w:rsid w:val="008D4C2F"/>
    <w:rsid w:val="008D56A7"/>
    <w:rsid w:val="008D571D"/>
    <w:rsid w:val="008D57BE"/>
    <w:rsid w:val="008D5A90"/>
    <w:rsid w:val="008D5C14"/>
    <w:rsid w:val="008D5F2F"/>
    <w:rsid w:val="008D5FA8"/>
    <w:rsid w:val="008D613C"/>
    <w:rsid w:val="008D61AA"/>
    <w:rsid w:val="008D666A"/>
    <w:rsid w:val="008D67E9"/>
    <w:rsid w:val="008D67F1"/>
    <w:rsid w:val="008D6A83"/>
    <w:rsid w:val="008D6DCD"/>
    <w:rsid w:val="008D73D2"/>
    <w:rsid w:val="008E0289"/>
    <w:rsid w:val="008E02DC"/>
    <w:rsid w:val="008E0438"/>
    <w:rsid w:val="008E0800"/>
    <w:rsid w:val="008E0BE6"/>
    <w:rsid w:val="008E234A"/>
    <w:rsid w:val="008E241B"/>
    <w:rsid w:val="008E3162"/>
    <w:rsid w:val="008E3578"/>
    <w:rsid w:val="008E3659"/>
    <w:rsid w:val="008E3BAB"/>
    <w:rsid w:val="008E49CE"/>
    <w:rsid w:val="008E5123"/>
    <w:rsid w:val="008E53D5"/>
    <w:rsid w:val="008E54A7"/>
    <w:rsid w:val="008E5E8F"/>
    <w:rsid w:val="008E63D1"/>
    <w:rsid w:val="008E63DD"/>
    <w:rsid w:val="008E65CB"/>
    <w:rsid w:val="008E675B"/>
    <w:rsid w:val="008E72AD"/>
    <w:rsid w:val="008E73C0"/>
    <w:rsid w:val="008E740E"/>
    <w:rsid w:val="008E762F"/>
    <w:rsid w:val="008E778A"/>
    <w:rsid w:val="008E7E25"/>
    <w:rsid w:val="008F019F"/>
    <w:rsid w:val="008F02DD"/>
    <w:rsid w:val="008F08A4"/>
    <w:rsid w:val="008F09E6"/>
    <w:rsid w:val="008F0A56"/>
    <w:rsid w:val="008F0B08"/>
    <w:rsid w:val="008F11EF"/>
    <w:rsid w:val="008F14BE"/>
    <w:rsid w:val="008F17F8"/>
    <w:rsid w:val="008F1A3F"/>
    <w:rsid w:val="008F1DA0"/>
    <w:rsid w:val="008F231F"/>
    <w:rsid w:val="008F2D83"/>
    <w:rsid w:val="008F303F"/>
    <w:rsid w:val="008F3349"/>
    <w:rsid w:val="008F3AC5"/>
    <w:rsid w:val="008F3C84"/>
    <w:rsid w:val="008F40CF"/>
    <w:rsid w:val="008F46B9"/>
    <w:rsid w:val="008F4D07"/>
    <w:rsid w:val="008F527C"/>
    <w:rsid w:val="008F6D91"/>
    <w:rsid w:val="008F7760"/>
    <w:rsid w:val="008F788C"/>
    <w:rsid w:val="008F7D23"/>
    <w:rsid w:val="008F7F54"/>
    <w:rsid w:val="009000B3"/>
    <w:rsid w:val="0090070B"/>
    <w:rsid w:val="009007E8"/>
    <w:rsid w:val="00900FFF"/>
    <w:rsid w:val="009012B3"/>
    <w:rsid w:val="009014D2"/>
    <w:rsid w:val="00901537"/>
    <w:rsid w:val="0090184C"/>
    <w:rsid w:val="00901B49"/>
    <w:rsid w:val="009028B4"/>
    <w:rsid w:val="00902CFC"/>
    <w:rsid w:val="00902ED6"/>
    <w:rsid w:val="009031B3"/>
    <w:rsid w:val="009031C9"/>
    <w:rsid w:val="009034AC"/>
    <w:rsid w:val="009039B7"/>
    <w:rsid w:val="009039BD"/>
    <w:rsid w:val="00903E1F"/>
    <w:rsid w:val="00903FFC"/>
    <w:rsid w:val="0090400F"/>
    <w:rsid w:val="00904075"/>
    <w:rsid w:val="0090444F"/>
    <w:rsid w:val="00904E05"/>
    <w:rsid w:val="00904FFD"/>
    <w:rsid w:val="009054DE"/>
    <w:rsid w:val="009056AC"/>
    <w:rsid w:val="00905973"/>
    <w:rsid w:val="00905B14"/>
    <w:rsid w:val="00906033"/>
    <w:rsid w:val="00907451"/>
    <w:rsid w:val="009076E2"/>
    <w:rsid w:val="00907A41"/>
    <w:rsid w:val="00907B18"/>
    <w:rsid w:val="00907E21"/>
    <w:rsid w:val="009101BD"/>
    <w:rsid w:val="009104D6"/>
    <w:rsid w:val="0091077A"/>
    <w:rsid w:val="00910B37"/>
    <w:rsid w:val="00911213"/>
    <w:rsid w:val="00911C5E"/>
    <w:rsid w:val="0091266B"/>
    <w:rsid w:val="0091337B"/>
    <w:rsid w:val="0091397D"/>
    <w:rsid w:val="00913DC0"/>
    <w:rsid w:val="00913E0B"/>
    <w:rsid w:val="00913E8C"/>
    <w:rsid w:val="0091471E"/>
    <w:rsid w:val="00914819"/>
    <w:rsid w:val="00915110"/>
    <w:rsid w:val="0091519C"/>
    <w:rsid w:val="0091554A"/>
    <w:rsid w:val="00915B9F"/>
    <w:rsid w:val="00915D0B"/>
    <w:rsid w:val="00915E64"/>
    <w:rsid w:val="00916621"/>
    <w:rsid w:val="009166D2"/>
    <w:rsid w:val="0091711B"/>
    <w:rsid w:val="0091735E"/>
    <w:rsid w:val="009173BC"/>
    <w:rsid w:val="009174EA"/>
    <w:rsid w:val="00917549"/>
    <w:rsid w:val="0091786E"/>
    <w:rsid w:val="00917CE0"/>
    <w:rsid w:val="009207F3"/>
    <w:rsid w:val="009219AC"/>
    <w:rsid w:val="009221B6"/>
    <w:rsid w:val="009223EE"/>
    <w:rsid w:val="00922576"/>
    <w:rsid w:val="00922792"/>
    <w:rsid w:val="00922980"/>
    <w:rsid w:val="00922DBF"/>
    <w:rsid w:val="00922E0A"/>
    <w:rsid w:val="00922E32"/>
    <w:rsid w:val="00922E34"/>
    <w:rsid w:val="00923493"/>
    <w:rsid w:val="009236C1"/>
    <w:rsid w:val="00923786"/>
    <w:rsid w:val="00923AE7"/>
    <w:rsid w:val="00923CBC"/>
    <w:rsid w:val="00923DA4"/>
    <w:rsid w:val="00924C1C"/>
    <w:rsid w:val="00924C83"/>
    <w:rsid w:val="00924F32"/>
    <w:rsid w:val="009250ED"/>
    <w:rsid w:val="00926004"/>
    <w:rsid w:val="009265B6"/>
    <w:rsid w:val="0092681C"/>
    <w:rsid w:val="00926B12"/>
    <w:rsid w:val="00930283"/>
    <w:rsid w:val="00930490"/>
    <w:rsid w:val="00930BDA"/>
    <w:rsid w:val="00930F48"/>
    <w:rsid w:val="00930F91"/>
    <w:rsid w:val="0093107D"/>
    <w:rsid w:val="009313F6"/>
    <w:rsid w:val="00931A47"/>
    <w:rsid w:val="0093209D"/>
    <w:rsid w:val="009320AF"/>
    <w:rsid w:val="00932621"/>
    <w:rsid w:val="00932AA2"/>
    <w:rsid w:val="00932E01"/>
    <w:rsid w:val="0093315B"/>
    <w:rsid w:val="00933207"/>
    <w:rsid w:val="009334DB"/>
    <w:rsid w:val="00933A97"/>
    <w:rsid w:val="00933AD8"/>
    <w:rsid w:val="00933FEE"/>
    <w:rsid w:val="00934359"/>
    <w:rsid w:val="009344D9"/>
    <w:rsid w:val="00934538"/>
    <w:rsid w:val="00934C71"/>
    <w:rsid w:val="009358AC"/>
    <w:rsid w:val="00936311"/>
    <w:rsid w:val="009364F2"/>
    <w:rsid w:val="00936C69"/>
    <w:rsid w:val="00937099"/>
    <w:rsid w:val="009375A1"/>
    <w:rsid w:val="00937784"/>
    <w:rsid w:val="00937E13"/>
    <w:rsid w:val="009403BF"/>
    <w:rsid w:val="00940665"/>
    <w:rsid w:val="00940845"/>
    <w:rsid w:val="00940D7F"/>
    <w:rsid w:val="009413F0"/>
    <w:rsid w:val="009419E1"/>
    <w:rsid w:val="00942007"/>
    <w:rsid w:val="0094277E"/>
    <w:rsid w:val="00942C85"/>
    <w:rsid w:val="00943566"/>
    <w:rsid w:val="0094358E"/>
    <w:rsid w:val="009436EA"/>
    <w:rsid w:val="00943C93"/>
    <w:rsid w:val="00943CD3"/>
    <w:rsid w:val="00944120"/>
    <w:rsid w:val="0094419B"/>
    <w:rsid w:val="00944379"/>
    <w:rsid w:val="00944435"/>
    <w:rsid w:val="009444F4"/>
    <w:rsid w:val="009449D5"/>
    <w:rsid w:val="00944AF7"/>
    <w:rsid w:val="0094507D"/>
    <w:rsid w:val="009450A9"/>
    <w:rsid w:val="009450C0"/>
    <w:rsid w:val="009451B3"/>
    <w:rsid w:val="009455BD"/>
    <w:rsid w:val="00945F2B"/>
    <w:rsid w:val="00946705"/>
    <w:rsid w:val="0094691D"/>
    <w:rsid w:val="00946CA4"/>
    <w:rsid w:val="0094701B"/>
    <w:rsid w:val="009474E3"/>
    <w:rsid w:val="009474FB"/>
    <w:rsid w:val="0094758C"/>
    <w:rsid w:val="009476B1"/>
    <w:rsid w:val="009477F6"/>
    <w:rsid w:val="00947CE5"/>
    <w:rsid w:val="009500BE"/>
    <w:rsid w:val="009502FC"/>
    <w:rsid w:val="0095032B"/>
    <w:rsid w:val="00950A12"/>
    <w:rsid w:val="00950D56"/>
    <w:rsid w:val="009510FC"/>
    <w:rsid w:val="00951800"/>
    <w:rsid w:val="009519CA"/>
    <w:rsid w:val="00951BF9"/>
    <w:rsid w:val="00951D00"/>
    <w:rsid w:val="00951E52"/>
    <w:rsid w:val="00951FE1"/>
    <w:rsid w:val="009521C2"/>
    <w:rsid w:val="0095280F"/>
    <w:rsid w:val="00952AE9"/>
    <w:rsid w:val="00952D8A"/>
    <w:rsid w:val="0095313F"/>
    <w:rsid w:val="00953221"/>
    <w:rsid w:val="00953647"/>
    <w:rsid w:val="00953998"/>
    <w:rsid w:val="009539FF"/>
    <w:rsid w:val="00953DA4"/>
    <w:rsid w:val="00953EE4"/>
    <w:rsid w:val="00953FCC"/>
    <w:rsid w:val="009542C9"/>
    <w:rsid w:val="0095471B"/>
    <w:rsid w:val="009548A7"/>
    <w:rsid w:val="00954A21"/>
    <w:rsid w:val="00954FEC"/>
    <w:rsid w:val="00955176"/>
    <w:rsid w:val="00955E6C"/>
    <w:rsid w:val="0095663E"/>
    <w:rsid w:val="00956921"/>
    <w:rsid w:val="0095693A"/>
    <w:rsid w:val="00956D47"/>
    <w:rsid w:val="00957877"/>
    <w:rsid w:val="00957D25"/>
    <w:rsid w:val="009604D5"/>
    <w:rsid w:val="00960567"/>
    <w:rsid w:val="00960A0C"/>
    <w:rsid w:val="00960C44"/>
    <w:rsid w:val="00960D03"/>
    <w:rsid w:val="00960DE5"/>
    <w:rsid w:val="0096103E"/>
    <w:rsid w:val="0096130C"/>
    <w:rsid w:val="0096201A"/>
    <w:rsid w:val="009628EF"/>
    <w:rsid w:val="00962AEB"/>
    <w:rsid w:val="00962AF1"/>
    <w:rsid w:val="0096326C"/>
    <w:rsid w:val="00963AF1"/>
    <w:rsid w:val="00963D09"/>
    <w:rsid w:val="00963DBB"/>
    <w:rsid w:val="00964678"/>
    <w:rsid w:val="00964C0D"/>
    <w:rsid w:val="009652F3"/>
    <w:rsid w:val="00966049"/>
    <w:rsid w:val="009661A8"/>
    <w:rsid w:val="009661F6"/>
    <w:rsid w:val="009662DF"/>
    <w:rsid w:val="00966822"/>
    <w:rsid w:val="00966BB3"/>
    <w:rsid w:val="00966CBF"/>
    <w:rsid w:val="0096712B"/>
    <w:rsid w:val="00967707"/>
    <w:rsid w:val="00967A45"/>
    <w:rsid w:val="00967A56"/>
    <w:rsid w:val="0097024C"/>
    <w:rsid w:val="0097071E"/>
    <w:rsid w:val="00970897"/>
    <w:rsid w:val="00970AE3"/>
    <w:rsid w:val="00970E45"/>
    <w:rsid w:val="00971209"/>
    <w:rsid w:val="0097132C"/>
    <w:rsid w:val="00971522"/>
    <w:rsid w:val="00971727"/>
    <w:rsid w:val="009717EF"/>
    <w:rsid w:val="00971995"/>
    <w:rsid w:val="00971D73"/>
    <w:rsid w:val="00971D88"/>
    <w:rsid w:val="00971FF6"/>
    <w:rsid w:val="00972013"/>
    <w:rsid w:val="009720E1"/>
    <w:rsid w:val="009725D9"/>
    <w:rsid w:val="0097266A"/>
    <w:rsid w:val="00972A89"/>
    <w:rsid w:val="00973F5B"/>
    <w:rsid w:val="009742BD"/>
    <w:rsid w:val="009742D8"/>
    <w:rsid w:val="00974309"/>
    <w:rsid w:val="00974D66"/>
    <w:rsid w:val="00975971"/>
    <w:rsid w:val="0097598B"/>
    <w:rsid w:val="00975B07"/>
    <w:rsid w:val="00976301"/>
    <w:rsid w:val="00976849"/>
    <w:rsid w:val="0097686B"/>
    <w:rsid w:val="00976C6A"/>
    <w:rsid w:val="00976CBC"/>
    <w:rsid w:val="00977540"/>
    <w:rsid w:val="0097794B"/>
    <w:rsid w:val="00977EB2"/>
    <w:rsid w:val="009800A8"/>
    <w:rsid w:val="00980785"/>
    <w:rsid w:val="00980A36"/>
    <w:rsid w:val="00980D18"/>
    <w:rsid w:val="00981C14"/>
    <w:rsid w:val="00981EB6"/>
    <w:rsid w:val="009820C8"/>
    <w:rsid w:val="009821AF"/>
    <w:rsid w:val="0098241D"/>
    <w:rsid w:val="00982A4B"/>
    <w:rsid w:val="00982A4F"/>
    <w:rsid w:val="00982E09"/>
    <w:rsid w:val="009831E4"/>
    <w:rsid w:val="00983445"/>
    <w:rsid w:val="009839AF"/>
    <w:rsid w:val="009839E8"/>
    <w:rsid w:val="00983D6B"/>
    <w:rsid w:val="009841AD"/>
    <w:rsid w:val="0098444F"/>
    <w:rsid w:val="009846D8"/>
    <w:rsid w:val="0098499D"/>
    <w:rsid w:val="0098577B"/>
    <w:rsid w:val="00986267"/>
    <w:rsid w:val="009864E0"/>
    <w:rsid w:val="009867D2"/>
    <w:rsid w:val="00986A40"/>
    <w:rsid w:val="0098711F"/>
    <w:rsid w:val="00987588"/>
    <w:rsid w:val="00987771"/>
    <w:rsid w:val="00987865"/>
    <w:rsid w:val="00987A55"/>
    <w:rsid w:val="00987AB9"/>
    <w:rsid w:val="00990087"/>
    <w:rsid w:val="009901CB"/>
    <w:rsid w:val="009904D4"/>
    <w:rsid w:val="0099063F"/>
    <w:rsid w:val="009906E1"/>
    <w:rsid w:val="00990BC8"/>
    <w:rsid w:val="00990E2C"/>
    <w:rsid w:val="00991761"/>
    <w:rsid w:val="00991D3E"/>
    <w:rsid w:val="00991E02"/>
    <w:rsid w:val="00991F27"/>
    <w:rsid w:val="00992567"/>
    <w:rsid w:val="009926B8"/>
    <w:rsid w:val="009927B6"/>
    <w:rsid w:val="0099297B"/>
    <w:rsid w:val="00992EDF"/>
    <w:rsid w:val="0099307E"/>
    <w:rsid w:val="00993AA1"/>
    <w:rsid w:val="00993C6A"/>
    <w:rsid w:val="00994ACC"/>
    <w:rsid w:val="00994E8C"/>
    <w:rsid w:val="00994FA1"/>
    <w:rsid w:val="0099510C"/>
    <w:rsid w:val="009952A1"/>
    <w:rsid w:val="009955B1"/>
    <w:rsid w:val="009955BE"/>
    <w:rsid w:val="009957BA"/>
    <w:rsid w:val="0099606A"/>
    <w:rsid w:val="00997659"/>
    <w:rsid w:val="009976A4"/>
    <w:rsid w:val="0099780B"/>
    <w:rsid w:val="00997843"/>
    <w:rsid w:val="00997977"/>
    <w:rsid w:val="00997A93"/>
    <w:rsid w:val="00997A9C"/>
    <w:rsid w:val="00997B43"/>
    <w:rsid w:val="009A0761"/>
    <w:rsid w:val="009A07FE"/>
    <w:rsid w:val="009A0894"/>
    <w:rsid w:val="009A09F2"/>
    <w:rsid w:val="009A0F41"/>
    <w:rsid w:val="009A10B1"/>
    <w:rsid w:val="009A15BB"/>
    <w:rsid w:val="009A1890"/>
    <w:rsid w:val="009A20BF"/>
    <w:rsid w:val="009A2A58"/>
    <w:rsid w:val="009A2F47"/>
    <w:rsid w:val="009A33DC"/>
    <w:rsid w:val="009A3F5A"/>
    <w:rsid w:val="009A4859"/>
    <w:rsid w:val="009A48D5"/>
    <w:rsid w:val="009A4AC7"/>
    <w:rsid w:val="009A4C79"/>
    <w:rsid w:val="009A4CCE"/>
    <w:rsid w:val="009A516A"/>
    <w:rsid w:val="009A5513"/>
    <w:rsid w:val="009A5618"/>
    <w:rsid w:val="009A58E7"/>
    <w:rsid w:val="009A5A20"/>
    <w:rsid w:val="009A5B0A"/>
    <w:rsid w:val="009A63E7"/>
    <w:rsid w:val="009A65BA"/>
    <w:rsid w:val="009A66CE"/>
    <w:rsid w:val="009A6A41"/>
    <w:rsid w:val="009A6AD8"/>
    <w:rsid w:val="009A77DB"/>
    <w:rsid w:val="009A77F3"/>
    <w:rsid w:val="009A7D91"/>
    <w:rsid w:val="009B0195"/>
    <w:rsid w:val="009B05D3"/>
    <w:rsid w:val="009B0D80"/>
    <w:rsid w:val="009B0D93"/>
    <w:rsid w:val="009B0E4E"/>
    <w:rsid w:val="009B11D6"/>
    <w:rsid w:val="009B197B"/>
    <w:rsid w:val="009B1CC4"/>
    <w:rsid w:val="009B218A"/>
    <w:rsid w:val="009B2310"/>
    <w:rsid w:val="009B23A5"/>
    <w:rsid w:val="009B255D"/>
    <w:rsid w:val="009B26D3"/>
    <w:rsid w:val="009B2FE2"/>
    <w:rsid w:val="009B3075"/>
    <w:rsid w:val="009B39B9"/>
    <w:rsid w:val="009B3A00"/>
    <w:rsid w:val="009B3BCE"/>
    <w:rsid w:val="009B3D44"/>
    <w:rsid w:val="009B3E12"/>
    <w:rsid w:val="009B40B4"/>
    <w:rsid w:val="009B4138"/>
    <w:rsid w:val="009B425E"/>
    <w:rsid w:val="009B4290"/>
    <w:rsid w:val="009B42A3"/>
    <w:rsid w:val="009B47F0"/>
    <w:rsid w:val="009B48AE"/>
    <w:rsid w:val="009B5174"/>
    <w:rsid w:val="009B51DD"/>
    <w:rsid w:val="009B57F5"/>
    <w:rsid w:val="009B6096"/>
    <w:rsid w:val="009B63B4"/>
    <w:rsid w:val="009B6467"/>
    <w:rsid w:val="009B72AB"/>
    <w:rsid w:val="009B735A"/>
    <w:rsid w:val="009B796F"/>
    <w:rsid w:val="009C005D"/>
    <w:rsid w:val="009C0C91"/>
    <w:rsid w:val="009C0D91"/>
    <w:rsid w:val="009C0E12"/>
    <w:rsid w:val="009C101B"/>
    <w:rsid w:val="009C1246"/>
    <w:rsid w:val="009C19F4"/>
    <w:rsid w:val="009C1E4A"/>
    <w:rsid w:val="009C2D12"/>
    <w:rsid w:val="009C33D4"/>
    <w:rsid w:val="009C3D2D"/>
    <w:rsid w:val="009C4027"/>
    <w:rsid w:val="009C4238"/>
    <w:rsid w:val="009C4374"/>
    <w:rsid w:val="009C4585"/>
    <w:rsid w:val="009C4846"/>
    <w:rsid w:val="009C48EE"/>
    <w:rsid w:val="009C4DFF"/>
    <w:rsid w:val="009C5079"/>
    <w:rsid w:val="009C5090"/>
    <w:rsid w:val="009C5164"/>
    <w:rsid w:val="009C5276"/>
    <w:rsid w:val="009C5E96"/>
    <w:rsid w:val="009C671D"/>
    <w:rsid w:val="009C6AC3"/>
    <w:rsid w:val="009C6AEA"/>
    <w:rsid w:val="009C6D4B"/>
    <w:rsid w:val="009C7168"/>
    <w:rsid w:val="009C72C1"/>
    <w:rsid w:val="009D00C9"/>
    <w:rsid w:val="009D0ED8"/>
    <w:rsid w:val="009D0FCA"/>
    <w:rsid w:val="009D1763"/>
    <w:rsid w:val="009D1E32"/>
    <w:rsid w:val="009D213A"/>
    <w:rsid w:val="009D2355"/>
    <w:rsid w:val="009D2F7B"/>
    <w:rsid w:val="009D2FD1"/>
    <w:rsid w:val="009D325E"/>
    <w:rsid w:val="009D343E"/>
    <w:rsid w:val="009D4773"/>
    <w:rsid w:val="009D4779"/>
    <w:rsid w:val="009D4F00"/>
    <w:rsid w:val="009D561A"/>
    <w:rsid w:val="009D5FF0"/>
    <w:rsid w:val="009D6235"/>
    <w:rsid w:val="009D6B74"/>
    <w:rsid w:val="009D7075"/>
    <w:rsid w:val="009D731A"/>
    <w:rsid w:val="009D7340"/>
    <w:rsid w:val="009D7359"/>
    <w:rsid w:val="009D7376"/>
    <w:rsid w:val="009D7A41"/>
    <w:rsid w:val="009D7B36"/>
    <w:rsid w:val="009D7C5D"/>
    <w:rsid w:val="009D7CC0"/>
    <w:rsid w:val="009D7F1E"/>
    <w:rsid w:val="009E18A2"/>
    <w:rsid w:val="009E1F72"/>
    <w:rsid w:val="009E2135"/>
    <w:rsid w:val="009E2E8F"/>
    <w:rsid w:val="009E3001"/>
    <w:rsid w:val="009E3259"/>
    <w:rsid w:val="009E3A90"/>
    <w:rsid w:val="009E3B2D"/>
    <w:rsid w:val="009E3C0F"/>
    <w:rsid w:val="009E3C79"/>
    <w:rsid w:val="009E44CE"/>
    <w:rsid w:val="009E594C"/>
    <w:rsid w:val="009E5E5E"/>
    <w:rsid w:val="009E646E"/>
    <w:rsid w:val="009E6E39"/>
    <w:rsid w:val="009E7346"/>
    <w:rsid w:val="009E74CF"/>
    <w:rsid w:val="009E77D9"/>
    <w:rsid w:val="009F02C3"/>
    <w:rsid w:val="009F1993"/>
    <w:rsid w:val="009F1E02"/>
    <w:rsid w:val="009F1E4E"/>
    <w:rsid w:val="009F2211"/>
    <w:rsid w:val="009F268D"/>
    <w:rsid w:val="009F2C84"/>
    <w:rsid w:val="009F3165"/>
    <w:rsid w:val="009F3830"/>
    <w:rsid w:val="009F3DAA"/>
    <w:rsid w:val="009F3E74"/>
    <w:rsid w:val="009F416B"/>
    <w:rsid w:val="009F4306"/>
    <w:rsid w:val="009F51A0"/>
    <w:rsid w:val="009F6564"/>
    <w:rsid w:val="009F73BB"/>
    <w:rsid w:val="009F7442"/>
    <w:rsid w:val="009F79E9"/>
    <w:rsid w:val="009F7A25"/>
    <w:rsid w:val="009F7C97"/>
    <w:rsid w:val="00A00115"/>
    <w:rsid w:val="00A0021C"/>
    <w:rsid w:val="00A006FA"/>
    <w:rsid w:val="00A00856"/>
    <w:rsid w:val="00A00DEB"/>
    <w:rsid w:val="00A00E87"/>
    <w:rsid w:val="00A01316"/>
    <w:rsid w:val="00A014CE"/>
    <w:rsid w:val="00A01662"/>
    <w:rsid w:val="00A01905"/>
    <w:rsid w:val="00A01F1F"/>
    <w:rsid w:val="00A0212F"/>
    <w:rsid w:val="00A0248F"/>
    <w:rsid w:val="00A025E9"/>
    <w:rsid w:val="00A03206"/>
    <w:rsid w:val="00A03717"/>
    <w:rsid w:val="00A03A27"/>
    <w:rsid w:val="00A03D70"/>
    <w:rsid w:val="00A04354"/>
    <w:rsid w:val="00A07C5C"/>
    <w:rsid w:val="00A07E65"/>
    <w:rsid w:val="00A07EC7"/>
    <w:rsid w:val="00A105D0"/>
    <w:rsid w:val="00A105EA"/>
    <w:rsid w:val="00A11548"/>
    <w:rsid w:val="00A11A16"/>
    <w:rsid w:val="00A11B84"/>
    <w:rsid w:val="00A1207A"/>
    <w:rsid w:val="00A12787"/>
    <w:rsid w:val="00A13566"/>
    <w:rsid w:val="00A138A0"/>
    <w:rsid w:val="00A138BE"/>
    <w:rsid w:val="00A13930"/>
    <w:rsid w:val="00A13D2B"/>
    <w:rsid w:val="00A13E3A"/>
    <w:rsid w:val="00A13F24"/>
    <w:rsid w:val="00A140E7"/>
    <w:rsid w:val="00A1457B"/>
    <w:rsid w:val="00A14964"/>
    <w:rsid w:val="00A14CC6"/>
    <w:rsid w:val="00A14DDB"/>
    <w:rsid w:val="00A156FC"/>
    <w:rsid w:val="00A15A4B"/>
    <w:rsid w:val="00A15B86"/>
    <w:rsid w:val="00A15BA4"/>
    <w:rsid w:val="00A162DE"/>
    <w:rsid w:val="00A16BCE"/>
    <w:rsid w:val="00A170A3"/>
    <w:rsid w:val="00A17739"/>
    <w:rsid w:val="00A17B47"/>
    <w:rsid w:val="00A17D4A"/>
    <w:rsid w:val="00A17FA1"/>
    <w:rsid w:val="00A20484"/>
    <w:rsid w:val="00A20892"/>
    <w:rsid w:val="00A20A66"/>
    <w:rsid w:val="00A215C7"/>
    <w:rsid w:val="00A22021"/>
    <w:rsid w:val="00A2219E"/>
    <w:rsid w:val="00A222C4"/>
    <w:rsid w:val="00A226B8"/>
    <w:rsid w:val="00A2284C"/>
    <w:rsid w:val="00A22B7B"/>
    <w:rsid w:val="00A233E0"/>
    <w:rsid w:val="00A237A0"/>
    <w:rsid w:val="00A23B44"/>
    <w:rsid w:val="00A24142"/>
    <w:rsid w:val="00A2430F"/>
    <w:rsid w:val="00A24858"/>
    <w:rsid w:val="00A2486C"/>
    <w:rsid w:val="00A24B9F"/>
    <w:rsid w:val="00A24C85"/>
    <w:rsid w:val="00A24EFE"/>
    <w:rsid w:val="00A24F8D"/>
    <w:rsid w:val="00A2532B"/>
    <w:rsid w:val="00A253EE"/>
    <w:rsid w:val="00A254AD"/>
    <w:rsid w:val="00A2575B"/>
    <w:rsid w:val="00A25F02"/>
    <w:rsid w:val="00A2752A"/>
    <w:rsid w:val="00A278CF"/>
    <w:rsid w:val="00A27EA1"/>
    <w:rsid w:val="00A30131"/>
    <w:rsid w:val="00A30182"/>
    <w:rsid w:val="00A3067B"/>
    <w:rsid w:val="00A3067F"/>
    <w:rsid w:val="00A30716"/>
    <w:rsid w:val="00A307BF"/>
    <w:rsid w:val="00A30902"/>
    <w:rsid w:val="00A31256"/>
    <w:rsid w:val="00A31463"/>
    <w:rsid w:val="00A3193C"/>
    <w:rsid w:val="00A31C04"/>
    <w:rsid w:val="00A3267A"/>
    <w:rsid w:val="00A33254"/>
    <w:rsid w:val="00A33420"/>
    <w:rsid w:val="00A336A1"/>
    <w:rsid w:val="00A33D08"/>
    <w:rsid w:val="00A3477E"/>
    <w:rsid w:val="00A34A67"/>
    <w:rsid w:val="00A34C25"/>
    <w:rsid w:val="00A35232"/>
    <w:rsid w:val="00A353E0"/>
    <w:rsid w:val="00A354FE"/>
    <w:rsid w:val="00A35F76"/>
    <w:rsid w:val="00A3601E"/>
    <w:rsid w:val="00A36314"/>
    <w:rsid w:val="00A36FBF"/>
    <w:rsid w:val="00A371F7"/>
    <w:rsid w:val="00A37549"/>
    <w:rsid w:val="00A37D72"/>
    <w:rsid w:val="00A37F1F"/>
    <w:rsid w:val="00A400FD"/>
    <w:rsid w:val="00A40216"/>
    <w:rsid w:val="00A40453"/>
    <w:rsid w:val="00A40600"/>
    <w:rsid w:val="00A4090D"/>
    <w:rsid w:val="00A4131D"/>
    <w:rsid w:val="00A416F4"/>
    <w:rsid w:val="00A41D46"/>
    <w:rsid w:val="00A426A4"/>
    <w:rsid w:val="00A42C68"/>
    <w:rsid w:val="00A431A5"/>
    <w:rsid w:val="00A43420"/>
    <w:rsid w:val="00A436E8"/>
    <w:rsid w:val="00A43AFA"/>
    <w:rsid w:val="00A44107"/>
    <w:rsid w:val="00A441C6"/>
    <w:rsid w:val="00A44BE0"/>
    <w:rsid w:val="00A44C83"/>
    <w:rsid w:val="00A44FF5"/>
    <w:rsid w:val="00A451CF"/>
    <w:rsid w:val="00A4588C"/>
    <w:rsid w:val="00A45A49"/>
    <w:rsid w:val="00A45DBC"/>
    <w:rsid w:val="00A45DC5"/>
    <w:rsid w:val="00A4612C"/>
    <w:rsid w:val="00A461C9"/>
    <w:rsid w:val="00A4657F"/>
    <w:rsid w:val="00A46899"/>
    <w:rsid w:val="00A4695A"/>
    <w:rsid w:val="00A46F89"/>
    <w:rsid w:val="00A4707B"/>
    <w:rsid w:val="00A50195"/>
    <w:rsid w:val="00A50248"/>
    <w:rsid w:val="00A505F5"/>
    <w:rsid w:val="00A50C37"/>
    <w:rsid w:val="00A51A81"/>
    <w:rsid w:val="00A51CFD"/>
    <w:rsid w:val="00A52104"/>
    <w:rsid w:val="00A52326"/>
    <w:rsid w:val="00A523DF"/>
    <w:rsid w:val="00A524E9"/>
    <w:rsid w:val="00A528BC"/>
    <w:rsid w:val="00A534E9"/>
    <w:rsid w:val="00A53556"/>
    <w:rsid w:val="00A53692"/>
    <w:rsid w:val="00A53B10"/>
    <w:rsid w:val="00A53FD3"/>
    <w:rsid w:val="00A54791"/>
    <w:rsid w:val="00A54936"/>
    <w:rsid w:val="00A54BA0"/>
    <w:rsid w:val="00A54F88"/>
    <w:rsid w:val="00A5590F"/>
    <w:rsid w:val="00A559A4"/>
    <w:rsid w:val="00A56532"/>
    <w:rsid w:val="00A56CB2"/>
    <w:rsid w:val="00A56FEB"/>
    <w:rsid w:val="00A57074"/>
    <w:rsid w:val="00A579A1"/>
    <w:rsid w:val="00A6037D"/>
    <w:rsid w:val="00A606B6"/>
    <w:rsid w:val="00A60A29"/>
    <w:rsid w:val="00A60DCC"/>
    <w:rsid w:val="00A617A8"/>
    <w:rsid w:val="00A61B73"/>
    <w:rsid w:val="00A620AF"/>
    <w:rsid w:val="00A62248"/>
    <w:rsid w:val="00A62336"/>
    <w:rsid w:val="00A62448"/>
    <w:rsid w:val="00A6246A"/>
    <w:rsid w:val="00A63190"/>
    <w:rsid w:val="00A632C3"/>
    <w:rsid w:val="00A63853"/>
    <w:rsid w:val="00A64762"/>
    <w:rsid w:val="00A64786"/>
    <w:rsid w:val="00A64B26"/>
    <w:rsid w:val="00A64EDE"/>
    <w:rsid w:val="00A655C1"/>
    <w:rsid w:val="00A659EA"/>
    <w:rsid w:val="00A66063"/>
    <w:rsid w:val="00A663B8"/>
    <w:rsid w:val="00A6692C"/>
    <w:rsid w:val="00A66B0B"/>
    <w:rsid w:val="00A671B6"/>
    <w:rsid w:val="00A67EC5"/>
    <w:rsid w:val="00A7071C"/>
    <w:rsid w:val="00A712CA"/>
    <w:rsid w:val="00A71341"/>
    <w:rsid w:val="00A713E8"/>
    <w:rsid w:val="00A715BB"/>
    <w:rsid w:val="00A71603"/>
    <w:rsid w:val="00A716AB"/>
    <w:rsid w:val="00A71F79"/>
    <w:rsid w:val="00A720D9"/>
    <w:rsid w:val="00A72451"/>
    <w:rsid w:val="00A7250A"/>
    <w:rsid w:val="00A7285A"/>
    <w:rsid w:val="00A72E4C"/>
    <w:rsid w:val="00A73133"/>
    <w:rsid w:val="00A73247"/>
    <w:rsid w:val="00A73BDB"/>
    <w:rsid w:val="00A73DB2"/>
    <w:rsid w:val="00A73F0B"/>
    <w:rsid w:val="00A740D1"/>
    <w:rsid w:val="00A74414"/>
    <w:rsid w:val="00A747AE"/>
    <w:rsid w:val="00A748BD"/>
    <w:rsid w:val="00A74CE1"/>
    <w:rsid w:val="00A7537C"/>
    <w:rsid w:val="00A75C90"/>
    <w:rsid w:val="00A761D8"/>
    <w:rsid w:val="00A764E5"/>
    <w:rsid w:val="00A76C19"/>
    <w:rsid w:val="00A7769F"/>
    <w:rsid w:val="00A77746"/>
    <w:rsid w:val="00A77966"/>
    <w:rsid w:val="00A77B1D"/>
    <w:rsid w:val="00A77B64"/>
    <w:rsid w:val="00A80215"/>
    <w:rsid w:val="00A804E3"/>
    <w:rsid w:val="00A8075D"/>
    <w:rsid w:val="00A80D3A"/>
    <w:rsid w:val="00A81768"/>
    <w:rsid w:val="00A818F0"/>
    <w:rsid w:val="00A81D85"/>
    <w:rsid w:val="00A81E1A"/>
    <w:rsid w:val="00A81EB6"/>
    <w:rsid w:val="00A82102"/>
    <w:rsid w:val="00A8221D"/>
    <w:rsid w:val="00A8284D"/>
    <w:rsid w:val="00A828E4"/>
    <w:rsid w:val="00A82F33"/>
    <w:rsid w:val="00A82FD7"/>
    <w:rsid w:val="00A8305E"/>
    <w:rsid w:val="00A8311C"/>
    <w:rsid w:val="00A832EC"/>
    <w:rsid w:val="00A83562"/>
    <w:rsid w:val="00A8396C"/>
    <w:rsid w:val="00A83C12"/>
    <w:rsid w:val="00A83EE9"/>
    <w:rsid w:val="00A84680"/>
    <w:rsid w:val="00A84A11"/>
    <w:rsid w:val="00A84AB1"/>
    <w:rsid w:val="00A84E62"/>
    <w:rsid w:val="00A8519F"/>
    <w:rsid w:val="00A851CE"/>
    <w:rsid w:val="00A859C9"/>
    <w:rsid w:val="00A85EA9"/>
    <w:rsid w:val="00A864BC"/>
    <w:rsid w:val="00A865F7"/>
    <w:rsid w:val="00A866AA"/>
    <w:rsid w:val="00A86A5F"/>
    <w:rsid w:val="00A86E9E"/>
    <w:rsid w:val="00A86E9F"/>
    <w:rsid w:val="00A8722B"/>
    <w:rsid w:val="00A87324"/>
    <w:rsid w:val="00A877CC"/>
    <w:rsid w:val="00A877F8"/>
    <w:rsid w:val="00A87934"/>
    <w:rsid w:val="00A87D07"/>
    <w:rsid w:val="00A901C2"/>
    <w:rsid w:val="00A9079B"/>
    <w:rsid w:val="00A90E5B"/>
    <w:rsid w:val="00A9147F"/>
    <w:rsid w:val="00A91A08"/>
    <w:rsid w:val="00A920A1"/>
    <w:rsid w:val="00A92142"/>
    <w:rsid w:val="00A92BC2"/>
    <w:rsid w:val="00A93096"/>
    <w:rsid w:val="00A93E68"/>
    <w:rsid w:val="00A94525"/>
    <w:rsid w:val="00A94835"/>
    <w:rsid w:val="00A949BB"/>
    <w:rsid w:val="00A94CB9"/>
    <w:rsid w:val="00A9520F"/>
    <w:rsid w:val="00A9543F"/>
    <w:rsid w:val="00A95467"/>
    <w:rsid w:val="00A95D42"/>
    <w:rsid w:val="00A9727E"/>
    <w:rsid w:val="00A97361"/>
    <w:rsid w:val="00A97694"/>
    <w:rsid w:val="00A97917"/>
    <w:rsid w:val="00A97C5E"/>
    <w:rsid w:val="00AA0161"/>
    <w:rsid w:val="00AA02C7"/>
    <w:rsid w:val="00AA126F"/>
    <w:rsid w:val="00AA211B"/>
    <w:rsid w:val="00AA2230"/>
    <w:rsid w:val="00AA23FB"/>
    <w:rsid w:val="00AA26E9"/>
    <w:rsid w:val="00AA26F5"/>
    <w:rsid w:val="00AA27D8"/>
    <w:rsid w:val="00AA285F"/>
    <w:rsid w:val="00AA344B"/>
    <w:rsid w:val="00AA38DC"/>
    <w:rsid w:val="00AA4998"/>
    <w:rsid w:val="00AA4AE1"/>
    <w:rsid w:val="00AA4B4C"/>
    <w:rsid w:val="00AA606C"/>
    <w:rsid w:val="00AA68DA"/>
    <w:rsid w:val="00AA6B56"/>
    <w:rsid w:val="00AA6F22"/>
    <w:rsid w:val="00AA772B"/>
    <w:rsid w:val="00AA78A0"/>
    <w:rsid w:val="00AA7A45"/>
    <w:rsid w:val="00AA7A5A"/>
    <w:rsid w:val="00AB02FF"/>
    <w:rsid w:val="00AB03D7"/>
    <w:rsid w:val="00AB0A10"/>
    <w:rsid w:val="00AB0CE2"/>
    <w:rsid w:val="00AB1004"/>
    <w:rsid w:val="00AB1611"/>
    <w:rsid w:val="00AB1689"/>
    <w:rsid w:val="00AB190B"/>
    <w:rsid w:val="00AB1BDF"/>
    <w:rsid w:val="00AB1D8A"/>
    <w:rsid w:val="00AB1E12"/>
    <w:rsid w:val="00AB298C"/>
    <w:rsid w:val="00AB3945"/>
    <w:rsid w:val="00AB396F"/>
    <w:rsid w:val="00AB44D7"/>
    <w:rsid w:val="00AB47ED"/>
    <w:rsid w:val="00AB484C"/>
    <w:rsid w:val="00AB4B11"/>
    <w:rsid w:val="00AB5007"/>
    <w:rsid w:val="00AB50C6"/>
    <w:rsid w:val="00AB52A1"/>
    <w:rsid w:val="00AB53F5"/>
    <w:rsid w:val="00AB5A97"/>
    <w:rsid w:val="00AB5C19"/>
    <w:rsid w:val="00AB6D33"/>
    <w:rsid w:val="00AB6F17"/>
    <w:rsid w:val="00AB6F3C"/>
    <w:rsid w:val="00AB7181"/>
    <w:rsid w:val="00AB7339"/>
    <w:rsid w:val="00AB7A92"/>
    <w:rsid w:val="00AC0376"/>
    <w:rsid w:val="00AC05F6"/>
    <w:rsid w:val="00AC083C"/>
    <w:rsid w:val="00AC0AA0"/>
    <w:rsid w:val="00AC0B1C"/>
    <w:rsid w:val="00AC0B23"/>
    <w:rsid w:val="00AC0E32"/>
    <w:rsid w:val="00AC0EF4"/>
    <w:rsid w:val="00AC174E"/>
    <w:rsid w:val="00AC186B"/>
    <w:rsid w:val="00AC19EF"/>
    <w:rsid w:val="00AC1A00"/>
    <w:rsid w:val="00AC1A92"/>
    <w:rsid w:val="00AC1D93"/>
    <w:rsid w:val="00AC1E0F"/>
    <w:rsid w:val="00AC265C"/>
    <w:rsid w:val="00AC275B"/>
    <w:rsid w:val="00AC31C8"/>
    <w:rsid w:val="00AC37DF"/>
    <w:rsid w:val="00AC3BBC"/>
    <w:rsid w:val="00AC40D5"/>
    <w:rsid w:val="00AC44E1"/>
    <w:rsid w:val="00AC473E"/>
    <w:rsid w:val="00AC5792"/>
    <w:rsid w:val="00AC5C4C"/>
    <w:rsid w:val="00AC6192"/>
    <w:rsid w:val="00AC61C0"/>
    <w:rsid w:val="00AC6332"/>
    <w:rsid w:val="00AC6485"/>
    <w:rsid w:val="00AC64B1"/>
    <w:rsid w:val="00AC6A41"/>
    <w:rsid w:val="00AC6C97"/>
    <w:rsid w:val="00AC6D79"/>
    <w:rsid w:val="00AC6EF3"/>
    <w:rsid w:val="00AC6FB1"/>
    <w:rsid w:val="00AC7380"/>
    <w:rsid w:val="00AC7739"/>
    <w:rsid w:val="00AC7AA3"/>
    <w:rsid w:val="00AC7F22"/>
    <w:rsid w:val="00AC7F3F"/>
    <w:rsid w:val="00AD030E"/>
    <w:rsid w:val="00AD0663"/>
    <w:rsid w:val="00AD1C43"/>
    <w:rsid w:val="00AD1FCE"/>
    <w:rsid w:val="00AD2104"/>
    <w:rsid w:val="00AD24A9"/>
    <w:rsid w:val="00AD250B"/>
    <w:rsid w:val="00AD2EDD"/>
    <w:rsid w:val="00AD30E7"/>
    <w:rsid w:val="00AD31F0"/>
    <w:rsid w:val="00AD3868"/>
    <w:rsid w:val="00AD3B60"/>
    <w:rsid w:val="00AD3BBE"/>
    <w:rsid w:val="00AD4116"/>
    <w:rsid w:val="00AD525C"/>
    <w:rsid w:val="00AD588B"/>
    <w:rsid w:val="00AD595E"/>
    <w:rsid w:val="00AD5D57"/>
    <w:rsid w:val="00AD624D"/>
    <w:rsid w:val="00AD6544"/>
    <w:rsid w:val="00AD6567"/>
    <w:rsid w:val="00AD66E7"/>
    <w:rsid w:val="00AD6F1D"/>
    <w:rsid w:val="00AD7439"/>
    <w:rsid w:val="00AD75BB"/>
    <w:rsid w:val="00AE030F"/>
    <w:rsid w:val="00AE03EF"/>
    <w:rsid w:val="00AE0F30"/>
    <w:rsid w:val="00AE0FB8"/>
    <w:rsid w:val="00AE11F9"/>
    <w:rsid w:val="00AE1AE3"/>
    <w:rsid w:val="00AE1E72"/>
    <w:rsid w:val="00AE2083"/>
    <w:rsid w:val="00AE22EC"/>
    <w:rsid w:val="00AE254A"/>
    <w:rsid w:val="00AE2895"/>
    <w:rsid w:val="00AE28D4"/>
    <w:rsid w:val="00AE2CEC"/>
    <w:rsid w:val="00AE3023"/>
    <w:rsid w:val="00AE3622"/>
    <w:rsid w:val="00AE3C06"/>
    <w:rsid w:val="00AE3EBB"/>
    <w:rsid w:val="00AE417E"/>
    <w:rsid w:val="00AE44E1"/>
    <w:rsid w:val="00AE476E"/>
    <w:rsid w:val="00AE47BB"/>
    <w:rsid w:val="00AE4BAC"/>
    <w:rsid w:val="00AE4CC4"/>
    <w:rsid w:val="00AE500F"/>
    <w:rsid w:val="00AE50CA"/>
    <w:rsid w:val="00AE5174"/>
    <w:rsid w:val="00AE51E7"/>
    <w:rsid w:val="00AE5DF7"/>
    <w:rsid w:val="00AE6241"/>
    <w:rsid w:val="00AE6320"/>
    <w:rsid w:val="00AE6553"/>
    <w:rsid w:val="00AE670C"/>
    <w:rsid w:val="00AE6955"/>
    <w:rsid w:val="00AE699D"/>
    <w:rsid w:val="00AE74A1"/>
    <w:rsid w:val="00AE7737"/>
    <w:rsid w:val="00AE776E"/>
    <w:rsid w:val="00AE7AE0"/>
    <w:rsid w:val="00AE7B30"/>
    <w:rsid w:val="00AF06F4"/>
    <w:rsid w:val="00AF1275"/>
    <w:rsid w:val="00AF15D5"/>
    <w:rsid w:val="00AF1F30"/>
    <w:rsid w:val="00AF1F54"/>
    <w:rsid w:val="00AF2372"/>
    <w:rsid w:val="00AF2699"/>
    <w:rsid w:val="00AF2C15"/>
    <w:rsid w:val="00AF2DD8"/>
    <w:rsid w:val="00AF2FF8"/>
    <w:rsid w:val="00AF35E5"/>
    <w:rsid w:val="00AF407C"/>
    <w:rsid w:val="00AF47A6"/>
    <w:rsid w:val="00AF4C57"/>
    <w:rsid w:val="00AF4C91"/>
    <w:rsid w:val="00AF4CBA"/>
    <w:rsid w:val="00AF54A7"/>
    <w:rsid w:val="00AF58D2"/>
    <w:rsid w:val="00AF5CE6"/>
    <w:rsid w:val="00AF5D33"/>
    <w:rsid w:val="00AF64A3"/>
    <w:rsid w:val="00AF6543"/>
    <w:rsid w:val="00AF67B4"/>
    <w:rsid w:val="00AF6959"/>
    <w:rsid w:val="00AF6B68"/>
    <w:rsid w:val="00AF6D67"/>
    <w:rsid w:val="00AF6F60"/>
    <w:rsid w:val="00AF718A"/>
    <w:rsid w:val="00B00264"/>
    <w:rsid w:val="00B0059A"/>
    <w:rsid w:val="00B007C7"/>
    <w:rsid w:val="00B0118F"/>
    <w:rsid w:val="00B01A19"/>
    <w:rsid w:val="00B01AB6"/>
    <w:rsid w:val="00B02978"/>
    <w:rsid w:val="00B029E2"/>
    <w:rsid w:val="00B02B8C"/>
    <w:rsid w:val="00B03477"/>
    <w:rsid w:val="00B03508"/>
    <w:rsid w:val="00B03631"/>
    <w:rsid w:val="00B038B0"/>
    <w:rsid w:val="00B03DDA"/>
    <w:rsid w:val="00B05565"/>
    <w:rsid w:val="00B0561A"/>
    <w:rsid w:val="00B0599D"/>
    <w:rsid w:val="00B05F9B"/>
    <w:rsid w:val="00B0601E"/>
    <w:rsid w:val="00B06078"/>
    <w:rsid w:val="00B06199"/>
    <w:rsid w:val="00B06220"/>
    <w:rsid w:val="00B06226"/>
    <w:rsid w:val="00B068CF"/>
    <w:rsid w:val="00B0690B"/>
    <w:rsid w:val="00B06A2D"/>
    <w:rsid w:val="00B06BC2"/>
    <w:rsid w:val="00B06FD5"/>
    <w:rsid w:val="00B07652"/>
    <w:rsid w:val="00B078FB"/>
    <w:rsid w:val="00B07BDE"/>
    <w:rsid w:val="00B07D04"/>
    <w:rsid w:val="00B11118"/>
    <w:rsid w:val="00B11121"/>
    <w:rsid w:val="00B1144B"/>
    <w:rsid w:val="00B11CEA"/>
    <w:rsid w:val="00B12785"/>
    <w:rsid w:val="00B1297B"/>
    <w:rsid w:val="00B12BE0"/>
    <w:rsid w:val="00B12BF9"/>
    <w:rsid w:val="00B12D9D"/>
    <w:rsid w:val="00B13808"/>
    <w:rsid w:val="00B13C1B"/>
    <w:rsid w:val="00B13C7E"/>
    <w:rsid w:val="00B1492E"/>
    <w:rsid w:val="00B14B84"/>
    <w:rsid w:val="00B14BF6"/>
    <w:rsid w:val="00B15087"/>
    <w:rsid w:val="00B151AA"/>
    <w:rsid w:val="00B151D6"/>
    <w:rsid w:val="00B1641C"/>
    <w:rsid w:val="00B1643A"/>
    <w:rsid w:val="00B1712E"/>
    <w:rsid w:val="00B1751A"/>
    <w:rsid w:val="00B17CA3"/>
    <w:rsid w:val="00B21218"/>
    <w:rsid w:val="00B21974"/>
    <w:rsid w:val="00B21C6E"/>
    <w:rsid w:val="00B21D25"/>
    <w:rsid w:val="00B2206A"/>
    <w:rsid w:val="00B22225"/>
    <w:rsid w:val="00B22617"/>
    <w:rsid w:val="00B22EF8"/>
    <w:rsid w:val="00B230B9"/>
    <w:rsid w:val="00B2335E"/>
    <w:rsid w:val="00B23840"/>
    <w:rsid w:val="00B24022"/>
    <w:rsid w:val="00B244C6"/>
    <w:rsid w:val="00B24734"/>
    <w:rsid w:val="00B24C34"/>
    <w:rsid w:val="00B25992"/>
    <w:rsid w:val="00B25ED6"/>
    <w:rsid w:val="00B260FA"/>
    <w:rsid w:val="00B26332"/>
    <w:rsid w:val="00B26395"/>
    <w:rsid w:val="00B26819"/>
    <w:rsid w:val="00B26B64"/>
    <w:rsid w:val="00B27579"/>
    <w:rsid w:val="00B277EA"/>
    <w:rsid w:val="00B27955"/>
    <w:rsid w:val="00B30051"/>
    <w:rsid w:val="00B30926"/>
    <w:rsid w:val="00B313A1"/>
    <w:rsid w:val="00B316F7"/>
    <w:rsid w:val="00B328F3"/>
    <w:rsid w:val="00B32E9B"/>
    <w:rsid w:val="00B3365B"/>
    <w:rsid w:val="00B33675"/>
    <w:rsid w:val="00B336C3"/>
    <w:rsid w:val="00B3376E"/>
    <w:rsid w:val="00B33794"/>
    <w:rsid w:val="00B33872"/>
    <w:rsid w:val="00B33886"/>
    <w:rsid w:val="00B33B1D"/>
    <w:rsid w:val="00B340F5"/>
    <w:rsid w:val="00B34DB2"/>
    <w:rsid w:val="00B3564F"/>
    <w:rsid w:val="00B35694"/>
    <w:rsid w:val="00B3578B"/>
    <w:rsid w:val="00B35F83"/>
    <w:rsid w:val="00B36B20"/>
    <w:rsid w:val="00B37092"/>
    <w:rsid w:val="00B37697"/>
    <w:rsid w:val="00B37875"/>
    <w:rsid w:val="00B40101"/>
    <w:rsid w:val="00B40156"/>
    <w:rsid w:val="00B40381"/>
    <w:rsid w:val="00B40FA0"/>
    <w:rsid w:val="00B4122B"/>
    <w:rsid w:val="00B41983"/>
    <w:rsid w:val="00B41D7A"/>
    <w:rsid w:val="00B42291"/>
    <w:rsid w:val="00B422A7"/>
    <w:rsid w:val="00B42786"/>
    <w:rsid w:val="00B43CAA"/>
    <w:rsid w:val="00B45744"/>
    <w:rsid w:val="00B45FBF"/>
    <w:rsid w:val="00B46F80"/>
    <w:rsid w:val="00B47379"/>
    <w:rsid w:val="00B47382"/>
    <w:rsid w:val="00B473AF"/>
    <w:rsid w:val="00B473B2"/>
    <w:rsid w:val="00B473E1"/>
    <w:rsid w:val="00B474AA"/>
    <w:rsid w:val="00B47507"/>
    <w:rsid w:val="00B47769"/>
    <w:rsid w:val="00B47BE7"/>
    <w:rsid w:val="00B47DDC"/>
    <w:rsid w:val="00B500FA"/>
    <w:rsid w:val="00B506F1"/>
    <w:rsid w:val="00B50751"/>
    <w:rsid w:val="00B50A75"/>
    <w:rsid w:val="00B50B89"/>
    <w:rsid w:val="00B51E06"/>
    <w:rsid w:val="00B51F8D"/>
    <w:rsid w:val="00B52AD9"/>
    <w:rsid w:val="00B52ECE"/>
    <w:rsid w:val="00B53730"/>
    <w:rsid w:val="00B53BA7"/>
    <w:rsid w:val="00B53C03"/>
    <w:rsid w:val="00B5435C"/>
    <w:rsid w:val="00B54816"/>
    <w:rsid w:val="00B5537A"/>
    <w:rsid w:val="00B5537B"/>
    <w:rsid w:val="00B5538A"/>
    <w:rsid w:val="00B5589F"/>
    <w:rsid w:val="00B55DC6"/>
    <w:rsid w:val="00B55F48"/>
    <w:rsid w:val="00B560D5"/>
    <w:rsid w:val="00B5644C"/>
    <w:rsid w:val="00B56882"/>
    <w:rsid w:val="00B56BE5"/>
    <w:rsid w:val="00B5730A"/>
    <w:rsid w:val="00B579B6"/>
    <w:rsid w:val="00B57B0E"/>
    <w:rsid w:val="00B603D0"/>
    <w:rsid w:val="00B60403"/>
    <w:rsid w:val="00B61099"/>
    <w:rsid w:val="00B62175"/>
    <w:rsid w:val="00B626C1"/>
    <w:rsid w:val="00B62C82"/>
    <w:rsid w:val="00B6314B"/>
    <w:rsid w:val="00B632FB"/>
    <w:rsid w:val="00B633A6"/>
    <w:rsid w:val="00B63566"/>
    <w:rsid w:val="00B636E8"/>
    <w:rsid w:val="00B6376E"/>
    <w:rsid w:val="00B637AE"/>
    <w:rsid w:val="00B64049"/>
    <w:rsid w:val="00B64413"/>
    <w:rsid w:val="00B644DE"/>
    <w:rsid w:val="00B6471B"/>
    <w:rsid w:val="00B64A3C"/>
    <w:rsid w:val="00B64F75"/>
    <w:rsid w:val="00B653FF"/>
    <w:rsid w:val="00B65D3C"/>
    <w:rsid w:val="00B663EB"/>
    <w:rsid w:val="00B66457"/>
    <w:rsid w:val="00B664D8"/>
    <w:rsid w:val="00B667F7"/>
    <w:rsid w:val="00B670B3"/>
    <w:rsid w:val="00B67178"/>
    <w:rsid w:val="00B67195"/>
    <w:rsid w:val="00B67723"/>
    <w:rsid w:val="00B67802"/>
    <w:rsid w:val="00B67EBB"/>
    <w:rsid w:val="00B70077"/>
    <w:rsid w:val="00B7043D"/>
    <w:rsid w:val="00B70BB6"/>
    <w:rsid w:val="00B70CDC"/>
    <w:rsid w:val="00B71535"/>
    <w:rsid w:val="00B71CC5"/>
    <w:rsid w:val="00B71E9A"/>
    <w:rsid w:val="00B72B56"/>
    <w:rsid w:val="00B73198"/>
    <w:rsid w:val="00B73243"/>
    <w:rsid w:val="00B733B9"/>
    <w:rsid w:val="00B739DE"/>
    <w:rsid w:val="00B739EE"/>
    <w:rsid w:val="00B73B61"/>
    <w:rsid w:val="00B743CF"/>
    <w:rsid w:val="00B74F90"/>
    <w:rsid w:val="00B750F4"/>
    <w:rsid w:val="00B75C0B"/>
    <w:rsid w:val="00B75F4C"/>
    <w:rsid w:val="00B7649C"/>
    <w:rsid w:val="00B76625"/>
    <w:rsid w:val="00B76956"/>
    <w:rsid w:val="00B77A56"/>
    <w:rsid w:val="00B77C5B"/>
    <w:rsid w:val="00B80310"/>
    <w:rsid w:val="00B804A7"/>
    <w:rsid w:val="00B808C6"/>
    <w:rsid w:val="00B80A06"/>
    <w:rsid w:val="00B80BA0"/>
    <w:rsid w:val="00B81501"/>
    <w:rsid w:val="00B81530"/>
    <w:rsid w:val="00B81BC5"/>
    <w:rsid w:val="00B81F86"/>
    <w:rsid w:val="00B827E0"/>
    <w:rsid w:val="00B8281F"/>
    <w:rsid w:val="00B82883"/>
    <w:rsid w:val="00B828D2"/>
    <w:rsid w:val="00B82A4C"/>
    <w:rsid w:val="00B82FE5"/>
    <w:rsid w:val="00B83105"/>
    <w:rsid w:val="00B83487"/>
    <w:rsid w:val="00B835B5"/>
    <w:rsid w:val="00B83940"/>
    <w:rsid w:val="00B84D95"/>
    <w:rsid w:val="00B84FB2"/>
    <w:rsid w:val="00B85850"/>
    <w:rsid w:val="00B858C5"/>
    <w:rsid w:val="00B85A57"/>
    <w:rsid w:val="00B85EB6"/>
    <w:rsid w:val="00B86124"/>
    <w:rsid w:val="00B8620D"/>
    <w:rsid w:val="00B867DA"/>
    <w:rsid w:val="00B8788F"/>
    <w:rsid w:val="00B87BC5"/>
    <w:rsid w:val="00B87EEB"/>
    <w:rsid w:val="00B9047A"/>
    <w:rsid w:val="00B90C1F"/>
    <w:rsid w:val="00B9104B"/>
    <w:rsid w:val="00B911CF"/>
    <w:rsid w:val="00B91310"/>
    <w:rsid w:val="00B91ABE"/>
    <w:rsid w:val="00B91B56"/>
    <w:rsid w:val="00B92212"/>
    <w:rsid w:val="00B92400"/>
    <w:rsid w:val="00B926AD"/>
    <w:rsid w:val="00B9274A"/>
    <w:rsid w:val="00B9278F"/>
    <w:rsid w:val="00B92D03"/>
    <w:rsid w:val="00B92E6C"/>
    <w:rsid w:val="00B93068"/>
    <w:rsid w:val="00B93336"/>
    <w:rsid w:val="00B933F8"/>
    <w:rsid w:val="00B93723"/>
    <w:rsid w:val="00B93C72"/>
    <w:rsid w:val="00B93CAB"/>
    <w:rsid w:val="00B945D3"/>
    <w:rsid w:val="00B947E4"/>
    <w:rsid w:val="00B94A5E"/>
    <w:rsid w:val="00B953AC"/>
    <w:rsid w:val="00B954B1"/>
    <w:rsid w:val="00B955F8"/>
    <w:rsid w:val="00B95DA0"/>
    <w:rsid w:val="00B96170"/>
    <w:rsid w:val="00B962E2"/>
    <w:rsid w:val="00B96432"/>
    <w:rsid w:val="00B96DC2"/>
    <w:rsid w:val="00B971A2"/>
    <w:rsid w:val="00B9796A"/>
    <w:rsid w:val="00B97D2F"/>
    <w:rsid w:val="00B97E31"/>
    <w:rsid w:val="00BA07A7"/>
    <w:rsid w:val="00BA0981"/>
    <w:rsid w:val="00BA0CC6"/>
    <w:rsid w:val="00BA0F54"/>
    <w:rsid w:val="00BA14AB"/>
    <w:rsid w:val="00BA1555"/>
    <w:rsid w:val="00BA16D5"/>
    <w:rsid w:val="00BA196D"/>
    <w:rsid w:val="00BA1B72"/>
    <w:rsid w:val="00BA2321"/>
    <w:rsid w:val="00BA2735"/>
    <w:rsid w:val="00BA3289"/>
    <w:rsid w:val="00BA3DF1"/>
    <w:rsid w:val="00BA43CB"/>
    <w:rsid w:val="00BA491B"/>
    <w:rsid w:val="00BA50F1"/>
    <w:rsid w:val="00BA57E1"/>
    <w:rsid w:val="00BA603F"/>
    <w:rsid w:val="00BA6084"/>
    <w:rsid w:val="00BA6295"/>
    <w:rsid w:val="00BA6A71"/>
    <w:rsid w:val="00BA7715"/>
    <w:rsid w:val="00BA78E3"/>
    <w:rsid w:val="00BA7B10"/>
    <w:rsid w:val="00BB129B"/>
    <w:rsid w:val="00BB1963"/>
    <w:rsid w:val="00BB1DBF"/>
    <w:rsid w:val="00BB1E19"/>
    <w:rsid w:val="00BB25DF"/>
    <w:rsid w:val="00BB27C0"/>
    <w:rsid w:val="00BB2D1D"/>
    <w:rsid w:val="00BB31E2"/>
    <w:rsid w:val="00BB4243"/>
    <w:rsid w:val="00BB43D9"/>
    <w:rsid w:val="00BB5860"/>
    <w:rsid w:val="00BB645C"/>
    <w:rsid w:val="00BB6682"/>
    <w:rsid w:val="00BB7730"/>
    <w:rsid w:val="00BB7B86"/>
    <w:rsid w:val="00BB7C3C"/>
    <w:rsid w:val="00BB7C89"/>
    <w:rsid w:val="00BB7F06"/>
    <w:rsid w:val="00BC0018"/>
    <w:rsid w:val="00BC03AD"/>
    <w:rsid w:val="00BC044C"/>
    <w:rsid w:val="00BC06D7"/>
    <w:rsid w:val="00BC0A1C"/>
    <w:rsid w:val="00BC0E5A"/>
    <w:rsid w:val="00BC1771"/>
    <w:rsid w:val="00BC1E5C"/>
    <w:rsid w:val="00BC2239"/>
    <w:rsid w:val="00BC2441"/>
    <w:rsid w:val="00BC24F1"/>
    <w:rsid w:val="00BC260C"/>
    <w:rsid w:val="00BC2EC8"/>
    <w:rsid w:val="00BC462C"/>
    <w:rsid w:val="00BC494B"/>
    <w:rsid w:val="00BC5785"/>
    <w:rsid w:val="00BC5B88"/>
    <w:rsid w:val="00BC62D1"/>
    <w:rsid w:val="00BC640D"/>
    <w:rsid w:val="00BC6EE0"/>
    <w:rsid w:val="00BC7003"/>
    <w:rsid w:val="00BC74E5"/>
    <w:rsid w:val="00BC760A"/>
    <w:rsid w:val="00BC76F2"/>
    <w:rsid w:val="00BC78B4"/>
    <w:rsid w:val="00BC7C26"/>
    <w:rsid w:val="00BC7CE3"/>
    <w:rsid w:val="00BD02BF"/>
    <w:rsid w:val="00BD03F7"/>
    <w:rsid w:val="00BD04E6"/>
    <w:rsid w:val="00BD10A1"/>
    <w:rsid w:val="00BD1173"/>
    <w:rsid w:val="00BD15F1"/>
    <w:rsid w:val="00BD1CFE"/>
    <w:rsid w:val="00BD243D"/>
    <w:rsid w:val="00BD295B"/>
    <w:rsid w:val="00BD2A55"/>
    <w:rsid w:val="00BD2AD8"/>
    <w:rsid w:val="00BD3E29"/>
    <w:rsid w:val="00BD400A"/>
    <w:rsid w:val="00BD4657"/>
    <w:rsid w:val="00BD529B"/>
    <w:rsid w:val="00BD52A8"/>
    <w:rsid w:val="00BD54CF"/>
    <w:rsid w:val="00BD6751"/>
    <w:rsid w:val="00BD6A61"/>
    <w:rsid w:val="00BD6BE3"/>
    <w:rsid w:val="00BD743A"/>
    <w:rsid w:val="00BE0123"/>
    <w:rsid w:val="00BE0660"/>
    <w:rsid w:val="00BE0762"/>
    <w:rsid w:val="00BE0AE4"/>
    <w:rsid w:val="00BE0E59"/>
    <w:rsid w:val="00BE14A9"/>
    <w:rsid w:val="00BE184A"/>
    <w:rsid w:val="00BE19EA"/>
    <w:rsid w:val="00BE1D30"/>
    <w:rsid w:val="00BE25DA"/>
    <w:rsid w:val="00BE35CA"/>
    <w:rsid w:val="00BE3884"/>
    <w:rsid w:val="00BE3DBD"/>
    <w:rsid w:val="00BE4F0A"/>
    <w:rsid w:val="00BE5114"/>
    <w:rsid w:val="00BE58E9"/>
    <w:rsid w:val="00BE5A94"/>
    <w:rsid w:val="00BE6062"/>
    <w:rsid w:val="00BE608E"/>
    <w:rsid w:val="00BE637A"/>
    <w:rsid w:val="00BE649A"/>
    <w:rsid w:val="00BE6862"/>
    <w:rsid w:val="00BE6F30"/>
    <w:rsid w:val="00BE7B24"/>
    <w:rsid w:val="00BF004E"/>
    <w:rsid w:val="00BF0D8F"/>
    <w:rsid w:val="00BF122C"/>
    <w:rsid w:val="00BF18E1"/>
    <w:rsid w:val="00BF195C"/>
    <w:rsid w:val="00BF220A"/>
    <w:rsid w:val="00BF24E3"/>
    <w:rsid w:val="00BF29F8"/>
    <w:rsid w:val="00BF2BD5"/>
    <w:rsid w:val="00BF301D"/>
    <w:rsid w:val="00BF340C"/>
    <w:rsid w:val="00BF3526"/>
    <w:rsid w:val="00BF3BDB"/>
    <w:rsid w:val="00BF4516"/>
    <w:rsid w:val="00BF472A"/>
    <w:rsid w:val="00BF4BD8"/>
    <w:rsid w:val="00BF532C"/>
    <w:rsid w:val="00BF586D"/>
    <w:rsid w:val="00BF621A"/>
    <w:rsid w:val="00BF628E"/>
    <w:rsid w:val="00BF6CA6"/>
    <w:rsid w:val="00BF6CD7"/>
    <w:rsid w:val="00BF6D24"/>
    <w:rsid w:val="00BF70EB"/>
    <w:rsid w:val="00BF7B76"/>
    <w:rsid w:val="00C0039A"/>
    <w:rsid w:val="00C00C8A"/>
    <w:rsid w:val="00C00DDB"/>
    <w:rsid w:val="00C01335"/>
    <w:rsid w:val="00C013BE"/>
    <w:rsid w:val="00C019AA"/>
    <w:rsid w:val="00C019E6"/>
    <w:rsid w:val="00C01BDB"/>
    <w:rsid w:val="00C023A9"/>
    <w:rsid w:val="00C027C4"/>
    <w:rsid w:val="00C02DB1"/>
    <w:rsid w:val="00C0371F"/>
    <w:rsid w:val="00C0405B"/>
    <w:rsid w:val="00C0474C"/>
    <w:rsid w:val="00C04AAA"/>
    <w:rsid w:val="00C04F09"/>
    <w:rsid w:val="00C05A9A"/>
    <w:rsid w:val="00C07030"/>
    <w:rsid w:val="00C072E9"/>
    <w:rsid w:val="00C101FB"/>
    <w:rsid w:val="00C107F0"/>
    <w:rsid w:val="00C1106E"/>
    <w:rsid w:val="00C1106F"/>
    <w:rsid w:val="00C11081"/>
    <w:rsid w:val="00C11FF1"/>
    <w:rsid w:val="00C120CF"/>
    <w:rsid w:val="00C125C3"/>
    <w:rsid w:val="00C12EB8"/>
    <w:rsid w:val="00C140D5"/>
    <w:rsid w:val="00C143CA"/>
    <w:rsid w:val="00C14501"/>
    <w:rsid w:val="00C147F9"/>
    <w:rsid w:val="00C14C10"/>
    <w:rsid w:val="00C1509A"/>
    <w:rsid w:val="00C157B1"/>
    <w:rsid w:val="00C158A8"/>
    <w:rsid w:val="00C15B31"/>
    <w:rsid w:val="00C15F0D"/>
    <w:rsid w:val="00C161F8"/>
    <w:rsid w:val="00C1695A"/>
    <w:rsid w:val="00C16987"/>
    <w:rsid w:val="00C16C30"/>
    <w:rsid w:val="00C16EB5"/>
    <w:rsid w:val="00C171BB"/>
    <w:rsid w:val="00C174E3"/>
    <w:rsid w:val="00C17920"/>
    <w:rsid w:val="00C17AD6"/>
    <w:rsid w:val="00C17FC1"/>
    <w:rsid w:val="00C20165"/>
    <w:rsid w:val="00C2055A"/>
    <w:rsid w:val="00C20ECC"/>
    <w:rsid w:val="00C212C5"/>
    <w:rsid w:val="00C21AC0"/>
    <w:rsid w:val="00C21EE1"/>
    <w:rsid w:val="00C22010"/>
    <w:rsid w:val="00C22424"/>
    <w:rsid w:val="00C22AB1"/>
    <w:rsid w:val="00C22DDA"/>
    <w:rsid w:val="00C230B6"/>
    <w:rsid w:val="00C23C21"/>
    <w:rsid w:val="00C23D19"/>
    <w:rsid w:val="00C241EF"/>
    <w:rsid w:val="00C242AA"/>
    <w:rsid w:val="00C24439"/>
    <w:rsid w:val="00C24550"/>
    <w:rsid w:val="00C24EAF"/>
    <w:rsid w:val="00C250A1"/>
    <w:rsid w:val="00C2519E"/>
    <w:rsid w:val="00C252F7"/>
    <w:rsid w:val="00C255E5"/>
    <w:rsid w:val="00C25834"/>
    <w:rsid w:val="00C26774"/>
    <w:rsid w:val="00C268BA"/>
    <w:rsid w:val="00C26FCB"/>
    <w:rsid w:val="00C2726B"/>
    <w:rsid w:val="00C2742D"/>
    <w:rsid w:val="00C275EB"/>
    <w:rsid w:val="00C27BDD"/>
    <w:rsid w:val="00C302E9"/>
    <w:rsid w:val="00C304D7"/>
    <w:rsid w:val="00C3058E"/>
    <w:rsid w:val="00C309B1"/>
    <w:rsid w:val="00C30AFB"/>
    <w:rsid w:val="00C30C34"/>
    <w:rsid w:val="00C312B1"/>
    <w:rsid w:val="00C31969"/>
    <w:rsid w:val="00C32003"/>
    <w:rsid w:val="00C320C6"/>
    <w:rsid w:val="00C32202"/>
    <w:rsid w:val="00C32543"/>
    <w:rsid w:val="00C32CC9"/>
    <w:rsid w:val="00C32F04"/>
    <w:rsid w:val="00C330A4"/>
    <w:rsid w:val="00C332FB"/>
    <w:rsid w:val="00C33615"/>
    <w:rsid w:val="00C3363B"/>
    <w:rsid w:val="00C33ADF"/>
    <w:rsid w:val="00C33CDB"/>
    <w:rsid w:val="00C33E31"/>
    <w:rsid w:val="00C34558"/>
    <w:rsid w:val="00C34A78"/>
    <w:rsid w:val="00C34B65"/>
    <w:rsid w:val="00C34D2E"/>
    <w:rsid w:val="00C3502D"/>
    <w:rsid w:val="00C354A4"/>
    <w:rsid w:val="00C36C8D"/>
    <w:rsid w:val="00C36E67"/>
    <w:rsid w:val="00C36FB7"/>
    <w:rsid w:val="00C372A3"/>
    <w:rsid w:val="00C374DC"/>
    <w:rsid w:val="00C37784"/>
    <w:rsid w:val="00C377FF"/>
    <w:rsid w:val="00C4036D"/>
    <w:rsid w:val="00C4047B"/>
    <w:rsid w:val="00C40798"/>
    <w:rsid w:val="00C40D61"/>
    <w:rsid w:val="00C41359"/>
    <w:rsid w:val="00C413FB"/>
    <w:rsid w:val="00C421E4"/>
    <w:rsid w:val="00C4263F"/>
    <w:rsid w:val="00C4281F"/>
    <w:rsid w:val="00C42C82"/>
    <w:rsid w:val="00C42CC3"/>
    <w:rsid w:val="00C43C50"/>
    <w:rsid w:val="00C4439B"/>
    <w:rsid w:val="00C4493D"/>
    <w:rsid w:val="00C44AB5"/>
    <w:rsid w:val="00C44FCF"/>
    <w:rsid w:val="00C451B7"/>
    <w:rsid w:val="00C45214"/>
    <w:rsid w:val="00C452B4"/>
    <w:rsid w:val="00C453B3"/>
    <w:rsid w:val="00C458B1"/>
    <w:rsid w:val="00C4607C"/>
    <w:rsid w:val="00C469C4"/>
    <w:rsid w:val="00C46BB3"/>
    <w:rsid w:val="00C46CEC"/>
    <w:rsid w:val="00C4708B"/>
    <w:rsid w:val="00C470D9"/>
    <w:rsid w:val="00C47127"/>
    <w:rsid w:val="00C472A3"/>
    <w:rsid w:val="00C479AD"/>
    <w:rsid w:val="00C47A89"/>
    <w:rsid w:val="00C47B41"/>
    <w:rsid w:val="00C47BAA"/>
    <w:rsid w:val="00C47EB1"/>
    <w:rsid w:val="00C5035E"/>
    <w:rsid w:val="00C50837"/>
    <w:rsid w:val="00C51D28"/>
    <w:rsid w:val="00C51EF4"/>
    <w:rsid w:val="00C51FE1"/>
    <w:rsid w:val="00C5269A"/>
    <w:rsid w:val="00C53C7D"/>
    <w:rsid w:val="00C54084"/>
    <w:rsid w:val="00C54853"/>
    <w:rsid w:val="00C54FE5"/>
    <w:rsid w:val="00C550D2"/>
    <w:rsid w:val="00C554F2"/>
    <w:rsid w:val="00C557F1"/>
    <w:rsid w:val="00C55973"/>
    <w:rsid w:val="00C56A8A"/>
    <w:rsid w:val="00C56FA3"/>
    <w:rsid w:val="00C56FED"/>
    <w:rsid w:val="00C5774A"/>
    <w:rsid w:val="00C579F2"/>
    <w:rsid w:val="00C57B0E"/>
    <w:rsid w:val="00C57BA6"/>
    <w:rsid w:val="00C60515"/>
    <w:rsid w:val="00C608A2"/>
    <w:rsid w:val="00C60AB9"/>
    <w:rsid w:val="00C61282"/>
    <w:rsid w:val="00C614B8"/>
    <w:rsid w:val="00C619E9"/>
    <w:rsid w:val="00C61D8C"/>
    <w:rsid w:val="00C61E78"/>
    <w:rsid w:val="00C61EE3"/>
    <w:rsid w:val="00C61F51"/>
    <w:rsid w:val="00C624B6"/>
    <w:rsid w:val="00C628E5"/>
    <w:rsid w:val="00C62A1F"/>
    <w:rsid w:val="00C62B3E"/>
    <w:rsid w:val="00C62C28"/>
    <w:rsid w:val="00C62C9C"/>
    <w:rsid w:val="00C630B8"/>
    <w:rsid w:val="00C63AE5"/>
    <w:rsid w:val="00C63D20"/>
    <w:rsid w:val="00C6403F"/>
    <w:rsid w:val="00C64426"/>
    <w:rsid w:val="00C645CD"/>
    <w:rsid w:val="00C646BF"/>
    <w:rsid w:val="00C64C6E"/>
    <w:rsid w:val="00C653A0"/>
    <w:rsid w:val="00C656B9"/>
    <w:rsid w:val="00C65721"/>
    <w:rsid w:val="00C65F52"/>
    <w:rsid w:val="00C66D5C"/>
    <w:rsid w:val="00C66EEB"/>
    <w:rsid w:val="00C671B0"/>
    <w:rsid w:val="00C671CB"/>
    <w:rsid w:val="00C6766D"/>
    <w:rsid w:val="00C677D4"/>
    <w:rsid w:val="00C67A8E"/>
    <w:rsid w:val="00C67C7E"/>
    <w:rsid w:val="00C67F69"/>
    <w:rsid w:val="00C70244"/>
    <w:rsid w:val="00C70307"/>
    <w:rsid w:val="00C70BBC"/>
    <w:rsid w:val="00C70BC4"/>
    <w:rsid w:val="00C70E39"/>
    <w:rsid w:val="00C71246"/>
    <w:rsid w:val="00C712BF"/>
    <w:rsid w:val="00C713B4"/>
    <w:rsid w:val="00C717F1"/>
    <w:rsid w:val="00C718BC"/>
    <w:rsid w:val="00C71DB3"/>
    <w:rsid w:val="00C72A90"/>
    <w:rsid w:val="00C73143"/>
    <w:rsid w:val="00C7355A"/>
    <w:rsid w:val="00C73578"/>
    <w:rsid w:val="00C735CD"/>
    <w:rsid w:val="00C74747"/>
    <w:rsid w:val="00C7488E"/>
    <w:rsid w:val="00C748B3"/>
    <w:rsid w:val="00C74B39"/>
    <w:rsid w:val="00C7518C"/>
    <w:rsid w:val="00C75384"/>
    <w:rsid w:val="00C75734"/>
    <w:rsid w:val="00C7684A"/>
    <w:rsid w:val="00C7729A"/>
    <w:rsid w:val="00C774E6"/>
    <w:rsid w:val="00C77543"/>
    <w:rsid w:val="00C777BF"/>
    <w:rsid w:val="00C778CD"/>
    <w:rsid w:val="00C80266"/>
    <w:rsid w:val="00C806F7"/>
    <w:rsid w:val="00C8079A"/>
    <w:rsid w:val="00C80896"/>
    <w:rsid w:val="00C80D03"/>
    <w:rsid w:val="00C81085"/>
    <w:rsid w:val="00C810BC"/>
    <w:rsid w:val="00C819B6"/>
    <w:rsid w:val="00C81C4E"/>
    <w:rsid w:val="00C81FAD"/>
    <w:rsid w:val="00C82258"/>
    <w:rsid w:val="00C82694"/>
    <w:rsid w:val="00C82949"/>
    <w:rsid w:val="00C829C7"/>
    <w:rsid w:val="00C82D76"/>
    <w:rsid w:val="00C82DA2"/>
    <w:rsid w:val="00C83606"/>
    <w:rsid w:val="00C83E18"/>
    <w:rsid w:val="00C841C8"/>
    <w:rsid w:val="00C842CB"/>
    <w:rsid w:val="00C84A98"/>
    <w:rsid w:val="00C84AA0"/>
    <w:rsid w:val="00C84C5B"/>
    <w:rsid w:val="00C8505B"/>
    <w:rsid w:val="00C85456"/>
    <w:rsid w:val="00C856CC"/>
    <w:rsid w:val="00C85DA6"/>
    <w:rsid w:val="00C85FD3"/>
    <w:rsid w:val="00C86242"/>
    <w:rsid w:val="00C86887"/>
    <w:rsid w:val="00C86A8C"/>
    <w:rsid w:val="00C86B5B"/>
    <w:rsid w:val="00C87241"/>
    <w:rsid w:val="00C8778C"/>
    <w:rsid w:val="00C878FE"/>
    <w:rsid w:val="00C87D24"/>
    <w:rsid w:val="00C9049B"/>
    <w:rsid w:val="00C90B2A"/>
    <w:rsid w:val="00C91AF3"/>
    <w:rsid w:val="00C91EBC"/>
    <w:rsid w:val="00C920D4"/>
    <w:rsid w:val="00C92777"/>
    <w:rsid w:val="00C92FA2"/>
    <w:rsid w:val="00C92FC8"/>
    <w:rsid w:val="00C936C8"/>
    <w:rsid w:val="00C94A71"/>
    <w:rsid w:val="00C94AEF"/>
    <w:rsid w:val="00C94FC5"/>
    <w:rsid w:val="00C95697"/>
    <w:rsid w:val="00C95BFB"/>
    <w:rsid w:val="00C96323"/>
    <w:rsid w:val="00C963C6"/>
    <w:rsid w:val="00C96455"/>
    <w:rsid w:val="00C966D0"/>
    <w:rsid w:val="00C96FA8"/>
    <w:rsid w:val="00C971B8"/>
    <w:rsid w:val="00C972F2"/>
    <w:rsid w:val="00C9741D"/>
    <w:rsid w:val="00C977C6"/>
    <w:rsid w:val="00CA0EDD"/>
    <w:rsid w:val="00CA14FD"/>
    <w:rsid w:val="00CA1618"/>
    <w:rsid w:val="00CA1933"/>
    <w:rsid w:val="00CA2586"/>
    <w:rsid w:val="00CA28FE"/>
    <w:rsid w:val="00CA2CE1"/>
    <w:rsid w:val="00CA345C"/>
    <w:rsid w:val="00CA350B"/>
    <w:rsid w:val="00CA35CD"/>
    <w:rsid w:val="00CA3618"/>
    <w:rsid w:val="00CA3B4E"/>
    <w:rsid w:val="00CA4645"/>
    <w:rsid w:val="00CA469E"/>
    <w:rsid w:val="00CA46E7"/>
    <w:rsid w:val="00CA46E8"/>
    <w:rsid w:val="00CA473C"/>
    <w:rsid w:val="00CA4B91"/>
    <w:rsid w:val="00CA50D7"/>
    <w:rsid w:val="00CA5CDE"/>
    <w:rsid w:val="00CA5CEB"/>
    <w:rsid w:val="00CA5DFF"/>
    <w:rsid w:val="00CA5E57"/>
    <w:rsid w:val="00CA6592"/>
    <w:rsid w:val="00CA66F9"/>
    <w:rsid w:val="00CA6819"/>
    <w:rsid w:val="00CA6880"/>
    <w:rsid w:val="00CA68A3"/>
    <w:rsid w:val="00CA68AE"/>
    <w:rsid w:val="00CA6EA5"/>
    <w:rsid w:val="00CA7328"/>
    <w:rsid w:val="00CA7368"/>
    <w:rsid w:val="00CA7388"/>
    <w:rsid w:val="00CA7670"/>
    <w:rsid w:val="00CA7BB0"/>
    <w:rsid w:val="00CB0099"/>
    <w:rsid w:val="00CB05AC"/>
    <w:rsid w:val="00CB0AE0"/>
    <w:rsid w:val="00CB13E7"/>
    <w:rsid w:val="00CB1800"/>
    <w:rsid w:val="00CB2172"/>
    <w:rsid w:val="00CB248C"/>
    <w:rsid w:val="00CB3428"/>
    <w:rsid w:val="00CB4535"/>
    <w:rsid w:val="00CB4E82"/>
    <w:rsid w:val="00CB520B"/>
    <w:rsid w:val="00CB531C"/>
    <w:rsid w:val="00CB5AE7"/>
    <w:rsid w:val="00CB60E2"/>
    <w:rsid w:val="00CB6197"/>
    <w:rsid w:val="00CB6467"/>
    <w:rsid w:val="00CB6578"/>
    <w:rsid w:val="00CB6B4C"/>
    <w:rsid w:val="00CB6D81"/>
    <w:rsid w:val="00CB6E33"/>
    <w:rsid w:val="00CB76A4"/>
    <w:rsid w:val="00CB7D21"/>
    <w:rsid w:val="00CC0002"/>
    <w:rsid w:val="00CC05C0"/>
    <w:rsid w:val="00CC0F7D"/>
    <w:rsid w:val="00CC1605"/>
    <w:rsid w:val="00CC1D48"/>
    <w:rsid w:val="00CC2444"/>
    <w:rsid w:val="00CC2514"/>
    <w:rsid w:val="00CC25D5"/>
    <w:rsid w:val="00CC25E3"/>
    <w:rsid w:val="00CC2D05"/>
    <w:rsid w:val="00CC35C5"/>
    <w:rsid w:val="00CC37A8"/>
    <w:rsid w:val="00CC3805"/>
    <w:rsid w:val="00CC3949"/>
    <w:rsid w:val="00CC3D89"/>
    <w:rsid w:val="00CC4EDA"/>
    <w:rsid w:val="00CC5A1F"/>
    <w:rsid w:val="00CC5AE9"/>
    <w:rsid w:val="00CC5B73"/>
    <w:rsid w:val="00CC5F8B"/>
    <w:rsid w:val="00CC5FCA"/>
    <w:rsid w:val="00CC6103"/>
    <w:rsid w:val="00CC6134"/>
    <w:rsid w:val="00CC6353"/>
    <w:rsid w:val="00CC668C"/>
    <w:rsid w:val="00CC694C"/>
    <w:rsid w:val="00CC7613"/>
    <w:rsid w:val="00CC7E07"/>
    <w:rsid w:val="00CD017E"/>
    <w:rsid w:val="00CD0234"/>
    <w:rsid w:val="00CD0645"/>
    <w:rsid w:val="00CD1168"/>
    <w:rsid w:val="00CD116F"/>
    <w:rsid w:val="00CD181F"/>
    <w:rsid w:val="00CD1947"/>
    <w:rsid w:val="00CD1BF0"/>
    <w:rsid w:val="00CD1F47"/>
    <w:rsid w:val="00CD2012"/>
    <w:rsid w:val="00CD2480"/>
    <w:rsid w:val="00CD25D3"/>
    <w:rsid w:val="00CD2869"/>
    <w:rsid w:val="00CD2A32"/>
    <w:rsid w:val="00CD2C44"/>
    <w:rsid w:val="00CD2D90"/>
    <w:rsid w:val="00CD2EED"/>
    <w:rsid w:val="00CD3187"/>
    <w:rsid w:val="00CD324A"/>
    <w:rsid w:val="00CD33C7"/>
    <w:rsid w:val="00CD3411"/>
    <w:rsid w:val="00CD36AB"/>
    <w:rsid w:val="00CD3861"/>
    <w:rsid w:val="00CD3BCF"/>
    <w:rsid w:val="00CD441E"/>
    <w:rsid w:val="00CD44A7"/>
    <w:rsid w:val="00CD4611"/>
    <w:rsid w:val="00CD4D61"/>
    <w:rsid w:val="00CD4DDA"/>
    <w:rsid w:val="00CD5060"/>
    <w:rsid w:val="00CD5525"/>
    <w:rsid w:val="00CD5746"/>
    <w:rsid w:val="00CD574D"/>
    <w:rsid w:val="00CD5984"/>
    <w:rsid w:val="00CD5A19"/>
    <w:rsid w:val="00CD5EDB"/>
    <w:rsid w:val="00CD62CB"/>
    <w:rsid w:val="00CD647F"/>
    <w:rsid w:val="00CD6E22"/>
    <w:rsid w:val="00CD7723"/>
    <w:rsid w:val="00CD7E44"/>
    <w:rsid w:val="00CE0256"/>
    <w:rsid w:val="00CE0331"/>
    <w:rsid w:val="00CE03E9"/>
    <w:rsid w:val="00CE041B"/>
    <w:rsid w:val="00CE07DF"/>
    <w:rsid w:val="00CE080F"/>
    <w:rsid w:val="00CE0D8D"/>
    <w:rsid w:val="00CE1938"/>
    <w:rsid w:val="00CE1D93"/>
    <w:rsid w:val="00CE1EA9"/>
    <w:rsid w:val="00CE1F0F"/>
    <w:rsid w:val="00CE217E"/>
    <w:rsid w:val="00CE260F"/>
    <w:rsid w:val="00CE2A49"/>
    <w:rsid w:val="00CE2E3B"/>
    <w:rsid w:val="00CE2F01"/>
    <w:rsid w:val="00CE376C"/>
    <w:rsid w:val="00CE3835"/>
    <w:rsid w:val="00CE4083"/>
    <w:rsid w:val="00CE4129"/>
    <w:rsid w:val="00CE42DA"/>
    <w:rsid w:val="00CE4570"/>
    <w:rsid w:val="00CE4C73"/>
    <w:rsid w:val="00CE4C86"/>
    <w:rsid w:val="00CE4DDA"/>
    <w:rsid w:val="00CE5411"/>
    <w:rsid w:val="00CE5997"/>
    <w:rsid w:val="00CE6397"/>
    <w:rsid w:val="00CE6781"/>
    <w:rsid w:val="00CE67CB"/>
    <w:rsid w:val="00CE6B44"/>
    <w:rsid w:val="00CE6D7A"/>
    <w:rsid w:val="00CE6FDE"/>
    <w:rsid w:val="00CE72E7"/>
    <w:rsid w:val="00CE764B"/>
    <w:rsid w:val="00CE772C"/>
    <w:rsid w:val="00CE7B86"/>
    <w:rsid w:val="00CF00CF"/>
    <w:rsid w:val="00CF0154"/>
    <w:rsid w:val="00CF05F6"/>
    <w:rsid w:val="00CF0763"/>
    <w:rsid w:val="00CF099B"/>
    <w:rsid w:val="00CF0AEB"/>
    <w:rsid w:val="00CF0BB9"/>
    <w:rsid w:val="00CF0C94"/>
    <w:rsid w:val="00CF0FCB"/>
    <w:rsid w:val="00CF1ABD"/>
    <w:rsid w:val="00CF292D"/>
    <w:rsid w:val="00CF2B80"/>
    <w:rsid w:val="00CF3244"/>
    <w:rsid w:val="00CF32BE"/>
    <w:rsid w:val="00CF348C"/>
    <w:rsid w:val="00CF39E9"/>
    <w:rsid w:val="00CF3C4A"/>
    <w:rsid w:val="00CF3CCB"/>
    <w:rsid w:val="00CF3EDB"/>
    <w:rsid w:val="00CF40CC"/>
    <w:rsid w:val="00CF420D"/>
    <w:rsid w:val="00CF43A6"/>
    <w:rsid w:val="00CF483D"/>
    <w:rsid w:val="00CF4B55"/>
    <w:rsid w:val="00CF4B5A"/>
    <w:rsid w:val="00CF4ED6"/>
    <w:rsid w:val="00CF58D3"/>
    <w:rsid w:val="00CF5CA0"/>
    <w:rsid w:val="00CF5E2E"/>
    <w:rsid w:val="00CF5F5F"/>
    <w:rsid w:val="00CF66EE"/>
    <w:rsid w:val="00CF6740"/>
    <w:rsid w:val="00CF7717"/>
    <w:rsid w:val="00CF7B90"/>
    <w:rsid w:val="00D000CE"/>
    <w:rsid w:val="00D002ED"/>
    <w:rsid w:val="00D00496"/>
    <w:rsid w:val="00D00FF6"/>
    <w:rsid w:val="00D01138"/>
    <w:rsid w:val="00D014B5"/>
    <w:rsid w:val="00D01782"/>
    <w:rsid w:val="00D019BB"/>
    <w:rsid w:val="00D01DBD"/>
    <w:rsid w:val="00D02332"/>
    <w:rsid w:val="00D02805"/>
    <w:rsid w:val="00D02ABF"/>
    <w:rsid w:val="00D02E34"/>
    <w:rsid w:val="00D03179"/>
    <w:rsid w:val="00D033EA"/>
    <w:rsid w:val="00D03C40"/>
    <w:rsid w:val="00D03EBC"/>
    <w:rsid w:val="00D042A3"/>
    <w:rsid w:val="00D046CE"/>
    <w:rsid w:val="00D049A3"/>
    <w:rsid w:val="00D04BB0"/>
    <w:rsid w:val="00D05173"/>
    <w:rsid w:val="00D05268"/>
    <w:rsid w:val="00D05680"/>
    <w:rsid w:val="00D0569F"/>
    <w:rsid w:val="00D06554"/>
    <w:rsid w:val="00D06AA5"/>
    <w:rsid w:val="00D06F18"/>
    <w:rsid w:val="00D07013"/>
    <w:rsid w:val="00D07600"/>
    <w:rsid w:val="00D0767F"/>
    <w:rsid w:val="00D07771"/>
    <w:rsid w:val="00D107D7"/>
    <w:rsid w:val="00D10871"/>
    <w:rsid w:val="00D109D0"/>
    <w:rsid w:val="00D11729"/>
    <w:rsid w:val="00D117E0"/>
    <w:rsid w:val="00D11E1C"/>
    <w:rsid w:val="00D1227B"/>
    <w:rsid w:val="00D129F4"/>
    <w:rsid w:val="00D12B15"/>
    <w:rsid w:val="00D12EC1"/>
    <w:rsid w:val="00D12FFF"/>
    <w:rsid w:val="00D13129"/>
    <w:rsid w:val="00D1316F"/>
    <w:rsid w:val="00D13835"/>
    <w:rsid w:val="00D139B1"/>
    <w:rsid w:val="00D13A70"/>
    <w:rsid w:val="00D13AAF"/>
    <w:rsid w:val="00D13D1E"/>
    <w:rsid w:val="00D13D81"/>
    <w:rsid w:val="00D144D9"/>
    <w:rsid w:val="00D14540"/>
    <w:rsid w:val="00D14E7A"/>
    <w:rsid w:val="00D15544"/>
    <w:rsid w:val="00D15594"/>
    <w:rsid w:val="00D1571A"/>
    <w:rsid w:val="00D160CF"/>
    <w:rsid w:val="00D1731B"/>
    <w:rsid w:val="00D17417"/>
    <w:rsid w:val="00D17479"/>
    <w:rsid w:val="00D17AAB"/>
    <w:rsid w:val="00D202F2"/>
    <w:rsid w:val="00D207D5"/>
    <w:rsid w:val="00D208FC"/>
    <w:rsid w:val="00D20930"/>
    <w:rsid w:val="00D20A47"/>
    <w:rsid w:val="00D20B8A"/>
    <w:rsid w:val="00D2113B"/>
    <w:rsid w:val="00D21330"/>
    <w:rsid w:val="00D21F57"/>
    <w:rsid w:val="00D2212A"/>
    <w:rsid w:val="00D22C54"/>
    <w:rsid w:val="00D22E5C"/>
    <w:rsid w:val="00D22FF9"/>
    <w:rsid w:val="00D23E56"/>
    <w:rsid w:val="00D24496"/>
    <w:rsid w:val="00D2499D"/>
    <w:rsid w:val="00D24A0F"/>
    <w:rsid w:val="00D2612B"/>
    <w:rsid w:val="00D26E60"/>
    <w:rsid w:val="00D27883"/>
    <w:rsid w:val="00D27DBC"/>
    <w:rsid w:val="00D303BB"/>
    <w:rsid w:val="00D303E6"/>
    <w:rsid w:val="00D3050C"/>
    <w:rsid w:val="00D309DF"/>
    <w:rsid w:val="00D30FF6"/>
    <w:rsid w:val="00D311CF"/>
    <w:rsid w:val="00D31C45"/>
    <w:rsid w:val="00D31CDB"/>
    <w:rsid w:val="00D32AF3"/>
    <w:rsid w:val="00D3352C"/>
    <w:rsid w:val="00D33579"/>
    <w:rsid w:val="00D3498F"/>
    <w:rsid w:val="00D34F84"/>
    <w:rsid w:val="00D35127"/>
    <w:rsid w:val="00D351E1"/>
    <w:rsid w:val="00D3566B"/>
    <w:rsid w:val="00D35A53"/>
    <w:rsid w:val="00D35B50"/>
    <w:rsid w:val="00D35C51"/>
    <w:rsid w:val="00D35F77"/>
    <w:rsid w:val="00D365C4"/>
    <w:rsid w:val="00D36F3C"/>
    <w:rsid w:val="00D37804"/>
    <w:rsid w:val="00D37968"/>
    <w:rsid w:val="00D37FDB"/>
    <w:rsid w:val="00D405AE"/>
    <w:rsid w:val="00D40AF6"/>
    <w:rsid w:val="00D40EB6"/>
    <w:rsid w:val="00D40F71"/>
    <w:rsid w:val="00D4126F"/>
    <w:rsid w:val="00D41871"/>
    <w:rsid w:val="00D419A6"/>
    <w:rsid w:val="00D41AC7"/>
    <w:rsid w:val="00D424D0"/>
    <w:rsid w:val="00D426F2"/>
    <w:rsid w:val="00D43A17"/>
    <w:rsid w:val="00D43C20"/>
    <w:rsid w:val="00D43E11"/>
    <w:rsid w:val="00D440ED"/>
    <w:rsid w:val="00D44225"/>
    <w:rsid w:val="00D44491"/>
    <w:rsid w:val="00D444CE"/>
    <w:rsid w:val="00D44D39"/>
    <w:rsid w:val="00D44FF0"/>
    <w:rsid w:val="00D4537B"/>
    <w:rsid w:val="00D454A3"/>
    <w:rsid w:val="00D4553D"/>
    <w:rsid w:val="00D455DF"/>
    <w:rsid w:val="00D4578C"/>
    <w:rsid w:val="00D45A18"/>
    <w:rsid w:val="00D45B84"/>
    <w:rsid w:val="00D45B90"/>
    <w:rsid w:val="00D45C4D"/>
    <w:rsid w:val="00D46484"/>
    <w:rsid w:val="00D468BC"/>
    <w:rsid w:val="00D4740B"/>
    <w:rsid w:val="00D47A06"/>
    <w:rsid w:val="00D47BC2"/>
    <w:rsid w:val="00D47E4F"/>
    <w:rsid w:val="00D500AF"/>
    <w:rsid w:val="00D5011E"/>
    <w:rsid w:val="00D50284"/>
    <w:rsid w:val="00D5056C"/>
    <w:rsid w:val="00D508B6"/>
    <w:rsid w:val="00D509E7"/>
    <w:rsid w:val="00D50B46"/>
    <w:rsid w:val="00D50C33"/>
    <w:rsid w:val="00D50E02"/>
    <w:rsid w:val="00D51306"/>
    <w:rsid w:val="00D514AB"/>
    <w:rsid w:val="00D51D67"/>
    <w:rsid w:val="00D5243D"/>
    <w:rsid w:val="00D52FC1"/>
    <w:rsid w:val="00D531B5"/>
    <w:rsid w:val="00D532AF"/>
    <w:rsid w:val="00D53746"/>
    <w:rsid w:val="00D53E80"/>
    <w:rsid w:val="00D54136"/>
    <w:rsid w:val="00D54D11"/>
    <w:rsid w:val="00D5614C"/>
    <w:rsid w:val="00D5642D"/>
    <w:rsid w:val="00D56580"/>
    <w:rsid w:val="00D56720"/>
    <w:rsid w:val="00D56764"/>
    <w:rsid w:val="00D56E21"/>
    <w:rsid w:val="00D575C5"/>
    <w:rsid w:val="00D57776"/>
    <w:rsid w:val="00D577B0"/>
    <w:rsid w:val="00D57C0A"/>
    <w:rsid w:val="00D57EAE"/>
    <w:rsid w:val="00D57EEF"/>
    <w:rsid w:val="00D60005"/>
    <w:rsid w:val="00D600A7"/>
    <w:rsid w:val="00D60808"/>
    <w:rsid w:val="00D60A34"/>
    <w:rsid w:val="00D60E79"/>
    <w:rsid w:val="00D61245"/>
    <w:rsid w:val="00D613FD"/>
    <w:rsid w:val="00D61B90"/>
    <w:rsid w:val="00D61C64"/>
    <w:rsid w:val="00D61F20"/>
    <w:rsid w:val="00D621AC"/>
    <w:rsid w:val="00D6240E"/>
    <w:rsid w:val="00D629D5"/>
    <w:rsid w:val="00D6322D"/>
    <w:rsid w:val="00D63388"/>
    <w:rsid w:val="00D63BF4"/>
    <w:rsid w:val="00D64188"/>
    <w:rsid w:val="00D6449F"/>
    <w:rsid w:val="00D6460E"/>
    <w:rsid w:val="00D649EB"/>
    <w:rsid w:val="00D652D8"/>
    <w:rsid w:val="00D666EF"/>
    <w:rsid w:val="00D66AF7"/>
    <w:rsid w:val="00D66E8E"/>
    <w:rsid w:val="00D66FAE"/>
    <w:rsid w:val="00D675EC"/>
    <w:rsid w:val="00D67813"/>
    <w:rsid w:val="00D67F92"/>
    <w:rsid w:val="00D7016D"/>
    <w:rsid w:val="00D7023A"/>
    <w:rsid w:val="00D7046A"/>
    <w:rsid w:val="00D70A44"/>
    <w:rsid w:val="00D70BEA"/>
    <w:rsid w:val="00D70DEF"/>
    <w:rsid w:val="00D70E6A"/>
    <w:rsid w:val="00D70E85"/>
    <w:rsid w:val="00D7150D"/>
    <w:rsid w:val="00D71B39"/>
    <w:rsid w:val="00D71D83"/>
    <w:rsid w:val="00D72019"/>
    <w:rsid w:val="00D72867"/>
    <w:rsid w:val="00D72D81"/>
    <w:rsid w:val="00D72EA3"/>
    <w:rsid w:val="00D72FB1"/>
    <w:rsid w:val="00D737F6"/>
    <w:rsid w:val="00D738C6"/>
    <w:rsid w:val="00D739A2"/>
    <w:rsid w:val="00D73B5B"/>
    <w:rsid w:val="00D7426E"/>
    <w:rsid w:val="00D7473F"/>
    <w:rsid w:val="00D748C5"/>
    <w:rsid w:val="00D74946"/>
    <w:rsid w:val="00D74C5E"/>
    <w:rsid w:val="00D74C83"/>
    <w:rsid w:val="00D74F32"/>
    <w:rsid w:val="00D75041"/>
    <w:rsid w:val="00D7527A"/>
    <w:rsid w:val="00D75B09"/>
    <w:rsid w:val="00D75D9D"/>
    <w:rsid w:val="00D75E4D"/>
    <w:rsid w:val="00D76775"/>
    <w:rsid w:val="00D76909"/>
    <w:rsid w:val="00D76D0D"/>
    <w:rsid w:val="00D76E7B"/>
    <w:rsid w:val="00D772E6"/>
    <w:rsid w:val="00D777DC"/>
    <w:rsid w:val="00D778D0"/>
    <w:rsid w:val="00D77E8D"/>
    <w:rsid w:val="00D800AC"/>
    <w:rsid w:val="00D806F2"/>
    <w:rsid w:val="00D80EFC"/>
    <w:rsid w:val="00D81122"/>
    <w:rsid w:val="00D81168"/>
    <w:rsid w:val="00D8152D"/>
    <w:rsid w:val="00D819C0"/>
    <w:rsid w:val="00D81D3A"/>
    <w:rsid w:val="00D825C1"/>
    <w:rsid w:val="00D827C4"/>
    <w:rsid w:val="00D82EF0"/>
    <w:rsid w:val="00D836AB"/>
    <w:rsid w:val="00D836C8"/>
    <w:rsid w:val="00D83D08"/>
    <w:rsid w:val="00D84489"/>
    <w:rsid w:val="00D84A3D"/>
    <w:rsid w:val="00D84CDD"/>
    <w:rsid w:val="00D84D26"/>
    <w:rsid w:val="00D85766"/>
    <w:rsid w:val="00D85E9C"/>
    <w:rsid w:val="00D85EB8"/>
    <w:rsid w:val="00D86322"/>
    <w:rsid w:val="00D8643B"/>
    <w:rsid w:val="00D8720A"/>
    <w:rsid w:val="00D87828"/>
    <w:rsid w:val="00D87A0D"/>
    <w:rsid w:val="00D87D2C"/>
    <w:rsid w:val="00D87F07"/>
    <w:rsid w:val="00D90300"/>
    <w:rsid w:val="00D90433"/>
    <w:rsid w:val="00D90959"/>
    <w:rsid w:val="00D90C34"/>
    <w:rsid w:val="00D90F05"/>
    <w:rsid w:val="00D911C7"/>
    <w:rsid w:val="00D913C2"/>
    <w:rsid w:val="00D91454"/>
    <w:rsid w:val="00D9185F"/>
    <w:rsid w:val="00D91D10"/>
    <w:rsid w:val="00D9239B"/>
    <w:rsid w:val="00D9250C"/>
    <w:rsid w:val="00D92875"/>
    <w:rsid w:val="00D931D6"/>
    <w:rsid w:val="00D93467"/>
    <w:rsid w:val="00D93550"/>
    <w:rsid w:val="00D9424A"/>
    <w:rsid w:val="00D94A34"/>
    <w:rsid w:val="00D94CAB"/>
    <w:rsid w:val="00D94D39"/>
    <w:rsid w:val="00D9557C"/>
    <w:rsid w:val="00D95581"/>
    <w:rsid w:val="00D96039"/>
    <w:rsid w:val="00D96160"/>
    <w:rsid w:val="00D961F8"/>
    <w:rsid w:val="00D965CB"/>
    <w:rsid w:val="00D96DD3"/>
    <w:rsid w:val="00D97897"/>
    <w:rsid w:val="00D97D31"/>
    <w:rsid w:val="00DA057C"/>
    <w:rsid w:val="00DA078F"/>
    <w:rsid w:val="00DA0D1E"/>
    <w:rsid w:val="00DA148B"/>
    <w:rsid w:val="00DA15E9"/>
    <w:rsid w:val="00DA18A1"/>
    <w:rsid w:val="00DA195C"/>
    <w:rsid w:val="00DA206D"/>
    <w:rsid w:val="00DA2686"/>
    <w:rsid w:val="00DA2CDF"/>
    <w:rsid w:val="00DA3056"/>
    <w:rsid w:val="00DA305C"/>
    <w:rsid w:val="00DA359B"/>
    <w:rsid w:val="00DA3A08"/>
    <w:rsid w:val="00DA3E75"/>
    <w:rsid w:val="00DA416C"/>
    <w:rsid w:val="00DA419D"/>
    <w:rsid w:val="00DA441D"/>
    <w:rsid w:val="00DA46CD"/>
    <w:rsid w:val="00DA4CF0"/>
    <w:rsid w:val="00DA52C2"/>
    <w:rsid w:val="00DA580C"/>
    <w:rsid w:val="00DA5873"/>
    <w:rsid w:val="00DA588A"/>
    <w:rsid w:val="00DA6384"/>
    <w:rsid w:val="00DA6404"/>
    <w:rsid w:val="00DA6743"/>
    <w:rsid w:val="00DA6AAF"/>
    <w:rsid w:val="00DA6BFD"/>
    <w:rsid w:val="00DA6C48"/>
    <w:rsid w:val="00DA7044"/>
    <w:rsid w:val="00DA71E1"/>
    <w:rsid w:val="00DA7931"/>
    <w:rsid w:val="00DA7A7D"/>
    <w:rsid w:val="00DA7C24"/>
    <w:rsid w:val="00DA7C40"/>
    <w:rsid w:val="00DA7CEB"/>
    <w:rsid w:val="00DA7D49"/>
    <w:rsid w:val="00DB0689"/>
    <w:rsid w:val="00DB0737"/>
    <w:rsid w:val="00DB08D4"/>
    <w:rsid w:val="00DB0FCF"/>
    <w:rsid w:val="00DB117E"/>
    <w:rsid w:val="00DB13C5"/>
    <w:rsid w:val="00DB145F"/>
    <w:rsid w:val="00DB19B1"/>
    <w:rsid w:val="00DB2635"/>
    <w:rsid w:val="00DB28CB"/>
    <w:rsid w:val="00DB2998"/>
    <w:rsid w:val="00DB2B2D"/>
    <w:rsid w:val="00DB2D89"/>
    <w:rsid w:val="00DB321A"/>
    <w:rsid w:val="00DB3240"/>
    <w:rsid w:val="00DB3303"/>
    <w:rsid w:val="00DB38C9"/>
    <w:rsid w:val="00DB39B6"/>
    <w:rsid w:val="00DB3B5C"/>
    <w:rsid w:val="00DB4011"/>
    <w:rsid w:val="00DB4208"/>
    <w:rsid w:val="00DB50A1"/>
    <w:rsid w:val="00DB51F4"/>
    <w:rsid w:val="00DB533B"/>
    <w:rsid w:val="00DB5378"/>
    <w:rsid w:val="00DB541A"/>
    <w:rsid w:val="00DB56EB"/>
    <w:rsid w:val="00DB570E"/>
    <w:rsid w:val="00DB5E62"/>
    <w:rsid w:val="00DB5EFD"/>
    <w:rsid w:val="00DB620E"/>
    <w:rsid w:val="00DB7CC6"/>
    <w:rsid w:val="00DB7D64"/>
    <w:rsid w:val="00DC08C9"/>
    <w:rsid w:val="00DC09AF"/>
    <w:rsid w:val="00DC0D11"/>
    <w:rsid w:val="00DC0F51"/>
    <w:rsid w:val="00DC1A5F"/>
    <w:rsid w:val="00DC1A86"/>
    <w:rsid w:val="00DC1B25"/>
    <w:rsid w:val="00DC2616"/>
    <w:rsid w:val="00DC344C"/>
    <w:rsid w:val="00DC387C"/>
    <w:rsid w:val="00DC3D32"/>
    <w:rsid w:val="00DC420B"/>
    <w:rsid w:val="00DC4329"/>
    <w:rsid w:val="00DC445C"/>
    <w:rsid w:val="00DC4613"/>
    <w:rsid w:val="00DC4A2C"/>
    <w:rsid w:val="00DC4A61"/>
    <w:rsid w:val="00DC4BAE"/>
    <w:rsid w:val="00DC5085"/>
    <w:rsid w:val="00DC5F66"/>
    <w:rsid w:val="00DC6FD1"/>
    <w:rsid w:val="00DC71E1"/>
    <w:rsid w:val="00DC73DA"/>
    <w:rsid w:val="00DC7491"/>
    <w:rsid w:val="00DD0F93"/>
    <w:rsid w:val="00DD1259"/>
    <w:rsid w:val="00DD17BA"/>
    <w:rsid w:val="00DD1994"/>
    <w:rsid w:val="00DD1DD1"/>
    <w:rsid w:val="00DD1DDF"/>
    <w:rsid w:val="00DD2455"/>
    <w:rsid w:val="00DD2C1A"/>
    <w:rsid w:val="00DD2C38"/>
    <w:rsid w:val="00DD2DDD"/>
    <w:rsid w:val="00DD350E"/>
    <w:rsid w:val="00DD385B"/>
    <w:rsid w:val="00DD3A55"/>
    <w:rsid w:val="00DD3D54"/>
    <w:rsid w:val="00DD4648"/>
    <w:rsid w:val="00DD481F"/>
    <w:rsid w:val="00DD58CE"/>
    <w:rsid w:val="00DD5A60"/>
    <w:rsid w:val="00DD5EAC"/>
    <w:rsid w:val="00DD6255"/>
    <w:rsid w:val="00DD6C4C"/>
    <w:rsid w:val="00DD6CCE"/>
    <w:rsid w:val="00DD781D"/>
    <w:rsid w:val="00DD79E4"/>
    <w:rsid w:val="00DD7C4F"/>
    <w:rsid w:val="00DE002D"/>
    <w:rsid w:val="00DE022E"/>
    <w:rsid w:val="00DE05E1"/>
    <w:rsid w:val="00DE0A2A"/>
    <w:rsid w:val="00DE15C1"/>
    <w:rsid w:val="00DE1760"/>
    <w:rsid w:val="00DE2149"/>
    <w:rsid w:val="00DE2451"/>
    <w:rsid w:val="00DE27B2"/>
    <w:rsid w:val="00DE3003"/>
    <w:rsid w:val="00DE30F6"/>
    <w:rsid w:val="00DE3177"/>
    <w:rsid w:val="00DE34A2"/>
    <w:rsid w:val="00DE3629"/>
    <w:rsid w:val="00DE389F"/>
    <w:rsid w:val="00DE434F"/>
    <w:rsid w:val="00DE436F"/>
    <w:rsid w:val="00DE43E9"/>
    <w:rsid w:val="00DE4EE0"/>
    <w:rsid w:val="00DE5A1D"/>
    <w:rsid w:val="00DE5A88"/>
    <w:rsid w:val="00DE5B8A"/>
    <w:rsid w:val="00DE5BA5"/>
    <w:rsid w:val="00DE62EB"/>
    <w:rsid w:val="00DE7885"/>
    <w:rsid w:val="00DE7C13"/>
    <w:rsid w:val="00DE7C3C"/>
    <w:rsid w:val="00DE7CBF"/>
    <w:rsid w:val="00DF0CAD"/>
    <w:rsid w:val="00DF0F18"/>
    <w:rsid w:val="00DF1834"/>
    <w:rsid w:val="00DF1B23"/>
    <w:rsid w:val="00DF23AF"/>
    <w:rsid w:val="00DF273A"/>
    <w:rsid w:val="00DF2A4B"/>
    <w:rsid w:val="00DF2CA1"/>
    <w:rsid w:val="00DF2F05"/>
    <w:rsid w:val="00DF2FE2"/>
    <w:rsid w:val="00DF33D2"/>
    <w:rsid w:val="00DF3831"/>
    <w:rsid w:val="00DF3CBB"/>
    <w:rsid w:val="00DF3DA4"/>
    <w:rsid w:val="00DF4008"/>
    <w:rsid w:val="00DF44B0"/>
    <w:rsid w:val="00DF47E0"/>
    <w:rsid w:val="00DF494F"/>
    <w:rsid w:val="00DF4ACE"/>
    <w:rsid w:val="00DF4C76"/>
    <w:rsid w:val="00DF4D5A"/>
    <w:rsid w:val="00DF4DC4"/>
    <w:rsid w:val="00DF4FC5"/>
    <w:rsid w:val="00DF576D"/>
    <w:rsid w:val="00DF5B4B"/>
    <w:rsid w:val="00DF5DD1"/>
    <w:rsid w:val="00DF5F63"/>
    <w:rsid w:val="00DF5F75"/>
    <w:rsid w:val="00DF6153"/>
    <w:rsid w:val="00DF64E8"/>
    <w:rsid w:val="00DF65F6"/>
    <w:rsid w:val="00DF67CF"/>
    <w:rsid w:val="00DF689D"/>
    <w:rsid w:val="00DF6F3F"/>
    <w:rsid w:val="00DF6FB1"/>
    <w:rsid w:val="00DF7138"/>
    <w:rsid w:val="00DF79AF"/>
    <w:rsid w:val="00DF7CDF"/>
    <w:rsid w:val="00DF7D4B"/>
    <w:rsid w:val="00DF7ED6"/>
    <w:rsid w:val="00E003CE"/>
    <w:rsid w:val="00E00E03"/>
    <w:rsid w:val="00E013D6"/>
    <w:rsid w:val="00E0192E"/>
    <w:rsid w:val="00E01BC5"/>
    <w:rsid w:val="00E0225F"/>
    <w:rsid w:val="00E02877"/>
    <w:rsid w:val="00E02910"/>
    <w:rsid w:val="00E03181"/>
    <w:rsid w:val="00E03187"/>
    <w:rsid w:val="00E034C8"/>
    <w:rsid w:val="00E03720"/>
    <w:rsid w:val="00E03FE7"/>
    <w:rsid w:val="00E04663"/>
    <w:rsid w:val="00E0510B"/>
    <w:rsid w:val="00E05599"/>
    <w:rsid w:val="00E059F0"/>
    <w:rsid w:val="00E05C5D"/>
    <w:rsid w:val="00E0650D"/>
    <w:rsid w:val="00E06964"/>
    <w:rsid w:val="00E06EDC"/>
    <w:rsid w:val="00E07507"/>
    <w:rsid w:val="00E0761B"/>
    <w:rsid w:val="00E0779B"/>
    <w:rsid w:val="00E07AD3"/>
    <w:rsid w:val="00E10732"/>
    <w:rsid w:val="00E107C4"/>
    <w:rsid w:val="00E108BE"/>
    <w:rsid w:val="00E10D09"/>
    <w:rsid w:val="00E10D6E"/>
    <w:rsid w:val="00E10EF6"/>
    <w:rsid w:val="00E11035"/>
    <w:rsid w:val="00E11036"/>
    <w:rsid w:val="00E11493"/>
    <w:rsid w:val="00E11A65"/>
    <w:rsid w:val="00E11BD2"/>
    <w:rsid w:val="00E11D5B"/>
    <w:rsid w:val="00E11EE7"/>
    <w:rsid w:val="00E122C2"/>
    <w:rsid w:val="00E1245E"/>
    <w:rsid w:val="00E12E12"/>
    <w:rsid w:val="00E12ECC"/>
    <w:rsid w:val="00E12FCF"/>
    <w:rsid w:val="00E13219"/>
    <w:rsid w:val="00E13399"/>
    <w:rsid w:val="00E1371A"/>
    <w:rsid w:val="00E140A8"/>
    <w:rsid w:val="00E144BA"/>
    <w:rsid w:val="00E1475B"/>
    <w:rsid w:val="00E15646"/>
    <w:rsid w:val="00E15B89"/>
    <w:rsid w:val="00E16679"/>
    <w:rsid w:val="00E16FA9"/>
    <w:rsid w:val="00E17550"/>
    <w:rsid w:val="00E1778D"/>
    <w:rsid w:val="00E17A70"/>
    <w:rsid w:val="00E17B02"/>
    <w:rsid w:val="00E17E0B"/>
    <w:rsid w:val="00E2031A"/>
    <w:rsid w:val="00E20611"/>
    <w:rsid w:val="00E209D7"/>
    <w:rsid w:val="00E20DB6"/>
    <w:rsid w:val="00E21332"/>
    <w:rsid w:val="00E2186F"/>
    <w:rsid w:val="00E21EA0"/>
    <w:rsid w:val="00E2217E"/>
    <w:rsid w:val="00E2219F"/>
    <w:rsid w:val="00E22462"/>
    <w:rsid w:val="00E224CB"/>
    <w:rsid w:val="00E22C03"/>
    <w:rsid w:val="00E22F9A"/>
    <w:rsid w:val="00E23275"/>
    <w:rsid w:val="00E2366F"/>
    <w:rsid w:val="00E23838"/>
    <w:rsid w:val="00E23AB5"/>
    <w:rsid w:val="00E2400A"/>
    <w:rsid w:val="00E24875"/>
    <w:rsid w:val="00E251B8"/>
    <w:rsid w:val="00E25379"/>
    <w:rsid w:val="00E25565"/>
    <w:rsid w:val="00E257AC"/>
    <w:rsid w:val="00E25C02"/>
    <w:rsid w:val="00E25C58"/>
    <w:rsid w:val="00E26201"/>
    <w:rsid w:val="00E26A6A"/>
    <w:rsid w:val="00E271D8"/>
    <w:rsid w:val="00E27ABB"/>
    <w:rsid w:val="00E27E4B"/>
    <w:rsid w:val="00E27ED2"/>
    <w:rsid w:val="00E30755"/>
    <w:rsid w:val="00E308BA"/>
    <w:rsid w:val="00E309F0"/>
    <w:rsid w:val="00E30E4A"/>
    <w:rsid w:val="00E30F81"/>
    <w:rsid w:val="00E30F92"/>
    <w:rsid w:val="00E312CF"/>
    <w:rsid w:val="00E3130D"/>
    <w:rsid w:val="00E3149E"/>
    <w:rsid w:val="00E314CB"/>
    <w:rsid w:val="00E31998"/>
    <w:rsid w:val="00E319BF"/>
    <w:rsid w:val="00E31C7B"/>
    <w:rsid w:val="00E31D28"/>
    <w:rsid w:val="00E31E10"/>
    <w:rsid w:val="00E3297C"/>
    <w:rsid w:val="00E329E7"/>
    <w:rsid w:val="00E32AC6"/>
    <w:rsid w:val="00E32BF2"/>
    <w:rsid w:val="00E331C7"/>
    <w:rsid w:val="00E33402"/>
    <w:rsid w:val="00E33650"/>
    <w:rsid w:val="00E33782"/>
    <w:rsid w:val="00E339B0"/>
    <w:rsid w:val="00E34BC4"/>
    <w:rsid w:val="00E34DD7"/>
    <w:rsid w:val="00E354DD"/>
    <w:rsid w:val="00E35D0C"/>
    <w:rsid w:val="00E365E5"/>
    <w:rsid w:val="00E3696E"/>
    <w:rsid w:val="00E36B20"/>
    <w:rsid w:val="00E36BA7"/>
    <w:rsid w:val="00E36F94"/>
    <w:rsid w:val="00E373A6"/>
    <w:rsid w:val="00E374E3"/>
    <w:rsid w:val="00E378AB"/>
    <w:rsid w:val="00E379A3"/>
    <w:rsid w:val="00E37CD6"/>
    <w:rsid w:val="00E37DA2"/>
    <w:rsid w:val="00E40424"/>
    <w:rsid w:val="00E40AA1"/>
    <w:rsid w:val="00E40AFB"/>
    <w:rsid w:val="00E40C34"/>
    <w:rsid w:val="00E412A1"/>
    <w:rsid w:val="00E41A6E"/>
    <w:rsid w:val="00E426C0"/>
    <w:rsid w:val="00E427F2"/>
    <w:rsid w:val="00E43CF1"/>
    <w:rsid w:val="00E43E28"/>
    <w:rsid w:val="00E44043"/>
    <w:rsid w:val="00E449C0"/>
    <w:rsid w:val="00E44EBB"/>
    <w:rsid w:val="00E44F26"/>
    <w:rsid w:val="00E45115"/>
    <w:rsid w:val="00E45532"/>
    <w:rsid w:val="00E459BB"/>
    <w:rsid w:val="00E45A22"/>
    <w:rsid w:val="00E45FE4"/>
    <w:rsid w:val="00E4625E"/>
    <w:rsid w:val="00E463FC"/>
    <w:rsid w:val="00E465B9"/>
    <w:rsid w:val="00E46622"/>
    <w:rsid w:val="00E4666B"/>
    <w:rsid w:val="00E467BA"/>
    <w:rsid w:val="00E4699C"/>
    <w:rsid w:val="00E46BA8"/>
    <w:rsid w:val="00E46CD7"/>
    <w:rsid w:val="00E478AB"/>
    <w:rsid w:val="00E47D18"/>
    <w:rsid w:val="00E50092"/>
    <w:rsid w:val="00E5062A"/>
    <w:rsid w:val="00E50A41"/>
    <w:rsid w:val="00E514FB"/>
    <w:rsid w:val="00E51827"/>
    <w:rsid w:val="00E52B2A"/>
    <w:rsid w:val="00E52FEE"/>
    <w:rsid w:val="00E53090"/>
    <w:rsid w:val="00E5326B"/>
    <w:rsid w:val="00E53485"/>
    <w:rsid w:val="00E53611"/>
    <w:rsid w:val="00E53B35"/>
    <w:rsid w:val="00E54127"/>
    <w:rsid w:val="00E54E0C"/>
    <w:rsid w:val="00E55107"/>
    <w:rsid w:val="00E55379"/>
    <w:rsid w:val="00E554C1"/>
    <w:rsid w:val="00E5567D"/>
    <w:rsid w:val="00E5577E"/>
    <w:rsid w:val="00E559A5"/>
    <w:rsid w:val="00E55BC7"/>
    <w:rsid w:val="00E55E13"/>
    <w:rsid w:val="00E55F9A"/>
    <w:rsid w:val="00E564B1"/>
    <w:rsid w:val="00E565EE"/>
    <w:rsid w:val="00E56BB2"/>
    <w:rsid w:val="00E56C1D"/>
    <w:rsid w:val="00E5736B"/>
    <w:rsid w:val="00E57909"/>
    <w:rsid w:val="00E601BA"/>
    <w:rsid w:val="00E60493"/>
    <w:rsid w:val="00E60C55"/>
    <w:rsid w:val="00E60D71"/>
    <w:rsid w:val="00E60EFA"/>
    <w:rsid w:val="00E61419"/>
    <w:rsid w:val="00E619F8"/>
    <w:rsid w:val="00E61CBC"/>
    <w:rsid w:val="00E61EAB"/>
    <w:rsid w:val="00E6208A"/>
    <w:rsid w:val="00E62895"/>
    <w:rsid w:val="00E628D7"/>
    <w:rsid w:val="00E62B41"/>
    <w:rsid w:val="00E6319D"/>
    <w:rsid w:val="00E6336B"/>
    <w:rsid w:val="00E63699"/>
    <w:rsid w:val="00E638CF"/>
    <w:rsid w:val="00E6418D"/>
    <w:rsid w:val="00E6448D"/>
    <w:rsid w:val="00E64CEB"/>
    <w:rsid w:val="00E65851"/>
    <w:rsid w:val="00E65B1B"/>
    <w:rsid w:val="00E65BF5"/>
    <w:rsid w:val="00E66A4A"/>
    <w:rsid w:val="00E66B63"/>
    <w:rsid w:val="00E67826"/>
    <w:rsid w:val="00E67B68"/>
    <w:rsid w:val="00E70828"/>
    <w:rsid w:val="00E70946"/>
    <w:rsid w:val="00E70B33"/>
    <w:rsid w:val="00E70D27"/>
    <w:rsid w:val="00E71119"/>
    <w:rsid w:val="00E711EA"/>
    <w:rsid w:val="00E7157F"/>
    <w:rsid w:val="00E71797"/>
    <w:rsid w:val="00E71C7F"/>
    <w:rsid w:val="00E721BA"/>
    <w:rsid w:val="00E73FC8"/>
    <w:rsid w:val="00E73FD9"/>
    <w:rsid w:val="00E744A7"/>
    <w:rsid w:val="00E7455C"/>
    <w:rsid w:val="00E74572"/>
    <w:rsid w:val="00E753A7"/>
    <w:rsid w:val="00E753D8"/>
    <w:rsid w:val="00E7560F"/>
    <w:rsid w:val="00E7582C"/>
    <w:rsid w:val="00E7617F"/>
    <w:rsid w:val="00E76331"/>
    <w:rsid w:val="00E763FC"/>
    <w:rsid w:val="00E7642C"/>
    <w:rsid w:val="00E76DF0"/>
    <w:rsid w:val="00E77298"/>
    <w:rsid w:val="00E8071D"/>
    <w:rsid w:val="00E80AFE"/>
    <w:rsid w:val="00E80B57"/>
    <w:rsid w:val="00E80C7C"/>
    <w:rsid w:val="00E813B7"/>
    <w:rsid w:val="00E81762"/>
    <w:rsid w:val="00E8248F"/>
    <w:rsid w:val="00E8253A"/>
    <w:rsid w:val="00E8288D"/>
    <w:rsid w:val="00E84071"/>
    <w:rsid w:val="00E8412F"/>
    <w:rsid w:val="00E845EF"/>
    <w:rsid w:val="00E84682"/>
    <w:rsid w:val="00E84F3D"/>
    <w:rsid w:val="00E84FBC"/>
    <w:rsid w:val="00E85A06"/>
    <w:rsid w:val="00E85C12"/>
    <w:rsid w:val="00E86807"/>
    <w:rsid w:val="00E869C6"/>
    <w:rsid w:val="00E8708D"/>
    <w:rsid w:val="00E87306"/>
    <w:rsid w:val="00E87F78"/>
    <w:rsid w:val="00E90703"/>
    <w:rsid w:val="00E92D13"/>
    <w:rsid w:val="00E93853"/>
    <w:rsid w:val="00E93A9A"/>
    <w:rsid w:val="00E93CCD"/>
    <w:rsid w:val="00E94065"/>
    <w:rsid w:val="00E940D6"/>
    <w:rsid w:val="00E94105"/>
    <w:rsid w:val="00E9424B"/>
    <w:rsid w:val="00E949C2"/>
    <w:rsid w:val="00E94A76"/>
    <w:rsid w:val="00E95063"/>
    <w:rsid w:val="00E95383"/>
    <w:rsid w:val="00E95984"/>
    <w:rsid w:val="00E95BEF"/>
    <w:rsid w:val="00E9635B"/>
    <w:rsid w:val="00E96A42"/>
    <w:rsid w:val="00E96A97"/>
    <w:rsid w:val="00E96E8A"/>
    <w:rsid w:val="00E97243"/>
    <w:rsid w:val="00E978A3"/>
    <w:rsid w:val="00E97E56"/>
    <w:rsid w:val="00EA0000"/>
    <w:rsid w:val="00EA0139"/>
    <w:rsid w:val="00EA028A"/>
    <w:rsid w:val="00EA0601"/>
    <w:rsid w:val="00EA0BD1"/>
    <w:rsid w:val="00EA0C98"/>
    <w:rsid w:val="00EA0EA3"/>
    <w:rsid w:val="00EA11C4"/>
    <w:rsid w:val="00EA1E2A"/>
    <w:rsid w:val="00EA1F7E"/>
    <w:rsid w:val="00EA20E2"/>
    <w:rsid w:val="00EA26EA"/>
    <w:rsid w:val="00EA27FB"/>
    <w:rsid w:val="00EA299B"/>
    <w:rsid w:val="00EA2A72"/>
    <w:rsid w:val="00EA2B3D"/>
    <w:rsid w:val="00EA2DDB"/>
    <w:rsid w:val="00EA30D2"/>
    <w:rsid w:val="00EA3167"/>
    <w:rsid w:val="00EA31F5"/>
    <w:rsid w:val="00EA32C4"/>
    <w:rsid w:val="00EA38C0"/>
    <w:rsid w:val="00EA3C6E"/>
    <w:rsid w:val="00EA4851"/>
    <w:rsid w:val="00EA4EAC"/>
    <w:rsid w:val="00EA5AD0"/>
    <w:rsid w:val="00EA5CF9"/>
    <w:rsid w:val="00EA6577"/>
    <w:rsid w:val="00EA6FED"/>
    <w:rsid w:val="00EA7004"/>
    <w:rsid w:val="00EA7021"/>
    <w:rsid w:val="00EA75AC"/>
    <w:rsid w:val="00EA77DE"/>
    <w:rsid w:val="00EB0CF4"/>
    <w:rsid w:val="00EB200D"/>
    <w:rsid w:val="00EB24F0"/>
    <w:rsid w:val="00EB2BFA"/>
    <w:rsid w:val="00EB2C5B"/>
    <w:rsid w:val="00EB31F0"/>
    <w:rsid w:val="00EB378C"/>
    <w:rsid w:val="00EB3B44"/>
    <w:rsid w:val="00EB4179"/>
    <w:rsid w:val="00EB4392"/>
    <w:rsid w:val="00EB43DF"/>
    <w:rsid w:val="00EB4528"/>
    <w:rsid w:val="00EB5110"/>
    <w:rsid w:val="00EB5551"/>
    <w:rsid w:val="00EB569B"/>
    <w:rsid w:val="00EB5B37"/>
    <w:rsid w:val="00EB5DBC"/>
    <w:rsid w:val="00EB6334"/>
    <w:rsid w:val="00EB6738"/>
    <w:rsid w:val="00EB6A3E"/>
    <w:rsid w:val="00EB6BCB"/>
    <w:rsid w:val="00EB6E3C"/>
    <w:rsid w:val="00EB7A20"/>
    <w:rsid w:val="00EC005D"/>
    <w:rsid w:val="00EC05ED"/>
    <w:rsid w:val="00EC05F4"/>
    <w:rsid w:val="00EC0792"/>
    <w:rsid w:val="00EC109C"/>
    <w:rsid w:val="00EC1774"/>
    <w:rsid w:val="00EC1D6E"/>
    <w:rsid w:val="00EC1F27"/>
    <w:rsid w:val="00EC20EA"/>
    <w:rsid w:val="00EC2100"/>
    <w:rsid w:val="00EC271F"/>
    <w:rsid w:val="00EC2DA7"/>
    <w:rsid w:val="00EC3428"/>
    <w:rsid w:val="00EC34C3"/>
    <w:rsid w:val="00EC3608"/>
    <w:rsid w:val="00EC37B2"/>
    <w:rsid w:val="00EC3E98"/>
    <w:rsid w:val="00EC436C"/>
    <w:rsid w:val="00EC45BE"/>
    <w:rsid w:val="00EC4912"/>
    <w:rsid w:val="00EC4AB1"/>
    <w:rsid w:val="00EC4B4D"/>
    <w:rsid w:val="00EC4CC1"/>
    <w:rsid w:val="00EC510A"/>
    <w:rsid w:val="00EC556D"/>
    <w:rsid w:val="00EC569F"/>
    <w:rsid w:val="00EC5D15"/>
    <w:rsid w:val="00EC6340"/>
    <w:rsid w:val="00EC63EE"/>
    <w:rsid w:val="00EC651C"/>
    <w:rsid w:val="00EC6589"/>
    <w:rsid w:val="00EC688A"/>
    <w:rsid w:val="00EC6A50"/>
    <w:rsid w:val="00EC6FCC"/>
    <w:rsid w:val="00EC7952"/>
    <w:rsid w:val="00EC799E"/>
    <w:rsid w:val="00EC7FC6"/>
    <w:rsid w:val="00ED0674"/>
    <w:rsid w:val="00ED0933"/>
    <w:rsid w:val="00ED1080"/>
    <w:rsid w:val="00ED11DD"/>
    <w:rsid w:val="00ED1B87"/>
    <w:rsid w:val="00ED2D2B"/>
    <w:rsid w:val="00ED2FDF"/>
    <w:rsid w:val="00ED3123"/>
    <w:rsid w:val="00ED3FB2"/>
    <w:rsid w:val="00ED40F1"/>
    <w:rsid w:val="00ED4107"/>
    <w:rsid w:val="00ED45A5"/>
    <w:rsid w:val="00ED48A4"/>
    <w:rsid w:val="00ED4BC8"/>
    <w:rsid w:val="00ED4D60"/>
    <w:rsid w:val="00ED6D34"/>
    <w:rsid w:val="00ED6DF4"/>
    <w:rsid w:val="00ED7274"/>
    <w:rsid w:val="00ED733C"/>
    <w:rsid w:val="00ED73AB"/>
    <w:rsid w:val="00ED7C3F"/>
    <w:rsid w:val="00ED7C60"/>
    <w:rsid w:val="00EE08E8"/>
    <w:rsid w:val="00EE0D59"/>
    <w:rsid w:val="00EE1249"/>
    <w:rsid w:val="00EE1632"/>
    <w:rsid w:val="00EE1652"/>
    <w:rsid w:val="00EE2385"/>
    <w:rsid w:val="00EE2E4B"/>
    <w:rsid w:val="00EE2E8D"/>
    <w:rsid w:val="00EE2FBD"/>
    <w:rsid w:val="00EE36C1"/>
    <w:rsid w:val="00EE3962"/>
    <w:rsid w:val="00EE3A13"/>
    <w:rsid w:val="00EE3FEB"/>
    <w:rsid w:val="00EE419B"/>
    <w:rsid w:val="00EE4271"/>
    <w:rsid w:val="00EE43FC"/>
    <w:rsid w:val="00EE49CF"/>
    <w:rsid w:val="00EE563F"/>
    <w:rsid w:val="00EE5667"/>
    <w:rsid w:val="00EE6938"/>
    <w:rsid w:val="00EE6EDF"/>
    <w:rsid w:val="00EE759B"/>
    <w:rsid w:val="00EE7644"/>
    <w:rsid w:val="00EE797B"/>
    <w:rsid w:val="00EF05AC"/>
    <w:rsid w:val="00EF07D0"/>
    <w:rsid w:val="00EF0D97"/>
    <w:rsid w:val="00EF1248"/>
    <w:rsid w:val="00EF1BA1"/>
    <w:rsid w:val="00EF1D84"/>
    <w:rsid w:val="00EF273D"/>
    <w:rsid w:val="00EF2756"/>
    <w:rsid w:val="00EF2ACF"/>
    <w:rsid w:val="00EF34E0"/>
    <w:rsid w:val="00EF36D6"/>
    <w:rsid w:val="00EF3E7C"/>
    <w:rsid w:val="00EF41BB"/>
    <w:rsid w:val="00EF42ED"/>
    <w:rsid w:val="00EF4621"/>
    <w:rsid w:val="00EF4A49"/>
    <w:rsid w:val="00EF6059"/>
    <w:rsid w:val="00EF665E"/>
    <w:rsid w:val="00EF6BC0"/>
    <w:rsid w:val="00EF6D0F"/>
    <w:rsid w:val="00EF6EC6"/>
    <w:rsid w:val="00EF6EFE"/>
    <w:rsid w:val="00EF7161"/>
    <w:rsid w:val="00EF7429"/>
    <w:rsid w:val="00EF745E"/>
    <w:rsid w:val="00EF78BC"/>
    <w:rsid w:val="00F00528"/>
    <w:rsid w:val="00F009BD"/>
    <w:rsid w:val="00F01237"/>
    <w:rsid w:val="00F012BE"/>
    <w:rsid w:val="00F01B39"/>
    <w:rsid w:val="00F01C83"/>
    <w:rsid w:val="00F01D2F"/>
    <w:rsid w:val="00F01D47"/>
    <w:rsid w:val="00F01FCF"/>
    <w:rsid w:val="00F037E1"/>
    <w:rsid w:val="00F03852"/>
    <w:rsid w:val="00F03AA1"/>
    <w:rsid w:val="00F03D97"/>
    <w:rsid w:val="00F03F26"/>
    <w:rsid w:val="00F04C5D"/>
    <w:rsid w:val="00F050D9"/>
    <w:rsid w:val="00F055BB"/>
    <w:rsid w:val="00F056E6"/>
    <w:rsid w:val="00F060E3"/>
    <w:rsid w:val="00F06329"/>
    <w:rsid w:val="00F063CB"/>
    <w:rsid w:val="00F06534"/>
    <w:rsid w:val="00F070E8"/>
    <w:rsid w:val="00F07D57"/>
    <w:rsid w:val="00F07D7A"/>
    <w:rsid w:val="00F07E3A"/>
    <w:rsid w:val="00F10E17"/>
    <w:rsid w:val="00F10E55"/>
    <w:rsid w:val="00F10E60"/>
    <w:rsid w:val="00F112BB"/>
    <w:rsid w:val="00F1132B"/>
    <w:rsid w:val="00F113B7"/>
    <w:rsid w:val="00F1153E"/>
    <w:rsid w:val="00F11757"/>
    <w:rsid w:val="00F117A8"/>
    <w:rsid w:val="00F1195D"/>
    <w:rsid w:val="00F11ADD"/>
    <w:rsid w:val="00F11D7F"/>
    <w:rsid w:val="00F1222D"/>
    <w:rsid w:val="00F12559"/>
    <w:rsid w:val="00F12A62"/>
    <w:rsid w:val="00F12AB0"/>
    <w:rsid w:val="00F12DA8"/>
    <w:rsid w:val="00F12EC6"/>
    <w:rsid w:val="00F131BC"/>
    <w:rsid w:val="00F132F2"/>
    <w:rsid w:val="00F13AF1"/>
    <w:rsid w:val="00F13F26"/>
    <w:rsid w:val="00F14241"/>
    <w:rsid w:val="00F149C5"/>
    <w:rsid w:val="00F15356"/>
    <w:rsid w:val="00F153B8"/>
    <w:rsid w:val="00F15428"/>
    <w:rsid w:val="00F15437"/>
    <w:rsid w:val="00F155E6"/>
    <w:rsid w:val="00F15C77"/>
    <w:rsid w:val="00F164DA"/>
    <w:rsid w:val="00F16B82"/>
    <w:rsid w:val="00F16F21"/>
    <w:rsid w:val="00F17306"/>
    <w:rsid w:val="00F174B5"/>
    <w:rsid w:val="00F175D0"/>
    <w:rsid w:val="00F17D00"/>
    <w:rsid w:val="00F200B1"/>
    <w:rsid w:val="00F201F6"/>
    <w:rsid w:val="00F20332"/>
    <w:rsid w:val="00F20540"/>
    <w:rsid w:val="00F208DC"/>
    <w:rsid w:val="00F20A4D"/>
    <w:rsid w:val="00F20AAA"/>
    <w:rsid w:val="00F20DE7"/>
    <w:rsid w:val="00F20E91"/>
    <w:rsid w:val="00F20F15"/>
    <w:rsid w:val="00F21347"/>
    <w:rsid w:val="00F21992"/>
    <w:rsid w:val="00F222FC"/>
    <w:rsid w:val="00F22362"/>
    <w:rsid w:val="00F2246D"/>
    <w:rsid w:val="00F22B71"/>
    <w:rsid w:val="00F22DA2"/>
    <w:rsid w:val="00F22ECA"/>
    <w:rsid w:val="00F232B1"/>
    <w:rsid w:val="00F23B3A"/>
    <w:rsid w:val="00F24981"/>
    <w:rsid w:val="00F24986"/>
    <w:rsid w:val="00F24BB7"/>
    <w:rsid w:val="00F24DCF"/>
    <w:rsid w:val="00F252BC"/>
    <w:rsid w:val="00F252CD"/>
    <w:rsid w:val="00F25CA7"/>
    <w:rsid w:val="00F25FC4"/>
    <w:rsid w:val="00F26485"/>
    <w:rsid w:val="00F26E46"/>
    <w:rsid w:val="00F27089"/>
    <w:rsid w:val="00F27409"/>
    <w:rsid w:val="00F275B2"/>
    <w:rsid w:val="00F2792C"/>
    <w:rsid w:val="00F27D04"/>
    <w:rsid w:val="00F27F49"/>
    <w:rsid w:val="00F30645"/>
    <w:rsid w:val="00F31B06"/>
    <w:rsid w:val="00F32441"/>
    <w:rsid w:val="00F32608"/>
    <w:rsid w:val="00F32A85"/>
    <w:rsid w:val="00F33EDB"/>
    <w:rsid w:val="00F340CC"/>
    <w:rsid w:val="00F341A9"/>
    <w:rsid w:val="00F341DB"/>
    <w:rsid w:val="00F34A3C"/>
    <w:rsid w:val="00F34D96"/>
    <w:rsid w:val="00F3599C"/>
    <w:rsid w:val="00F35AC7"/>
    <w:rsid w:val="00F3608D"/>
    <w:rsid w:val="00F362F5"/>
    <w:rsid w:val="00F367EF"/>
    <w:rsid w:val="00F36C44"/>
    <w:rsid w:val="00F36FF0"/>
    <w:rsid w:val="00F3706A"/>
    <w:rsid w:val="00F37A2B"/>
    <w:rsid w:val="00F37CD5"/>
    <w:rsid w:val="00F37E5C"/>
    <w:rsid w:val="00F41128"/>
    <w:rsid w:val="00F416A2"/>
    <w:rsid w:val="00F41A71"/>
    <w:rsid w:val="00F41A95"/>
    <w:rsid w:val="00F41BF0"/>
    <w:rsid w:val="00F4297D"/>
    <w:rsid w:val="00F42DC0"/>
    <w:rsid w:val="00F4304A"/>
    <w:rsid w:val="00F43505"/>
    <w:rsid w:val="00F43AAB"/>
    <w:rsid w:val="00F43B43"/>
    <w:rsid w:val="00F43D2F"/>
    <w:rsid w:val="00F445BE"/>
    <w:rsid w:val="00F445CB"/>
    <w:rsid w:val="00F44962"/>
    <w:rsid w:val="00F450B4"/>
    <w:rsid w:val="00F451FE"/>
    <w:rsid w:val="00F45648"/>
    <w:rsid w:val="00F45DE8"/>
    <w:rsid w:val="00F460F5"/>
    <w:rsid w:val="00F464FA"/>
    <w:rsid w:val="00F46F17"/>
    <w:rsid w:val="00F47145"/>
    <w:rsid w:val="00F47384"/>
    <w:rsid w:val="00F473E3"/>
    <w:rsid w:val="00F474FF"/>
    <w:rsid w:val="00F476A4"/>
    <w:rsid w:val="00F47CE5"/>
    <w:rsid w:val="00F5007F"/>
    <w:rsid w:val="00F507AA"/>
    <w:rsid w:val="00F50D44"/>
    <w:rsid w:val="00F5100B"/>
    <w:rsid w:val="00F522EF"/>
    <w:rsid w:val="00F52E7F"/>
    <w:rsid w:val="00F53247"/>
    <w:rsid w:val="00F533BE"/>
    <w:rsid w:val="00F541B0"/>
    <w:rsid w:val="00F546EC"/>
    <w:rsid w:val="00F54C02"/>
    <w:rsid w:val="00F551E1"/>
    <w:rsid w:val="00F5557A"/>
    <w:rsid w:val="00F5560A"/>
    <w:rsid w:val="00F55A82"/>
    <w:rsid w:val="00F55E87"/>
    <w:rsid w:val="00F55F21"/>
    <w:rsid w:val="00F561FF"/>
    <w:rsid w:val="00F562D5"/>
    <w:rsid w:val="00F56BA7"/>
    <w:rsid w:val="00F5722D"/>
    <w:rsid w:val="00F579E5"/>
    <w:rsid w:val="00F6006A"/>
    <w:rsid w:val="00F60318"/>
    <w:rsid w:val="00F60406"/>
    <w:rsid w:val="00F60515"/>
    <w:rsid w:val="00F6060E"/>
    <w:rsid w:val="00F60C4A"/>
    <w:rsid w:val="00F60EC6"/>
    <w:rsid w:val="00F60F8B"/>
    <w:rsid w:val="00F62588"/>
    <w:rsid w:val="00F62830"/>
    <w:rsid w:val="00F62BDA"/>
    <w:rsid w:val="00F62CA3"/>
    <w:rsid w:val="00F63043"/>
    <w:rsid w:val="00F63466"/>
    <w:rsid w:val="00F6387A"/>
    <w:rsid w:val="00F638ED"/>
    <w:rsid w:val="00F647E1"/>
    <w:rsid w:val="00F6484E"/>
    <w:rsid w:val="00F65257"/>
    <w:rsid w:val="00F656EC"/>
    <w:rsid w:val="00F6674D"/>
    <w:rsid w:val="00F67126"/>
    <w:rsid w:val="00F67788"/>
    <w:rsid w:val="00F679D2"/>
    <w:rsid w:val="00F67FD2"/>
    <w:rsid w:val="00F700AB"/>
    <w:rsid w:val="00F7021E"/>
    <w:rsid w:val="00F703CB"/>
    <w:rsid w:val="00F7092A"/>
    <w:rsid w:val="00F7094F"/>
    <w:rsid w:val="00F709AA"/>
    <w:rsid w:val="00F70AD7"/>
    <w:rsid w:val="00F70C78"/>
    <w:rsid w:val="00F70EB9"/>
    <w:rsid w:val="00F71181"/>
    <w:rsid w:val="00F71CEF"/>
    <w:rsid w:val="00F71E7B"/>
    <w:rsid w:val="00F723F0"/>
    <w:rsid w:val="00F72668"/>
    <w:rsid w:val="00F7279F"/>
    <w:rsid w:val="00F728E3"/>
    <w:rsid w:val="00F72993"/>
    <w:rsid w:val="00F72FF9"/>
    <w:rsid w:val="00F734F2"/>
    <w:rsid w:val="00F7371D"/>
    <w:rsid w:val="00F73C61"/>
    <w:rsid w:val="00F73D97"/>
    <w:rsid w:val="00F741FF"/>
    <w:rsid w:val="00F7432F"/>
    <w:rsid w:val="00F743AB"/>
    <w:rsid w:val="00F74570"/>
    <w:rsid w:val="00F748F4"/>
    <w:rsid w:val="00F74D4F"/>
    <w:rsid w:val="00F74EB9"/>
    <w:rsid w:val="00F755E9"/>
    <w:rsid w:val="00F757A0"/>
    <w:rsid w:val="00F757D6"/>
    <w:rsid w:val="00F7628B"/>
    <w:rsid w:val="00F766BA"/>
    <w:rsid w:val="00F7749C"/>
    <w:rsid w:val="00F7786E"/>
    <w:rsid w:val="00F77D08"/>
    <w:rsid w:val="00F8001F"/>
    <w:rsid w:val="00F80775"/>
    <w:rsid w:val="00F807F3"/>
    <w:rsid w:val="00F81153"/>
    <w:rsid w:val="00F814C3"/>
    <w:rsid w:val="00F815AC"/>
    <w:rsid w:val="00F81DA6"/>
    <w:rsid w:val="00F8264F"/>
    <w:rsid w:val="00F8278B"/>
    <w:rsid w:val="00F829D1"/>
    <w:rsid w:val="00F82B43"/>
    <w:rsid w:val="00F82C98"/>
    <w:rsid w:val="00F834AA"/>
    <w:rsid w:val="00F83A9F"/>
    <w:rsid w:val="00F83AB3"/>
    <w:rsid w:val="00F84EFB"/>
    <w:rsid w:val="00F8500B"/>
    <w:rsid w:val="00F85E1E"/>
    <w:rsid w:val="00F86064"/>
    <w:rsid w:val="00F864AF"/>
    <w:rsid w:val="00F86956"/>
    <w:rsid w:val="00F86CDC"/>
    <w:rsid w:val="00F873D1"/>
    <w:rsid w:val="00F87449"/>
    <w:rsid w:val="00F90086"/>
    <w:rsid w:val="00F90492"/>
    <w:rsid w:val="00F9130C"/>
    <w:rsid w:val="00F913BA"/>
    <w:rsid w:val="00F92516"/>
    <w:rsid w:val="00F9251C"/>
    <w:rsid w:val="00F929CE"/>
    <w:rsid w:val="00F929EF"/>
    <w:rsid w:val="00F92B3D"/>
    <w:rsid w:val="00F92BD7"/>
    <w:rsid w:val="00F92C55"/>
    <w:rsid w:val="00F932F9"/>
    <w:rsid w:val="00F938D5"/>
    <w:rsid w:val="00F93C35"/>
    <w:rsid w:val="00F946FC"/>
    <w:rsid w:val="00F951B3"/>
    <w:rsid w:val="00F95697"/>
    <w:rsid w:val="00F965E8"/>
    <w:rsid w:val="00F96B19"/>
    <w:rsid w:val="00F96DEE"/>
    <w:rsid w:val="00F97511"/>
    <w:rsid w:val="00F97721"/>
    <w:rsid w:val="00F97A68"/>
    <w:rsid w:val="00F97C4A"/>
    <w:rsid w:val="00F97E34"/>
    <w:rsid w:val="00FA01DF"/>
    <w:rsid w:val="00FA0305"/>
    <w:rsid w:val="00FA03B8"/>
    <w:rsid w:val="00FA09C0"/>
    <w:rsid w:val="00FA1147"/>
    <w:rsid w:val="00FA1B66"/>
    <w:rsid w:val="00FA1DB6"/>
    <w:rsid w:val="00FA2194"/>
    <w:rsid w:val="00FA25B7"/>
    <w:rsid w:val="00FA2C22"/>
    <w:rsid w:val="00FA2CA0"/>
    <w:rsid w:val="00FA33F2"/>
    <w:rsid w:val="00FA372B"/>
    <w:rsid w:val="00FA37AF"/>
    <w:rsid w:val="00FA3A60"/>
    <w:rsid w:val="00FA3CA7"/>
    <w:rsid w:val="00FA444F"/>
    <w:rsid w:val="00FA5706"/>
    <w:rsid w:val="00FA58FE"/>
    <w:rsid w:val="00FA5E55"/>
    <w:rsid w:val="00FA6FE2"/>
    <w:rsid w:val="00FA7178"/>
    <w:rsid w:val="00FA7545"/>
    <w:rsid w:val="00FA7706"/>
    <w:rsid w:val="00FB027F"/>
    <w:rsid w:val="00FB03C8"/>
    <w:rsid w:val="00FB06D3"/>
    <w:rsid w:val="00FB0839"/>
    <w:rsid w:val="00FB08FE"/>
    <w:rsid w:val="00FB0B67"/>
    <w:rsid w:val="00FB0D90"/>
    <w:rsid w:val="00FB116F"/>
    <w:rsid w:val="00FB13C4"/>
    <w:rsid w:val="00FB15FA"/>
    <w:rsid w:val="00FB191B"/>
    <w:rsid w:val="00FB1991"/>
    <w:rsid w:val="00FB1C49"/>
    <w:rsid w:val="00FB2586"/>
    <w:rsid w:val="00FB26D3"/>
    <w:rsid w:val="00FB2BCF"/>
    <w:rsid w:val="00FB2FC9"/>
    <w:rsid w:val="00FB34FF"/>
    <w:rsid w:val="00FB390E"/>
    <w:rsid w:val="00FB3B25"/>
    <w:rsid w:val="00FB3C5E"/>
    <w:rsid w:val="00FB3FFA"/>
    <w:rsid w:val="00FB4054"/>
    <w:rsid w:val="00FB46CC"/>
    <w:rsid w:val="00FB48DD"/>
    <w:rsid w:val="00FB4A22"/>
    <w:rsid w:val="00FB58BE"/>
    <w:rsid w:val="00FB5ACD"/>
    <w:rsid w:val="00FB5B62"/>
    <w:rsid w:val="00FB6744"/>
    <w:rsid w:val="00FB6866"/>
    <w:rsid w:val="00FB6C9C"/>
    <w:rsid w:val="00FB7710"/>
    <w:rsid w:val="00FB77CF"/>
    <w:rsid w:val="00FC0670"/>
    <w:rsid w:val="00FC0F14"/>
    <w:rsid w:val="00FC109A"/>
    <w:rsid w:val="00FC10C9"/>
    <w:rsid w:val="00FC15AC"/>
    <w:rsid w:val="00FC183E"/>
    <w:rsid w:val="00FC1953"/>
    <w:rsid w:val="00FC2070"/>
    <w:rsid w:val="00FC20B0"/>
    <w:rsid w:val="00FC217D"/>
    <w:rsid w:val="00FC264E"/>
    <w:rsid w:val="00FC3152"/>
    <w:rsid w:val="00FC3475"/>
    <w:rsid w:val="00FC37DF"/>
    <w:rsid w:val="00FC3946"/>
    <w:rsid w:val="00FC3DE3"/>
    <w:rsid w:val="00FC4087"/>
    <w:rsid w:val="00FC40F9"/>
    <w:rsid w:val="00FC4180"/>
    <w:rsid w:val="00FC4695"/>
    <w:rsid w:val="00FC54DF"/>
    <w:rsid w:val="00FC568F"/>
    <w:rsid w:val="00FC5DE4"/>
    <w:rsid w:val="00FC5F47"/>
    <w:rsid w:val="00FC6749"/>
    <w:rsid w:val="00FC6A26"/>
    <w:rsid w:val="00FC7C63"/>
    <w:rsid w:val="00FC7CAA"/>
    <w:rsid w:val="00FC7F3F"/>
    <w:rsid w:val="00FD0CE7"/>
    <w:rsid w:val="00FD0FB1"/>
    <w:rsid w:val="00FD18BE"/>
    <w:rsid w:val="00FD1F97"/>
    <w:rsid w:val="00FD2689"/>
    <w:rsid w:val="00FD2B26"/>
    <w:rsid w:val="00FD307C"/>
    <w:rsid w:val="00FD30D9"/>
    <w:rsid w:val="00FD371A"/>
    <w:rsid w:val="00FD3762"/>
    <w:rsid w:val="00FD40FB"/>
    <w:rsid w:val="00FD4331"/>
    <w:rsid w:val="00FD4499"/>
    <w:rsid w:val="00FD44D4"/>
    <w:rsid w:val="00FD468C"/>
    <w:rsid w:val="00FD53D3"/>
    <w:rsid w:val="00FD5778"/>
    <w:rsid w:val="00FD595C"/>
    <w:rsid w:val="00FD6131"/>
    <w:rsid w:val="00FD6189"/>
    <w:rsid w:val="00FD6540"/>
    <w:rsid w:val="00FD67A9"/>
    <w:rsid w:val="00FD7E9F"/>
    <w:rsid w:val="00FE11E5"/>
    <w:rsid w:val="00FE11F5"/>
    <w:rsid w:val="00FE1758"/>
    <w:rsid w:val="00FE1DAE"/>
    <w:rsid w:val="00FE248E"/>
    <w:rsid w:val="00FE361E"/>
    <w:rsid w:val="00FE3B31"/>
    <w:rsid w:val="00FE3FFC"/>
    <w:rsid w:val="00FE4073"/>
    <w:rsid w:val="00FE42F7"/>
    <w:rsid w:val="00FE4896"/>
    <w:rsid w:val="00FE48F6"/>
    <w:rsid w:val="00FE4907"/>
    <w:rsid w:val="00FE493D"/>
    <w:rsid w:val="00FE4B78"/>
    <w:rsid w:val="00FE4B7B"/>
    <w:rsid w:val="00FE4F4F"/>
    <w:rsid w:val="00FE5183"/>
    <w:rsid w:val="00FE5644"/>
    <w:rsid w:val="00FE56E3"/>
    <w:rsid w:val="00FE5A53"/>
    <w:rsid w:val="00FE63C3"/>
    <w:rsid w:val="00FE75C6"/>
    <w:rsid w:val="00FE76EC"/>
    <w:rsid w:val="00FE77A8"/>
    <w:rsid w:val="00FE78D8"/>
    <w:rsid w:val="00FE7FBA"/>
    <w:rsid w:val="00FF008E"/>
    <w:rsid w:val="00FF0D77"/>
    <w:rsid w:val="00FF0DA6"/>
    <w:rsid w:val="00FF1B0D"/>
    <w:rsid w:val="00FF1B80"/>
    <w:rsid w:val="00FF222B"/>
    <w:rsid w:val="00FF243F"/>
    <w:rsid w:val="00FF2EF0"/>
    <w:rsid w:val="00FF3005"/>
    <w:rsid w:val="00FF306F"/>
    <w:rsid w:val="00FF3704"/>
    <w:rsid w:val="00FF3839"/>
    <w:rsid w:val="00FF39E2"/>
    <w:rsid w:val="00FF4074"/>
    <w:rsid w:val="00FF4261"/>
    <w:rsid w:val="00FF4747"/>
    <w:rsid w:val="00FF4BBA"/>
    <w:rsid w:val="00FF4FC1"/>
    <w:rsid w:val="00FF52E5"/>
    <w:rsid w:val="00FF5593"/>
    <w:rsid w:val="00FF57D7"/>
    <w:rsid w:val="00FF5D82"/>
    <w:rsid w:val="00FF5DEB"/>
    <w:rsid w:val="00FF6070"/>
    <w:rsid w:val="00FF66EA"/>
    <w:rsid w:val="00FF78E1"/>
    <w:rsid w:val="00FF7A82"/>
    <w:rsid w:val="00FF7AA7"/>
    <w:rsid w:val="00FF7D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4A06ABC"/>
  <w15:docId w15:val="{37BC09B5-1BCB-44EB-96DE-2E4DEC8D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E146E"/>
    <w:rPr>
      <w:sz w:val="24"/>
      <w:szCs w:val="24"/>
    </w:rPr>
  </w:style>
  <w:style w:type="paragraph" w:styleId="Titolo1">
    <w:name w:val="heading 1"/>
    <w:basedOn w:val="Normale"/>
    <w:next w:val="Normale"/>
    <w:link w:val="Titolo1Carattere"/>
    <w:uiPriority w:val="99"/>
    <w:qFormat/>
    <w:rsid w:val="00FB34FF"/>
    <w:pPr>
      <w:keepNext/>
      <w:spacing w:after="120"/>
      <w:jc w:val="both"/>
      <w:outlineLvl w:val="0"/>
    </w:pPr>
    <w:rPr>
      <w:rFonts w:ascii="Verdana" w:hAnsi="Verdana"/>
      <w:b/>
      <w:bCs/>
      <w:sz w:val="22"/>
    </w:rPr>
  </w:style>
  <w:style w:type="paragraph" w:styleId="Titolo2">
    <w:name w:val="heading 2"/>
    <w:basedOn w:val="Normale"/>
    <w:link w:val="Titolo2Carattere"/>
    <w:uiPriority w:val="99"/>
    <w:qFormat/>
    <w:rsid w:val="00FB34FF"/>
    <w:pPr>
      <w:spacing w:after="120"/>
      <w:outlineLvl w:val="1"/>
    </w:pPr>
    <w:rPr>
      <w:rFonts w:ascii="Verdana" w:hAnsi="Verdana"/>
      <w:bCs/>
      <w:i/>
      <w:sz w:val="21"/>
      <w:szCs w:val="36"/>
    </w:rPr>
  </w:style>
  <w:style w:type="paragraph" w:styleId="Titolo3">
    <w:name w:val="heading 3"/>
    <w:basedOn w:val="Normale"/>
    <w:link w:val="Titolo3Carattere"/>
    <w:uiPriority w:val="99"/>
    <w:qFormat/>
    <w:rsid w:val="00FB34FF"/>
    <w:pPr>
      <w:spacing w:before="100" w:beforeAutospacing="1" w:after="100" w:afterAutospacing="1"/>
      <w:outlineLvl w:val="2"/>
    </w:pPr>
    <w:rPr>
      <w:b/>
      <w:bCs/>
      <w:sz w:val="27"/>
      <w:szCs w:val="27"/>
    </w:rPr>
  </w:style>
  <w:style w:type="paragraph" w:styleId="Titolo4">
    <w:name w:val="heading 4"/>
    <w:basedOn w:val="Normale"/>
    <w:next w:val="Normale"/>
    <w:link w:val="Titolo4Carattere"/>
    <w:uiPriority w:val="99"/>
    <w:qFormat/>
    <w:rsid w:val="0007346F"/>
    <w:pPr>
      <w:keepNext/>
      <w:jc w:val="center"/>
      <w:outlineLvl w:val="3"/>
    </w:pPr>
    <w:rPr>
      <w:rFonts w:ascii="Calibri" w:hAnsi="Calibri"/>
      <w:b/>
      <w:bCs/>
      <w:sz w:val="28"/>
      <w:szCs w:val="28"/>
    </w:rPr>
  </w:style>
  <w:style w:type="paragraph" w:styleId="Titolo5">
    <w:name w:val="heading 5"/>
    <w:basedOn w:val="Normale"/>
    <w:next w:val="Normale"/>
    <w:link w:val="Titolo5Carattere"/>
    <w:uiPriority w:val="99"/>
    <w:unhideWhenUsed/>
    <w:qFormat/>
    <w:rsid w:val="0007346F"/>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9"/>
    <w:qFormat/>
    <w:rsid w:val="00FB34FF"/>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FB34FF"/>
    <w:pPr>
      <w:spacing w:before="100" w:beforeAutospacing="1" w:after="100" w:afterAutospacing="1"/>
    </w:pPr>
  </w:style>
  <w:style w:type="paragraph" w:styleId="Intestazione">
    <w:name w:val="header"/>
    <w:basedOn w:val="Normale"/>
    <w:link w:val="IntestazioneCarattere"/>
    <w:uiPriority w:val="99"/>
    <w:rsid w:val="00FB34FF"/>
    <w:pPr>
      <w:tabs>
        <w:tab w:val="center" w:pos="4819"/>
        <w:tab w:val="right" w:pos="9638"/>
      </w:tabs>
      <w:jc w:val="both"/>
    </w:pPr>
    <w:rPr>
      <w:rFonts w:ascii="Garamond" w:hAnsi="Garamond"/>
      <w:sz w:val="28"/>
    </w:rPr>
  </w:style>
  <w:style w:type="paragraph" w:styleId="Pidipagina">
    <w:name w:val="footer"/>
    <w:basedOn w:val="Normale"/>
    <w:link w:val="PidipaginaCarattere"/>
    <w:uiPriority w:val="99"/>
    <w:rsid w:val="00FB34FF"/>
    <w:pPr>
      <w:tabs>
        <w:tab w:val="center" w:pos="4819"/>
        <w:tab w:val="right" w:pos="9638"/>
      </w:tabs>
      <w:jc w:val="both"/>
    </w:pPr>
    <w:rPr>
      <w:rFonts w:ascii="Garamond" w:hAnsi="Garamond"/>
      <w:sz w:val="28"/>
    </w:rPr>
  </w:style>
  <w:style w:type="character" w:styleId="Numeropagina">
    <w:name w:val="page number"/>
    <w:basedOn w:val="Carpredefinitoparagrafo"/>
    <w:uiPriority w:val="99"/>
    <w:rsid w:val="00FB34FF"/>
  </w:style>
  <w:style w:type="paragraph" w:styleId="Testonotaapidipagina">
    <w:name w:val="footnote text"/>
    <w:aliases w:val="A Footnote"/>
    <w:basedOn w:val="Normale"/>
    <w:link w:val="TestonotaapidipaginaCarattere"/>
    <w:uiPriority w:val="99"/>
    <w:rsid w:val="00FB34FF"/>
    <w:rPr>
      <w:sz w:val="20"/>
      <w:szCs w:val="20"/>
    </w:rPr>
  </w:style>
  <w:style w:type="character" w:styleId="Rimandonotaapidipagina">
    <w:name w:val="footnote reference"/>
    <w:aliases w:val="Footnote Reference Superscript,Footnote symbol,Times 10 Point,Exposant 3 Point,Footnote reference number,SUPERS,EN Footnote Reference,note TESI,stylish,number,no...,Footnote Reference/,(Footnote Reference),ftr"/>
    <w:link w:val="ftrefCharCharCharCharCharCharCharCharChar"/>
    <w:uiPriority w:val="99"/>
    <w:qFormat/>
    <w:rsid w:val="00FB34FF"/>
    <w:rPr>
      <w:vertAlign w:val="superscript"/>
    </w:rPr>
  </w:style>
  <w:style w:type="paragraph" w:customStyle="1" w:styleId="vedianche">
    <w:name w:val="vedianche"/>
    <w:basedOn w:val="Normale"/>
    <w:rsid w:val="00FB34FF"/>
    <w:pPr>
      <w:spacing w:before="100" w:beforeAutospacing="1" w:after="100" w:afterAutospacing="1"/>
    </w:pPr>
  </w:style>
  <w:style w:type="character" w:styleId="Collegamentoipertestuale">
    <w:name w:val="Hyperlink"/>
    <w:uiPriority w:val="99"/>
    <w:rsid w:val="00FB34FF"/>
    <w:rPr>
      <w:color w:val="0000FF"/>
      <w:u w:val="single"/>
    </w:rPr>
  </w:style>
  <w:style w:type="paragraph" w:styleId="Rientrocorpodeltesto">
    <w:name w:val="Body Text Indent"/>
    <w:basedOn w:val="Normale"/>
    <w:link w:val="RientrocorpodeltestoCarattere"/>
    <w:uiPriority w:val="99"/>
    <w:rsid w:val="00FB34FF"/>
    <w:pPr>
      <w:spacing w:after="120"/>
      <w:ind w:left="283"/>
      <w:jc w:val="both"/>
    </w:pPr>
    <w:rPr>
      <w:rFonts w:ascii="Verdana" w:hAnsi="Verdana"/>
      <w:sz w:val="22"/>
    </w:rPr>
  </w:style>
  <w:style w:type="paragraph" w:styleId="Corpotesto">
    <w:name w:val="Body Text"/>
    <w:basedOn w:val="Normale"/>
    <w:link w:val="CorpotestoCarattere"/>
    <w:uiPriority w:val="99"/>
    <w:rsid w:val="00FB34FF"/>
    <w:pPr>
      <w:spacing w:line="360" w:lineRule="auto"/>
    </w:pPr>
    <w:rPr>
      <w:rFonts w:ascii="Arial" w:hAnsi="Arial" w:cs="Arial"/>
      <w:b/>
      <w:bCs/>
      <w:szCs w:val="23"/>
    </w:rPr>
  </w:style>
  <w:style w:type="character" w:customStyle="1" w:styleId="apple-style-span">
    <w:name w:val="apple-style-span"/>
    <w:basedOn w:val="Carpredefinitoparagrafo"/>
    <w:rsid w:val="00FB34FF"/>
  </w:style>
  <w:style w:type="paragraph" w:styleId="Corpodeltesto2">
    <w:name w:val="Body Text 2"/>
    <w:basedOn w:val="Normale"/>
    <w:rsid w:val="00FB34FF"/>
    <w:pPr>
      <w:spacing w:after="80" w:line="360" w:lineRule="auto"/>
      <w:jc w:val="both"/>
    </w:pPr>
    <w:rPr>
      <w:rFonts w:ascii="Arial" w:hAnsi="Arial" w:cs="Arial"/>
      <w:sz w:val="23"/>
      <w:szCs w:val="23"/>
    </w:rPr>
  </w:style>
  <w:style w:type="character" w:customStyle="1" w:styleId="apple-converted-space">
    <w:name w:val="apple-converted-space"/>
    <w:basedOn w:val="Carpredefinitoparagrafo"/>
    <w:rsid w:val="00FB34FF"/>
  </w:style>
  <w:style w:type="paragraph" w:styleId="Rientrocorpodeltesto2">
    <w:name w:val="Body Text Indent 2"/>
    <w:basedOn w:val="Normale"/>
    <w:rsid w:val="00FB34FF"/>
    <w:pPr>
      <w:spacing w:after="120"/>
      <w:ind w:left="360"/>
      <w:jc w:val="both"/>
    </w:pPr>
    <w:rPr>
      <w:rFonts w:ascii="Arial" w:hAnsi="Arial" w:cs="Arial"/>
      <w:sz w:val="23"/>
      <w:szCs w:val="23"/>
    </w:rPr>
  </w:style>
  <w:style w:type="paragraph" w:styleId="Rientrocorpodeltesto3">
    <w:name w:val="Body Text Indent 3"/>
    <w:basedOn w:val="Normale"/>
    <w:rsid w:val="00FB34FF"/>
    <w:pPr>
      <w:spacing w:after="120"/>
      <w:ind w:left="540"/>
      <w:jc w:val="both"/>
    </w:pPr>
    <w:rPr>
      <w:rFonts w:ascii="Arial" w:hAnsi="Arial" w:cs="Arial"/>
      <w:sz w:val="23"/>
      <w:szCs w:val="23"/>
    </w:rPr>
  </w:style>
  <w:style w:type="character" w:styleId="Enfasigrassetto">
    <w:name w:val="Strong"/>
    <w:uiPriority w:val="22"/>
    <w:qFormat/>
    <w:rsid w:val="00FB34FF"/>
    <w:rPr>
      <w:b/>
      <w:bCs/>
    </w:rPr>
  </w:style>
  <w:style w:type="character" w:styleId="Enfasicorsivo">
    <w:name w:val="Emphasis"/>
    <w:uiPriority w:val="20"/>
    <w:qFormat/>
    <w:rsid w:val="00FB34FF"/>
    <w:rPr>
      <w:i/>
      <w:iCs/>
    </w:rPr>
  </w:style>
  <w:style w:type="paragraph" w:styleId="Testonormale">
    <w:name w:val="Plain Text"/>
    <w:basedOn w:val="Normale"/>
    <w:link w:val="TestonormaleCarattere"/>
    <w:uiPriority w:val="99"/>
    <w:rsid w:val="00FB34FF"/>
    <w:rPr>
      <w:rFonts w:ascii="Courier New" w:hAnsi="Courier New" w:cs="Courier New"/>
      <w:sz w:val="20"/>
      <w:szCs w:val="20"/>
    </w:rPr>
  </w:style>
  <w:style w:type="paragraph" w:styleId="Corpodeltesto3">
    <w:name w:val="Body Text 3"/>
    <w:basedOn w:val="Normale"/>
    <w:link w:val="Corpodeltesto3Carattere"/>
    <w:uiPriority w:val="99"/>
    <w:rsid w:val="00FB34FF"/>
    <w:pPr>
      <w:spacing w:after="120"/>
    </w:pPr>
    <w:rPr>
      <w:sz w:val="16"/>
      <w:szCs w:val="16"/>
    </w:rPr>
  </w:style>
  <w:style w:type="paragraph" w:customStyle="1" w:styleId="TAVOLARapann">
    <w:name w:val="TAVOLA Rapann"/>
    <w:next w:val="Normale"/>
    <w:link w:val="TAVOLARapannCarattere"/>
    <w:rsid w:val="00FB34FF"/>
    <w:pPr>
      <w:tabs>
        <w:tab w:val="left" w:pos="1276"/>
      </w:tabs>
      <w:spacing w:line="200" w:lineRule="exact"/>
      <w:ind w:left="1276" w:hanging="1276"/>
      <w:jc w:val="both"/>
    </w:pPr>
    <w:rPr>
      <w:rFonts w:ascii="Arial" w:hAnsi="Arial"/>
      <w:b/>
      <w:bCs/>
      <w:sz w:val="18"/>
    </w:rPr>
  </w:style>
  <w:style w:type="character" w:customStyle="1" w:styleId="TAVOLARapannCarattere">
    <w:name w:val="TAVOLA Rapann Carattere"/>
    <w:link w:val="TAVOLARapann"/>
    <w:rsid w:val="00FB34FF"/>
    <w:rPr>
      <w:rFonts w:ascii="Arial" w:hAnsi="Arial"/>
      <w:b/>
      <w:bCs/>
      <w:sz w:val="18"/>
      <w:lang w:val="it-IT" w:eastAsia="it-IT" w:bidi="ar-SA"/>
    </w:rPr>
  </w:style>
  <w:style w:type="paragraph" w:customStyle="1" w:styleId="tesina">
    <w:name w:val="tesina"/>
    <w:basedOn w:val="Normale"/>
    <w:rsid w:val="00FB34FF"/>
    <w:pPr>
      <w:widowControl w:val="0"/>
      <w:autoSpaceDE w:val="0"/>
      <w:autoSpaceDN w:val="0"/>
      <w:adjustRightInd w:val="0"/>
      <w:spacing w:line="285" w:lineRule="atLeast"/>
      <w:ind w:left="390" w:right="390"/>
      <w:jc w:val="both"/>
    </w:pPr>
  </w:style>
  <w:style w:type="paragraph" w:customStyle="1" w:styleId="desc">
    <w:name w:val="desc"/>
    <w:basedOn w:val="Normale"/>
    <w:rsid w:val="00FB34FF"/>
    <w:pPr>
      <w:spacing w:before="100" w:beforeAutospacing="1" w:after="100" w:afterAutospacing="1"/>
    </w:pPr>
  </w:style>
  <w:style w:type="character" w:customStyle="1" w:styleId="glossario">
    <w:name w:val="glossario"/>
    <w:basedOn w:val="Carpredefinitoparagrafo"/>
    <w:rsid w:val="00FB34FF"/>
  </w:style>
  <w:style w:type="paragraph" w:styleId="Testofumetto">
    <w:name w:val="Balloon Text"/>
    <w:basedOn w:val="Normale"/>
    <w:link w:val="TestofumettoCarattere"/>
    <w:uiPriority w:val="99"/>
    <w:rsid w:val="00B506F1"/>
    <w:rPr>
      <w:rFonts w:ascii="Tahoma" w:hAnsi="Tahoma"/>
      <w:sz w:val="16"/>
      <w:szCs w:val="16"/>
    </w:rPr>
  </w:style>
  <w:style w:type="character" w:customStyle="1" w:styleId="TestofumettoCarattere">
    <w:name w:val="Testo fumetto Carattere"/>
    <w:link w:val="Testofumetto"/>
    <w:uiPriority w:val="99"/>
    <w:rsid w:val="00B506F1"/>
    <w:rPr>
      <w:rFonts w:ascii="Tahoma" w:hAnsi="Tahoma" w:cs="Tahoma"/>
      <w:sz w:val="16"/>
      <w:szCs w:val="16"/>
    </w:rPr>
  </w:style>
  <w:style w:type="character" w:styleId="Rimandocommento">
    <w:name w:val="annotation reference"/>
    <w:uiPriority w:val="99"/>
    <w:rsid w:val="002A2D78"/>
    <w:rPr>
      <w:sz w:val="16"/>
      <w:szCs w:val="16"/>
    </w:rPr>
  </w:style>
  <w:style w:type="paragraph" w:styleId="Testocommento">
    <w:name w:val="annotation text"/>
    <w:basedOn w:val="Normale"/>
    <w:link w:val="TestocommentoCarattere"/>
    <w:uiPriority w:val="99"/>
    <w:rsid w:val="002A2D78"/>
    <w:rPr>
      <w:sz w:val="20"/>
      <w:szCs w:val="20"/>
    </w:rPr>
  </w:style>
  <w:style w:type="character" w:customStyle="1" w:styleId="TestocommentoCarattere">
    <w:name w:val="Testo commento Carattere"/>
    <w:basedOn w:val="Carpredefinitoparagrafo"/>
    <w:link w:val="Testocommento"/>
    <w:uiPriority w:val="99"/>
    <w:rsid w:val="002A2D78"/>
  </w:style>
  <w:style w:type="paragraph" w:styleId="Soggettocommento">
    <w:name w:val="annotation subject"/>
    <w:basedOn w:val="Testocommento"/>
    <w:next w:val="Testocommento"/>
    <w:link w:val="SoggettocommentoCarattere"/>
    <w:uiPriority w:val="99"/>
    <w:rsid w:val="002A2D78"/>
    <w:rPr>
      <w:b/>
      <w:bCs/>
    </w:rPr>
  </w:style>
  <w:style w:type="character" w:customStyle="1" w:styleId="SoggettocommentoCarattere">
    <w:name w:val="Soggetto commento Carattere"/>
    <w:link w:val="Soggettocommento"/>
    <w:uiPriority w:val="99"/>
    <w:rsid w:val="002A2D78"/>
    <w:rPr>
      <w:b/>
      <w:bCs/>
    </w:rPr>
  </w:style>
  <w:style w:type="paragraph" w:styleId="Paragrafoelenco">
    <w:name w:val="List Paragraph"/>
    <w:basedOn w:val="Normale"/>
    <w:uiPriority w:val="34"/>
    <w:qFormat/>
    <w:rsid w:val="009C4DFF"/>
    <w:pPr>
      <w:ind w:left="720"/>
      <w:contextualSpacing/>
    </w:pPr>
  </w:style>
  <w:style w:type="character" w:customStyle="1" w:styleId="PidipaginaCarattere">
    <w:name w:val="Piè di pagina Carattere"/>
    <w:basedOn w:val="Carpredefinitoparagrafo"/>
    <w:link w:val="Pidipagina"/>
    <w:uiPriority w:val="99"/>
    <w:rsid w:val="00CC37A8"/>
    <w:rPr>
      <w:rFonts w:ascii="Garamond" w:hAnsi="Garamond"/>
      <w:sz w:val="28"/>
      <w:szCs w:val="24"/>
    </w:rPr>
  </w:style>
  <w:style w:type="character" w:customStyle="1" w:styleId="mw-headline">
    <w:name w:val="mw-headline"/>
    <w:basedOn w:val="Carpredefinitoparagrafo"/>
    <w:rsid w:val="00CF66EE"/>
  </w:style>
  <w:style w:type="table" w:styleId="Grigliatabella">
    <w:name w:val="Table Grid"/>
    <w:basedOn w:val="Tabellanormale"/>
    <w:uiPriority w:val="59"/>
    <w:rsid w:val="00614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B47ED"/>
    <w:rPr>
      <w:sz w:val="24"/>
      <w:szCs w:val="24"/>
    </w:rPr>
  </w:style>
  <w:style w:type="character" w:customStyle="1" w:styleId="IntestazioneCarattere">
    <w:name w:val="Intestazione Carattere"/>
    <w:basedOn w:val="Carpredefinitoparagrafo"/>
    <w:link w:val="Intestazione"/>
    <w:uiPriority w:val="99"/>
    <w:rsid w:val="00DF2FE2"/>
    <w:rPr>
      <w:rFonts w:ascii="Garamond" w:hAnsi="Garamond"/>
      <w:sz w:val="28"/>
      <w:szCs w:val="24"/>
    </w:rPr>
  </w:style>
  <w:style w:type="character" w:customStyle="1" w:styleId="TestonotaapidipaginaCarattere">
    <w:name w:val="Testo nota a piè di pagina Carattere"/>
    <w:aliases w:val="A Footnote Carattere"/>
    <w:basedOn w:val="Carpredefinitoparagrafo"/>
    <w:link w:val="Testonotaapidipagina"/>
    <w:uiPriority w:val="99"/>
    <w:rsid w:val="00DD1259"/>
  </w:style>
  <w:style w:type="paragraph" w:styleId="Testonotadichiusura">
    <w:name w:val="endnote text"/>
    <w:basedOn w:val="Normale"/>
    <w:link w:val="TestonotadichiusuraCarattere"/>
    <w:semiHidden/>
    <w:unhideWhenUsed/>
    <w:rsid w:val="00C91EBC"/>
    <w:rPr>
      <w:sz w:val="20"/>
      <w:szCs w:val="20"/>
    </w:rPr>
  </w:style>
  <w:style w:type="character" w:customStyle="1" w:styleId="TestonotadichiusuraCarattere">
    <w:name w:val="Testo nota di chiusura Carattere"/>
    <w:basedOn w:val="Carpredefinitoparagrafo"/>
    <w:link w:val="Testonotadichiusura"/>
    <w:semiHidden/>
    <w:rsid w:val="00C91EBC"/>
  </w:style>
  <w:style w:type="character" w:styleId="Rimandonotadichiusura">
    <w:name w:val="endnote reference"/>
    <w:basedOn w:val="Carpredefinitoparagrafo"/>
    <w:uiPriority w:val="99"/>
    <w:semiHidden/>
    <w:unhideWhenUsed/>
    <w:rsid w:val="00C91EBC"/>
    <w:rPr>
      <w:vertAlign w:val="superscript"/>
    </w:rPr>
  </w:style>
  <w:style w:type="paragraph" w:customStyle="1" w:styleId="Default">
    <w:name w:val="Default"/>
    <w:rsid w:val="00A2532B"/>
    <w:pPr>
      <w:autoSpaceDE w:val="0"/>
      <w:autoSpaceDN w:val="0"/>
      <w:adjustRightInd w:val="0"/>
    </w:pPr>
    <w:rPr>
      <w:color w:val="000000"/>
      <w:sz w:val="24"/>
      <w:szCs w:val="24"/>
    </w:rPr>
  </w:style>
  <w:style w:type="character" w:customStyle="1" w:styleId="Titolo5Carattere">
    <w:name w:val="Titolo 5 Carattere"/>
    <w:basedOn w:val="Carpredefinitoparagrafo"/>
    <w:link w:val="Titolo5"/>
    <w:uiPriority w:val="99"/>
    <w:semiHidden/>
    <w:rsid w:val="0007346F"/>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9"/>
    <w:rsid w:val="0007346F"/>
    <w:rPr>
      <w:rFonts w:ascii="Calibri" w:hAnsi="Calibri"/>
      <w:b/>
      <w:bCs/>
      <w:sz w:val="28"/>
      <w:szCs w:val="28"/>
    </w:rPr>
  </w:style>
  <w:style w:type="character" w:customStyle="1" w:styleId="Titolo1Carattere">
    <w:name w:val="Titolo 1 Carattere"/>
    <w:basedOn w:val="Carpredefinitoparagrafo"/>
    <w:link w:val="Titolo1"/>
    <w:uiPriority w:val="99"/>
    <w:locked/>
    <w:rsid w:val="0007346F"/>
    <w:rPr>
      <w:rFonts w:ascii="Verdana" w:hAnsi="Verdana"/>
      <w:b/>
      <w:bCs/>
      <w:sz w:val="22"/>
      <w:szCs w:val="24"/>
    </w:rPr>
  </w:style>
  <w:style w:type="character" w:customStyle="1" w:styleId="Titolo2Carattere">
    <w:name w:val="Titolo 2 Carattere"/>
    <w:basedOn w:val="Carpredefinitoparagrafo"/>
    <w:link w:val="Titolo2"/>
    <w:uiPriority w:val="99"/>
    <w:locked/>
    <w:rsid w:val="0007346F"/>
    <w:rPr>
      <w:rFonts w:ascii="Verdana" w:hAnsi="Verdana"/>
      <w:bCs/>
      <w:i/>
      <w:sz w:val="21"/>
      <w:szCs w:val="36"/>
    </w:rPr>
  </w:style>
  <w:style w:type="character" w:customStyle="1" w:styleId="Titolo3Carattere">
    <w:name w:val="Titolo 3 Carattere"/>
    <w:basedOn w:val="Carpredefinitoparagrafo"/>
    <w:link w:val="Titolo3"/>
    <w:uiPriority w:val="99"/>
    <w:locked/>
    <w:rsid w:val="0007346F"/>
    <w:rPr>
      <w:b/>
      <w:bCs/>
      <w:sz w:val="27"/>
      <w:szCs w:val="27"/>
    </w:rPr>
  </w:style>
  <w:style w:type="character" w:customStyle="1" w:styleId="Titolo6Carattere">
    <w:name w:val="Titolo 6 Carattere"/>
    <w:basedOn w:val="Carpredefinitoparagrafo"/>
    <w:link w:val="Titolo6"/>
    <w:uiPriority w:val="99"/>
    <w:locked/>
    <w:rsid w:val="0007346F"/>
    <w:rPr>
      <w:b/>
      <w:bCs/>
      <w:sz w:val="22"/>
      <w:szCs w:val="22"/>
    </w:rPr>
  </w:style>
  <w:style w:type="character" w:customStyle="1" w:styleId="CorpotestoCarattere">
    <w:name w:val="Corpo testo Carattere"/>
    <w:basedOn w:val="Carpredefinitoparagrafo"/>
    <w:link w:val="Corpotesto"/>
    <w:uiPriority w:val="99"/>
    <w:locked/>
    <w:rsid w:val="0007346F"/>
    <w:rPr>
      <w:rFonts w:ascii="Arial" w:hAnsi="Arial" w:cs="Arial"/>
      <w:b/>
      <w:bCs/>
      <w:sz w:val="24"/>
      <w:szCs w:val="23"/>
    </w:rPr>
  </w:style>
  <w:style w:type="character" w:customStyle="1" w:styleId="Corpodeltesto3Carattere">
    <w:name w:val="Corpo del testo 3 Carattere"/>
    <w:basedOn w:val="Carpredefinitoparagrafo"/>
    <w:link w:val="Corpodeltesto3"/>
    <w:uiPriority w:val="99"/>
    <w:locked/>
    <w:rsid w:val="0007346F"/>
    <w:rPr>
      <w:sz w:val="16"/>
      <w:szCs w:val="16"/>
    </w:rPr>
  </w:style>
  <w:style w:type="paragraph" w:styleId="Mappadocumento">
    <w:name w:val="Document Map"/>
    <w:basedOn w:val="Normale"/>
    <w:link w:val="MappadocumentoCarattere"/>
    <w:uiPriority w:val="99"/>
    <w:semiHidden/>
    <w:rsid w:val="0007346F"/>
    <w:pPr>
      <w:shd w:val="clear" w:color="auto" w:fill="000080"/>
    </w:pPr>
    <w:rPr>
      <w:sz w:val="2"/>
      <w:szCs w:val="2"/>
    </w:rPr>
  </w:style>
  <w:style w:type="character" w:customStyle="1" w:styleId="MappadocumentoCarattere">
    <w:name w:val="Mappa documento Carattere"/>
    <w:basedOn w:val="Carpredefinitoparagrafo"/>
    <w:link w:val="Mappadocumento"/>
    <w:uiPriority w:val="99"/>
    <w:semiHidden/>
    <w:rsid w:val="0007346F"/>
    <w:rPr>
      <w:sz w:val="2"/>
      <w:szCs w:val="2"/>
      <w:shd w:val="clear" w:color="auto" w:fill="000080"/>
    </w:rPr>
  </w:style>
  <w:style w:type="character" w:customStyle="1" w:styleId="RientrocorpodeltestoCarattere">
    <w:name w:val="Rientro corpo del testo Carattere"/>
    <w:basedOn w:val="Carpredefinitoparagrafo"/>
    <w:link w:val="Rientrocorpodeltesto"/>
    <w:uiPriority w:val="99"/>
    <w:locked/>
    <w:rsid w:val="0007346F"/>
    <w:rPr>
      <w:rFonts w:ascii="Verdana" w:hAnsi="Verdana"/>
      <w:sz w:val="22"/>
      <w:szCs w:val="24"/>
    </w:rPr>
  </w:style>
  <w:style w:type="paragraph" w:customStyle="1" w:styleId="Comunicato">
    <w:name w:val="Comunicato"/>
    <w:basedOn w:val="Normale"/>
    <w:link w:val="ComunicatoCarattere"/>
    <w:uiPriority w:val="99"/>
    <w:rsid w:val="0007346F"/>
    <w:pPr>
      <w:jc w:val="both"/>
    </w:pPr>
    <w:rPr>
      <w:sz w:val="23"/>
      <w:szCs w:val="20"/>
    </w:rPr>
  </w:style>
  <w:style w:type="character" w:customStyle="1" w:styleId="ComunicatoCarattere">
    <w:name w:val="Comunicato Carattere"/>
    <w:link w:val="Comunicato"/>
    <w:uiPriority w:val="99"/>
    <w:locked/>
    <w:rsid w:val="0007346F"/>
    <w:rPr>
      <w:sz w:val="23"/>
    </w:rPr>
  </w:style>
  <w:style w:type="paragraph" w:styleId="Sommario1">
    <w:name w:val="toc 1"/>
    <w:basedOn w:val="Normale"/>
    <w:next w:val="Normale"/>
    <w:autoRedefine/>
    <w:uiPriority w:val="99"/>
    <w:semiHidden/>
    <w:rsid w:val="0007346F"/>
    <w:pPr>
      <w:tabs>
        <w:tab w:val="right" w:leader="dot" w:pos="9060"/>
      </w:tabs>
      <w:spacing w:before="40" w:after="80"/>
    </w:pPr>
    <w:rPr>
      <w:rFonts w:ascii="Verdana" w:hAnsi="Verdana" w:cs="Verdana"/>
      <w:i/>
      <w:iCs/>
      <w:noProof/>
      <w:color w:val="800000"/>
      <w:sz w:val="18"/>
      <w:szCs w:val="18"/>
    </w:rPr>
  </w:style>
  <w:style w:type="character" w:customStyle="1" w:styleId="TestonormaleCarattere">
    <w:name w:val="Testo normale Carattere"/>
    <w:basedOn w:val="Carpredefinitoparagrafo"/>
    <w:link w:val="Testonormale"/>
    <w:uiPriority w:val="99"/>
    <w:locked/>
    <w:rsid w:val="0007346F"/>
    <w:rPr>
      <w:rFonts w:ascii="Courier New" w:hAnsi="Courier New" w:cs="Courier New"/>
    </w:rPr>
  </w:style>
  <w:style w:type="character" w:customStyle="1" w:styleId="CarattereCarattere9">
    <w:name w:val="Carattere Carattere9"/>
    <w:uiPriority w:val="99"/>
    <w:semiHidden/>
    <w:locked/>
    <w:rsid w:val="0007346F"/>
    <w:rPr>
      <w:sz w:val="20"/>
    </w:rPr>
  </w:style>
  <w:style w:type="character" w:styleId="Collegamentovisitato">
    <w:name w:val="FollowedHyperlink"/>
    <w:basedOn w:val="Carpredefinitoparagrafo"/>
    <w:uiPriority w:val="99"/>
    <w:semiHidden/>
    <w:unhideWhenUsed/>
    <w:rsid w:val="0007346F"/>
    <w:rPr>
      <w:color w:val="800080" w:themeColor="followedHyperlink"/>
      <w:u w:val="single"/>
    </w:rPr>
  </w:style>
  <w:style w:type="table" w:styleId="Sfondochiaro-Colore2">
    <w:name w:val="Light Shading Accent 2"/>
    <w:basedOn w:val="Tabellanormale"/>
    <w:uiPriority w:val="60"/>
    <w:rsid w:val="00695F6B"/>
    <w:rPr>
      <w:rFonts w:asciiTheme="minorHAnsi" w:eastAsiaTheme="minorEastAsia" w:hAnsiTheme="minorHAnsi" w:cstheme="minorBidi"/>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00TitoGra1">
    <w:name w:val="00TitoGra1"/>
    <w:basedOn w:val="Normale"/>
    <w:qFormat/>
    <w:rsid w:val="0038412A"/>
    <w:pPr>
      <w:widowControl w:val="0"/>
      <w:overflowPunct w:val="0"/>
      <w:autoSpaceDE w:val="0"/>
      <w:autoSpaceDN w:val="0"/>
      <w:adjustRightInd w:val="0"/>
      <w:spacing w:line="280" w:lineRule="exact"/>
    </w:pPr>
    <w:rPr>
      <w:rFonts w:ascii="Calibri" w:hAnsi="Calibri" w:cs="Arial"/>
      <w:b/>
      <w:color w:val="D90B13"/>
      <w:kern w:val="28"/>
      <w:sz w:val="28"/>
      <w:szCs w:val="28"/>
    </w:rPr>
  </w:style>
  <w:style w:type="paragraph" w:customStyle="1" w:styleId="ATesto">
    <w:name w:val="A.Testo"/>
    <w:basedOn w:val="Titolo1"/>
    <w:link w:val="ATestoCarattere"/>
    <w:rsid w:val="0091711B"/>
    <w:pPr>
      <w:keepNext w:val="0"/>
      <w:tabs>
        <w:tab w:val="right" w:leader="dot" w:pos="7371"/>
      </w:tabs>
      <w:spacing w:after="0"/>
      <w:ind w:firstLine="397"/>
    </w:pPr>
    <w:rPr>
      <w:rFonts w:ascii="Times New Roman" w:hAnsi="Times New Roman"/>
      <w:b w:val="0"/>
      <w:kern w:val="28"/>
      <w:szCs w:val="22"/>
    </w:rPr>
  </w:style>
  <w:style w:type="character" w:customStyle="1" w:styleId="ATestoCarattere">
    <w:name w:val="A.Testo Carattere"/>
    <w:link w:val="ATesto"/>
    <w:rsid w:val="0091711B"/>
    <w:rPr>
      <w:bCs/>
      <w:kern w:val="28"/>
      <w:sz w:val="22"/>
      <w:szCs w:val="22"/>
    </w:rPr>
  </w:style>
  <w:style w:type="character" w:customStyle="1" w:styleId="seocontent">
    <w:name w:val="seocontent"/>
    <w:basedOn w:val="Carpredefinitoparagrafo"/>
    <w:rsid w:val="00567044"/>
  </w:style>
  <w:style w:type="character" w:customStyle="1" w:styleId="A1">
    <w:name w:val="A1"/>
    <w:uiPriority w:val="99"/>
    <w:rsid w:val="003B5381"/>
    <w:rPr>
      <w:rFonts w:cs="HelveticaCnd-Normal"/>
      <w:color w:val="000000"/>
    </w:rPr>
  </w:style>
  <w:style w:type="paragraph" w:styleId="Nessunaspaziatura">
    <w:name w:val="No Spacing"/>
    <w:link w:val="NessunaspaziaturaCarattere"/>
    <w:uiPriority w:val="1"/>
    <w:qFormat/>
    <w:rsid w:val="0059115B"/>
    <w:rPr>
      <w:sz w:val="24"/>
      <w:szCs w:val="24"/>
      <w:lang w:eastAsia="en-US"/>
    </w:rPr>
  </w:style>
  <w:style w:type="character" w:customStyle="1" w:styleId="NessunaspaziaturaCarattere">
    <w:name w:val="Nessuna spaziatura Carattere"/>
    <w:basedOn w:val="Carpredefinitoparagrafo"/>
    <w:link w:val="Nessunaspaziatura"/>
    <w:uiPriority w:val="1"/>
    <w:rsid w:val="0059115B"/>
    <w:rPr>
      <w:sz w:val="24"/>
      <w:szCs w:val="24"/>
      <w:lang w:eastAsia="en-US"/>
    </w:rPr>
  </w:style>
  <w:style w:type="paragraph" w:customStyle="1" w:styleId="Rientrocorpodeltesto31">
    <w:name w:val="Rientro corpo del testo 31"/>
    <w:basedOn w:val="Normale"/>
    <w:uiPriority w:val="99"/>
    <w:rsid w:val="00555B0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exact"/>
      <w:ind w:left="-567"/>
      <w:jc w:val="both"/>
    </w:pPr>
    <w:rPr>
      <w:spacing w:val="-3"/>
      <w:sz w:val="22"/>
      <w:szCs w:val="23"/>
      <w:lang w:eastAsia="ar-SA"/>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e"/>
    <w:next w:val="Normale"/>
    <w:link w:val="Rimandonotaapidipagina"/>
    <w:uiPriority w:val="99"/>
    <w:rsid w:val="00D913C2"/>
    <w:pPr>
      <w:spacing w:after="160" w:line="240" w:lineRule="exact"/>
    </w:pPr>
    <w:rPr>
      <w:sz w:val="20"/>
      <w:szCs w:val="20"/>
      <w:vertAlign w:val="superscript"/>
    </w:rPr>
  </w:style>
  <w:style w:type="paragraph" w:customStyle="1" w:styleId="Pa0">
    <w:name w:val="Pa0"/>
    <w:basedOn w:val="Default"/>
    <w:next w:val="Default"/>
    <w:uiPriority w:val="99"/>
    <w:rsid w:val="004836CD"/>
    <w:pPr>
      <w:spacing w:line="241" w:lineRule="atLeast"/>
    </w:pPr>
    <w:rPr>
      <w:rFonts w:ascii="Open Sans SemiBold" w:hAnsi="Open Sans SemiBold"/>
      <w:color w:val="auto"/>
    </w:rPr>
  </w:style>
  <w:style w:type="character" w:customStyle="1" w:styleId="Menzionenonrisolta1">
    <w:name w:val="Menzione non risolta1"/>
    <w:basedOn w:val="Carpredefinitoparagrafo"/>
    <w:uiPriority w:val="99"/>
    <w:semiHidden/>
    <w:unhideWhenUsed/>
    <w:rsid w:val="00077664"/>
    <w:rPr>
      <w:color w:val="605E5C"/>
      <w:shd w:val="clear" w:color="auto" w:fill="E1DFDD"/>
    </w:rPr>
  </w:style>
  <w:style w:type="paragraph" w:customStyle="1" w:styleId="ATitoloTavolaFigura">
    <w:name w:val="A.Titolo Tavola/Figura"/>
    <w:link w:val="ATitoloTavolaFiguraCarattere"/>
    <w:rsid w:val="00C23C21"/>
    <w:pPr>
      <w:spacing w:before="440" w:after="180"/>
      <w:ind w:left="1202" w:hanging="1202"/>
      <w:jc w:val="both"/>
      <w:outlineLvl w:val="0"/>
    </w:pPr>
    <w:rPr>
      <w:rFonts w:cs="Arial"/>
      <w:b/>
      <w:szCs w:val="18"/>
    </w:rPr>
  </w:style>
  <w:style w:type="character" w:customStyle="1" w:styleId="ATitoloTavolaFiguraCarattere">
    <w:name w:val="A.Titolo Tavola/Figura Carattere"/>
    <w:link w:val="ATitoloTavolaFigura"/>
    <w:rsid w:val="00C23C21"/>
    <w:rPr>
      <w:rFonts w:cs="Arial"/>
      <w:b/>
      <w:szCs w:val="18"/>
    </w:rPr>
  </w:style>
  <w:style w:type="character" w:customStyle="1" w:styleId="object">
    <w:name w:val="object"/>
    <w:basedOn w:val="Carpredefinitoparagrafo"/>
    <w:rsid w:val="00C101FB"/>
  </w:style>
  <w:style w:type="character" w:customStyle="1" w:styleId="Menzionenonrisolta2">
    <w:name w:val="Menzione non risolta2"/>
    <w:basedOn w:val="Carpredefinitoparagrafo"/>
    <w:uiPriority w:val="99"/>
    <w:semiHidden/>
    <w:unhideWhenUsed/>
    <w:rsid w:val="003A3FE4"/>
    <w:rPr>
      <w:color w:val="605E5C"/>
      <w:shd w:val="clear" w:color="auto" w:fill="E1DFDD"/>
    </w:rPr>
  </w:style>
  <w:style w:type="character" w:customStyle="1" w:styleId="Menzionenonrisolta3">
    <w:name w:val="Menzione non risolta3"/>
    <w:basedOn w:val="Carpredefinitoparagrafo"/>
    <w:uiPriority w:val="99"/>
    <w:semiHidden/>
    <w:unhideWhenUsed/>
    <w:rsid w:val="000B26F7"/>
    <w:rPr>
      <w:color w:val="605E5C"/>
      <w:shd w:val="clear" w:color="auto" w:fill="E1DFDD"/>
    </w:rPr>
  </w:style>
  <w:style w:type="character" w:customStyle="1" w:styleId="Menzionenonrisolta4">
    <w:name w:val="Menzione non risolta4"/>
    <w:basedOn w:val="Carpredefinitoparagrafo"/>
    <w:uiPriority w:val="99"/>
    <w:semiHidden/>
    <w:unhideWhenUsed/>
    <w:rsid w:val="00E97E56"/>
    <w:rPr>
      <w:color w:val="605E5C"/>
      <w:shd w:val="clear" w:color="auto" w:fill="E1DFDD"/>
    </w:rPr>
  </w:style>
  <w:style w:type="character" w:customStyle="1" w:styleId="Menzionenonrisolta5">
    <w:name w:val="Menzione non risolta5"/>
    <w:basedOn w:val="Carpredefinitoparagrafo"/>
    <w:uiPriority w:val="99"/>
    <w:semiHidden/>
    <w:unhideWhenUsed/>
    <w:rsid w:val="009C5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7235">
      <w:bodyDiv w:val="1"/>
      <w:marLeft w:val="0"/>
      <w:marRight w:val="0"/>
      <w:marTop w:val="0"/>
      <w:marBottom w:val="0"/>
      <w:divBdr>
        <w:top w:val="none" w:sz="0" w:space="0" w:color="auto"/>
        <w:left w:val="none" w:sz="0" w:space="0" w:color="auto"/>
        <w:bottom w:val="none" w:sz="0" w:space="0" w:color="auto"/>
        <w:right w:val="none" w:sz="0" w:space="0" w:color="auto"/>
      </w:divBdr>
    </w:div>
    <w:div w:id="11957847">
      <w:bodyDiv w:val="1"/>
      <w:marLeft w:val="0"/>
      <w:marRight w:val="0"/>
      <w:marTop w:val="0"/>
      <w:marBottom w:val="0"/>
      <w:divBdr>
        <w:top w:val="none" w:sz="0" w:space="0" w:color="auto"/>
        <w:left w:val="none" w:sz="0" w:space="0" w:color="auto"/>
        <w:bottom w:val="none" w:sz="0" w:space="0" w:color="auto"/>
        <w:right w:val="none" w:sz="0" w:space="0" w:color="auto"/>
      </w:divBdr>
    </w:div>
    <w:div w:id="21518574">
      <w:bodyDiv w:val="1"/>
      <w:marLeft w:val="0"/>
      <w:marRight w:val="0"/>
      <w:marTop w:val="0"/>
      <w:marBottom w:val="0"/>
      <w:divBdr>
        <w:top w:val="none" w:sz="0" w:space="0" w:color="auto"/>
        <w:left w:val="none" w:sz="0" w:space="0" w:color="auto"/>
        <w:bottom w:val="none" w:sz="0" w:space="0" w:color="auto"/>
        <w:right w:val="none" w:sz="0" w:space="0" w:color="auto"/>
      </w:divBdr>
    </w:div>
    <w:div w:id="35128712">
      <w:bodyDiv w:val="1"/>
      <w:marLeft w:val="0"/>
      <w:marRight w:val="0"/>
      <w:marTop w:val="0"/>
      <w:marBottom w:val="0"/>
      <w:divBdr>
        <w:top w:val="none" w:sz="0" w:space="0" w:color="auto"/>
        <w:left w:val="none" w:sz="0" w:space="0" w:color="auto"/>
        <w:bottom w:val="none" w:sz="0" w:space="0" w:color="auto"/>
        <w:right w:val="none" w:sz="0" w:space="0" w:color="auto"/>
      </w:divBdr>
    </w:div>
    <w:div w:id="38870864">
      <w:bodyDiv w:val="1"/>
      <w:marLeft w:val="0"/>
      <w:marRight w:val="0"/>
      <w:marTop w:val="0"/>
      <w:marBottom w:val="0"/>
      <w:divBdr>
        <w:top w:val="none" w:sz="0" w:space="0" w:color="auto"/>
        <w:left w:val="none" w:sz="0" w:space="0" w:color="auto"/>
        <w:bottom w:val="none" w:sz="0" w:space="0" w:color="auto"/>
        <w:right w:val="none" w:sz="0" w:space="0" w:color="auto"/>
      </w:divBdr>
    </w:div>
    <w:div w:id="82384677">
      <w:bodyDiv w:val="1"/>
      <w:marLeft w:val="0"/>
      <w:marRight w:val="0"/>
      <w:marTop w:val="0"/>
      <w:marBottom w:val="0"/>
      <w:divBdr>
        <w:top w:val="none" w:sz="0" w:space="0" w:color="auto"/>
        <w:left w:val="none" w:sz="0" w:space="0" w:color="auto"/>
        <w:bottom w:val="none" w:sz="0" w:space="0" w:color="auto"/>
        <w:right w:val="none" w:sz="0" w:space="0" w:color="auto"/>
      </w:divBdr>
    </w:div>
    <w:div w:id="86583648">
      <w:bodyDiv w:val="1"/>
      <w:marLeft w:val="0"/>
      <w:marRight w:val="0"/>
      <w:marTop w:val="0"/>
      <w:marBottom w:val="0"/>
      <w:divBdr>
        <w:top w:val="none" w:sz="0" w:space="0" w:color="auto"/>
        <w:left w:val="none" w:sz="0" w:space="0" w:color="auto"/>
        <w:bottom w:val="none" w:sz="0" w:space="0" w:color="auto"/>
        <w:right w:val="none" w:sz="0" w:space="0" w:color="auto"/>
      </w:divBdr>
    </w:div>
    <w:div w:id="110711582">
      <w:bodyDiv w:val="1"/>
      <w:marLeft w:val="0"/>
      <w:marRight w:val="0"/>
      <w:marTop w:val="0"/>
      <w:marBottom w:val="0"/>
      <w:divBdr>
        <w:top w:val="none" w:sz="0" w:space="0" w:color="auto"/>
        <w:left w:val="none" w:sz="0" w:space="0" w:color="auto"/>
        <w:bottom w:val="none" w:sz="0" w:space="0" w:color="auto"/>
        <w:right w:val="none" w:sz="0" w:space="0" w:color="auto"/>
      </w:divBdr>
    </w:div>
    <w:div w:id="190842195">
      <w:bodyDiv w:val="1"/>
      <w:marLeft w:val="0"/>
      <w:marRight w:val="0"/>
      <w:marTop w:val="0"/>
      <w:marBottom w:val="0"/>
      <w:divBdr>
        <w:top w:val="none" w:sz="0" w:space="0" w:color="auto"/>
        <w:left w:val="none" w:sz="0" w:space="0" w:color="auto"/>
        <w:bottom w:val="none" w:sz="0" w:space="0" w:color="auto"/>
        <w:right w:val="none" w:sz="0" w:space="0" w:color="auto"/>
      </w:divBdr>
    </w:div>
    <w:div w:id="194393743">
      <w:bodyDiv w:val="1"/>
      <w:marLeft w:val="0"/>
      <w:marRight w:val="0"/>
      <w:marTop w:val="0"/>
      <w:marBottom w:val="0"/>
      <w:divBdr>
        <w:top w:val="none" w:sz="0" w:space="0" w:color="auto"/>
        <w:left w:val="none" w:sz="0" w:space="0" w:color="auto"/>
        <w:bottom w:val="none" w:sz="0" w:space="0" w:color="auto"/>
        <w:right w:val="none" w:sz="0" w:space="0" w:color="auto"/>
      </w:divBdr>
    </w:div>
    <w:div w:id="226034562">
      <w:bodyDiv w:val="1"/>
      <w:marLeft w:val="0"/>
      <w:marRight w:val="0"/>
      <w:marTop w:val="0"/>
      <w:marBottom w:val="0"/>
      <w:divBdr>
        <w:top w:val="none" w:sz="0" w:space="0" w:color="auto"/>
        <w:left w:val="none" w:sz="0" w:space="0" w:color="auto"/>
        <w:bottom w:val="none" w:sz="0" w:space="0" w:color="auto"/>
        <w:right w:val="none" w:sz="0" w:space="0" w:color="auto"/>
      </w:divBdr>
    </w:div>
    <w:div w:id="331953986">
      <w:bodyDiv w:val="1"/>
      <w:marLeft w:val="0"/>
      <w:marRight w:val="0"/>
      <w:marTop w:val="0"/>
      <w:marBottom w:val="0"/>
      <w:divBdr>
        <w:top w:val="none" w:sz="0" w:space="0" w:color="auto"/>
        <w:left w:val="none" w:sz="0" w:space="0" w:color="auto"/>
        <w:bottom w:val="none" w:sz="0" w:space="0" w:color="auto"/>
        <w:right w:val="none" w:sz="0" w:space="0" w:color="auto"/>
      </w:divBdr>
    </w:div>
    <w:div w:id="398330628">
      <w:bodyDiv w:val="1"/>
      <w:marLeft w:val="0"/>
      <w:marRight w:val="0"/>
      <w:marTop w:val="0"/>
      <w:marBottom w:val="0"/>
      <w:divBdr>
        <w:top w:val="none" w:sz="0" w:space="0" w:color="auto"/>
        <w:left w:val="none" w:sz="0" w:space="0" w:color="auto"/>
        <w:bottom w:val="none" w:sz="0" w:space="0" w:color="auto"/>
        <w:right w:val="none" w:sz="0" w:space="0" w:color="auto"/>
      </w:divBdr>
    </w:div>
    <w:div w:id="398673828">
      <w:bodyDiv w:val="1"/>
      <w:marLeft w:val="0"/>
      <w:marRight w:val="0"/>
      <w:marTop w:val="0"/>
      <w:marBottom w:val="0"/>
      <w:divBdr>
        <w:top w:val="none" w:sz="0" w:space="0" w:color="auto"/>
        <w:left w:val="none" w:sz="0" w:space="0" w:color="auto"/>
        <w:bottom w:val="none" w:sz="0" w:space="0" w:color="auto"/>
        <w:right w:val="none" w:sz="0" w:space="0" w:color="auto"/>
      </w:divBdr>
    </w:div>
    <w:div w:id="416486327">
      <w:bodyDiv w:val="1"/>
      <w:marLeft w:val="0"/>
      <w:marRight w:val="0"/>
      <w:marTop w:val="0"/>
      <w:marBottom w:val="0"/>
      <w:divBdr>
        <w:top w:val="none" w:sz="0" w:space="0" w:color="auto"/>
        <w:left w:val="none" w:sz="0" w:space="0" w:color="auto"/>
        <w:bottom w:val="none" w:sz="0" w:space="0" w:color="auto"/>
        <w:right w:val="none" w:sz="0" w:space="0" w:color="auto"/>
      </w:divBdr>
    </w:div>
    <w:div w:id="420565274">
      <w:bodyDiv w:val="1"/>
      <w:marLeft w:val="0"/>
      <w:marRight w:val="0"/>
      <w:marTop w:val="0"/>
      <w:marBottom w:val="0"/>
      <w:divBdr>
        <w:top w:val="none" w:sz="0" w:space="0" w:color="auto"/>
        <w:left w:val="none" w:sz="0" w:space="0" w:color="auto"/>
        <w:bottom w:val="none" w:sz="0" w:space="0" w:color="auto"/>
        <w:right w:val="none" w:sz="0" w:space="0" w:color="auto"/>
      </w:divBdr>
    </w:div>
    <w:div w:id="431559473">
      <w:bodyDiv w:val="1"/>
      <w:marLeft w:val="0"/>
      <w:marRight w:val="0"/>
      <w:marTop w:val="0"/>
      <w:marBottom w:val="0"/>
      <w:divBdr>
        <w:top w:val="none" w:sz="0" w:space="0" w:color="auto"/>
        <w:left w:val="none" w:sz="0" w:space="0" w:color="auto"/>
        <w:bottom w:val="none" w:sz="0" w:space="0" w:color="auto"/>
        <w:right w:val="none" w:sz="0" w:space="0" w:color="auto"/>
      </w:divBdr>
    </w:div>
    <w:div w:id="434712537">
      <w:bodyDiv w:val="1"/>
      <w:marLeft w:val="0"/>
      <w:marRight w:val="0"/>
      <w:marTop w:val="0"/>
      <w:marBottom w:val="0"/>
      <w:divBdr>
        <w:top w:val="none" w:sz="0" w:space="0" w:color="auto"/>
        <w:left w:val="none" w:sz="0" w:space="0" w:color="auto"/>
        <w:bottom w:val="none" w:sz="0" w:space="0" w:color="auto"/>
        <w:right w:val="none" w:sz="0" w:space="0" w:color="auto"/>
      </w:divBdr>
    </w:div>
    <w:div w:id="466630166">
      <w:bodyDiv w:val="1"/>
      <w:marLeft w:val="0"/>
      <w:marRight w:val="0"/>
      <w:marTop w:val="0"/>
      <w:marBottom w:val="0"/>
      <w:divBdr>
        <w:top w:val="none" w:sz="0" w:space="0" w:color="auto"/>
        <w:left w:val="none" w:sz="0" w:space="0" w:color="auto"/>
        <w:bottom w:val="none" w:sz="0" w:space="0" w:color="auto"/>
        <w:right w:val="none" w:sz="0" w:space="0" w:color="auto"/>
      </w:divBdr>
    </w:div>
    <w:div w:id="493300941">
      <w:bodyDiv w:val="1"/>
      <w:marLeft w:val="0"/>
      <w:marRight w:val="0"/>
      <w:marTop w:val="0"/>
      <w:marBottom w:val="0"/>
      <w:divBdr>
        <w:top w:val="none" w:sz="0" w:space="0" w:color="auto"/>
        <w:left w:val="none" w:sz="0" w:space="0" w:color="auto"/>
        <w:bottom w:val="none" w:sz="0" w:space="0" w:color="auto"/>
        <w:right w:val="none" w:sz="0" w:space="0" w:color="auto"/>
      </w:divBdr>
    </w:div>
    <w:div w:id="527447251">
      <w:bodyDiv w:val="1"/>
      <w:marLeft w:val="0"/>
      <w:marRight w:val="0"/>
      <w:marTop w:val="0"/>
      <w:marBottom w:val="0"/>
      <w:divBdr>
        <w:top w:val="none" w:sz="0" w:space="0" w:color="auto"/>
        <w:left w:val="none" w:sz="0" w:space="0" w:color="auto"/>
        <w:bottom w:val="none" w:sz="0" w:space="0" w:color="auto"/>
        <w:right w:val="none" w:sz="0" w:space="0" w:color="auto"/>
      </w:divBdr>
    </w:div>
    <w:div w:id="629819581">
      <w:bodyDiv w:val="1"/>
      <w:marLeft w:val="0"/>
      <w:marRight w:val="0"/>
      <w:marTop w:val="0"/>
      <w:marBottom w:val="0"/>
      <w:divBdr>
        <w:top w:val="none" w:sz="0" w:space="0" w:color="auto"/>
        <w:left w:val="none" w:sz="0" w:space="0" w:color="auto"/>
        <w:bottom w:val="none" w:sz="0" w:space="0" w:color="auto"/>
        <w:right w:val="none" w:sz="0" w:space="0" w:color="auto"/>
      </w:divBdr>
    </w:div>
    <w:div w:id="635642902">
      <w:bodyDiv w:val="1"/>
      <w:marLeft w:val="0"/>
      <w:marRight w:val="0"/>
      <w:marTop w:val="0"/>
      <w:marBottom w:val="0"/>
      <w:divBdr>
        <w:top w:val="none" w:sz="0" w:space="0" w:color="auto"/>
        <w:left w:val="none" w:sz="0" w:space="0" w:color="auto"/>
        <w:bottom w:val="none" w:sz="0" w:space="0" w:color="auto"/>
        <w:right w:val="none" w:sz="0" w:space="0" w:color="auto"/>
      </w:divBdr>
    </w:div>
    <w:div w:id="648247441">
      <w:bodyDiv w:val="1"/>
      <w:marLeft w:val="0"/>
      <w:marRight w:val="0"/>
      <w:marTop w:val="0"/>
      <w:marBottom w:val="0"/>
      <w:divBdr>
        <w:top w:val="none" w:sz="0" w:space="0" w:color="auto"/>
        <w:left w:val="none" w:sz="0" w:space="0" w:color="auto"/>
        <w:bottom w:val="none" w:sz="0" w:space="0" w:color="auto"/>
        <w:right w:val="none" w:sz="0" w:space="0" w:color="auto"/>
      </w:divBdr>
    </w:div>
    <w:div w:id="666784563">
      <w:bodyDiv w:val="1"/>
      <w:marLeft w:val="0"/>
      <w:marRight w:val="0"/>
      <w:marTop w:val="0"/>
      <w:marBottom w:val="0"/>
      <w:divBdr>
        <w:top w:val="none" w:sz="0" w:space="0" w:color="auto"/>
        <w:left w:val="none" w:sz="0" w:space="0" w:color="auto"/>
        <w:bottom w:val="none" w:sz="0" w:space="0" w:color="auto"/>
        <w:right w:val="none" w:sz="0" w:space="0" w:color="auto"/>
      </w:divBdr>
    </w:div>
    <w:div w:id="686295244">
      <w:bodyDiv w:val="1"/>
      <w:marLeft w:val="0"/>
      <w:marRight w:val="0"/>
      <w:marTop w:val="0"/>
      <w:marBottom w:val="0"/>
      <w:divBdr>
        <w:top w:val="none" w:sz="0" w:space="0" w:color="auto"/>
        <w:left w:val="none" w:sz="0" w:space="0" w:color="auto"/>
        <w:bottom w:val="none" w:sz="0" w:space="0" w:color="auto"/>
        <w:right w:val="none" w:sz="0" w:space="0" w:color="auto"/>
      </w:divBdr>
    </w:div>
    <w:div w:id="695426009">
      <w:bodyDiv w:val="1"/>
      <w:marLeft w:val="0"/>
      <w:marRight w:val="0"/>
      <w:marTop w:val="0"/>
      <w:marBottom w:val="0"/>
      <w:divBdr>
        <w:top w:val="none" w:sz="0" w:space="0" w:color="auto"/>
        <w:left w:val="none" w:sz="0" w:space="0" w:color="auto"/>
        <w:bottom w:val="none" w:sz="0" w:space="0" w:color="auto"/>
        <w:right w:val="none" w:sz="0" w:space="0" w:color="auto"/>
      </w:divBdr>
    </w:div>
    <w:div w:id="717586064">
      <w:bodyDiv w:val="1"/>
      <w:marLeft w:val="0"/>
      <w:marRight w:val="0"/>
      <w:marTop w:val="0"/>
      <w:marBottom w:val="0"/>
      <w:divBdr>
        <w:top w:val="none" w:sz="0" w:space="0" w:color="auto"/>
        <w:left w:val="none" w:sz="0" w:space="0" w:color="auto"/>
        <w:bottom w:val="none" w:sz="0" w:space="0" w:color="auto"/>
        <w:right w:val="none" w:sz="0" w:space="0" w:color="auto"/>
      </w:divBdr>
    </w:div>
    <w:div w:id="771778161">
      <w:bodyDiv w:val="1"/>
      <w:marLeft w:val="0"/>
      <w:marRight w:val="0"/>
      <w:marTop w:val="0"/>
      <w:marBottom w:val="0"/>
      <w:divBdr>
        <w:top w:val="none" w:sz="0" w:space="0" w:color="auto"/>
        <w:left w:val="none" w:sz="0" w:space="0" w:color="auto"/>
        <w:bottom w:val="none" w:sz="0" w:space="0" w:color="auto"/>
        <w:right w:val="none" w:sz="0" w:space="0" w:color="auto"/>
      </w:divBdr>
    </w:div>
    <w:div w:id="801847839">
      <w:bodyDiv w:val="1"/>
      <w:marLeft w:val="0"/>
      <w:marRight w:val="0"/>
      <w:marTop w:val="0"/>
      <w:marBottom w:val="0"/>
      <w:divBdr>
        <w:top w:val="none" w:sz="0" w:space="0" w:color="auto"/>
        <w:left w:val="none" w:sz="0" w:space="0" w:color="auto"/>
        <w:bottom w:val="none" w:sz="0" w:space="0" w:color="auto"/>
        <w:right w:val="none" w:sz="0" w:space="0" w:color="auto"/>
      </w:divBdr>
    </w:div>
    <w:div w:id="817380945">
      <w:bodyDiv w:val="1"/>
      <w:marLeft w:val="0"/>
      <w:marRight w:val="0"/>
      <w:marTop w:val="0"/>
      <w:marBottom w:val="0"/>
      <w:divBdr>
        <w:top w:val="none" w:sz="0" w:space="0" w:color="auto"/>
        <w:left w:val="none" w:sz="0" w:space="0" w:color="auto"/>
        <w:bottom w:val="none" w:sz="0" w:space="0" w:color="auto"/>
        <w:right w:val="none" w:sz="0" w:space="0" w:color="auto"/>
      </w:divBdr>
    </w:div>
    <w:div w:id="837815939">
      <w:bodyDiv w:val="1"/>
      <w:marLeft w:val="0"/>
      <w:marRight w:val="0"/>
      <w:marTop w:val="0"/>
      <w:marBottom w:val="0"/>
      <w:divBdr>
        <w:top w:val="none" w:sz="0" w:space="0" w:color="auto"/>
        <w:left w:val="none" w:sz="0" w:space="0" w:color="auto"/>
        <w:bottom w:val="none" w:sz="0" w:space="0" w:color="auto"/>
        <w:right w:val="none" w:sz="0" w:space="0" w:color="auto"/>
      </w:divBdr>
      <w:divsChild>
        <w:div w:id="1814982428">
          <w:marLeft w:val="547"/>
          <w:marRight w:val="0"/>
          <w:marTop w:val="0"/>
          <w:marBottom w:val="200"/>
          <w:divBdr>
            <w:top w:val="none" w:sz="0" w:space="0" w:color="auto"/>
            <w:left w:val="none" w:sz="0" w:space="0" w:color="auto"/>
            <w:bottom w:val="none" w:sz="0" w:space="0" w:color="auto"/>
            <w:right w:val="none" w:sz="0" w:space="0" w:color="auto"/>
          </w:divBdr>
        </w:div>
      </w:divsChild>
    </w:div>
    <w:div w:id="858281275">
      <w:bodyDiv w:val="1"/>
      <w:marLeft w:val="0"/>
      <w:marRight w:val="0"/>
      <w:marTop w:val="0"/>
      <w:marBottom w:val="0"/>
      <w:divBdr>
        <w:top w:val="none" w:sz="0" w:space="0" w:color="auto"/>
        <w:left w:val="none" w:sz="0" w:space="0" w:color="auto"/>
        <w:bottom w:val="none" w:sz="0" w:space="0" w:color="auto"/>
        <w:right w:val="none" w:sz="0" w:space="0" w:color="auto"/>
      </w:divBdr>
    </w:div>
    <w:div w:id="865555827">
      <w:bodyDiv w:val="1"/>
      <w:marLeft w:val="0"/>
      <w:marRight w:val="0"/>
      <w:marTop w:val="0"/>
      <w:marBottom w:val="0"/>
      <w:divBdr>
        <w:top w:val="none" w:sz="0" w:space="0" w:color="auto"/>
        <w:left w:val="none" w:sz="0" w:space="0" w:color="auto"/>
        <w:bottom w:val="none" w:sz="0" w:space="0" w:color="auto"/>
        <w:right w:val="none" w:sz="0" w:space="0" w:color="auto"/>
      </w:divBdr>
    </w:div>
    <w:div w:id="879438537">
      <w:bodyDiv w:val="1"/>
      <w:marLeft w:val="0"/>
      <w:marRight w:val="0"/>
      <w:marTop w:val="0"/>
      <w:marBottom w:val="0"/>
      <w:divBdr>
        <w:top w:val="none" w:sz="0" w:space="0" w:color="auto"/>
        <w:left w:val="none" w:sz="0" w:space="0" w:color="auto"/>
        <w:bottom w:val="none" w:sz="0" w:space="0" w:color="auto"/>
        <w:right w:val="none" w:sz="0" w:space="0" w:color="auto"/>
      </w:divBdr>
    </w:div>
    <w:div w:id="1021971366">
      <w:bodyDiv w:val="1"/>
      <w:marLeft w:val="0"/>
      <w:marRight w:val="0"/>
      <w:marTop w:val="0"/>
      <w:marBottom w:val="0"/>
      <w:divBdr>
        <w:top w:val="none" w:sz="0" w:space="0" w:color="auto"/>
        <w:left w:val="none" w:sz="0" w:space="0" w:color="auto"/>
        <w:bottom w:val="none" w:sz="0" w:space="0" w:color="auto"/>
        <w:right w:val="none" w:sz="0" w:space="0" w:color="auto"/>
      </w:divBdr>
    </w:div>
    <w:div w:id="1034305609">
      <w:bodyDiv w:val="1"/>
      <w:marLeft w:val="0"/>
      <w:marRight w:val="0"/>
      <w:marTop w:val="0"/>
      <w:marBottom w:val="0"/>
      <w:divBdr>
        <w:top w:val="none" w:sz="0" w:space="0" w:color="auto"/>
        <w:left w:val="none" w:sz="0" w:space="0" w:color="auto"/>
        <w:bottom w:val="none" w:sz="0" w:space="0" w:color="auto"/>
        <w:right w:val="none" w:sz="0" w:space="0" w:color="auto"/>
      </w:divBdr>
    </w:div>
    <w:div w:id="1041512859">
      <w:bodyDiv w:val="1"/>
      <w:marLeft w:val="0"/>
      <w:marRight w:val="0"/>
      <w:marTop w:val="0"/>
      <w:marBottom w:val="0"/>
      <w:divBdr>
        <w:top w:val="none" w:sz="0" w:space="0" w:color="auto"/>
        <w:left w:val="none" w:sz="0" w:space="0" w:color="auto"/>
        <w:bottom w:val="none" w:sz="0" w:space="0" w:color="auto"/>
        <w:right w:val="none" w:sz="0" w:space="0" w:color="auto"/>
      </w:divBdr>
    </w:div>
    <w:div w:id="1076853873">
      <w:bodyDiv w:val="1"/>
      <w:marLeft w:val="0"/>
      <w:marRight w:val="0"/>
      <w:marTop w:val="0"/>
      <w:marBottom w:val="0"/>
      <w:divBdr>
        <w:top w:val="none" w:sz="0" w:space="0" w:color="auto"/>
        <w:left w:val="none" w:sz="0" w:space="0" w:color="auto"/>
        <w:bottom w:val="none" w:sz="0" w:space="0" w:color="auto"/>
        <w:right w:val="none" w:sz="0" w:space="0" w:color="auto"/>
      </w:divBdr>
    </w:div>
    <w:div w:id="1103841136">
      <w:bodyDiv w:val="1"/>
      <w:marLeft w:val="0"/>
      <w:marRight w:val="0"/>
      <w:marTop w:val="0"/>
      <w:marBottom w:val="0"/>
      <w:divBdr>
        <w:top w:val="none" w:sz="0" w:space="0" w:color="auto"/>
        <w:left w:val="none" w:sz="0" w:space="0" w:color="auto"/>
        <w:bottom w:val="none" w:sz="0" w:space="0" w:color="auto"/>
        <w:right w:val="none" w:sz="0" w:space="0" w:color="auto"/>
      </w:divBdr>
      <w:divsChild>
        <w:div w:id="682241636">
          <w:marLeft w:val="547"/>
          <w:marRight w:val="0"/>
          <w:marTop w:val="0"/>
          <w:marBottom w:val="200"/>
          <w:divBdr>
            <w:top w:val="none" w:sz="0" w:space="0" w:color="auto"/>
            <w:left w:val="none" w:sz="0" w:space="0" w:color="auto"/>
            <w:bottom w:val="none" w:sz="0" w:space="0" w:color="auto"/>
            <w:right w:val="none" w:sz="0" w:space="0" w:color="auto"/>
          </w:divBdr>
        </w:div>
      </w:divsChild>
    </w:div>
    <w:div w:id="1123384264">
      <w:bodyDiv w:val="1"/>
      <w:marLeft w:val="0"/>
      <w:marRight w:val="0"/>
      <w:marTop w:val="0"/>
      <w:marBottom w:val="0"/>
      <w:divBdr>
        <w:top w:val="none" w:sz="0" w:space="0" w:color="auto"/>
        <w:left w:val="none" w:sz="0" w:space="0" w:color="auto"/>
        <w:bottom w:val="none" w:sz="0" w:space="0" w:color="auto"/>
        <w:right w:val="none" w:sz="0" w:space="0" w:color="auto"/>
      </w:divBdr>
    </w:div>
    <w:div w:id="1136416582">
      <w:bodyDiv w:val="1"/>
      <w:marLeft w:val="0"/>
      <w:marRight w:val="0"/>
      <w:marTop w:val="0"/>
      <w:marBottom w:val="0"/>
      <w:divBdr>
        <w:top w:val="none" w:sz="0" w:space="0" w:color="auto"/>
        <w:left w:val="none" w:sz="0" w:space="0" w:color="auto"/>
        <w:bottom w:val="none" w:sz="0" w:space="0" w:color="auto"/>
        <w:right w:val="none" w:sz="0" w:space="0" w:color="auto"/>
      </w:divBdr>
    </w:div>
    <w:div w:id="1207835425">
      <w:bodyDiv w:val="1"/>
      <w:marLeft w:val="0"/>
      <w:marRight w:val="0"/>
      <w:marTop w:val="0"/>
      <w:marBottom w:val="0"/>
      <w:divBdr>
        <w:top w:val="none" w:sz="0" w:space="0" w:color="auto"/>
        <w:left w:val="none" w:sz="0" w:space="0" w:color="auto"/>
        <w:bottom w:val="none" w:sz="0" w:space="0" w:color="auto"/>
        <w:right w:val="none" w:sz="0" w:space="0" w:color="auto"/>
      </w:divBdr>
    </w:div>
    <w:div w:id="1260990931">
      <w:bodyDiv w:val="1"/>
      <w:marLeft w:val="0"/>
      <w:marRight w:val="0"/>
      <w:marTop w:val="0"/>
      <w:marBottom w:val="0"/>
      <w:divBdr>
        <w:top w:val="none" w:sz="0" w:space="0" w:color="auto"/>
        <w:left w:val="none" w:sz="0" w:space="0" w:color="auto"/>
        <w:bottom w:val="none" w:sz="0" w:space="0" w:color="auto"/>
        <w:right w:val="none" w:sz="0" w:space="0" w:color="auto"/>
      </w:divBdr>
    </w:div>
    <w:div w:id="1265265809">
      <w:bodyDiv w:val="1"/>
      <w:marLeft w:val="0"/>
      <w:marRight w:val="0"/>
      <w:marTop w:val="0"/>
      <w:marBottom w:val="0"/>
      <w:divBdr>
        <w:top w:val="none" w:sz="0" w:space="0" w:color="auto"/>
        <w:left w:val="none" w:sz="0" w:space="0" w:color="auto"/>
        <w:bottom w:val="none" w:sz="0" w:space="0" w:color="auto"/>
        <w:right w:val="none" w:sz="0" w:space="0" w:color="auto"/>
      </w:divBdr>
    </w:div>
    <w:div w:id="1280337764">
      <w:bodyDiv w:val="1"/>
      <w:marLeft w:val="0"/>
      <w:marRight w:val="0"/>
      <w:marTop w:val="0"/>
      <w:marBottom w:val="0"/>
      <w:divBdr>
        <w:top w:val="none" w:sz="0" w:space="0" w:color="auto"/>
        <w:left w:val="none" w:sz="0" w:space="0" w:color="auto"/>
        <w:bottom w:val="none" w:sz="0" w:space="0" w:color="auto"/>
        <w:right w:val="none" w:sz="0" w:space="0" w:color="auto"/>
      </w:divBdr>
    </w:div>
    <w:div w:id="1287155015">
      <w:bodyDiv w:val="1"/>
      <w:marLeft w:val="0"/>
      <w:marRight w:val="0"/>
      <w:marTop w:val="0"/>
      <w:marBottom w:val="0"/>
      <w:divBdr>
        <w:top w:val="none" w:sz="0" w:space="0" w:color="auto"/>
        <w:left w:val="none" w:sz="0" w:space="0" w:color="auto"/>
        <w:bottom w:val="none" w:sz="0" w:space="0" w:color="auto"/>
        <w:right w:val="none" w:sz="0" w:space="0" w:color="auto"/>
      </w:divBdr>
    </w:div>
    <w:div w:id="1294752606">
      <w:bodyDiv w:val="1"/>
      <w:marLeft w:val="0"/>
      <w:marRight w:val="0"/>
      <w:marTop w:val="0"/>
      <w:marBottom w:val="0"/>
      <w:divBdr>
        <w:top w:val="none" w:sz="0" w:space="0" w:color="auto"/>
        <w:left w:val="none" w:sz="0" w:space="0" w:color="auto"/>
        <w:bottom w:val="none" w:sz="0" w:space="0" w:color="auto"/>
        <w:right w:val="none" w:sz="0" w:space="0" w:color="auto"/>
      </w:divBdr>
    </w:div>
    <w:div w:id="1400982727">
      <w:bodyDiv w:val="1"/>
      <w:marLeft w:val="0"/>
      <w:marRight w:val="0"/>
      <w:marTop w:val="0"/>
      <w:marBottom w:val="0"/>
      <w:divBdr>
        <w:top w:val="none" w:sz="0" w:space="0" w:color="auto"/>
        <w:left w:val="none" w:sz="0" w:space="0" w:color="auto"/>
        <w:bottom w:val="none" w:sz="0" w:space="0" w:color="auto"/>
        <w:right w:val="none" w:sz="0" w:space="0" w:color="auto"/>
      </w:divBdr>
    </w:div>
    <w:div w:id="1408579355">
      <w:bodyDiv w:val="1"/>
      <w:marLeft w:val="0"/>
      <w:marRight w:val="0"/>
      <w:marTop w:val="0"/>
      <w:marBottom w:val="0"/>
      <w:divBdr>
        <w:top w:val="none" w:sz="0" w:space="0" w:color="auto"/>
        <w:left w:val="none" w:sz="0" w:space="0" w:color="auto"/>
        <w:bottom w:val="none" w:sz="0" w:space="0" w:color="auto"/>
        <w:right w:val="none" w:sz="0" w:space="0" w:color="auto"/>
      </w:divBdr>
    </w:div>
    <w:div w:id="1519277478">
      <w:bodyDiv w:val="1"/>
      <w:marLeft w:val="0"/>
      <w:marRight w:val="0"/>
      <w:marTop w:val="0"/>
      <w:marBottom w:val="0"/>
      <w:divBdr>
        <w:top w:val="none" w:sz="0" w:space="0" w:color="auto"/>
        <w:left w:val="none" w:sz="0" w:space="0" w:color="auto"/>
        <w:bottom w:val="none" w:sz="0" w:space="0" w:color="auto"/>
        <w:right w:val="none" w:sz="0" w:space="0" w:color="auto"/>
      </w:divBdr>
    </w:div>
    <w:div w:id="1563981558">
      <w:bodyDiv w:val="1"/>
      <w:marLeft w:val="0"/>
      <w:marRight w:val="0"/>
      <w:marTop w:val="0"/>
      <w:marBottom w:val="0"/>
      <w:divBdr>
        <w:top w:val="none" w:sz="0" w:space="0" w:color="auto"/>
        <w:left w:val="none" w:sz="0" w:space="0" w:color="auto"/>
        <w:bottom w:val="none" w:sz="0" w:space="0" w:color="auto"/>
        <w:right w:val="none" w:sz="0" w:space="0" w:color="auto"/>
      </w:divBdr>
    </w:div>
    <w:div w:id="1626738922">
      <w:bodyDiv w:val="1"/>
      <w:marLeft w:val="0"/>
      <w:marRight w:val="0"/>
      <w:marTop w:val="0"/>
      <w:marBottom w:val="0"/>
      <w:divBdr>
        <w:top w:val="none" w:sz="0" w:space="0" w:color="auto"/>
        <w:left w:val="none" w:sz="0" w:space="0" w:color="auto"/>
        <w:bottom w:val="none" w:sz="0" w:space="0" w:color="auto"/>
        <w:right w:val="none" w:sz="0" w:space="0" w:color="auto"/>
      </w:divBdr>
    </w:div>
    <w:div w:id="1632519015">
      <w:bodyDiv w:val="1"/>
      <w:marLeft w:val="0"/>
      <w:marRight w:val="0"/>
      <w:marTop w:val="0"/>
      <w:marBottom w:val="0"/>
      <w:divBdr>
        <w:top w:val="none" w:sz="0" w:space="0" w:color="auto"/>
        <w:left w:val="none" w:sz="0" w:space="0" w:color="auto"/>
        <w:bottom w:val="none" w:sz="0" w:space="0" w:color="auto"/>
        <w:right w:val="none" w:sz="0" w:space="0" w:color="auto"/>
      </w:divBdr>
    </w:div>
    <w:div w:id="1702046355">
      <w:bodyDiv w:val="1"/>
      <w:marLeft w:val="0"/>
      <w:marRight w:val="0"/>
      <w:marTop w:val="0"/>
      <w:marBottom w:val="0"/>
      <w:divBdr>
        <w:top w:val="none" w:sz="0" w:space="0" w:color="auto"/>
        <w:left w:val="none" w:sz="0" w:space="0" w:color="auto"/>
        <w:bottom w:val="none" w:sz="0" w:space="0" w:color="auto"/>
        <w:right w:val="none" w:sz="0" w:space="0" w:color="auto"/>
      </w:divBdr>
    </w:div>
    <w:div w:id="1714504767">
      <w:bodyDiv w:val="1"/>
      <w:marLeft w:val="0"/>
      <w:marRight w:val="0"/>
      <w:marTop w:val="0"/>
      <w:marBottom w:val="0"/>
      <w:divBdr>
        <w:top w:val="none" w:sz="0" w:space="0" w:color="auto"/>
        <w:left w:val="none" w:sz="0" w:space="0" w:color="auto"/>
        <w:bottom w:val="none" w:sz="0" w:space="0" w:color="auto"/>
        <w:right w:val="none" w:sz="0" w:space="0" w:color="auto"/>
      </w:divBdr>
    </w:div>
    <w:div w:id="1736119869">
      <w:bodyDiv w:val="1"/>
      <w:marLeft w:val="0"/>
      <w:marRight w:val="0"/>
      <w:marTop w:val="0"/>
      <w:marBottom w:val="0"/>
      <w:divBdr>
        <w:top w:val="none" w:sz="0" w:space="0" w:color="auto"/>
        <w:left w:val="none" w:sz="0" w:space="0" w:color="auto"/>
        <w:bottom w:val="none" w:sz="0" w:space="0" w:color="auto"/>
        <w:right w:val="none" w:sz="0" w:space="0" w:color="auto"/>
      </w:divBdr>
    </w:div>
    <w:div w:id="1740202938">
      <w:bodyDiv w:val="1"/>
      <w:marLeft w:val="0"/>
      <w:marRight w:val="0"/>
      <w:marTop w:val="0"/>
      <w:marBottom w:val="0"/>
      <w:divBdr>
        <w:top w:val="none" w:sz="0" w:space="0" w:color="auto"/>
        <w:left w:val="none" w:sz="0" w:space="0" w:color="auto"/>
        <w:bottom w:val="none" w:sz="0" w:space="0" w:color="auto"/>
        <w:right w:val="none" w:sz="0" w:space="0" w:color="auto"/>
      </w:divBdr>
    </w:div>
    <w:div w:id="1784113619">
      <w:bodyDiv w:val="1"/>
      <w:marLeft w:val="0"/>
      <w:marRight w:val="0"/>
      <w:marTop w:val="0"/>
      <w:marBottom w:val="0"/>
      <w:divBdr>
        <w:top w:val="none" w:sz="0" w:space="0" w:color="auto"/>
        <w:left w:val="none" w:sz="0" w:space="0" w:color="auto"/>
        <w:bottom w:val="none" w:sz="0" w:space="0" w:color="auto"/>
        <w:right w:val="none" w:sz="0" w:space="0" w:color="auto"/>
      </w:divBdr>
    </w:div>
    <w:div w:id="1804732692">
      <w:bodyDiv w:val="1"/>
      <w:marLeft w:val="0"/>
      <w:marRight w:val="0"/>
      <w:marTop w:val="0"/>
      <w:marBottom w:val="0"/>
      <w:divBdr>
        <w:top w:val="none" w:sz="0" w:space="0" w:color="auto"/>
        <w:left w:val="none" w:sz="0" w:space="0" w:color="auto"/>
        <w:bottom w:val="none" w:sz="0" w:space="0" w:color="auto"/>
        <w:right w:val="none" w:sz="0" w:space="0" w:color="auto"/>
      </w:divBdr>
    </w:div>
    <w:div w:id="1806925006">
      <w:bodyDiv w:val="1"/>
      <w:marLeft w:val="0"/>
      <w:marRight w:val="0"/>
      <w:marTop w:val="0"/>
      <w:marBottom w:val="0"/>
      <w:divBdr>
        <w:top w:val="none" w:sz="0" w:space="0" w:color="auto"/>
        <w:left w:val="none" w:sz="0" w:space="0" w:color="auto"/>
        <w:bottom w:val="none" w:sz="0" w:space="0" w:color="auto"/>
        <w:right w:val="none" w:sz="0" w:space="0" w:color="auto"/>
      </w:divBdr>
    </w:div>
    <w:div w:id="1815952037">
      <w:bodyDiv w:val="1"/>
      <w:marLeft w:val="0"/>
      <w:marRight w:val="0"/>
      <w:marTop w:val="0"/>
      <w:marBottom w:val="0"/>
      <w:divBdr>
        <w:top w:val="none" w:sz="0" w:space="0" w:color="auto"/>
        <w:left w:val="none" w:sz="0" w:space="0" w:color="auto"/>
        <w:bottom w:val="none" w:sz="0" w:space="0" w:color="auto"/>
        <w:right w:val="none" w:sz="0" w:space="0" w:color="auto"/>
      </w:divBdr>
    </w:div>
    <w:div w:id="1853835873">
      <w:bodyDiv w:val="1"/>
      <w:marLeft w:val="0"/>
      <w:marRight w:val="0"/>
      <w:marTop w:val="0"/>
      <w:marBottom w:val="0"/>
      <w:divBdr>
        <w:top w:val="none" w:sz="0" w:space="0" w:color="auto"/>
        <w:left w:val="none" w:sz="0" w:space="0" w:color="auto"/>
        <w:bottom w:val="none" w:sz="0" w:space="0" w:color="auto"/>
        <w:right w:val="none" w:sz="0" w:space="0" w:color="auto"/>
      </w:divBdr>
    </w:div>
    <w:div w:id="1860922935">
      <w:bodyDiv w:val="1"/>
      <w:marLeft w:val="0"/>
      <w:marRight w:val="0"/>
      <w:marTop w:val="0"/>
      <w:marBottom w:val="0"/>
      <w:divBdr>
        <w:top w:val="none" w:sz="0" w:space="0" w:color="auto"/>
        <w:left w:val="none" w:sz="0" w:space="0" w:color="auto"/>
        <w:bottom w:val="none" w:sz="0" w:space="0" w:color="auto"/>
        <w:right w:val="none" w:sz="0" w:space="0" w:color="auto"/>
      </w:divBdr>
    </w:div>
    <w:div w:id="1872373729">
      <w:bodyDiv w:val="1"/>
      <w:marLeft w:val="0"/>
      <w:marRight w:val="0"/>
      <w:marTop w:val="0"/>
      <w:marBottom w:val="0"/>
      <w:divBdr>
        <w:top w:val="none" w:sz="0" w:space="0" w:color="auto"/>
        <w:left w:val="none" w:sz="0" w:space="0" w:color="auto"/>
        <w:bottom w:val="none" w:sz="0" w:space="0" w:color="auto"/>
        <w:right w:val="none" w:sz="0" w:space="0" w:color="auto"/>
      </w:divBdr>
    </w:div>
    <w:div w:id="1878082666">
      <w:bodyDiv w:val="1"/>
      <w:marLeft w:val="0"/>
      <w:marRight w:val="0"/>
      <w:marTop w:val="0"/>
      <w:marBottom w:val="0"/>
      <w:divBdr>
        <w:top w:val="none" w:sz="0" w:space="0" w:color="auto"/>
        <w:left w:val="none" w:sz="0" w:space="0" w:color="auto"/>
        <w:bottom w:val="none" w:sz="0" w:space="0" w:color="auto"/>
        <w:right w:val="none" w:sz="0" w:space="0" w:color="auto"/>
      </w:divBdr>
    </w:div>
    <w:div w:id="1931769952">
      <w:bodyDiv w:val="1"/>
      <w:marLeft w:val="0"/>
      <w:marRight w:val="0"/>
      <w:marTop w:val="0"/>
      <w:marBottom w:val="0"/>
      <w:divBdr>
        <w:top w:val="none" w:sz="0" w:space="0" w:color="auto"/>
        <w:left w:val="none" w:sz="0" w:space="0" w:color="auto"/>
        <w:bottom w:val="none" w:sz="0" w:space="0" w:color="auto"/>
        <w:right w:val="none" w:sz="0" w:space="0" w:color="auto"/>
      </w:divBdr>
    </w:div>
    <w:div w:id="1954091006">
      <w:bodyDiv w:val="1"/>
      <w:marLeft w:val="0"/>
      <w:marRight w:val="0"/>
      <w:marTop w:val="0"/>
      <w:marBottom w:val="0"/>
      <w:divBdr>
        <w:top w:val="none" w:sz="0" w:space="0" w:color="auto"/>
        <w:left w:val="none" w:sz="0" w:space="0" w:color="auto"/>
        <w:bottom w:val="none" w:sz="0" w:space="0" w:color="auto"/>
        <w:right w:val="none" w:sz="0" w:space="0" w:color="auto"/>
      </w:divBdr>
    </w:div>
    <w:div w:id="1989627479">
      <w:bodyDiv w:val="1"/>
      <w:marLeft w:val="0"/>
      <w:marRight w:val="0"/>
      <w:marTop w:val="0"/>
      <w:marBottom w:val="0"/>
      <w:divBdr>
        <w:top w:val="none" w:sz="0" w:space="0" w:color="auto"/>
        <w:left w:val="none" w:sz="0" w:space="0" w:color="auto"/>
        <w:bottom w:val="none" w:sz="0" w:space="0" w:color="auto"/>
        <w:right w:val="none" w:sz="0" w:space="0" w:color="auto"/>
      </w:divBdr>
      <w:divsChild>
        <w:div w:id="714742526">
          <w:marLeft w:val="0"/>
          <w:marRight w:val="0"/>
          <w:marTop w:val="0"/>
          <w:marBottom w:val="0"/>
          <w:divBdr>
            <w:top w:val="none" w:sz="0" w:space="0" w:color="auto"/>
            <w:left w:val="none" w:sz="0" w:space="0" w:color="auto"/>
            <w:bottom w:val="none" w:sz="0" w:space="0" w:color="auto"/>
            <w:right w:val="none" w:sz="0" w:space="0" w:color="auto"/>
          </w:divBdr>
        </w:div>
        <w:div w:id="245581922">
          <w:marLeft w:val="0"/>
          <w:marRight w:val="0"/>
          <w:marTop w:val="0"/>
          <w:marBottom w:val="0"/>
          <w:divBdr>
            <w:top w:val="none" w:sz="0" w:space="0" w:color="auto"/>
            <w:left w:val="none" w:sz="0" w:space="0" w:color="auto"/>
            <w:bottom w:val="none" w:sz="0" w:space="0" w:color="auto"/>
            <w:right w:val="none" w:sz="0" w:space="0" w:color="auto"/>
          </w:divBdr>
        </w:div>
        <w:div w:id="1978414243">
          <w:marLeft w:val="0"/>
          <w:marRight w:val="0"/>
          <w:marTop w:val="0"/>
          <w:marBottom w:val="0"/>
          <w:divBdr>
            <w:top w:val="none" w:sz="0" w:space="0" w:color="auto"/>
            <w:left w:val="none" w:sz="0" w:space="0" w:color="auto"/>
            <w:bottom w:val="none" w:sz="0" w:space="0" w:color="auto"/>
            <w:right w:val="none" w:sz="0" w:space="0" w:color="auto"/>
          </w:divBdr>
        </w:div>
        <w:div w:id="1611736717">
          <w:marLeft w:val="0"/>
          <w:marRight w:val="0"/>
          <w:marTop w:val="0"/>
          <w:marBottom w:val="0"/>
          <w:divBdr>
            <w:top w:val="none" w:sz="0" w:space="0" w:color="auto"/>
            <w:left w:val="none" w:sz="0" w:space="0" w:color="auto"/>
            <w:bottom w:val="none" w:sz="0" w:space="0" w:color="auto"/>
            <w:right w:val="none" w:sz="0" w:space="0" w:color="auto"/>
          </w:divBdr>
        </w:div>
      </w:divsChild>
    </w:div>
    <w:div w:id="2066836082">
      <w:bodyDiv w:val="1"/>
      <w:marLeft w:val="0"/>
      <w:marRight w:val="0"/>
      <w:marTop w:val="0"/>
      <w:marBottom w:val="0"/>
      <w:divBdr>
        <w:top w:val="none" w:sz="0" w:space="0" w:color="auto"/>
        <w:left w:val="none" w:sz="0" w:space="0" w:color="auto"/>
        <w:bottom w:val="none" w:sz="0" w:space="0" w:color="auto"/>
        <w:right w:val="none" w:sz="0" w:space="0" w:color="auto"/>
      </w:divBdr>
    </w:div>
    <w:div w:id="207850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hyperlink" Target="https://www.normattiva.it/uri-res/N2Ls?urn:nir:stato:legge:2018-12-01;132!vig=2023-05-26" TargetMode="External"/><Relationship Id="rId21" Type="http://schemas.openxmlformats.org/officeDocument/2006/relationships/image" Target="media/image4.png"/><Relationship Id="rId34" Type="http://schemas.openxmlformats.org/officeDocument/2006/relationships/hyperlink" Target="mailto:petrillo@istat.it" TargetMode="Externa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2.png"/><Relationship Id="rId25" Type="http://schemas.openxmlformats.org/officeDocument/2006/relationships/footer" Target="footer2.xml"/><Relationship Id="rId33" Type="http://schemas.openxmlformats.org/officeDocument/2006/relationships/hyperlink" Target="mailto:ciaccia@istat.i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image" Target="media/image3.png"/><Relationship Id="rId29" Type="http://schemas.openxmlformats.org/officeDocument/2006/relationships/hyperlink" Target="https://www.normattiva.it/uri-res/N2Ls?urn:nir:stato:decreto.legge:2023-03-10;20!vig=2023-05-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32" Type="http://schemas.openxmlformats.org/officeDocument/2006/relationships/hyperlink" Target="mailto:ciconti@istat.i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footer" Target="footer1.xml"/><Relationship Id="rId28" Type="http://schemas.openxmlformats.org/officeDocument/2006/relationships/hyperlink" Target="https://www.normattiva.it/uri-res/N2Ls?urn:nir:stato:decreto.legislativo:1998-07-25;286!vig=2023-05-26"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hyperlink" Target="mailto:bellini@istat.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hyperlink" Target="https://www.normattiva.it/uri-res/N2Ls?urn:nir:stato:decreto.legge:2020-10-21;130!vig=2023-05-26" TargetMode="External"/><Relationship Id="rId30" Type="http://schemas.openxmlformats.org/officeDocument/2006/relationships/hyperlink" Target="https://www.normattiva.it/uri-res/N2Ls?urn:nir:stato:decreto.legislativo:2008-01-28;25!vig=2023-05-26" TargetMode="External"/><Relationship Id="rId35" Type="http://schemas.openxmlformats.org/officeDocument/2006/relationships/hyperlink" Target="mailto:rizzo@istat.i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emf"/></Relationships>
</file>

<file path=word/_rels/footer2.xml.rels><?xml version="1.0" encoding="UTF-8" standalone="yes"?>
<Relationships xmlns="http://schemas.openxmlformats.org/package/2006/relationships"><Relationship Id="rId3" Type="http://schemas.openxmlformats.org/officeDocument/2006/relationships/hyperlink" Target="mailto:ufficiostampa@istat.it" TargetMode="External"/><Relationship Id="rId2" Type="http://schemas.openxmlformats.org/officeDocument/2006/relationships/hyperlink" Target="https://contact.istat.it/" TargetMode="External"/><Relationship Id="rId1" Type="http://schemas.openxmlformats.org/officeDocument/2006/relationships/hyperlink" Target="mailto:ufficiostampa@istat.it" TargetMode="External"/><Relationship Id="rId5" Type="http://schemas.openxmlformats.org/officeDocument/2006/relationships/image" Target="media/image9.jpeg"/><Relationship Id="rId4" Type="http://schemas.openxmlformats.org/officeDocument/2006/relationships/hyperlink" Target="https://contact.istat.i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enzalucia.vaccaro\Downloads\grafici%20e%20prospetti%202025_OK%20_cc_061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nas-repo1.pc.istat.it\SHARE2\Ufficio_stampa\COMUNICATI%20in%20uscita\OTTOBRE%202025\IN%20LAVORAZIONE%20CITTADINI%20NON%20COMUNITARI\grafici%20e%20prospetti%202025_24_1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nas-repo1.pc.istat.it\SHARE2\Ufficio_stampa\COMUNICATI%20in%20uscita\OTTOBRE%202025\IN%20LAVORAZIONE%20CITTADINI%20NON%20COMUNITARI\grafici%20e%20prospetti%202025_24_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nzalucia.vaccaro\Downloads\grafici%20e%20prospetti%202025_OK%20_cc_061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pc.istat.it\xendesktop\DaaS\rottino\My%20Documents\Lavoro\Diffusione\Statistica%20report\19%20-%20ottobre%202025\Grafici%20ACQ.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pc.istat.it\xendesktop\DaaS\rottino\My%20Documents\Lavoro\Diffusione\Statistica%20report\19%20-%20ottobre%202025\grafici%20e%20prospetti%202025_OK%20_cc_0610.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pc.istat.it\xendesktop\DaaS\rottino\My%20Documents\Lavoro\Diffusione\Statistica%20report\19%20-%20ottobre%202025\grafici%20e%20prospetti%202025_OK%20_cc_0610.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008325335934746E-2"/>
          <c:y val="0.13858658971976326"/>
          <c:w val="0.92378542129715957"/>
          <c:h val="0.76514148774881408"/>
        </c:manualLayout>
      </c:layout>
      <c:lineChart>
        <c:grouping val="standard"/>
        <c:varyColors val="0"/>
        <c:ser>
          <c:idx val="0"/>
          <c:order val="0"/>
          <c:tx>
            <c:strRef>
              <c:f>'fig1'!$A$29</c:f>
              <c:strCache>
                <c:ptCount val="1"/>
                <c:pt idx="0">
                  <c:v>Lavoro</c:v>
                </c:pt>
              </c:strCache>
            </c:strRef>
          </c:tx>
          <c:spPr>
            <a:ln w="28575" cap="rnd">
              <a:solidFill>
                <a:srgbClr val="1F497D"/>
              </a:solidFill>
              <a:round/>
            </a:ln>
            <a:effectLst/>
          </c:spPr>
          <c:marker>
            <c:symbol val="square"/>
            <c:size val="5"/>
            <c:spPr>
              <a:solidFill>
                <a:srgbClr val="1F497D"/>
              </a:solidFill>
              <a:ln w="9525">
                <a:solidFill>
                  <a:srgbClr val="1F497D"/>
                </a:solidFill>
              </a:ln>
              <a:effectLst/>
            </c:spPr>
          </c:marker>
          <c:cat>
            <c:strRef>
              <c:f>'fig1'!$B$28:$O$28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'fig1'!$B$29:$O$29</c:f>
              <c:numCache>
                <c:formatCode>#,##0</c:formatCode>
                <c:ptCount val="14"/>
                <c:pt idx="0">
                  <c:v>124544</c:v>
                </c:pt>
                <c:pt idx="1">
                  <c:v>70892</c:v>
                </c:pt>
                <c:pt idx="2">
                  <c:v>84540</c:v>
                </c:pt>
                <c:pt idx="3">
                  <c:v>57040</c:v>
                </c:pt>
                <c:pt idx="4">
                  <c:v>21728</c:v>
                </c:pt>
                <c:pt idx="5">
                  <c:v>12873</c:v>
                </c:pt>
                <c:pt idx="6">
                  <c:v>12200</c:v>
                </c:pt>
                <c:pt idx="7">
                  <c:v>14605</c:v>
                </c:pt>
                <c:pt idx="8">
                  <c:v>11315</c:v>
                </c:pt>
                <c:pt idx="9">
                  <c:v>10317</c:v>
                </c:pt>
                <c:pt idx="10">
                  <c:v>51019</c:v>
                </c:pt>
                <c:pt idx="11">
                  <c:v>67449</c:v>
                </c:pt>
                <c:pt idx="12">
                  <c:v>38978</c:v>
                </c:pt>
                <c:pt idx="13">
                  <c:v>40451</c:v>
                </c:pt>
              </c:numCache>
            </c:numRef>
          </c:val>
          <c:smooth val="0"/>
          <c:extLst>
            <c:ext xmlns:c16="http://schemas.microsoft.com/office/drawing/2014/chart" uri="{C3380CC4-5D6E-409C-BE32-E72D297353CC}">
              <c16:uniqueId val="{00000000-9D41-4956-982F-C47DB3C7699F}"/>
            </c:ext>
          </c:extLst>
        </c:ser>
        <c:ser>
          <c:idx val="1"/>
          <c:order val="1"/>
          <c:tx>
            <c:strRef>
              <c:f>'fig1'!$A$30</c:f>
              <c:strCache>
                <c:ptCount val="1"/>
                <c:pt idx="0">
                  <c:v>Famiglia</c:v>
                </c:pt>
              </c:strCache>
            </c:strRef>
          </c:tx>
          <c:spPr>
            <a:ln w="28575" cap="rnd">
              <a:solidFill>
                <a:srgbClr val="E42618"/>
              </a:solidFill>
              <a:round/>
            </a:ln>
            <a:effectLst/>
          </c:spPr>
          <c:marker>
            <c:symbol val="square"/>
            <c:size val="5"/>
            <c:spPr>
              <a:solidFill>
                <a:srgbClr val="E42618"/>
              </a:solidFill>
              <a:ln w="9525">
                <a:solidFill>
                  <a:srgbClr val="E42618"/>
                </a:solidFill>
              </a:ln>
              <a:effectLst/>
            </c:spPr>
          </c:marker>
          <c:cat>
            <c:strRef>
              <c:f>'fig1'!$B$28:$O$28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'fig1'!$B$30:$O$30</c:f>
              <c:numCache>
                <c:formatCode>#,##0</c:formatCode>
                <c:ptCount val="14"/>
                <c:pt idx="0">
                  <c:v>140846</c:v>
                </c:pt>
                <c:pt idx="1">
                  <c:v>116891</c:v>
                </c:pt>
                <c:pt idx="2">
                  <c:v>105266</c:v>
                </c:pt>
                <c:pt idx="3">
                  <c:v>101422</c:v>
                </c:pt>
                <c:pt idx="4">
                  <c:v>107096</c:v>
                </c:pt>
                <c:pt idx="5">
                  <c:v>102351</c:v>
                </c:pt>
                <c:pt idx="6">
                  <c:v>113549</c:v>
                </c:pt>
                <c:pt idx="7">
                  <c:v>122812</c:v>
                </c:pt>
                <c:pt idx="8">
                  <c:v>100912</c:v>
                </c:pt>
                <c:pt idx="9">
                  <c:v>62254</c:v>
                </c:pt>
                <c:pt idx="10">
                  <c:v>122918</c:v>
                </c:pt>
                <c:pt idx="11">
                  <c:v>126244</c:v>
                </c:pt>
                <c:pt idx="12">
                  <c:v>128862</c:v>
                </c:pt>
                <c:pt idx="13">
                  <c:v>104683</c:v>
                </c:pt>
              </c:numCache>
            </c:numRef>
          </c:val>
          <c:smooth val="0"/>
          <c:extLst>
            <c:ext xmlns:c16="http://schemas.microsoft.com/office/drawing/2014/chart" uri="{C3380CC4-5D6E-409C-BE32-E72D297353CC}">
              <c16:uniqueId val="{00000001-9D41-4956-982F-C47DB3C7699F}"/>
            </c:ext>
          </c:extLst>
        </c:ser>
        <c:ser>
          <c:idx val="2"/>
          <c:order val="2"/>
          <c:tx>
            <c:strRef>
              <c:f>'fig1'!$A$31</c:f>
              <c:strCache>
                <c:ptCount val="1"/>
                <c:pt idx="0">
                  <c:v>Studio</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cat>
            <c:strRef>
              <c:f>'fig1'!$B$28:$O$28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'fig1'!$B$31:$O$31</c:f>
              <c:numCache>
                <c:formatCode>#,##0</c:formatCode>
                <c:ptCount val="14"/>
                <c:pt idx="0">
                  <c:v>31295</c:v>
                </c:pt>
                <c:pt idx="1">
                  <c:v>31005</c:v>
                </c:pt>
                <c:pt idx="2">
                  <c:v>27321</c:v>
                </c:pt>
                <c:pt idx="3">
                  <c:v>24477</c:v>
                </c:pt>
                <c:pt idx="4">
                  <c:v>23030</c:v>
                </c:pt>
                <c:pt idx="5">
                  <c:v>17130</c:v>
                </c:pt>
                <c:pt idx="6">
                  <c:v>18323</c:v>
                </c:pt>
                <c:pt idx="7">
                  <c:v>22044</c:v>
                </c:pt>
                <c:pt idx="8">
                  <c:v>20409</c:v>
                </c:pt>
                <c:pt idx="9">
                  <c:v>8552</c:v>
                </c:pt>
                <c:pt idx="10">
                  <c:v>17603</c:v>
                </c:pt>
                <c:pt idx="11">
                  <c:v>25097</c:v>
                </c:pt>
                <c:pt idx="12">
                  <c:v>27468</c:v>
                </c:pt>
                <c:pt idx="13">
                  <c:v>20130</c:v>
                </c:pt>
              </c:numCache>
            </c:numRef>
          </c:val>
          <c:smooth val="0"/>
          <c:extLst>
            <c:ext xmlns:c16="http://schemas.microsoft.com/office/drawing/2014/chart" uri="{C3380CC4-5D6E-409C-BE32-E72D297353CC}">
              <c16:uniqueId val="{00000002-9D41-4956-982F-C47DB3C7699F}"/>
            </c:ext>
          </c:extLst>
        </c:ser>
        <c:ser>
          <c:idx val="4"/>
          <c:order val="3"/>
          <c:tx>
            <c:strRef>
              <c:f>'fig1'!$A$32</c:f>
              <c:strCache>
                <c:ptCount val="1"/>
                <c:pt idx="0">
                  <c:v>Asilo e protezione</c:v>
                </c:pt>
              </c:strCache>
            </c:strRef>
          </c:tx>
          <c:spPr>
            <a:ln>
              <a:solidFill>
                <a:srgbClr val="BBC359"/>
              </a:solidFill>
            </a:ln>
          </c:spPr>
          <c:marker>
            <c:spPr>
              <a:ln>
                <a:solidFill>
                  <a:srgbClr val="BBC359"/>
                </a:solidFill>
              </a:ln>
            </c:spPr>
          </c:marker>
          <c:cat>
            <c:strRef>
              <c:f>'fig1'!$B$28:$O$28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'fig1'!$B$32:$O$32</c:f>
              <c:numCache>
                <c:formatCode>#,##0</c:formatCode>
                <c:ptCount val="14"/>
                <c:pt idx="0">
                  <c:v>42672</c:v>
                </c:pt>
                <c:pt idx="1">
                  <c:v>22916</c:v>
                </c:pt>
                <c:pt idx="2">
                  <c:v>19146</c:v>
                </c:pt>
                <c:pt idx="3">
                  <c:v>47873</c:v>
                </c:pt>
                <c:pt idx="4">
                  <c:v>67271</c:v>
                </c:pt>
                <c:pt idx="5">
                  <c:v>77927</c:v>
                </c:pt>
                <c:pt idx="6">
                  <c:v>101065</c:v>
                </c:pt>
                <c:pt idx="7">
                  <c:v>64819</c:v>
                </c:pt>
                <c:pt idx="8">
                  <c:v>27566</c:v>
                </c:pt>
                <c:pt idx="9">
                  <c:v>13467</c:v>
                </c:pt>
                <c:pt idx="10">
                  <c:v>30894</c:v>
                </c:pt>
                <c:pt idx="11">
                  <c:v>202570</c:v>
                </c:pt>
                <c:pt idx="12">
                  <c:v>106237</c:v>
                </c:pt>
                <c:pt idx="13">
                  <c:v>104060</c:v>
                </c:pt>
              </c:numCache>
            </c:numRef>
          </c:val>
          <c:smooth val="0"/>
          <c:extLst>
            <c:ext xmlns:c16="http://schemas.microsoft.com/office/drawing/2014/chart" uri="{C3380CC4-5D6E-409C-BE32-E72D297353CC}">
              <c16:uniqueId val="{00000003-9D41-4956-982F-C47DB3C7699F}"/>
            </c:ext>
          </c:extLst>
        </c:ser>
        <c:ser>
          <c:idx val="5"/>
          <c:order val="4"/>
          <c:tx>
            <c:strRef>
              <c:f>'fig1'!$A$33</c:f>
              <c:strCache>
                <c:ptCount val="1"/>
                <c:pt idx="0">
                  <c:v>Altro</c:v>
                </c:pt>
              </c:strCache>
            </c:strRef>
          </c:tx>
          <c:spPr>
            <a:ln>
              <a:solidFill>
                <a:schemeClr val="accent4"/>
              </a:solidFill>
            </a:ln>
          </c:spPr>
          <c:marker>
            <c:spPr>
              <a:solidFill>
                <a:schemeClr val="accent4"/>
              </a:solidFill>
              <a:ln>
                <a:solidFill>
                  <a:schemeClr val="accent4"/>
                </a:solidFill>
              </a:ln>
            </c:spPr>
          </c:marker>
          <c:cat>
            <c:strRef>
              <c:f>'fig1'!$B$28:$O$28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'fig1'!$B$33:$O$33</c:f>
              <c:numCache>
                <c:formatCode>#,##0</c:formatCode>
                <c:ptCount val="14"/>
                <c:pt idx="0">
                  <c:v>22333</c:v>
                </c:pt>
                <c:pt idx="1">
                  <c:v>22264</c:v>
                </c:pt>
                <c:pt idx="2">
                  <c:v>19373</c:v>
                </c:pt>
                <c:pt idx="3">
                  <c:v>17511</c:v>
                </c:pt>
                <c:pt idx="4">
                  <c:v>19811</c:v>
                </c:pt>
                <c:pt idx="5">
                  <c:v>16653</c:v>
                </c:pt>
                <c:pt idx="6">
                  <c:v>17633</c:v>
                </c:pt>
                <c:pt idx="7">
                  <c:v>17729</c:v>
                </c:pt>
                <c:pt idx="8">
                  <c:v>17052</c:v>
                </c:pt>
                <c:pt idx="9">
                  <c:v>11913</c:v>
                </c:pt>
                <c:pt idx="10">
                  <c:v>19161</c:v>
                </c:pt>
                <c:pt idx="11">
                  <c:v>27758</c:v>
                </c:pt>
                <c:pt idx="12">
                  <c:v>29185</c:v>
                </c:pt>
                <c:pt idx="13">
                  <c:v>20795</c:v>
                </c:pt>
              </c:numCache>
            </c:numRef>
          </c:val>
          <c:smooth val="0"/>
          <c:extLst>
            <c:ext xmlns:c16="http://schemas.microsoft.com/office/drawing/2014/chart" uri="{C3380CC4-5D6E-409C-BE32-E72D297353CC}">
              <c16:uniqueId val="{00000004-9D41-4956-982F-C47DB3C7699F}"/>
            </c:ext>
          </c:extLst>
        </c:ser>
        <c:dLbls>
          <c:showLegendKey val="0"/>
          <c:showVal val="0"/>
          <c:showCatName val="0"/>
          <c:showSerName val="0"/>
          <c:showPercent val="0"/>
          <c:showBubbleSize val="0"/>
        </c:dLbls>
        <c:marker val="1"/>
        <c:smooth val="0"/>
        <c:axId val="1345886336"/>
        <c:axId val="1345886896"/>
      </c:lineChart>
      <c:catAx>
        <c:axId val="1345886336"/>
        <c:scaling>
          <c:orientation val="minMax"/>
        </c:scaling>
        <c:delete val="0"/>
        <c:axPos val="b"/>
        <c:majorGridlines>
          <c:spPr>
            <a:ln w="3175">
              <a:solidFill>
                <a:schemeClr val="bg1"/>
              </a:solidFill>
            </a:ln>
          </c:spPr>
        </c:majorGridlines>
        <c:numFmt formatCode="General" sourceLinked="1"/>
        <c:majorTickMark val="out"/>
        <c:minorTickMark val="none"/>
        <c:tickLblPos val="nextTo"/>
        <c:spPr>
          <a:noFill/>
          <a:ln w="12700" cap="flat" cmpd="sng" algn="ctr">
            <a:solidFill>
              <a:schemeClr val="bg1"/>
            </a:solidFill>
            <a:round/>
          </a:ln>
          <a:effectLst/>
        </c:spPr>
        <c:txPr>
          <a:bodyPr rot="-60000000" vert="horz"/>
          <a:lstStyle/>
          <a:p>
            <a:pPr>
              <a:defRPr b="1"/>
            </a:pPr>
            <a:endParaRPr lang="it-IT"/>
          </a:p>
        </c:txPr>
        <c:crossAx val="1345886896"/>
        <c:crosses val="autoZero"/>
        <c:auto val="1"/>
        <c:lblAlgn val="ctr"/>
        <c:lblOffset val="100"/>
        <c:noMultiLvlLbl val="0"/>
      </c:catAx>
      <c:valAx>
        <c:axId val="1345886896"/>
        <c:scaling>
          <c:orientation val="minMax"/>
        </c:scaling>
        <c:delete val="0"/>
        <c:axPos val="l"/>
        <c:majorGridlines>
          <c:spPr>
            <a:ln w="3175" cap="flat" cmpd="sng" algn="ctr">
              <a:solidFill>
                <a:schemeClr val="bg1"/>
              </a:solidFill>
              <a:round/>
            </a:ln>
            <a:effectLst/>
          </c:spPr>
        </c:majorGridlines>
        <c:numFmt formatCode="#,##0" sourceLinked="1"/>
        <c:majorTickMark val="out"/>
        <c:minorTickMark val="none"/>
        <c:tickLblPos val="nextTo"/>
        <c:spPr>
          <a:noFill/>
          <a:ln w="12700">
            <a:solidFill>
              <a:schemeClr val="bg1"/>
            </a:solidFill>
          </a:ln>
          <a:effectLst/>
        </c:spPr>
        <c:txPr>
          <a:bodyPr rot="-60000000" vert="horz"/>
          <a:lstStyle/>
          <a:p>
            <a:pPr>
              <a:defRPr/>
            </a:pPr>
            <a:endParaRPr lang="it-IT"/>
          </a:p>
        </c:txPr>
        <c:crossAx val="1345886336"/>
        <c:crosses val="autoZero"/>
        <c:crossBetween val="between"/>
      </c:valAx>
      <c:spPr>
        <a:noFill/>
        <a:ln>
          <a:noFill/>
        </a:ln>
        <a:effectLst/>
      </c:spPr>
    </c:plotArea>
    <c:legend>
      <c:legendPos val="r"/>
      <c:layout>
        <c:manualLayout>
          <c:xMode val="edge"/>
          <c:yMode val="edge"/>
          <c:x val="0.1391718353942297"/>
          <c:y val="6.3148628160610237E-4"/>
          <c:w val="0.64048954851681295"/>
          <c:h val="0.10608259810897132"/>
        </c:manualLayout>
      </c:layout>
      <c:overlay val="0"/>
      <c:spPr>
        <a:noFill/>
        <a:ln>
          <a:noFill/>
        </a:ln>
        <a:effectLst/>
      </c:spPr>
      <c:txPr>
        <a:bodyPr rot="0" vert="horz"/>
        <a:lstStyle/>
        <a:p>
          <a:pPr>
            <a:defRPr/>
          </a:pPr>
          <a:endParaRPr lang="it-IT"/>
        </a:p>
      </c:txPr>
    </c:legend>
    <c:plotVisOnly val="1"/>
    <c:dispBlanksAs val="gap"/>
    <c:showDLblsOverMax val="0"/>
  </c:chart>
  <c:spPr>
    <a:noFill/>
    <a:ln w="9525" cap="flat" cmpd="sng" algn="ctr">
      <a:noFill/>
      <a:round/>
    </a:ln>
    <a:effectLst/>
  </c:spPr>
  <c:txPr>
    <a:bodyPr/>
    <a:lstStyle/>
    <a:p>
      <a:pPr>
        <a:defRPr sz="800">
          <a:latin typeface="Arial Narrow" panose="020B0606020202030204" pitchFamily="34" charset="0"/>
        </a:defRPr>
      </a:pPr>
      <a:endParaRPr lang="it-I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144155665552414E-2"/>
          <c:y val="0.10151129632781143"/>
          <c:w val="0.92503043750536429"/>
          <c:h val="0.80110493568377739"/>
        </c:manualLayout>
      </c:layout>
      <c:barChart>
        <c:barDir val="col"/>
        <c:grouping val="clustered"/>
        <c:varyColors val="0"/>
        <c:ser>
          <c:idx val="0"/>
          <c:order val="0"/>
          <c:tx>
            <c:strRef>
              <c:f>'fig2'!$C$19</c:f>
              <c:strCache>
                <c:ptCount val="1"/>
                <c:pt idx="0">
                  <c:v>2023</c:v>
                </c:pt>
              </c:strCache>
            </c:strRef>
          </c:tx>
          <c:spPr>
            <a:solidFill>
              <a:srgbClr val="1F497D"/>
            </a:solidFill>
            <a:ln>
              <a:noFill/>
            </a:ln>
            <a:effectLst/>
          </c:spPr>
          <c:invertIfNegative val="0"/>
          <c:cat>
            <c:strRef>
              <c:f>'fig2'!$B$20:$B$24</c:f>
              <c:strCache>
                <c:ptCount val="5"/>
                <c:pt idx="0">
                  <c:v>Bangladesh</c:v>
                </c:pt>
                <c:pt idx="1">
                  <c:v>Perù</c:v>
                </c:pt>
                <c:pt idx="2">
                  <c:v>Pakistan</c:v>
                </c:pt>
                <c:pt idx="3">
                  <c:v>Egitto</c:v>
                </c:pt>
                <c:pt idx="4">
                  <c:v>Marocco</c:v>
                </c:pt>
              </c:strCache>
            </c:strRef>
          </c:cat>
          <c:val>
            <c:numRef>
              <c:f>'fig2'!$C$20:$C$24</c:f>
              <c:numCache>
                <c:formatCode>#,##0</c:formatCode>
                <c:ptCount val="5"/>
                <c:pt idx="0">
                  <c:v>23195</c:v>
                </c:pt>
                <c:pt idx="1">
                  <c:v>7485</c:v>
                </c:pt>
                <c:pt idx="2">
                  <c:v>16685</c:v>
                </c:pt>
                <c:pt idx="3">
                  <c:v>18175</c:v>
                </c:pt>
                <c:pt idx="4">
                  <c:v>5085</c:v>
                </c:pt>
              </c:numCache>
            </c:numRef>
          </c:val>
          <c:extLst>
            <c:ext xmlns:c16="http://schemas.microsoft.com/office/drawing/2014/chart" uri="{C3380CC4-5D6E-409C-BE32-E72D297353CC}">
              <c16:uniqueId val="{00000000-2006-4A1C-B6EC-B19260C66905}"/>
            </c:ext>
          </c:extLst>
        </c:ser>
        <c:ser>
          <c:idx val="1"/>
          <c:order val="1"/>
          <c:tx>
            <c:strRef>
              <c:f>'fig2'!$D$19</c:f>
              <c:strCache>
                <c:ptCount val="1"/>
                <c:pt idx="0">
                  <c:v>2024</c:v>
                </c:pt>
              </c:strCache>
            </c:strRef>
          </c:tx>
          <c:spPr>
            <a:solidFill>
              <a:srgbClr val="E42618"/>
            </a:solidFill>
            <a:ln>
              <a:noFill/>
            </a:ln>
            <a:effectLst/>
          </c:spPr>
          <c:invertIfNegative val="0"/>
          <c:cat>
            <c:strRef>
              <c:f>'fig2'!$B$20:$B$24</c:f>
              <c:strCache>
                <c:ptCount val="5"/>
                <c:pt idx="0">
                  <c:v>Bangladesh</c:v>
                </c:pt>
                <c:pt idx="1">
                  <c:v>Perù</c:v>
                </c:pt>
                <c:pt idx="2">
                  <c:v>Pakistan</c:v>
                </c:pt>
                <c:pt idx="3">
                  <c:v>Egitto</c:v>
                </c:pt>
                <c:pt idx="4">
                  <c:v>Marocco</c:v>
                </c:pt>
              </c:strCache>
            </c:strRef>
          </c:cat>
          <c:val>
            <c:numRef>
              <c:f>'fig2'!$D$20:$D$24</c:f>
              <c:numCache>
                <c:formatCode>#,##0</c:formatCode>
                <c:ptCount val="5"/>
                <c:pt idx="0">
                  <c:v>32865</c:v>
                </c:pt>
                <c:pt idx="1">
                  <c:v>15595</c:v>
                </c:pt>
                <c:pt idx="2">
                  <c:v>11740</c:v>
                </c:pt>
                <c:pt idx="3">
                  <c:v>11595</c:v>
                </c:pt>
                <c:pt idx="4">
                  <c:v>9985</c:v>
                </c:pt>
              </c:numCache>
            </c:numRef>
          </c:val>
          <c:extLst>
            <c:ext xmlns:c16="http://schemas.microsoft.com/office/drawing/2014/chart" uri="{C3380CC4-5D6E-409C-BE32-E72D297353CC}">
              <c16:uniqueId val="{00000001-2006-4A1C-B6EC-B19260C66905}"/>
            </c:ext>
          </c:extLst>
        </c:ser>
        <c:dLbls>
          <c:showLegendKey val="0"/>
          <c:showVal val="0"/>
          <c:showCatName val="0"/>
          <c:showSerName val="0"/>
          <c:showPercent val="0"/>
          <c:showBubbleSize val="0"/>
        </c:dLbls>
        <c:gapWidth val="90"/>
        <c:axId val="225897520"/>
        <c:axId val="225891696"/>
      </c:barChart>
      <c:catAx>
        <c:axId val="225897520"/>
        <c:scaling>
          <c:orientation val="minMax"/>
        </c:scaling>
        <c:delete val="0"/>
        <c:axPos val="b"/>
        <c:majorGridlines>
          <c:spPr>
            <a:ln w="3175" cap="flat" cmpd="sng" algn="ctr">
              <a:solidFill>
                <a:sysClr val="window" lastClr="FFFFFF"/>
              </a:solidFill>
              <a:round/>
            </a:ln>
            <a:effectLst/>
          </c:spPr>
        </c:majorGridlines>
        <c:numFmt formatCode="General" sourceLinked="1"/>
        <c:majorTickMark val="out"/>
        <c:minorTickMark val="none"/>
        <c:tickLblPos val="nextTo"/>
        <c:spPr>
          <a:noFill/>
          <a:ln w="12700" cap="flat" cmpd="sng" algn="ctr">
            <a:solidFill>
              <a:sysClr val="window" lastClr="FFFFFF"/>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Narrow" panose="020B0606020202030204" pitchFamily="34" charset="0"/>
                <a:ea typeface="+mn-ea"/>
                <a:cs typeface="+mn-cs"/>
              </a:defRPr>
            </a:pPr>
            <a:endParaRPr lang="it-IT"/>
          </a:p>
        </c:txPr>
        <c:crossAx val="225891696"/>
        <c:crosses val="autoZero"/>
        <c:auto val="1"/>
        <c:lblAlgn val="ctr"/>
        <c:lblOffset val="100"/>
        <c:noMultiLvlLbl val="0"/>
      </c:catAx>
      <c:valAx>
        <c:axId val="225891696"/>
        <c:scaling>
          <c:orientation val="minMax"/>
          <c:max val="35000"/>
          <c:min val="0"/>
        </c:scaling>
        <c:delete val="0"/>
        <c:axPos val="l"/>
        <c:majorGridlines>
          <c:spPr>
            <a:ln w="3175" cap="flat" cmpd="sng" algn="ctr">
              <a:solidFill>
                <a:sysClr val="window" lastClr="FFFFFF"/>
              </a:solidFill>
              <a:round/>
            </a:ln>
            <a:effectLst/>
          </c:spPr>
        </c:majorGridlines>
        <c:numFmt formatCode="#,##0" sourceLinked="0"/>
        <c:majorTickMark val="out"/>
        <c:minorTickMark val="none"/>
        <c:tickLblPos val="nextTo"/>
        <c:spPr>
          <a:noFill/>
          <a:ln w="12700">
            <a:solidFill>
              <a:sysClr val="window" lastClr="FFFFFF"/>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it-IT"/>
          </a:p>
        </c:txPr>
        <c:crossAx val="225897520"/>
        <c:crosses val="autoZero"/>
        <c:crossBetween val="between"/>
      </c:valAx>
      <c:spPr>
        <a:noFill/>
        <a:ln>
          <a:noFill/>
        </a:ln>
        <a:effectLst/>
      </c:spPr>
    </c:plotArea>
    <c:legend>
      <c:legendPos val="b"/>
      <c:layout>
        <c:manualLayout>
          <c:xMode val="edge"/>
          <c:yMode val="edge"/>
          <c:x val="0.40755024969880382"/>
          <c:y val="8.2982247145306082E-3"/>
          <c:w val="0.13506360600595163"/>
          <c:h val="8.6061394499600596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it-IT"/>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Arial Narrow" panose="020B0606020202030204" pitchFamily="34" charset="0"/>
        </a:defRPr>
      </a:pPr>
      <a:endParaRPr lang="it-I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16312845616129E-2"/>
          <c:y val="0.11746224557505384"/>
          <c:w val="0.91090049148770458"/>
          <c:h val="0.79088749646069145"/>
        </c:manualLayout>
      </c:layout>
      <c:barChart>
        <c:barDir val="col"/>
        <c:grouping val="stacked"/>
        <c:varyColors val="0"/>
        <c:ser>
          <c:idx val="0"/>
          <c:order val="0"/>
          <c:tx>
            <c:strRef>
              <c:f>'fig3'!$C$26</c:f>
              <c:strCache>
                <c:ptCount val="1"/>
                <c:pt idx="0">
                  <c:v>Protezione speciale</c:v>
                </c:pt>
              </c:strCache>
            </c:strRef>
          </c:tx>
          <c:spPr>
            <a:solidFill>
              <a:srgbClr val="1F497D"/>
            </a:solidFill>
            <a:ln>
              <a:noFill/>
            </a:ln>
            <a:effectLst/>
          </c:spPr>
          <c:invertIfNegative val="0"/>
          <c:cat>
            <c:strRef>
              <c:f>'fig3'!$B$27:$B$36</c:f>
              <c:strCache>
                <c:ptCount val="10"/>
                <c:pt idx="0">
                  <c:v>Burkina Faso</c:v>
                </c:pt>
                <c:pt idx="1">
                  <c:v>Bangladesh</c:v>
                </c:pt>
                <c:pt idx="2">
                  <c:v>Pakistan</c:v>
                </c:pt>
                <c:pt idx="3">
                  <c:v>Mali</c:v>
                </c:pt>
                <c:pt idx="4">
                  <c:v>Nigeria</c:v>
                </c:pt>
                <c:pt idx="5">
                  <c:v>Côte d’Ivoire</c:v>
                </c:pt>
                <c:pt idx="6">
                  <c:v>Egypt</c:v>
                </c:pt>
                <c:pt idx="7">
                  <c:v>Tunisia</c:v>
                </c:pt>
                <c:pt idx="8">
                  <c:v>Peru</c:v>
                </c:pt>
                <c:pt idx="9">
                  <c:v>Morocco</c:v>
                </c:pt>
              </c:strCache>
            </c:strRef>
          </c:cat>
          <c:val>
            <c:numRef>
              <c:f>'fig3'!$C$27:$C$36</c:f>
              <c:numCache>
                <c:formatCode>0</c:formatCode>
                <c:ptCount val="10"/>
                <c:pt idx="0">
                  <c:v>135</c:v>
                </c:pt>
                <c:pt idx="1">
                  <c:v>2685</c:v>
                </c:pt>
                <c:pt idx="2">
                  <c:v>1720</c:v>
                </c:pt>
                <c:pt idx="3">
                  <c:v>485</c:v>
                </c:pt>
                <c:pt idx="4">
                  <c:v>585</c:v>
                </c:pt>
                <c:pt idx="5">
                  <c:v>430</c:v>
                </c:pt>
                <c:pt idx="6">
                  <c:v>870</c:v>
                </c:pt>
                <c:pt idx="7">
                  <c:v>520</c:v>
                </c:pt>
                <c:pt idx="8">
                  <c:v>505</c:v>
                </c:pt>
                <c:pt idx="9">
                  <c:v>370</c:v>
                </c:pt>
              </c:numCache>
            </c:numRef>
          </c:val>
          <c:extLst>
            <c:ext xmlns:c16="http://schemas.microsoft.com/office/drawing/2014/chart" uri="{C3380CC4-5D6E-409C-BE32-E72D297353CC}">
              <c16:uniqueId val="{00000000-C814-4716-91D2-F7FE9BAFD6FD}"/>
            </c:ext>
          </c:extLst>
        </c:ser>
        <c:ser>
          <c:idx val="1"/>
          <c:order val="1"/>
          <c:tx>
            <c:strRef>
              <c:f>'fig3'!$D$26</c:f>
              <c:strCache>
                <c:ptCount val="1"/>
                <c:pt idx="0">
                  <c:v>Protezione sussidiaria</c:v>
                </c:pt>
              </c:strCache>
            </c:strRef>
          </c:tx>
          <c:spPr>
            <a:solidFill>
              <a:srgbClr val="E42618"/>
            </a:solidFill>
            <a:ln>
              <a:noFill/>
            </a:ln>
            <a:effectLst/>
          </c:spPr>
          <c:invertIfNegative val="0"/>
          <c:cat>
            <c:strRef>
              <c:f>'fig3'!$B$27:$B$36</c:f>
              <c:strCache>
                <c:ptCount val="10"/>
                <c:pt idx="0">
                  <c:v>Burkina Faso</c:v>
                </c:pt>
                <c:pt idx="1">
                  <c:v>Bangladesh</c:v>
                </c:pt>
                <c:pt idx="2">
                  <c:v>Pakistan</c:v>
                </c:pt>
                <c:pt idx="3">
                  <c:v>Mali</c:v>
                </c:pt>
                <c:pt idx="4">
                  <c:v>Nigeria</c:v>
                </c:pt>
                <c:pt idx="5">
                  <c:v>Côte d’Ivoire</c:v>
                </c:pt>
                <c:pt idx="6">
                  <c:v>Egypt</c:v>
                </c:pt>
                <c:pt idx="7">
                  <c:v>Tunisia</c:v>
                </c:pt>
                <c:pt idx="8">
                  <c:v>Peru</c:v>
                </c:pt>
                <c:pt idx="9">
                  <c:v>Morocco</c:v>
                </c:pt>
              </c:strCache>
            </c:strRef>
          </c:cat>
          <c:val>
            <c:numRef>
              <c:f>'fig3'!$D$27:$D$36</c:f>
              <c:numCache>
                <c:formatCode>0</c:formatCode>
                <c:ptCount val="10"/>
                <c:pt idx="0">
                  <c:v>3430</c:v>
                </c:pt>
                <c:pt idx="1">
                  <c:v>140</c:v>
                </c:pt>
                <c:pt idx="2">
                  <c:v>890</c:v>
                </c:pt>
                <c:pt idx="3">
                  <c:v>1810</c:v>
                </c:pt>
                <c:pt idx="4">
                  <c:v>315</c:v>
                </c:pt>
                <c:pt idx="5">
                  <c:v>70</c:v>
                </c:pt>
                <c:pt idx="6">
                  <c:v>20</c:v>
                </c:pt>
                <c:pt idx="7">
                  <c:v>40</c:v>
                </c:pt>
                <c:pt idx="8">
                  <c:v>35</c:v>
                </c:pt>
                <c:pt idx="9">
                  <c:v>5</c:v>
                </c:pt>
              </c:numCache>
            </c:numRef>
          </c:val>
          <c:extLst>
            <c:ext xmlns:c16="http://schemas.microsoft.com/office/drawing/2014/chart" uri="{C3380CC4-5D6E-409C-BE32-E72D297353CC}">
              <c16:uniqueId val="{00000001-C814-4716-91D2-F7FE9BAFD6FD}"/>
            </c:ext>
          </c:extLst>
        </c:ser>
        <c:ser>
          <c:idx val="2"/>
          <c:order val="2"/>
          <c:tx>
            <c:strRef>
              <c:f>'fig3'!$E$26</c:f>
              <c:strCache>
                <c:ptCount val="1"/>
                <c:pt idx="0">
                  <c:v>Status rifugiato</c:v>
                </c:pt>
              </c:strCache>
            </c:strRef>
          </c:tx>
          <c:spPr>
            <a:solidFill>
              <a:schemeClr val="accent3"/>
            </a:solidFill>
            <a:ln>
              <a:noFill/>
            </a:ln>
            <a:effectLst/>
          </c:spPr>
          <c:invertIfNegative val="0"/>
          <c:cat>
            <c:strRef>
              <c:f>'fig3'!$B$27:$B$36</c:f>
              <c:strCache>
                <c:ptCount val="10"/>
                <c:pt idx="0">
                  <c:v>Burkina Faso</c:v>
                </c:pt>
                <c:pt idx="1">
                  <c:v>Bangladesh</c:v>
                </c:pt>
                <c:pt idx="2">
                  <c:v>Pakistan</c:v>
                </c:pt>
                <c:pt idx="3">
                  <c:v>Mali</c:v>
                </c:pt>
                <c:pt idx="4">
                  <c:v>Nigeria</c:v>
                </c:pt>
                <c:pt idx="5">
                  <c:v>Côte d’Ivoire</c:v>
                </c:pt>
                <c:pt idx="6">
                  <c:v>Egypt</c:v>
                </c:pt>
                <c:pt idx="7">
                  <c:v>Tunisia</c:v>
                </c:pt>
                <c:pt idx="8">
                  <c:v>Peru</c:v>
                </c:pt>
                <c:pt idx="9">
                  <c:v>Morocco</c:v>
                </c:pt>
              </c:strCache>
            </c:strRef>
          </c:cat>
          <c:val>
            <c:numRef>
              <c:f>'fig3'!$E$27:$E$36</c:f>
              <c:numCache>
                <c:formatCode>0</c:formatCode>
                <c:ptCount val="10"/>
                <c:pt idx="0">
                  <c:v>75</c:v>
                </c:pt>
                <c:pt idx="1">
                  <c:v>200</c:v>
                </c:pt>
                <c:pt idx="2">
                  <c:v>345</c:v>
                </c:pt>
                <c:pt idx="3">
                  <c:v>100</c:v>
                </c:pt>
                <c:pt idx="4">
                  <c:v>650</c:v>
                </c:pt>
                <c:pt idx="5">
                  <c:v>540</c:v>
                </c:pt>
                <c:pt idx="6">
                  <c:v>80</c:v>
                </c:pt>
                <c:pt idx="7">
                  <c:v>225</c:v>
                </c:pt>
                <c:pt idx="8">
                  <c:v>125</c:v>
                </c:pt>
                <c:pt idx="9">
                  <c:v>65</c:v>
                </c:pt>
              </c:numCache>
            </c:numRef>
          </c:val>
          <c:extLst>
            <c:ext xmlns:c16="http://schemas.microsoft.com/office/drawing/2014/chart" uri="{C3380CC4-5D6E-409C-BE32-E72D297353CC}">
              <c16:uniqueId val="{00000002-C814-4716-91D2-F7FE9BAFD6FD}"/>
            </c:ext>
          </c:extLst>
        </c:ser>
        <c:dLbls>
          <c:showLegendKey val="0"/>
          <c:showVal val="0"/>
          <c:showCatName val="0"/>
          <c:showSerName val="0"/>
          <c:showPercent val="0"/>
          <c:showBubbleSize val="0"/>
        </c:dLbls>
        <c:gapWidth val="90"/>
        <c:overlap val="100"/>
        <c:axId val="225897520"/>
        <c:axId val="225891696"/>
      </c:barChart>
      <c:catAx>
        <c:axId val="225897520"/>
        <c:scaling>
          <c:orientation val="minMax"/>
        </c:scaling>
        <c:delete val="0"/>
        <c:axPos val="b"/>
        <c:majorGridlines>
          <c:spPr>
            <a:ln w="3175" cap="flat" cmpd="sng" algn="ctr">
              <a:solidFill>
                <a:sysClr val="window" lastClr="FFFFFF"/>
              </a:solidFill>
              <a:round/>
            </a:ln>
            <a:effectLst/>
          </c:spPr>
        </c:majorGridlines>
        <c:numFmt formatCode="General" sourceLinked="1"/>
        <c:majorTickMark val="out"/>
        <c:minorTickMark val="none"/>
        <c:tickLblPos val="nextTo"/>
        <c:spPr>
          <a:noFill/>
          <a:ln w="12700" cap="flat" cmpd="sng" algn="ctr">
            <a:solidFill>
              <a:sysClr val="window" lastClr="FFFFFF"/>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Narrow" panose="020B0606020202030204" pitchFamily="34" charset="0"/>
                <a:ea typeface="+mn-ea"/>
                <a:cs typeface="+mn-cs"/>
              </a:defRPr>
            </a:pPr>
            <a:endParaRPr lang="it-IT"/>
          </a:p>
        </c:txPr>
        <c:crossAx val="225891696"/>
        <c:crosses val="autoZero"/>
        <c:auto val="1"/>
        <c:lblAlgn val="ctr"/>
        <c:lblOffset val="100"/>
        <c:noMultiLvlLbl val="0"/>
      </c:catAx>
      <c:valAx>
        <c:axId val="225891696"/>
        <c:scaling>
          <c:orientation val="minMax"/>
        </c:scaling>
        <c:delete val="0"/>
        <c:axPos val="l"/>
        <c:majorGridlines>
          <c:spPr>
            <a:ln w="3175" cap="flat" cmpd="sng" algn="ctr">
              <a:solidFill>
                <a:sysClr val="window" lastClr="FFFFFF"/>
              </a:solidFill>
              <a:round/>
            </a:ln>
            <a:effectLst/>
          </c:spPr>
        </c:majorGridlines>
        <c:numFmt formatCode="#,##0" sourceLinked="0"/>
        <c:majorTickMark val="out"/>
        <c:minorTickMark val="none"/>
        <c:tickLblPos val="nextTo"/>
        <c:spPr>
          <a:noFill/>
          <a:ln w="12700">
            <a:solidFill>
              <a:sysClr val="window" lastClr="FFFFFF"/>
            </a:solid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it-IT"/>
          </a:p>
        </c:txPr>
        <c:crossAx val="225897520"/>
        <c:crosses val="autoZero"/>
        <c:crossBetween val="between"/>
      </c:valAx>
      <c:spPr>
        <a:noFill/>
        <a:ln>
          <a:noFill/>
        </a:ln>
        <a:effectLst/>
      </c:spPr>
    </c:plotArea>
    <c:legend>
      <c:legendPos val="b"/>
      <c:layout>
        <c:manualLayout>
          <c:xMode val="edge"/>
          <c:yMode val="edge"/>
          <c:x val="0.23794626267841706"/>
          <c:y val="2.3443514798091907E-2"/>
          <c:w val="0.53184586763625674"/>
          <c:h val="5.834671264942643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it-IT"/>
        </a:p>
      </c:txPr>
    </c:legend>
    <c:plotVisOnly val="1"/>
    <c:dispBlanksAs val="gap"/>
    <c:showDLblsOverMax val="0"/>
  </c:chart>
  <c:spPr>
    <a:noFill/>
    <a:ln w="9525" cap="flat" cmpd="sng" algn="ctr">
      <a:noFill/>
      <a:round/>
    </a:ln>
    <a:effectLst/>
  </c:spPr>
  <c:txPr>
    <a:bodyPr/>
    <a:lstStyle/>
    <a:p>
      <a:pPr>
        <a:defRPr sz="800" b="0">
          <a:solidFill>
            <a:schemeClr val="tx1"/>
          </a:solidFill>
          <a:latin typeface="Arial Narrow" panose="020B0606020202030204" pitchFamily="34" charset="0"/>
        </a:defRPr>
      </a:pPr>
      <a:endParaRPr lang="it-I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881246739381E-2"/>
          <c:y val="0.13494761777659148"/>
          <c:w val="0.9015198832041218"/>
          <c:h val="0.75963524289336715"/>
        </c:manualLayout>
      </c:layout>
      <c:barChart>
        <c:barDir val="col"/>
        <c:grouping val="clustered"/>
        <c:varyColors val="0"/>
        <c:ser>
          <c:idx val="0"/>
          <c:order val="0"/>
          <c:tx>
            <c:strRef>
              <c:f>'fig4'!$D$18</c:f>
              <c:strCache>
                <c:ptCount val="1"/>
                <c:pt idx="0">
                  <c:v>2023</c:v>
                </c:pt>
              </c:strCache>
            </c:strRef>
          </c:tx>
          <c:spPr>
            <a:solidFill>
              <a:srgbClr val="1F497D"/>
            </a:solidFill>
            <a:ln>
              <a:noFill/>
            </a:ln>
          </c:spPr>
          <c:invertIfNegative val="0"/>
          <c:cat>
            <c:strRef>
              <c:f>'fig4'!$C$20:$C$29</c:f>
              <c:strCache>
                <c:ptCount val="10"/>
                <c:pt idx="0">
                  <c:v>Ucraina</c:v>
                </c:pt>
                <c:pt idx="1">
                  <c:v>Marocco</c:v>
                </c:pt>
                <c:pt idx="2">
                  <c:v>Albania</c:v>
                </c:pt>
                <c:pt idx="3">
                  <c:v>Cina</c:v>
                </c:pt>
                <c:pt idx="4">
                  <c:v>Bangladesh</c:v>
                </c:pt>
                <c:pt idx="5">
                  <c:v>Egitto</c:v>
                </c:pt>
                <c:pt idx="6">
                  <c:v>Pakistan</c:v>
                </c:pt>
                <c:pt idx="7">
                  <c:v>India</c:v>
                </c:pt>
                <c:pt idx="8">
                  <c:v>Filippine</c:v>
                </c:pt>
                <c:pt idx="9">
                  <c:v>Tunisia</c:v>
                </c:pt>
              </c:strCache>
            </c:strRef>
          </c:cat>
          <c:val>
            <c:numRef>
              <c:f>'fig4'!$D$20:$D$29</c:f>
              <c:numCache>
                <c:formatCode>#,##0</c:formatCode>
                <c:ptCount val="10"/>
                <c:pt idx="0">
                  <c:v>385819</c:v>
                </c:pt>
                <c:pt idx="1">
                  <c:v>371809</c:v>
                </c:pt>
                <c:pt idx="2">
                  <c:v>359442</c:v>
                </c:pt>
                <c:pt idx="3">
                  <c:v>267090</c:v>
                </c:pt>
                <c:pt idx="4">
                  <c:v>167263</c:v>
                </c:pt>
                <c:pt idx="5">
                  <c:v>160181</c:v>
                </c:pt>
                <c:pt idx="6">
                  <c:v>141015</c:v>
                </c:pt>
                <c:pt idx="7">
                  <c:v>153041</c:v>
                </c:pt>
                <c:pt idx="8">
                  <c:v>146285</c:v>
                </c:pt>
                <c:pt idx="9">
                  <c:v>99726</c:v>
                </c:pt>
              </c:numCache>
            </c:numRef>
          </c:val>
          <c:extLst>
            <c:ext xmlns:c16="http://schemas.microsoft.com/office/drawing/2014/chart" uri="{C3380CC4-5D6E-409C-BE32-E72D297353CC}">
              <c16:uniqueId val="{00000000-C30E-4A18-A43C-3034A62DAAE3}"/>
            </c:ext>
          </c:extLst>
        </c:ser>
        <c:ser>
          <c:idx val="1"/>
          <c:order val="1"/>
          <c:tx>
            <c:strRef>
              <c:f>'fig4'!$E$18</c:f>
              <c:strCache>
                <c:ptCount val="1"/>
                <c:pt idx="0">
                  <c:v>2024</c:v>
                </c:pt>
              </c:strCache>
            </c:strRef>
          </c:tx>
          <c:spPr>
            <a:solidFill>
              <a:srgbClr val="E42618"/>
            </a:solidFill>
            <a:ln>
              <a:noFill/>
            </a:ln>
          </c:spPr>
          <c:invertIfNegative val="0"/>
          <c:cat>
            <c:strRef>
              <c:f>'fig4'!$C$20:$C$29</c:f>
              <c:strCache>
                <c:ptCount val="10"/>
                <c:pt idx="0">
                  <c:v>Ucraina</c:v>
                </c:pt>
                <c:pt idx="1">
                  <c:v>Marocco</c:v>
                </c:pt>
                <c:pt idx="2">
                  <c:v>Albania</c:v>
                </c:pt>
                <c:pt idx="3">
                  <c:v>Cina</c:v>
                </c:pt>
                <c:pt idx="4">
                  <c:v>Bangladesh</c:v>
                </c:pt>
                <c:pt idx="5">
                  <c:v>Egitto</c:v>
                </c:pt>
                <c:pt idx="6">
                  <c:v>Pakistan</c:v>
                </c:pt>
                <c:pt idx="7">
                  <c:v>India</c:v>
                </c:pt>
                <c:pt idx="8">
                  <c:v>Filippine</c:v>
                </c:pt>
                <c:pt idx="9">
                  <c:v>Tunisia</c:v>
                </c:pt>
              </c:strCache>
            </c:strRef>
          </c:cat>
          <c:val>
            <c:numRef>
              <c:f>'fig4'!$E$20:$E$29</c:f>
              <c:numCache>
                <c:formatCode>#,##0</c:formatCode>
                <c:ptCount val="10"/>
                <c:pt idx="0">
                  <c:v>392389</c:v>
                </c:pt>
                <c:pt idx="1">
                  <c:v>377551</c:v>
                </c:pt>
                <c:pt idx="2">
                  <c:v>360965</c:v>
                </c:pt>
                <c:pt idx="3">
                  <c:v>288661</c:v>
                </c:pt>
                <c:pt idx="4">
                  <c:v>195523</c:v>
                </c:pt>
                <c:pt idx="5">
                  <c:v>175236</c:v>
                </c:pt>
                <c:pt idx="6">
                  <c:v>159680</c:v>
                </c:pt>
                <c:pt idx="7">
                  <c:v>159618</c:v>
                </c:pt>
                <c:pt idx="8">
                  <c:v>145694</c:v>
                </c:pt>
                <c:pt idx="9">
                  <c:v>112486</c:v>
                </c:pt>
              </c:numCache>
            </c:numRef>
          </c:val>
          <c:extLst>
            <c:ext xmlns:c16="http://schemas.microsoft.com/office/drawing/2014/chart" uri="{C3380CC4-5D6E-409C-BE32-E72D297353CC}">
              <c16:uniqueId val="{00000001-C30E-4A18-A43C-3034A62DAAE3}"/>
            </c:ext>
          </c:extLst>
        </c:ser>
        <c:dLbls>
          <c:showLegendKey val="0"/>
          <c:showVal val="0"/>
          <c:showCatName val="0"/>
          <c:showSerName val="0"/>
          <c:showPercent val="0"/>
          <c:showBubbleSize val="0"/>
        </c:dLbls>
        <c:gapWidth val="90"/>
        <c:axId val="892833200"/>
        <c:axId val="892833760"/>
      </c:barChart>
      <c:catAx>
        <c:axId val="892833200"/>
        <c:scaling>
          <c:orientation val="minMax"/>
        </c:scaling>
        <c:delete val="0"/>
        <c:axPos val="b"/>
        <c:majorGridlines>
          <c:spPr>
            <a:ln w="3175">
              <a:solidFill>
                <a:schemeClr val="bg1"/>
              </a:solidFill>
            </a:ln>
          </c:spPr>
        </c:majorGridlines>
        <c:numFmt formatCode="General" sourceLinked="1"/>
        <c:majorTickMark val="out"/>
        <c:minorTickMark val="none"/>
        <c:tickLblPos val="nextTo"/>
        <c:spPr>
          <a:noFill/>
          <a:ln w="12700" cap="flat" cmpd="sng" algn="ctr">
            <a:solidFill>
              <a:schemeClr val="bg1"/>
            </a:solidFill>
            <a:round/>
          </a:ln>
          <a:effectLst/>
        </c:spPr>
        <c:txPr>
          <a:bodyPr rot="-60000000" vert="horz"/>
          <a:lstStyle/>
          <a:p>
            <a:pPr>
              <a:defRPr b="1"/>
            </a:pPr>
            <a:endParaRPr lang="it-IT"/>
          </a:p>
        </c:txPr>
        <c:crossAx val="892833760"/>
        <c:crosses val="autoZero"/>
        <c:auto val="1"/>
        <c:lblAlgn val="ctr"/>
        <c:lblOffset val="100"/>
        <c:noMultiLvlLbl val="0"/>
      </c:catAx>
      <c:valAx>
        <c:axId val="892833760"/>
        <c:scaling>
          <c:orientation val="minMax"/>
        </c:scaling>
        <c:delete val="0"/>
        <c:axPos val="l"/>
        <c:majorGridlines>
          <c:spPr>
            <a:ln w="9525" cap="flat" cmpd="sng" algn="ctr">
              <a:solidFill>
                <a:schemeClr val="bg1"/>
              </a:solidFill>
              <a:round/>
            </a:ln>
            <a:effectLst/>
          </c:spPr>
        </c:majorGridlines>
        <c:numFmt formatCode="#,##0" sourceLinked="1"/>
        <c:majorTickMark val="out"/>
        <c:minorTickMark val="none"/>
        <c:tickLblPos val="nextTo"/>
        <c:spPr>
          <a:noFill/>
          <a:ln w="12700">
            <a:solidFill>
              <a:schemeClr val="bg1"/>
            </a:solidFill>
          </a:ln>
          <a:effectLst/>
        </c:spPr>
        <c:txPr>
          <a:bodyPr rot="-60000000" vert="horz"/>
          <a:lstStyle/>
          <a:p>
            <a:pPr>
              <a:defRPr/>
            </a:pPr>
            <a:endParaRPr lang="it-IT"/>
          </a:p>
        </c:txPr>
        <c:crossAx val="892833200"/>
        <c:crosses val="autoZero"/>
        <c:crossBetween val="between"/>
      </c:valAx>
      <c:spPr>
        <a:noFill/>
        <a:ln w="3175">
          <a:solidFill>
            <a:schemeClr val="bg1"/>
          </a:solidFill>
        </a:ln>
        <a:effectLst/>
      </c:spPr>
    </c:plotArea>
    <c:legend>
      <c:legendPos val="b"/>
      <c:layout>
        <c:manualLayout>
          <c:xMode val="edge"/>
          <c:yMode val="edge"/>
          <c:x val="0.41995079229105303"/>
          <c:y val="2.9849943280395041E-2"/>
          <c:w val="0.12381253968253969"/>
          <c:h val="8.1169575403019348E-2"/>
        </c:manualLayout>
      </c:layout>
      <c:overlay val="0"/>
      <c:spPr>
        <a:noFill/>
        <a:ln>
          <a:noFill/>
        </a:ln>
        <a:effectLst/>
      </c:spPr>
      <c:txPr>
        <a:bodyPr rot="0" vert="horz"/>
        <a:lstStyle/>
        <a:p>
          <a:pPr>
            <a:defRPr/>
          </a:pPr>
          <a:endParaRPr lang="it-IT"/>
        </a:p>
      </c:txPr>
    </c:legend>
    <c:plotVisOnly val="1"/>
    <c:dispBlanksAs val="gap"/>
    <c:showDLblsOverMax val="0"/>
  </c:chart>
  <c:spPr>
    <a:noFill/>
    <a:ln w="9525" cap="flat" cmpd="sng" algn="ctr">
      <a:noFill/>
      <a:round/>
    </a:ln>
    <a:effectLst/>
  </c:spPr>
  <c:txPr>
    <a:bodyPr/>
    <a:lstStyle/>
    <a:p>
      <a:pPr>
        <a:defRPr sz="800">
          <a:latin typeface="Arial Narrow" panose="020B0606020202030204" pitchFamily="34" charset="0"/>
        </a:defRPr>
      </a:pPr>
      <a:endParaRPr lang="it-I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'fig5'!$A$29</c:f>
              <c:strCache>
                <c:ptCount val="1"/>
                <c:pt idx="0">
                  <c:v>Residenza</c:v>
                </c:pt>
              </c:strCache>
            </c:strRef>
          </c:tx>
          <c:spPr>
            <a:ln w="28575" cap="rnd">
              <a:solidFill>
                <a:srgbClr val="1F497D"/>
              </a:solidFill>
              <a:round/>
            </a:ln>
            <a:effectLst/>
          </c:spPr>
          <c:marker>
            <c:symbol val="square"/>
            <c:size val="5"/>
            <c:spPr>
              <a:solidFill>
                <a:srgbClr val="1F497D"/>
              </a:solidFill>
              <a:ln w="9525">
                <a:solidFill>
                  <a:srgbClr val="1F497D"/>
                </a:solidFill>
              </a:ln>
              <a:effectLst/>
            </c:spPr>
          </c:marker>
          <c:cat>
            <c:strRef>
              <c:f>'fig5'!$B$28:$O$28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'fig5'!$B$29:$O$29</c:f>
              <c:numCache>
                <c:formatCode>#,##0</c:formatCode>
                <c:ptCount val="14"/>
                <c:pt idx="0">
                  <c:v>25269</c:v>
                </c:pt>
                <c:pt idx="1">
                  <c:v>22968</c:v>
                </c:pt>
                <c:pt idx="2">
                  <c:v>35196</c:v>
                </c:pt>
                <c:pt idx="3">
                  <c:v>53624</c:v>
                </c:pt>
                <c:pt idx="4">
                  <c:v>78168</c:v>
                </c:pt>
                <c:pt idx="5">
                  <c:v>85672</c:v>
                </c:pt>
                <c:pt idx="6">
                  <c:v>56682</c:v>
                </c:pt>
                <c:pt idx="7">
                  <c:v>35609</c:v>
                </c:pt>
                <c:pt idx="8">
                  <c:v>45692</c:v>
                </c:pt>
                <c:pt idx="9">
                  <c:v>57443</c:v>
                </c:pt>
                <c:pt idx="10">
                  <c:v>44883</c:v>
                </c:pt>
                <c:pt idx="11">
                  <c:v>85793</c:v>
                </c:pt>
                <c:pt idx="12">
                  <c:v>77562</c:v>
                </c:pt>
                <c:pt idx="13">
                  <c:v>84712</c:v>
                </c:pt>
              </c:numCache>
            </c:numRef>
          </c:val>
          <c:smooth val="0"/>
          <c:extLst>
            <c:ext xmlns:c16="http://schemas.microsoft.com/office/drawing/2014/chart" uri="{C3380CC4-5D6E-409C-BE32-E72D297353CC}">
              <c16:uniqueId val="{00000000-4B0F-495F-860A-99CC8F996EF9}"/>
            </c:ext>
          </c:extLst>
        </c:ser>
        <c:ser>
          <c:idx val="1"/>
          <c:order val="1"/>
          <c:tx>
            <c:strRef>
              <c:f>'fig5'!$A$30</c:f>
              <c:strCache>
                <c:ptCount val="1"/>
                <c:pt idx="0">
                  <c:v>Matrimonio</c:v>
                </c:pt>
              </c:strCache>
            </c:strRef>
          </c:tx>
          <c:spPr>
            <a:ln w="28575" cap="rnd">
              <a:solidFill>
                <a:srgbClr val="E42618"/>
              </a:solidFill>
              <a:round/>
            </a:ln>
            <a:effectLst/>
          </c:spPr>
          <c:marker>
            <c:symbol val="square"/>
            <c:size val="5"/>
            <c:spPr>
              <a:solidFill>
                <a:srgbClr val="E42618"/>
              </a:solidFill>
              <a:ln w="9525">
                <a:solidFill>
                  <a:srgbClr val="E42618"/>
                </a:solidFill>
              </a:ln>
              <a:effectLst/>
            </c:spPr>
          </c:marker>
          <c:cat>
            <c:strRef>
              <c:f>'fig5'!$B$28:$O$28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'fig5'!$B$30:$O$30</c:f>
              <c:numCache>
                <c:formatCode>#,##0</c:formatCode>
                <c:ptCount val="14"/>
                <c:pt idx="0">
                  <c:v>14744</c:v>
                </c:pt>
                <c:pt idx="1">
                  <c:v>17835</c:v>
                </c:pt>
                <c:pt idx="2">
                  <c:v>20875</c:v>
                </c:pt>
                <c:pt idx="3">
                  <c:v>17174</c:v>
                </c:pt>
                <c:pt idx="4">
                  <c:v>14667</c:v>
                </c:pt>
                <c:pt idx="5">
                  <c:v>15936</c:v>
                </c:pt>
                <c:pt idx="6">
                  <c:v>20003</c:v>
                </c:pt>
                <c:pt idx="7">
                  <c:v>21768</c:v>
                </c:pt>
                <c:pt idx="8">
                  <c:v>15286</c:v>
                </c:pt>
                <c:pt idx="9">
                  <c:v>12769</c:v>
                </c:pt>
                <c:pt idx="10">
                  <c:v>13078</c:v>
                </c:pt>
                <c:pt idx="11">
                  <c:v>16940</c:v>
                </c:pt>
                <c:pt idx="12">
                  <c:v>22330</c:v>
                </c:pt>
                <c:pt idx="13">
                  <c:v>19145</c:v>
                </c:pt>
              </c:numCache>
            </c:numRef>
          </c:val>
          <c:smooth val="0"/>
          <c:extLst>
            <c:ext xmlns:c16="http://schemas.microsoft.com/office/drawing/2014/chart" uri="{C3380CC4-5D6E-409C-BE32-E72D297353CC}">
              <c16:uniqueId val="{00000001-4B0F-495F-860A-99CC8F996EF9}"/>
            </c:ext>
          </c:extLst>
        </c:ser>
        <c:ser>
          <c:idx val="2"/>
          <c:order val="2"/>
          <c:tx>
            <c:strRef>
              <c:f>'fig5'!$A$31</c:f>
              <c:strCache>
                <c:ptCount val="1"/>
                <c:pt idx="0">
                  <c:v>Minori</c:v>
                </c:pt>
              </c:strCache>
            </c:strRef>
          </c:tx>
          <c:spPr>
            <a:ln w="28575" cap="rnd">
              <a:solidFill>
                <a:srgbClr val="CC6600"/>
              </a:solidFill>
              <a:round/>
            </a:ln>
            <a:effectLst/>
          </c:spPr>
          <c:marker>
            <c:symbol val="square"/>
            <c:size val="5"/>
            <c:spPr>
              <a:solidFill>
                <a:srgbClr val="CC6600"/>
              </a:solidFill>
              <a:ln w="9525">
                <a:noFill/>
              </a:ln>
              <a:effectLst/>
            </c:spPr>
          </c:marker>
          <c:cat>
            <c:strRef>
              <c:f>'fig5'!$B$28:$O$28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'fig5'!$B$31:$O$31</c:f>
              <c:numCache>
                <c:formatCode>#,##0</c:formatCode>
                <c:ptCount val="14"/>
                <c:pt idx="0">
                  <c:v>7586</c:v>
                </c:pt>
                <c:pt idx="1">
                  <c:v>16080</c:v>
                </c:pt>
                <c:pt idx="2">
                  <c:v>33792</c:v>
                </c:pt>
                <c:pt idx="3">
                  <c:v>43919</c:v>
                </c:pt>
                <c:pt idx="4">
                  <c:v>60454</c:v>
                </c:pt>
                <c:pt idx="5">
                  <c:v>68968</c:v>
                </c:pt>
                <c:pt idx="6">
                  <c:v>44810</c:v>
                </c:pt>
                <c:pt idx="7">
                  <c:v>30497</c:v>
                </c:pt>
                <c:pt idx="8">
                  <c:v>33970</c:v>
                </c:pt>
                <c:pt idx="9">
                  <c:v>35976</c:v>
                </c:pt>
                <c:pt idx="10">
                  <c:v>35969</c:v>
                </c:pt>
                <c:pt idx="11">
                  <c:v>62466</c:v>
                </c:pt>
                <c:pt idx="12">
                  <c:v>59030</c:v>
                </c:pt>
                <c:pt idx="13">
                  <c:v>63314</c:v>
                </c:pt>
              </c:numCache>
            </c:numRef>
          </c:val>
          <c:smooth val="0"/>
          <c:extLst>
            <c:ext xmlns:c16="http://schemas.microsoft.com/office/drawing/2014/chart" uri="{C3380CC4-5D6E-409C-BE32-E72D297353CC}">
              <c16:uniqueId val="{00000002-4B0F-495F-860A-99CC8F996EF9}"/>
            </c:ext>
          </c:extLst>
        </c:ser>
        <c:ser>
          <c:idx val="4"/>
          <c:order val="3"/>
          <c:tx>
            <c:strRef>
              <c:f>'fig5'!$A$32</c:f>
              <c:strCache>
                <c:ptCount val="1"/>
                <c:pt idx="0">
                  <c:v>Elezione</c:v>
                </c:pt>
              </c:strCache>
            </c:strRef>
          </c:tx>
          <c:spPr>
            <a:ln>
              <a:solidFill>
                <a:srgbClr val="BBC359"/>
              </a:solidFill>
            </a:ln>
          </c:spPr>
          <c:marker>
            <c:spPr>
              <a:ln>
                <a:solidFill>
                  <a:srgbClr val="BBC359"/>
                </a:solidFill>
              </a:ln>
            </c:spPr>
          </c:marker>
          <c:cat>
            <c:strRef>
              <c:f>'fig5'!$B$28:$O$28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'fig5'!$B$32:$O$32</c:f>
              <c:numCache>
                <c:formatCode>#,##0</c:formatCode>
                <c:ptCount val="14"/>
                <c:pt idx="0">
                  <c:v>2237</c:v>
                </c:pt>
                <c:pt idx="1">
                  <c:v>3177</c:v>
                </c:pt>
                <c:pt idx="2">
                  <c:v>4170</c:v>
                </c:pt>
                <c:pt idx="3">
                  <c:v>5744</c:v>
                </c:pt>
                <c:pt idx="4">
                  <c:v>5602</c:v>
                </c:pt>
                <c:pt idx="5">
                  <c:v>7020</c:v>
                </c:pt>
                <c:pt idx="6">
                  <c:v>6108</c:v>
                </c:pt>
                <c:pt idx="7">
                  <c:v>6683</c:v>
                </c:pt>
                <c:pt idx="8">
                  <c:v>7694</c:v>
                </c:pt>
                <c:pt idx="9">
                  <c:v>4583</c:v>
                </c:pt>
                <c:pt idx="10">
                  <c:v>7945</c:v>
                </c:pt>
                <c:pt idx="11">
                  <c:v>8782</c:v>
                </c:pt>
                <c:pt idx="12">
                  <c:v>10767</c:v>
                </c:pt>
                <c:pt idx="13">
                  <c:v>10641</c:v>
                </c:pt>
              </c:numCache>
            </c:numRef>
          </c:val>
          <c:smooth val="0"/>
          <c:extLst>
            <c:ext xmlns:c16="http://schemas.microsoft.com/office/drawing/2014/chart" uri="{C3380CC4-5D6E-409C-BE32-E72D297353CC}">
              <c16:uniqueId val="{00000003-4B0F-495F-860A-99CC8F996EF9}"/>
            </c:ext>
          </c:extLst>
        </c:ser>
        <c:ser>
          <c:idx val="5"/>
          <c:order val="4"/>
          <c:tx>
            <c:strRef>
              <c:f>'fig5'!$A$33</c:f>
              <c:strCache>
                <c:ptCount val="1"/>
                <c:pt idx="0">
                  <c:v>Ius sanguinis</c:v>
                </c:pt>
              </c:strCache>
            </c:strRef>
          </c:tx>
          <c:spPr>
            <a:ln>
              <a:solidFill>
                <a:schemeClr val="accent4"/>
              </a:solidFill>
            </a:ln>
          </c:spPr>
          <c:marker>
            <c:spPr>
              <a:solidFill>
                <a:schemeClr val="accent4"/>
              </a:solidFill>
              <a:ln>
                <a:solidFill>
                  <a:schemeClr val="accent4"/>
                </a:solidFill>
              </a:ln>
            </c:spPr>
          </c:marker>
          <c:dPt>
            <c:idx val="12"/>
            <c:marker>
              <c:spPr>
                <a:noFill/>
                <a:ln>
                  <a:solidFill>
                    <a:schemeClr val="accent4"/>
                  </a:solidFill>
                </a:ln>
              </c:spPr>
            </c:marker>
            <c:bubble3D val="0"/>
            <c:extLst>
              <c:ext xmlns:c16="http://schemas.microsoft.com/office/drawing/2014/chart" uri="{C3380CC4-5D6E-409C-BE32-E72D297353CC}">
                <c16:uniqueId val="{00000000-E931-4A11-96B4-29BAE6121852}"/>
              </c:ext>
            </c:extLst>
          </c:dPt>
          <c:cat>
            <c:strRef>
              <c:f>'fig5'!$B$28:$O$28</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'fig5'!$B$33:$O$33</c:f>
              <c:numCache>
                <c:formatCode>General</c:formatCode>
                <c:ptCount val="14"/>
                <c:pt idx="5" formatCode="#,##0">
                  <c:v>7042</c:v>
                </c:pt>
                <c:pt idx="6" formatCode="#,##0">
                  <c:v>8211</c:v>
                </c:pt>
                <c:pt idx="7" formatCode="#,##0">
                  <c:v>8921</c:v>
                </c:pt>
                <c:pt idx="8" formatCode="#,##0">
                  <c:v>11337</c:v>
                </c:pt>
                <c:pt idx="9" formatCode="#,##0">
                  <c:v>7742</c:v>
                </c:pt>
                <c:pt idx="10" formatCode="#,##0">
                  <c:v>7719</c:v>
                </c:pt>
                <c:pt idx="11" formatCode="#,##0">
                  <c:v>20090</c:v>
                </c:pt>
                <c:pt idx="12" formatCode="#,##0">
                  <c:v>26351</c:v>
                </c:pt>
                <c:pt idx="13" formatCode="#,##0">
                  <c:v>21985</c:v>
                </c:pt>
              </c:numCache>
            </c:numRef>
          </c:val>
          <c:smooth val="0"/>
          <c:extLst>
            <c:ext xmlns:c16="http://schemas.microsoft.com/office/drawing/2014/chart" uri="{C3380CC4-5D6E-409C-BE32-E72D297353CC}">
              <c16:uniqueId val="{00000004-4B0F-495F-860A-99CC8F996EF9}"/>
            </c:ext>
          </c:extLst>
        </c:ser>
        <c:dLbls>
          <c:showLegendKey val="0"/>
          <c:showVal val="0"/>
          <c:showCatName val="0"/>
          <c:showSerName val="0"/>
          <c:showPercent val="0"/>
          <c:showBubbleSize val="0"/>
        </c:dLbls>
        <c:marker val="1"/>
        <c:smooth val="0"/>
        <c:axId val="1345886336"/>
        <c:axId val="1345886896"/>
      </c:lineChart>
      <c:catAx>
        <c:axId val="1345886336"/>
        <c:scaling>
          <c:orientation val="minMax"/>
        </c:scaling>
        <c:delete val="0"/>
        <c:axPos val="b"/>
        <c:majorGridlines>
          <c:spPr>
            <a:ln w="3175">
              <a:solidFill>
                <a:schemeClr val="bg1"/>
              </a:solidFill>
            </a:ln>
          </c:spPr>
        </c:majorGridlines>
        <c:numFmt formatCode="General" sourceLinked="1"/>
        <c:majorTickMark val="out"/>
        <c:minorTickMark val="none"/>
        <c:tickLblPos val="nextTo"/>
        <c:spPr>
          <a:noFill/>
          <a:ln w="12700" cap="flat" cmpd="sng" algn="ctr">
            <a:solidFill>
              <a:schemeClr val="bg1"/>
            </a:solidFill>
            <a:round/>
          </a:ln>
          <a:effectLst/>
        </c:spPr>
        <c:txPr>
          <a:bodyPr rot="-60000000" vert="horz"/>
          <a:lstStyle/>
          <a:p>
            <a:pPr>
              <a:defRPr/>
            </a:pPr>
            <a:endParaRPr lang="it-IT"/>
          </a:p>
        </c:txPr>
        <c:crossAx val="1345886896"/>
        <c:crosses val="autoZero"/>
        <c:auto val="1"/>
        <c:lblAlgn val="ctr"/>
        <c:lblOffset val="100"/>
        <c:noMultiLvlLbl val="0"/>
      </c:catAx>
      <c:valAx>
        <c:axId val="1345886896"/>
        <c:scaling>
          <c:orientation val="minMax"/>
        </c:scaling>
        <c:delete val="0"/>
        <c:axPos val="l"/>
        <c:majorGridlines>
          <c:spPr>
            <a:ln w="3175" cap="flat" cmpd="sng" algn="ctr">
              <a:solidFill>
                <a:schemeClr val="bg1"/>
              </a:solidFill>
              <a:round/>
            </a:ln>
            <a:effectLst/>
          </c:spPr>
        </c:majorGridlines>
        <c:numFmt formatCode="#,##0" sourceLinked="1"/>
        <c:majorTickMark val="out"/>
        <c:minorTickMark val="none"/>
        <c:tickLblPos val="nextTo"/>
        <c:spPr>
          <a:noFill/>
          <a:ln w="12700">
            <a:solidFill>
              <a:schemeClr val="bg1"/>
            </a:solidFill>
          </a:ln>
          <a:effectLst/>
        </c:spPr>
        <c:txPr>
          <a:bodyPr rot="-60000000" vert="horz"/>
          <a:lstStyle/>
          <a:p>
            <a:pPr>
              <a:defRPr/>
            </a:pPr>
            <a:endParaRPr lang="it-IT"/>
          </a:p>
        </c:txPr>
        <c:crossAx val="1345886336"/>
        <c:crosses val="autoZero"/>
        <c:crossBetween val="between"/>
      </c:valAx>
      <c:spPr>
        <a:noFill/>
        <a:ln>
          <a:noFill/>
        </a:ln>
        <a:effectLst/>
      </c:spPr>
    </c:plotArea>
    <c:legend>
      <c:legendPos val="t"/>
      <c:overlay val="0"/>
      <c:spPr>
        <a:noFill/>
        <a:ln>
          <a:noFill/>
        </a:ln>
        <a:effectLst/>
      </c:spPr>
      <c:txPr>
        <a:bodyPr rot="0" vert="horz"/>
        <a:lstStyle/>
        <a:p>
          <a:pPr>
            <a:defRPr/>
          </a:pPr>
          <a:endParaRPr lang="it-IT"/>
        </a:p>
      </c:txPr>
    </c:legend>
    <c:plotVisOnly val="1"/>
    <c:dispBlanksAs val="gap"/>
    <c:showDLblsOverMax val="0"/>
  </c:chart>
  <c:spPr>
    <a:noFill/>
    <a:ln w="9525" cap="flat" cmpd="sng" algn="ctr">
      <a:noFill/>
      <a:round/>
    </a:ln>
    <a:effectLst/>
  </c:spPr>
  <c:txPr>
    <a:bodyPr/>
    <a:lstStyle/>
    <a:p>
      <a:pPr>
        <a:defRPr sz="800">
          <a:latin typeface="Arial Narrow" panose="020B0606020202030204" pitchFamily="34" charset="0"/>
        </a:defRPr>
      </a:pPr>
      <a:endParaRPr lang="it-I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it-IT" sz="800" b="1">
                <a:solidFill>
                  <a:sysClr val="windowText" lastClr="000000"/>
                </a:solidFill>
                <a:latin typeface="Arial Narrow" panose="020B0606020202030204" pitchFamily="34" charset="0"/>
              </a:rPr>
              <a:t>Italiani dalla nascita</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it-IT"/>
        </a:p>
      </c:txPr>
    </c:title>
    <c:autoTitleDeleted val="0"/>
    <c:plotArea>
      <c:layout>
        <c:manualLayout>
          <c:layoutTarget val="inner"/>
          <c:xMode val="edge"/>
          <c:yMode val="edge"/>
          <c:x val="9.9032069189423755E-2"/>
          <c:y val="0.12244473153398026"/>
          <c:w val="0.83790357705236596"/>
          <c:h val="0.76502533283618113"/>
        </c:manualLayout>
      </c:layout>
      <c:barChart>
        <c:barDir val="bar"/>
        <c:grouping val="clustered"/>
        <c:varyColors val="0"/>
        <c:ser>
          <c:idx val="0"/>
          <c:order val="0"/>
          <c:tx>
            <c:strRef>
              <c:f>'fig 6'!$B$4</c:f>
              <c:strCache>
                <c:ptCount val="1"/>
                <c:pt idx="0">
                  <c:v>M</c:v>
                </c:pt>
              </c:strCache>
            </c:strRef>
          </c:tx>
          <c:spPr>
            <a:solidFill>
              <a:schemeClr val="accent1"/>
            </a:solidFill>
            <a:ln>
              <a:noFill/>
            </a:ln>
            <a:effectLst/>
          </c:spPr>
          <c:invertIfNegative val="0"/>
          <c:val>
            <c:numRef>
              <c:f>'fig 6'!$B$5:$B$105</c:f>
              <c:numCache>
                <c:formatCode>0.0</c:formatCode>
                <c:ptCount val="101"/>
                <c:pt idx="0">
                  <c:v>-0.64599810441259042</c:v>
                </c:pt>
                <c:pt idx="1">
                  <c:v>-0.67257688475390343</c:v>
                </c:pt>
                <c:pt idx="2">
                  <c:v>-0.69609419358788993</c:v>
                </c:pt>
                <c:pt idx="3">
                  <c:v>-0.70610709911056357</c:v>
                </c:pt>
                <c:pt idx="4">
                  <c:v>-0.70554293619104347</c:v>
                </c:pt>
                <c:pt idx="5">
                  <c:v>-0.73106834940290266</c:v>
                </c:pt>
                <c:pt idx="6">
                  <c:v>-0.76398705849714577</c:v>
                </c:pt>
                <c:pt idx="7">
                  <c:v>-0.79397843272226987</c:v>
                </c:pt>
                <c:pt idx="8">
                  <c:v>-0.81739316647998006</c:v>
                </c:pt>
                <c:pt idx="9">
                  <c:v>-0.83914697304106056</c:v>
                </c:pt>
                <c:pt idx="10">
                  <c:v>-0.86397014149995066</c:v>
                </c:pt>
                <c:pt idx="11">
                  <c:v>-0.88185765672445893</c:v>
                </c:pt>
                <c:pt idx="12">
                  <c:v>-0.91958161362272772</c:v>
                </c:pt>
                <c:pt idx="13">
                  <c:v>-0.94306341569954155</c:v>
                </c:pt>
                <c:pt idx="14">
                  <c:v>-0.97684612255165126</c:v>
                </c:pt>
                <c:pt idx="15">
                  <c:v>-0.99183391927373055</c:v>
                </c:pt>
                <c:pt idx="16">
                  <c:v>-1.0074687280153993</c:v>
                </c:pt>
                <c:pt idx="17">
                  <c:v>-1.0140177521161238</c:v>
                </c:pt>
                <c:pt idx="18">
                  <c:v>-1.021099377574437</c:v>
                </c:pt>
                <c:pt idx="19">
                  <c:v>-1.0239399181482451</c:v>
                </c:pt>
                <c:pt idx="20">
                  <c:v>-1.033795015861263</c:v>
                </c:pt>
                <c:pt idx="21">
                  <c:v>-1.0341303574567819</c:v>
                </c:pt>
                <c:pt idx="22">
                  <c:v>-1.027289388908194</c:v>
                </c:pt>
                <c:pt idx="23">
                  <c:v>-1.033637208051607</c:v>
                </c:pt>
                <c:pt idx="24">
                  <c:v>-1.0467865437911938</c:v>
                </c:pt>
                <c:pt idx="25">
                  <c:v>-1.0189926433155294</c:v>
                </c:pt>
                <c:pt idx="26">
                  <c:v>-1.0175171402952459</c:v>
                </c:pt>
                <c:pt idx="27">
                  <c:v>-1.0092835178264437</c:v>
                </c:pt>
                <c:pt idx="28">
                  <c:v>-1.008656231783061</c:v>
                </c:pt>
                <c:pt idx="29">
                  <c:v>-1.0014720312484713</c:v>
                </c:pt>
                <c:pt idx="30">
                  <c:v>-1.0107511304562444</c:v>
                </c:pt>
                <c:pt idx="31">
                  <c:v>-1.030749325134902</c:v>
                </c:pt>
                <c:pt idx="32">
                  <c:v>-1.0696173886531766</c:v>
                </c:pt>
                <c:pt idx="33">
                  <c:v>-1.0660351513739852</c:v>
                </c:pt>
                <c:pt idx="34">
                  <c:v>-1.074600170243065</c:v>
                </c:pt>
                <c:pt idx="35">
                  <c:v>-1.0607722609219574</c:v>
                </c:pt>
                <c:pt idx="36">
                  <c:v>-1.079468541170953</c:v>
                </c:pt>
                <c:pt idx="37">
                  <c:v>-1.0446679739465619</c:v>
                </c:pt>
                <c:pt idx="38">
                  <c:v>-1.0479069792397515</c:v>
                </c:pt>
                <c:pt idx="39">
                  <c:v>-1.084960252946982</c:v>
                </c:pt>
                <c:pt idx="40">
                  <c:v>-1.10667855275089</c:v>
                </c:pt>
                <c:pt idx="41">
                  <c:v>-1.135663902189457</c:v>
                </c:pt>
                <c:pt idx="42">
                  <c:v>-1.1679513800450763</c:v>
                </c:pt>
                <c:pt idx="43">
                  <c:v>-1.1774632457720919</c:v>
                </c:pt>
                <c:pt idx="44">
                  <c:v>-1.2057502956529313</c:v>
                </c:pt>
                <c:pt idx="45">
                  <c:v>-1.2528243652733184</c:v>
                </c:pt>
                <c:pt idx="46">
                  <c:v>-1.3332511154645026</c:v>
                </c:pt>
                <c:pt idx="47">
                  <c:v>-1.3863376626327835</c:v>
                </c:pt>
                <c:pt idx="48">
                  <c:v>-1.4620143977533218</c:v>
                </c:pt>
                <c:pt idx="49">
                  <c:v>-1.5459168649521795</c:v>
                </c:pt>
                <c:pt idx="50">
                  <c:v>-1.6248326053659075</c:v>
                </c:pt>
                <c:pt idx="51">
                  <c:v>-1.6241698125653521</c:v>
                </c:pt>
                <c:pt idx="52">
                  <c:v>-1.6411065357366832</c:v>
                </c:pt>
                <c:pt idx="53">
                  <c:v>-1.6646909128897733</c:v>
                </c:pt>
                <c:pt idx="54">
                  <c:v>-1.6432921739004187</c:v>
                </c:pt>
                <c:pt idx="55">
                  <c:v>-1.6918101849791582</c:v>
                </c:pt>
                <c:pt idx="56">
                  <c:v>-1.6725773581773322</c:v>
                </c:pt>
                <c:pt idx="57">
                  <c:v>-1.6888197269861769</c:v>
                </c:pt>
                <c:pt idx="58">
                  <c:v>-1.729100170400873</c:v>
                </c:pt>
                <c:pt idx="59">
                  <c:v>-1.7240858272490531</c:v>
                </c:pt>
                <c:pt idx="60">
                  <c:v>-1.7475913004973156</c:v>
                </c:pt>
                <c:pt idx="61">
                  <c:v>-1.6258149589810162</c:v>
                </c:pt>
                <c:pt idx="62">
                  <c:v>-1.5631415873761327</c:v>
                </c:pt>
                <c:pt idx="63">
                  <c:v>-1.5312012867017568</c:v>
                </c:pt>
                <c:pt idx="64">
                  <c:v>-1.4717195780471661</c:v>
                </c:pt>
                <c:pt idx="65">
                  <c:v>-1.4365678884462905</c:v>
                </c:pt>
                <c:pt idx="66">
                  <c:v>-1.3594708830388482</c:v>
                </c:pt>
                <c:pt idx="67">
                  <c:v>-1.3416504361334436</c:v>
                </c:pt>
                <c:pt idx="68">
                  <c:v>-1.3072798951903652</c:v>
                </c:pt>
                <c:pt idx="69">
                  <c:v>-1.2731618467427364</c:v>
                </c:pt>
                <c:pt idx="70">
                  <c:v>-1.2429850483412663</c:v>
                </c:pt>
                <c:pt idx="71">
                  <c:v>-1.1797356782311386</c:v>
                </c:pt>
                <c:pt idx="72">
                  <c:v>-1.1416645441516267</c:v>
                </c:pt>
                <c:pt idx="73">
                  <c:v>-1.1259429411146471</c:v>
                </c:pt>
                <c:pt idx="74">
                  <c:v>-1.1475468302565544</c:v>
                </c:pt>
                <c:pt idx="75">
                  <c:v>-1.1373169389956039</c:v>
                </c:pt>
                <c:pt idx="76">
                  <c:v>-1.1607001111913828</c:v>
                </c:pt>
                <c:pt idx="77">
                  <c:v>-1.1068205797795805</c:v>
                </c:pt>
                <c:pt idx="78">
                  <c:v>-1.0706589201969061</c:v>
                </c:pt>
                <c:pt idx="79">
                  <c:v>-0.79161526077267119</c:v>
                </c:pt>
                <c:pt idx="80">
                  <c:v>-0.78281353018910749</c:v>
                </c:pt>
                <c:pt idx="81">
                  <c:v>-0.74887696072258303</c:v>
                </c:pt>
                <c:pt idx="82">
                  <c:v>-0.70656474175856598</c:v>
                </c:pt>
                <c:pt idx="83">
                  <c:v>-0.67118817602893055</c:v>
                </c:pt>
                <c:pt idx="84">
                  <c:v>-0.68746999679018916</c:v>
                </c:pt>
                <c:pt idx="85">
                  <c:v>-0.62937699686057136</c:v>
                </c:pt>
                <c:pt idx="86">
                  <c:v>-0.55050859878974034</c:v>
                </c:pt>
                <c:pt idx="87">
                  <c:v>-0.45485734016199286</c:v>
                </c:pt>
                <c:pt idx="88">
                  <c:v>-0.37024079262444171</c:v>
                </c:pt>
                <c:pt idx="89">
                  <c:v>-0.32421614493826717</c:v>
                </c:pt>
                <c:pt idx="90">
                  <c:v>-0.26291175608214973</c:v>
                </c:pt>
                <c:pt idx="91">
                  <c:v>-0.20660592959688626</c:v>
                </c:pt>
                <c:pt idx="92">
                  <c:v>-0.15905449135228983</c:v>
                </c:pt>
                <c:pt idx="93">
                  <c:v>-0.12249436705023434</c:v>
                </c:pt>
                <c:pt idx="94">
                  <c:v>-9.3130278868492761E-2</c:v>
                </c:pt>
                <c:pt idx="95">
                  <c:v>-6.1434580299083677E-2</c:v>
                </c:pt>
                <c:pt idx="96">
                  <c:v>-4.1010304534354919E-2</c:v>
                </c:pt>
                <c:pt idx="97">
                  <c:v>-2.7584805127870086E-2</c:v>
                </c:pt>
                <c:pt idx="98">
                  <c:v>-1.7114256957194002E-2</c:v>
                </c:pt>
                <c:pt idx="99">
                  <c:v>-9.9695083750182666E-3</c:v>
                </c:pt>
                <c:pt idx="100">
                  <c:v>-1.49917419173207E-2</c:v>
                </c:pt>
              </c:numCache>
            </c:numRef>
          </c:val>
          <c:extLst>
            <c:ext xmlns:c16="http://schemas.microsoft.com/office/drawing/2014/chart" uri="{C3380CC4-5D6E-409C-BE32-E72D297353CC}">
              <c16:uniqueId val="{00000000-17EC-4240-9072-466DA66C21E6}"/>
            </c:ext>
          </c:extLst>
        </c:ser>
        <c:ser>
          <c:idx val="1"/>
          <c:order val="1"/>
          <c:tx>
            <c:strRef>
              <c:f>'fig 6'!$C$4</c:f>
              <c:strCache>
                <c:ptCount val="1"/>
                <c:pt idx="0">
                  <c:v>F</c:v>
                </c:pt>
              </c:strCache>
            </c:strRef>
          </c:tx>
          <c:spPr>
            <a:solidFill>
              <a:schemeClr val="accent2"/>
            </a:solidFill>
            <a:ln>
              <a:noFill/>
            </a:ln>
            <a:effectLst/>
          </c:spPr>
          <c:invertIfNegative val="0"/>
          <c:val>
            <c:numRef>
              <c:f>'fig 6'!$C$5:$C$105</c:f>
              <c:numCache>
                <c:formatCode>0.0</c:formatCode>
                <c:ptCount val="101"/>
                <c:pt idx="0">
                  <c:v>0.58797872331954504</c:v>
                </c:pt>
                <c:pt idx="1">
                  <c:v>0.61051337019692664</c:v>
                </c:pt>
                <c:pt idx="2">
                  <c:v>0.62820589288409845</c:v>
                </c:pt>
                <c:pt idx="3">
                  <c:v>0.64465091450738699</c:v>
                </c:pt>
                <c:pt idx="4">
                  <c:v>0.63871675291171115</c:v>
                </c:pt>
                <c:pt idx="5">
                  <c:v>0.66832310034879594</c:v>
                </c:pt>
                <c:pt idx="6">
                  <c:v>0.69319349389898044</c:v>
                </c:pt>
                <c:pt idx="7">
                  <c:v>0.72017591812570891</c:v>
                </c:pt>
                <c:pt idx="8">
                  <c:v>0.74742755990725718</c:v>
                </c:pt>
                <c:pt idx="9">
                  <c:v>0.76289808981802898</c:v>
                </c:pt>
                <c:pt idx="10">
                  <c:v>0.78516731093713765</c:v>
                </c:pt>
                <c:pt idx="11">
                  <c:v>0.80164645872934703</c:v>
                </c:pt>
                <c:pt idx="12">
                  <c:v>0.83663715726282795</c:v>
                </c:pt>
                <c:pt idx="13">
                  <c:v>0.857632334742226</c:v>
                </c:pt>
                <c:pt idx="14">
                  <c:v>0.88406115667312779</c:v>
                </c:pt>
                <c:pt idx="15">
                  <c:v>0.90191672661181033</c:v>
                </c:pt>
                <c:pt idx="16">
                  <c:v>0.91903289622387496</c:v>
                </c:pt>
                <c:pt idx="17">
                  <c:v>0.9200301387156723</c:v>
                </c:pt>
                <c:pt idx="18">
                  <c:v>0.92465992229926364</c:v>
                </c:pt>
                <c:pt idx="19">
                  <c:v>0.92497084961609777</c:v>
                </c:pt>
                <c:pt idx="20">
                  <c:v>0.94221973210729892</c:v>
                </c:pt>
                <c:pt idx="21">
                  <c:v>0.94030866664773294</c:v>
                </c:pt>
                <c:pt idx="22">
                  <c:v>0.93728660479996706</c:v>
                </c:pt>
                <c:pt idx="23">
                  <c:v>0.94000153112744556</c:v>
                </c:pt>
                <c:pt idx="24">
                  <c:v>0.94864682725405336</c:v>
                </c:pt>
                <c:pt idx="25">
                  <c:v>0.93018077807134281</c:v>
                </c:pt>
                <c:pt idx="26">
                  <c:v>0.92301428259797069</c:v>
                </c:pt>
                <c:pt idx="27">
                  <c:v>0.9195523723507808</c:v>
                </c:pt>
                <c:pt idx="28">
                  <c:v>0.91951066258876646</c:v>
                </c:pt>
                <c:pt idx="29">
                  <c:v>0.91201428081582625</c:v>
                </c:pt>
                <c:pt idx="30">
                  <c:v>0.92297257283595635</c:v>
                </c:pt>
                <c:pt idx="31">
                  <c:v>0.94573093570959665</c:v>
                </c:pt>
                <c:pt idx="32">
                  <c:v>0.98422904604882844</c:v>
                </c:pt>
                <c:pt idx="33">
                  <c:v>0.98211322357573771</c:v>
                </c:pt>
                <c:pt idx="34">
                  <c:v>0.99008737171356942</c:v>
                </c:pt>
                <c:pt idx="35">
                  <c:v>0.98192363374839975</c:v>
                </c:pt>
                <c:pt idx="36">
                  <c:v>0.99639312937082747</c:v>
                </c:pt>
                <c:pt idx="37">
                  <c:v>0.96797740604942473</c:v>
                </c:pt>
                <c:pt idx="38">
                  <c:v>0.97384710710380573</c:v>
                </c:pt>
                <c:pt idx="39">
                  <c:v>1.016629947540874</c:v>
                </c:pt>
                <c:pt idx="40">
                  <c:v>1.0356647662055982</c:v>
                </c:pt>
                <c:pt idx="41">
                  <c:v>1.0601446047114664</c:v>
                </c:pt>
                <c:pt idx="42">
                  <c:v>1.0980929045514185</c:v>
                </c:pt>
                <c:pt idx="43">
                  <c:v>1.1106551265108271</c:v>
                </c:pt>
                <c:pt idx="44">
                  <c:v>1.1319991492725268</c:v>
                </c:pt>
                <c:pt idx="45">
                  <c:v>1.1819484851829674</c:v>
                </c:pt>
                <c:pt idx="46">
                  <c:v>1.2597485667293438</c:v>
                </c:pt>
                <c:pt idx="47">
                  <c:v>1.3148926639088425</c:v>
                </c:pt>
                <c:pt idx="48">
                  <c:v>1.3866334545735</c:v>
                </c:pt>
                <c:pt idx="49">
                  <c:v>1.4706027891014515</c:v>
                </c:pt>
                <c:pt idx="50">
                  <c:v>1.5441939764809269</c:v>
                </c:pt>
                <c:pt idx="51">
                  <c:v>1.5504959423416385</c:v>
                </c:pt>
                <c:pt idx="52">
                  <c:v>1.5631453756216225</c:v>
                </c:pt>
                <c:pt idx="53">
                  <c:v>1.5943329022187054</c:v>
                </c:pt>
                <c:pt idx="54">
                  <c:v>1.5781950161157041</c:v>
                </c:pt>
                <c:pt idx="55">
                  <c:v>1.6313901298701694</c:v>
                </c:pt>
                <c:pt idx="56">
                  <c:v>1.6153394550877436</c:v>
                </c:pt>
                <c:pt idx="57">
                  <c:v>1.638249489823254</c:v>
                </c:pt>
                <c:pt idx="58">
                  <c:v>1.6825073391170113</c:v>
                </c:pt>
                <c:pt idx="59">
                  <c:v>1.6840961018701028</c:v>
                </c:pt>
                <c:pt idx="60">
                  <c:v>1.7107334726110763</c:v>
                </c:pt>
                <c:pt idx="61">
                  <c:v>1.6044114974399875</c:v>
                </c:pt>
                <c:pt idx="62">
                  <c:v>1.5502418919730057</c:v>
                </c:pt>
                <c:pt idx="63">
                  <c:v>1.5236310638078594</c:v>
                </c:pt>
                <c:pt idx="64">
                  <c:v>1.4685855533385763</c:v>
                </c:pt>
                <c:pt idx="65">
                  <c:v>1.4367761721078252</c:v>
                </c:pt>
                <c:pt idx="66">
                  <c:v>1.373923352548768</c:v>
                </c:pt>
                <c:pt idx="67">
                  <c:v>1.3659226618351088</c:v>
                </c:pt>
                <c:pt idx="68">
                  <c:v>1.3387658149672295</c:v>
                </c:pt>
                <c:pt idx="69">
                  <c:v>1.3158140704697046</c:v>
                </c:pt>
                <c:pt idx="70">
                  <c:v>1.2987775285851217</c:v>
                </c:pt>
                <c:pt idx="71">
                  <c:v>1.2312304649011783</c:v>
                </c:pt>
                <c:pt idx="72">
                  <c:v>1.2128819614114172</c:v>
                </c:pt>
                <c:pt idx="73">
                  <c:v>1.2092418367265299</c:v>
                </c:pt>
                <c:pt idx="74">
                  <c:v>1.2463331905469146</c:v>
                </c:pt>
                <c:pt idx="75">
                  <c:v>1.2488281926746814</c:v>
                </c:pt>
                <c:pt idx="76">
                  <c:v>1.2982049673065614</c:v>
                </c:pt>
                <c:pt idx="77">
                  <c:v>1.2552059944663279</c:v>
                </c:pt>
                <c:pt idx="78">
                  <c:v>1.2428712802997248</c:v>
                </c:pt>
                <c:pt idx="79">
                  <c:v>0.93949722218672671</c:v>
                </c:pt>
                <c:pt idx="80">
                  <c:v>0.95020525563477076</c:v>
                </c:pt>
                <c:pt idx="81">
                  <c:v>0.9397664397415465</c:v>
                </c:pt>
                <c:pt idx="82">
                  <c:v>0.90857132955137021</c:v>
                </c:pt>
                <c:pt idx="83">
                  <c:v>0.89024936863743642</c:v>
                </c:pt>
                <c:pt idx="84">
                  <c:v>0.94034658461320064</c:v>
                </c:pt>
                <c:pt idx="85">
                  <c:v>0.88304116340204986</c:v>
                </c:pt>
                <c:pt idx="86">
                  <c:v>0.80914663229883399</c:v>
                </c:pt>
                <c:pt idx="87">
                  <c:v>0.69611317723998389</c:v>
                </c:pt>
                <c:pt idx="88">
                  <c:v>0.60048027653420544</c:v>
                </c:pt>
                <c:pt idx="89">
                  <c:v>0.55482704611124145</c:v>
                </c:pt>
                <c:pt idx="90">
                  <c:v>0.47962434519939412</c:v>
                </c:pt>
                <c:pt idx="91">
                  <c:v>0.40320447759603745</c:v>
                </c:pt>
                <c:pt idx="92">
                  <c:v>0.33579771038432399</c:v>
                </c:pt>
                <c:pt idx="93">
                  <c:v>0.2785908758833891</c:v>
                </c:pt>
                <c:pt idx="94">
                  <c:v>0.2349738402060341</c:v>
                </c:pt>
                <c:pt idx="95">
                  <c:v>0.16830268152439171</c:v>
                </c:pt>
                <c:pt idx="96">
                  <c:v>0.12510274346718009</c:v>
                </c:pt>
                <c:pt idx="97">
                  <c:v>9.0601186688230861E-2</c:v>
                </c:pt>
                <c:pt idx="98">
                  <c:v>6.2667021528266156E-2</c:v>
                </c:pt>
                <c:pt idx="99">
                  <c:v>4.2509831085701694E-2</c:v>
                </c:pt>
                <c:pt idx="100">
                  <c:v>6.9192703385236323E-2</c:v>
                </c:pt>
              </c:numCache>
            </c:numRef>
          </c:val>
          <c:extLst>
            <c:ext xmlns:c16="http://schemas.microsoft.com/office/drawing/2014/chart" uri="{C3380CC4-5D6E-409C-BE32-E72D297353CC}">
              <c16:uniqueId val="{00000001-17EC-4240-9072-466DA66C21E6}"/>
            </c:ext>
          </c:extLst>
        </c:ser>
        <c:dLbls>
          <c:showLegendKey val="0"/>
          <c:showVal val="0"/>
          <c:showCatName val="0"/>
          <c:showSerName val="0"/>
          <c:showPercent val="0"/>
          <c:showBubbleSize val="0"/>
        </c:dLbls>
        <c:gapWidth val="182"/>
        <c:axId val="374467951"/>
        <c:axId val="374466991"/>
      </c:barChart>
      <c:catAx>
        <c:axId val="374467951"/>
        <c:scaling>
          <c:orientation val="minMax"/>
        </c:scaling>
        <c:delete val="0"/>
        <c:axPos val="l"/>
        <c:majorGridlines>
          <c:spPr>
            <a:ln w="0" cap="flat" cmpd="sng" algn="ctr">
              <a:solidFill>
                <a:schemeClr val="bg1">
                  <a:lumMod val="75000"/>
                </a:schemeClr>
              </a:solidFill>
              <a:round/>
            </a:ln>
            <a:effectLst/>
          </c:spPr>
        </c:majorGridlines>
        <c:numFmt formatCode="#,##0"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it-IT"/>
          </a:p>
        </c:txPr>
        <c:crossAx val="374466991"/>
        <c:crosses val="autoZero"/>
        <c:auto val="1"/>
        <c:lblAlgn val="ctr"/>
        <c:lblOffset val="100"/>
        <c:noMultiLvlLbl val="0"/>
      </c:catAx>
      <c:valAx>
        <c:axId val="374466991"/>
        <c:scaling>
          <c:orientation val="minMax"/>
          <c:max val="3"/>
          <c:min val="-3"/>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it-IT"/>
          </a:p>
        </c:txPr>
        <c:crossAx val="374467951"/>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it-I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it-IT" sz="800" b="1">
                <a:solidFill>
                  <a:sysClr val="windowText" lastClr="000000"/>
                </a:solidFill>
                <a:latin typeface="Arial Narrow" panose="020B0606020202030204" pitchFamily="34" charset="0"/>
              </a:rPr>
              <a:t>Italiani di origine non comunitaria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manualLayout>
          <c:layoutTarget val="inner"/>
          <c:xMode val="edge"/>
          <c:yMode val="edge"/>
          <c:x val="6.7491277135805466E-2"/>
          <c:y val="0.12244473153398026"/>
          <c:w val="0.83347665367477075"/>
          <c:h val="0.7703651876384533"/>
        </c:manualLayout>
      </c:layout>
      <c:barChart>
        <c:barDir val="bar"/>
        <c:grouping val="clustered"/>
        <c:varyColors val="0"/>
        <c:ser>
          <c:idx val="0"/>
          <c:order val="0"/>
          <c:tx>
            <c:strRef>
              <c:f>'fig 6'!$F$4</c:f>
              <c:strCache>
                <c:ptCount val="1"/>
                <c:pt idx="0">
                  <c:v>M</c:v>
                </c:pt>
              </c:strCache>
            </c:strRef>
          </c:tx>
          <c:spPr>
            <a:solidFill>
              <a:schemeClr val="accent1"/>
            </a:solidFill>
            <a:ln>
              <a:noFill/>
            </a:ln>
            <a:effectLst/>
          </c:spPr>
          <c:invertIfNegative val="0"/>
          <c:val>
            <c:numRef>
              <c:f>'fig 6'!$F$5:$F$105</c:f>
              <c:numCache>
                <c:formatCode>0.0</c:formatCode>
                <c:ptCount val="101"/>
                <c:pt idx="0">
                  <c:v>-0.13838834221276536</c:v>
                </c:pt>
                <c:pt idx="1">
                  <c:v>-0.18837164218497091</c:v>
                </c:pt>
                <c:pt idx="2">
                  <c:v>-0.43513498994494826</c:v>
                </c:pt>
                <c:pt idx="3">
                  <c:v>-0.53802117516810966</c:v>
                </c:pt>
                <c:pt idx="4">
                  <c:v>-0.76668309419983516</c:v>
                </c:pt>
                <c:pt idx="5">
                  <c:v>-0.80206846777828911</c:v>
                </c:pt>
                <c:pt idx="6">
                  <c:v>-0.94699668101545509</c:v>
                </c:pt>
                <c:pt idx="7">
                  <c:v>-1.0731227650574691</c:v>
                </c:pt>
                <c:pt idx="8">
                  <c:v>-1.1661991437440293</c:v>
                </c:pt>
                <c:pt idx="9">
                  <c:v>-1.3848176894168536</c:v>
                </c:pt>
                <c:pt idx="10">
                  <c:v>-1.5206367965843188</c:v>
                </c:pt>
                <c:pt idx="11">
                  <c:v>-1.5378039580233707</c:v>
                </c:pt>
                <c:pt idx="12">
                  <c:v>-1.6843671390166368</c:v>
                </c:pt>
                <c:pt idx="13">
                  <c:v>-1.7338833053442426</c:v>
                </c:pt>
                <c:pt idx="14">
                  <c:v>-1.7619113240202458</c:v>
                </c:pt>
                <c:pt idx="15">
                  <c:v>-1.8215876471179022</c:v>
                </c:pt>
                <c:pt idx="16">
                  <c:v>-1.7801295361596476</c:v>
                </c:pt>
                <c:pt idx="17">
                  <c:v>-1.7113441069922901</c:v>
                </c:pt>
                <c:pt idx="18">
                  <c:v>-2.0854013729057814</c:v>
                </c:pt>
                <c:pt idx="19">
                  <c:v>-2.0866859904284314</c:v>
                </c:pt>
                <c:pt idx="20">
                  <c:v>-1.9529689846616669</c:v>
                </c:pt>
                <c:pt idx="21">
                  <c:v>-1.6917244939190879</c:v>
                </c:pt>
                <c:pt idx="22">
                  <c:v>-1.5424752944693711</c:v>
                </c:pt>
                <c:pt idx="23">
                  <c:v>-1.5756417832359748</c:v>
                </c:pt>
                <c:pt idx="24">
                  <c:v>-1.5833494883718757</c:v>
                </c:pt>
                <c:pt idx="25">
                  <c:v>-1.5485480318491718</c:v>
                </c:pt>
                <c:pt idx="26">
                  <c:v>-1.4900395428630153</c:v>
                </c:pt>
                <c:pt idx="27">
                  <c:v>-1.4029191181451057</c:v>
                </c:pt>
                <c:pt idx="28">
                  <c:v>-1.3455784632704493</c:v>
                </c:pt>
                <c:pt idx="29">
                  <c:v>-1.3385714586014485</c:v>
                </c:pt>
                <c:pt idx="30">
                  <c:v>-1.2610272735978401</c:v>
                </c:pt>
                <c:pt idx="31">
                  <c:v>-1.243276195103038</c:v>
                </c:pt>
                <c:pt idx="32">
                  <c:v>-1.2565895039741395</c:v>
                </c:pt>
                <c:pt idx="33">
                  <c:v>-1.2665160939218905</c:v>
                </c:pt>
                <c:pt idx="34">
                  <c:v>-1.26172797406474</c:v>
                </c:pt>
                <c:pt idx="35">
                  <c:v>-1.287186757695443</c:v>
                </c:pt>
                <c:pt idx="36">
                  <c:v>-1.3029525182006947</c:v>
                </c:pt>
                <c:pt idx="37">
                  <c:v>-1.324907799496897</c:v>
                </c:pt>
                <c:pt idx="38">
                  <c:v>-1.3322651543993478</c:v>
                </c:pt>
                <c:pt idx="39">
                  <c:v>-1.3556218366293504</c:v>
                </c:pt>
                <c:pt idx="40">
                  <c:v>-1.4648143260546125</c:v>
                </c:pt>
                <c:pt idx="41">
                  <c:v>-1.4908570267410655</c:v>
                </c:pt>
                <c:pt idx="42">
                  <c:v>-1.5794956358039254</c:v>
                </c:pt>
                <c:pt idx="43">
                  <c:v>-1.5950278294868769</c:v>
                </c:pt>
                <c:pt idx="44">
                  <c:v>-1.7108769733476901</c:v>
                </c:pt>
                <c:pt idx="45">
                  <c:v>-1.7140301254487404</c:v>
                </c:pt>
                <c:pt idx="46">
                  <c:v>-1.80068341652205</c:v>
                </c:pt>
                <c:pt idx="47">
                  <c:v>-1.7928589279749989</c:v>
                </c:pt>
                <c:pt idx="48">
                  <c:v>-1.8015009004000999</c:v>
                </c:pt>
                <c:pt idx="49">
                  <c:v>-1.7826987712049478</c:v>
                </c:pt>
                <c:pt idx="50">
                  <c:v>-1.7976470478321496</c:v>
                </c:pt>
                <c:pt idx="51">
                  <c:v>-1.7501161994940944</c:v>
                </c:pt>
                <c:pt idx="52">
                  <c:v>-1.7992820155882499</c:v>
                </c:pt>
                <c:pt idx="53">
                  <c:v>-1.6893888256960876</c:v>
                </c:pt>
                <c:pt idx="54">
                  <c:v>-1.7536197018285946</c:v>
                </c:pt>
                <c:pt idx="55">
                  <c:v>-1.7359854067449425</c:v>
                </c:pt>
                <c:pt idx="56">
                  <c:v>-1.7556050198181448</c:v>
                </c:pt>
                <c:pt idx="57">
                  <c:v>-1.6419747607691821</c:v>
                </c:pt>
                <c:pt idx="58">
                  <c:v>-1.575057866180225</c:v>
                </c:pt>
                <c:pt idx="59">
                  <c:v>-1.515031192849118</c:v>
                </c:pt>
                <c:pt idx="60">
                  <c:v>-1.4721716809570633</c:v>
                </c:pt>
                <c:pt idx="61">
                  <c:v>-1.3260756336083972</c:v>
                </c:pt>
                <c:pt idx="62">
                  <c:v>-1.2046208860123837</c:v>
                </c:pt>
                <c:pt idx="63">
                  <c:v>-1.0769766176254196</c:v>
                </c:pt>
                <c:pt idx="64">
                  <c:v>-1.090640276729971</c:v>
                </c:pt>
                <c:pt idx="65">
                  <c:v>-0.90180150090040012</c:v>
                </c:pt>
                <c:pt idx="66">
                  <c:v>-0.82227199790724137</c:v>
                </c:pt>
                <c:pt idx="67">
                  <c:v>-0.7168165776387796</c:v>
                </c:pt>
                <c:pt idx="68">
                  <c:v>-0.6503668166944222</c:v>
                </c:pt>
                <c:pt idx="69">
                  <c:v>-0.55448763614026153</c:v>
                </c:pt>
                <c:pt idx="70">
                  <c:v>-0.47822806865930306</c:v>
                </c:pt>
                <c:pt idx="71">
                  <c:v>-0.40862515561389534</c:v>
                </c:pt>
                <c:pt idx="72">
                  <c:v>-0.34334322878103812</c:v>
                </c:pt>
                <c:pt idx="73">
                  <c:v>-0.28623614072868181</c:v>
                </c:pt>
                <c:pt idx="74">
                  <c:v>-0.26241232485407912</c:v>
                </c:pt>
                <c:pt idx="75">
                  <c:v>-0.19876536577732207</c:v>
                </c:pt>
                <c:pt idx="76">
                  <c:v>-0.16723384476681857</c:v>
                </c:pt>
                <c:pt idx="77">
                  <c:v>-0.12916245273191435</c:v>
                </c:pt>
                <c:pt idx="78">
                  <c:v>-0.10965962306986217</c:v>
                </c:pt>
                <c:pt idx="79">
                  <c:v>-8.5602240372959507E-2</c:v>
                </c:pt>
                <c:pt idx="80">
                  <c:v>-7.0770747156907857E-2</c:v>
                </c:pt>
                <c:pt idx="81">
                  <c:v>-6.6332977533207368E-2</c:v>
                </c:pt>
                <c:pt idx="82">
                  <c:v>-5.6873521230056311E-2</c:v>
                </c:pt>
                <c:pt idx="83">
                  <c:v>-4.3560212358954839E-2</c:v>
                </c:pt>
                <c:pt idx="84">
                  <c:v>-4.3560212358954839E-2</c:v>
                </c:pt>
                <c:pt idx="85">
                  <c:v>-3.3750405822353745E-2</c:v>
                </c:pt>
                <c:pt idx="86">
                  <c:v>-2.7210534797953021E-2</c:v>
                </c:pt>
                <c:pt idx="87">
                  <c:v>-2.0553880362402282E-2</c:v>
                </c:pt>
                <c:pt idx="88">
                  <c:v>-1.6349677561001814E-2</c:v>
                </c:pt>
                <c:pt idx="89">
                  <c:v>-1.6583244383301842E-2</c:v>
                </c:pt>
                <c:pt idx="90">
                  <c:v>-9.576239714301063E-3</c:v>
                </c:pt>
                <c:pt idx="91">
                  <c:v>-8.992322658550999E-3</c:v>
                </c:pt>
                <c:pt idx="92">
                  <c:v>-6.7734378467007514E-3</c:v>
                </c:pt>
                <c:pt idx="93">
                  <c:v>-5.7223871463506345E-3</c:v>
                </c:pt>
                <c:pt idx="94">
                  <c:v>-4.4377696237004926E-3</c:v>
                </c:pt>
                <c:pt idx="95">
                  <c:v>-2.5692350453002852E-3</c:v>
                </c:pt>
                <c:pt idx="96">
                  <c:v>-1.9853179895502203E-3</c:v>
                </c:pt>
                <c:pt idx="97">
                  <c:v>-1.6349677561001814E-3</c:v>
                </c:pt>
                <c:pt idx="98">
                  <c:v>-1.0510507003501166E-3</c:v>
                </c:pt>
                <c:pt idx="99">
                  <c:v>-5.8391705575006482E-4</c:v>
                </c:pt>
                <c:pt idx="100">
                  <c:v>-1.6349677561001814E-3</c:v>
                </c:pt>
              </c:numCache>
            </c:numRef>
          </c:val>
          <c:extLst>
            <c:ext xmlns:c16="http://schemas.microsoft.com/office/drawing/2014/chart" uri="{C3380CC4-5D6E-409C-BE32-E72D297353CC}">
              <c16:uniqueId val="{00000000-9057-44DC-90D0-FC48BB643222}"/>
            </c:ext>
          </c:extLst>
        </c:ser>
        <c:ser>
          <c:idx val="1"/>
          <c:order val="1"/>
          <c:tx>
            <c:strRef>
              <c:f>'fig 6'!$G$4</c:f>
              <c:strCache>
                <c:ptCount val="1"/>
                <c:pt idx="0">
                  <c:v>F</c:v>
                </c:pt>
              </c:strCache>
            </c:strRef>
          </c:tx>
          <c:spPr>
            <a:solidFill>
              <a:schemeClr val="accent2"/>
            </a:solidFill>
            <a:ln>
              <a:noFill/>
            </a:ln>
            <a:effectLst/>
          </c:spPr>
          <c:invertIfNegative val="0"/>
          <c:val>
            <c:numRef>
              <c:f>'fig 6'!$G$5:$G$105</c:f>
              <c:numCache>
                <c:formatCode>0.0</c:formatCode>
                <c:ptCount val="101"/>
                <c:pt idx="0">
                  <c:v>0.12336178549839877</c:v>
                </c:pt>
                <c:pt idx="1">
                  <c:v>0.16934111302125981</c:v>
                </c:pt>
                <c:pt idx="2">
                  <c:v>0.37062124609336483</c:v>
                </c:pt>
                <c:pt idx="3">
                  <c:v>0.47072542303124881</c:v>
                </c:pt>
                <c:pt idx="4">
                  <c:v>0.66954046395177857</c:v>
                </c:pt>
                <c:pt idx="5">
                  <c:v>0.69429856338716522</c:v>
                </c:pt>
                <c:pt idx="6">
                  <c:v>0.81615985801069202</c:v>
                </c:pt>
                <c:pt idx="7">
                  <c:v>0.92194446468916258</c:v>
                </c:pt>
                <c:pt idx="8">
                  <c:v>1.0226917091448489</c:v>
                </c:pt>
                <c:pt idx="9">
                  <c:v>1.2044654608436189</c:v>
                </c:pt>
                <c:pt idx="10">
                  <c:v>1.2966384717286084</c:v>
                </c:pt>
                <c:pt idx="11">
                  <c:v>1.3155017855841411</c:v>
                </c:pt>
                <c:pt idx="12">
                  <c:v>1.4431506878678881</c:v>
                </c:pt>
                <c:pt idx="13">
                  <c:v>1.4780906896684773</c:v>
                </c:pt>
                <c:pt idx="14">
                  <c:v>1.5106727772371247</c:v>
                </c:pt>
                <c:pt idx="15">
                  <c:v>1.5063856604517765</c:v>
                </c:pt>
                <c:pt idx="16">
                  <c:v>1.4974898931221785</c:v>
                </c:pt>
                <c:pt idx="17">
                  <c:v>1.435433877654261</c:v>
                </c:pt>
                <c:pt idx="18">
                  <c:v>1.7556815015197829</c:v>
                </c:pt>
                <c:pt idx="19">
                  <c:v>1.740140703172895</c:v>
                </c:pt>
                <c:pt idx="20">
                  <c:v>1.6102410645768401</c:v>
                </c:pt>
                <c:pt idx="21">
                  <c:v>1.397600072023562</c:v>
                </c:pt>
                <c:pt idx="22">
                  <c:v>1.2472294507774686</c:v>
                </c:pt>
                <c:pt idx="23">
                  <c:v>1.2689865684631116</c:v>
                </c:pt>
                <c:pt idx="24">
                  <c:v>1.2877427043990106</c:v>
                </c:pt>
                <c:pt idx="25">
                  <c:v>1.2244005538954887</c:v>
                </c:pt>
                <c:pt idx="26">
                  <c:v>1.2038223933258165</c:v>
                </c:pt>
                <c:pt idx="27">
                  <c:v>1.1361931260369464</c:v>
                </c:pt>
                <c:pt idx="28">
                  <c:v>1.1132570512353328</c:v>
                </c:pt>
                <c:pt idx="29">
                  <c:v>1.1073622656554787</c:v>
                </c:pt>
                <c:pt idx="30">
                  <c:v>1.1132570512353328</c:v>
                </c:pt>
                <c:pt idx="31">
                  <c:v>1.1176513459403148</c:v>
                </c:pt>
                <c:pt idx="32">
                  <c:v>1.1689895694448611</c:v>
                </c:pt>
                <c:pt idx="33">
                  <c:v>1.206609019236293</c:v>
                </c:pt>
                <c:pt idx="34">
                  <c:v>1.2679147892667744</c:v>
                </c:pt>
                <c:pt idx="35">
                  <c:v>1.3346866331985749</c:v>
                </c:pt>
                <c:pt idx="36">
                  <c:v>1.4176423429950655</c:v>
                </c:pt>
                <c:pt idx="37">
                  <c:v>1.4964181139258415</c:v>
                </c:pt>
                <c:pt idx="38">
                  <c:v>1.5445409998413766</c:v>
                </c:pt>
                <c:pt idx="39">
                  <c:v>1.6029529660417479</c:v>
                </c:pt>
                <c:pt idx="40">
                  <c:v>1.6747621721963326</c:v>
                </c:pt>
                <c:pt idx="41">
                  <c:v>1.7341387396734076</c:v>
                </c:pt>
                <c:pt idx="42">
                  <c:v>1.8173088053091653</c:v>
                </c:pt>
                <c:pt idx="43">
                  <c:v>1.8522488071097545</c:v>
                </c:pt>
                <c:pt idx="44">
                  <c:v>1.9243795470232405</c:v>
                </c:pt>
                <c:pt idx="45">
                  <c:v>1.9722880770995082</c:v>
                </c:pt>
                <c:pt idx="46">
                  <c:v>1.9619989968146723</c:v>
                </c:pt>
                <c:pt idx="47">
                  <c:v>2.0010117595613419</c:v>
                </c:pt>
                <c:pt idx="48">
                  <c:v>2.0273775277912347</c:v>
                </c:pt>
                <c:pt idx="49">
                  <c:v>1.997046176534895</c:v>
                </c:pt>
                <c:pt idx="50">
                  <c:v>1.9915801026335758</c:v>
                </c:pt>
                <c:pt idx="51">
                  <c:v>1.9506381373334991</c:v>
                </c:pt>
                <c:pt idx="52">
                  <c:v>1.9741101017332814</c:v>
                </c:pt>
                <c:pt idx="53">
                  <c:v>1.8985496683915164</c:v>
                </c:pt>
                <c:pt idx="54">
                  <c:v>1.8486047578422082</c:v>
                </c:pt>
                <c:pt idx="55">
                  <c:v>1.8020895407211788</c:v>
                </c:pt>
                <c:pt idx="56">
                  <c:v>1.7538594768860098</c:v>
                </c:pt>
                <c:pt idx="57">
                  <c:v>1.6479676922879056</c:v>
                </c:pt>
                <c:pt idx="58">
                  <c:v>1.5772302653296579</c:v>
                </c:pt>
                <c:pt idx="59">
                  <c:v>1.4845213648464999</c:v>
                </c:pt>
                <c:pt idx="60">
                  <c:v>1.4250376194497916</c:v>
                </c:pt>
                <c:pt idx="61">
                  <c:v>1.3568724625627526</c:v>
                </c:pt>
                <c:pt idx="62">
                  <c:v>1.2734880410877272</c:v>
                </c:pt>
                <c:pt idx="63">
                  <c:v>1.1649168084987802</c:v>
                </c:pt>
                <c:pt idx="64">
                  <c:v>1.1285834937429531</c:v>
                </c:pt>
                <c:pt idx="65">
                  <c:v>1.0148677210115882</c:v>
                </c:pt>
                <c:pt idx="66">
                  <c:v>0.91915783877868618</c:v>
                </c:pt>
                <c:pt idx="67">
                  <c:v>0.83287961347355066</c:v>
                </c:pt>
                <c:pt idx="68">
                  <c:v>0.75571151133728032</c:v>
                </c:pt>
                <c:pt idx="69">
                  <c:v>0.68561715189683481</c:v>
                </c:pt>
                <c:pt idx="70">
                  <c:v>0.62313242475038266</c:v>
                </c:pt>
                <c:pt idx="71">
                  <c:v>0.57082959996913274</c:v>
                </c:pt>
                <c:pt idx="72">
                  <c:v>0.50052088468941991</c:v>
                </c:pt>
                <c:pt idx="73">
                  <c:v>0.44521707815842609</c:v>
                </c:pt>
                <c:pt idx="74">
                  <c:v>0.4081335179651629</c:v>
                </c:pt>
                <c:pt idx="75">
                  <c:v>0.35872449701402315</c:v>
                </c:pt>
                <c:pt idx="76">
                  <c:v>0.31381694868749921</c:v>
                </c:pt>
                <c:pt idx="77">
                  <c:v>0.27673338849423595</c:v>
                </c:pt>
                <c:pt idx="78">
                  <c:v>0.23343350896221762</c:v>
                </c:pt>
                <c:pt idx="79">
                  <c:v>0.19720737212602407</c:v>
                </c:pt>
                <c:pt idx="80">
                  <c:v>0.17523589860111377</c:v>
                </c:pt>
                <c:pt idx="81">
                  <c:v>0.15765871978118556</c:v>
                </c:pt>
                <c:pt idx="82">
                  <c:v>0.14318970063063488</c:v>
                </c:pt>
                <c:pt idx="83">
                  <c:v>0.13515135665810671</c:v>
                </c:pt>
                <c:pt idx="84">
                  <c:v>0.1287206814800842</c:v>
                </c:pt>
                <c:pt idx="85">
                  <c:v>0.10739227547297617</c:v>
                </c:pt>
                <c:pt idx="86">
                  <c:v>8.6385403224769244E-2</c:v>
                </c:pt>
                <c:pt idx="87">
                  <c:v>7.2237917833119697E-2</c:v>
                </c:pt>
                <c:pt idx="88">
                  <c:v>6.2270371307184783E-2</c:v>
                </c:pt>
                <c:pt idx="89">
                  <c:v>5.2302824781249861E-2</c:v>
                </c:pt>
                <c:pt idx="90">
                  <c:v>4.0727609460809319E-2</c:v>
                </c:pt>
                <c:pt idx="91">
                  <c:v>3.4940001800589052E-2</c:v>
                </c:pt>
                <c:pt idx="92">
                  <c:v>2.6258590310258643E-2</c:v>
                </c:pt>
                <c:pt idx="93">
                  <c:v>2.1328406007108041E-2</c:v>
                </c:pt>
                <c:pt idx="94">
                  <c:v>2.036380473040466E-2</c:v>
                </c:pt>
                <c:pt idx="95">
                  <c:v>1.3290062034579886E-2</c:v>
                </c:pt>
                <c:pt idx="96">
                  <c:v>1.018190236520233E-2</c:v>
                </c:pt>
                <c:pt idx="97">
                  <c:v>6.9665647761910686E-3</c:v>
                </c:pt>
                <c:pt idx="98">
                  <c:v>5.6804297405865633E-3</c:v>
                </c:pt>
                <c:pt idx="99">
                  <c:v>4.3942947049820588E-3</c:v>
                </c:pt>
                <c:pt idx="100">
                  <c:v>8.8957673295978253E-3</c:v>
                </c:pt>
              </c:numCache>
            </c:numRef>
          </c:val>
          <c:extLst>
            <c:ext xmlns:c16="http://schemas.microsoft.com/office/drawing/2014/chart" uri="{C3380CC4-5D6E-409C-BE32-E72D297353CC}">
              <c16:uniqueId val="{00000001-9057-44DC-90D0-FC48BB643222}"/>
            </c:ext>
          </c:extLst>
        </c:ser>
        <c:dLbls>
          <c:showLegendKey val="0"/>
          <c:showVal val="0"/>
          <c:showCatName val="0"/>
          <c:showSerName val="0"/>
          <c:showPercent val="0"/>
          <c:showBubbleSize val="0"/>
        </c:dLbls>
        <c:gapWidth val="182"/>
        <c:axId val="332388623"/>
        <c:axId val="332389583"/>
      </c:barChart>
      <c:catAx>
        <c:axId val="332388623"/>
        <c:scaling>
          <c:orientation val="minMax"/>
        </c:scaling>
        <c:delete val="0"/>
        <c:axPos val="l"/>
        <c:majorGridlines>
          <c:spPr>
            <a:ln w="3175" cap="flat" cmpd="sng" algn="ctr">
              <a:solidFill>
                <a:schemeClr val="bg1">
                  <a:lumMod val="75000"/>
                </a:schemeClr>
              </a:solidFill>
              <a:round/>
            </a:ln>
            <a:effectLst/>
          </c:spPr>
        </c:majorGridlines>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it-IT"/>
          </a:p>
        </c:txPr>
        <c:crossAx val="332389583"/>
        <c:crosses val="autoZero"/>
        <c:auto val="1"/>
        <c:lblAlgn val="ctr"/>
        <c:lblOffset val="100"/>
        <c:noMultiLvlLbl val="0"/>
      </c:catAx>
      <c:valAx>
        <c:axId val="33238958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it-IT"/>
          </a:p>
        </c:txPr>
        <c:crossAx val="3323886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alpha val="0"/>
          </a:srgbClr>
        </a:solidFill>
        <a:ln w="9525">
          <a:noFill/>
          <a:miter lim="800000"/>
          <a:headEnd/>
          <a:tailEnd/>
        </a:ln>
      </a:spPr>
      <a:bodyPr rot="0" vert="horz" wrap="square" lIns="91440" tIns="45720" rIns="91440" bIns="45720" anchor="t" anchorCtr="0">
        <a:spAutoFit/>
      </a:bodyPr>
      <a:lstStyle/>
    </a:tx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63DC0D574C2C4BAADE7BDE2CC7A3EA" ma:contentTypeVersion="10" ma:contentTypeDescription="Create a new document." ma:contentTypeScope="" ma:versionID="96e2ff9b0a6564dd3dc277c6655607e4">
  <xsd:schema xmlns:xsd="http://www.w3.org/2001/XMLSchema" xmlns:xs="http://www.w3.org/2001/XMLSchema" xmlns:p="http://schemas.microsoft.com/office/2006/metadata/properties" xmlns:ns3="c6bb7392-db91-43db-9b6a-d40b95d0671e" targetNamespace="http://schemas.microsoft.com/office/2006/metadata/properties" ma:root="true" ma:fieldsID="4c2a18f4866ccd9e049eb591f17805e1" ns3:_="">
    <xsd:import namespace="c6bb7392-db91-43db-9b6a-d40b95d0671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7392-db91-43db-9b6a-d40b95d06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6bb7392-db91-43db-9b6a-d40b95d0671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E5E0E-3DE9-4102-827C-C59E2A799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7392-db91-43db-9b6a-d40b95d06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0B8AA2-1308-4CC3-8A1B-63620D03C1C6}">
  <ds:schemaRefs>
    <ds:schemaRef ds:uri="http://schemas.microsoft.com/office/2006/metadata/properties"/>
    <ds:schemaRef ds:uri="http://schemas.openxmlformats.org/package/2006/metadata/core-properties"/>
    <ds:schemaRef ds:uri="http://purl.org/dc/terms/"/>
    <ds:schemaRef ds:uri="c6bb7392-db91-43db-9b6a-d40b95d0671e"/>
    <ds:schemaRef ds:uri="http://schemas.microsoft.com/office/2006/documentManagement/types"/>
    <ds:schemaRef ds:uri="http://purl.org/dc/elements/1.1/"/>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93758EB-41A6-4507-947A-E51E805BC160}">
  <ds:schemaRefs>
    <ds:schemaRef ds:uri="http://schemas.openxmlformats.org/officeDocument/2006/bibliography"/>
  </ds:schemaRefs>
</ds:datastoreItem>
</file>

<file path=customXml/itemProps4.xml><?xml version="1.0" encoding="utf-8"?>
<ds:datastoreItem xmlns:ds="http://schemas.openxmlformats.org/officeDocument/2006/customXml" ds:itemID="{314F577B-E9E6-4BC0-813D-9C84953139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7002</Words>
  <Characters>40931</Characters>
  <Application>Microsoft Office Word</Application>
  <DocSecurity>0</DocSecurity>
  <Lines>341</Lines>
  <Paragraphs>95</Paragraphs>
  <ScaleCrop>false</ScaleCrop>
  <HeadingPairs>
    <vt:vector size="2" baseType="variant">
      <vt:variant>
        <vt:lpstr>Titolo</vt:lpstr>
      </vt:variant>
      <vt:variant>
        <vt:i4>1</vt:i4>
      </vt:variant>
    </vt:vector>
  </HeadingPairs>
  <TitlesOfParts>
    <vt:vector size="1" baseType="lpstr">
      <vt:lpstr/>
    </vt:vector>
  </TitlesOfParts>
  <Company>ISTAT</Company>
  <LinksUpToDate>false</LinksUpToDate>
  <CharactersWithSpaces>47838</CharactersWithSpaces>
  <SharedDoc>false</SharedDoc>
  <HLinks>
    <vt:vector size="18" baseType="variant">
      <vt:variant>
        <vt:i4>4456451</vt:i4>
      </vt:variant>
      <vt:variant>
        <vt:i4>3</vt:i4>
      </vt:variant>
      <vt:variant>
        <vt:i4>0</vt:i4>
      </vt:variant>
      <vt:variant>
        <vt:i4>5</vt:i4>
      </vt:variant>
      <vt:variant>
        <vt:lpwstr>http://demo.istat.it/</vt:lpwstr>
      </vt:variant>
      <vt:variant>
        <vt:lpwstr/>
      </vt:variant>
      <vt:variant>
        <vt:i4>5374032</vt:i4>
      </vt:variant>
      <vt:variant>
        <vt:i4>0</vt:i4>
      </vt:variant>
      <vt:variant>
        <vt:i4>0</vt:i4>
      </vt:variant>
      <vt:variant>
        <vt:i4>5</vt:i4>
      </vt:variant>
      <vt:variant>
        <vt:lpwstr>http://www.istat.it/it/archivio/99464</vt:lpwstr>
      </vt:variant>
      <vt:variant>
        <vt:lpwstr/>
      </vt:variant>
      <vt:variant>
        <vt:i4>2228278</vt:i4>
      </vt:variant>
      <vt:variant>
        <vt:i4>0</vt:i4>
      </vt:variant>
      <vt:variant>
        <vt:i4>0</vt:i4>
      </vt:variant>
      <vt:variant>
        <vt:i4>5</vt:i4>
      </vt:variant>
      <vt:variant>
        <vt:lpwstr>http://epp.eurostat.ec.europa.eu/portal/page/portal/population/data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template</dc:creator>
  <cp:lastModifiedBy>Stefania Schipani</cp:lastModifiedBy>
  <cp:revision>15</cp:revision>
  <cp:lastPrinted>2019-06-10T12:04:00Z</cp:lastPrinted>
  <dcterms:created xsi:type="dcterms:W3CDTF">2025-10-27T12:46:00Z</dcterms:created>
  <dcterms:modified xsi:type="dcterms:W3CDTF">2025-10-27T14:28:00Z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-649039730</vt:i4>
  </property>
  <property fmtid="{D5CDD505-2E9C-101B-9397-08002B2CF9AE}" pid="3" name="ContentTypeId">
    <vt:lpwstr>0x0101000363DC0D574C2C4BAADE7BDE2CC7A3EA</vt:lpwstr>
  </property>
</Properties>
</file>