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customXml/itemProps6.xml" ContentType="application/vnd.openxmlformats-officedocument.customXmlProperties+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4EF" w:rsidRDefault="00957E17" w:rsidP="00966D2A">
      <w:pPr>
        <w:spacing w:before="60"/>
        <w:ind w:left="1814"/>
        <w:rPr>
          <w:rFonts w:ascii="Arial" w:hAnsi="Arial" w:cs="Arial"/>
          <w:noProof/>
          <w:color w:val="5F5F5F"/>
          <w:sz w:val="10"/>
          <w:szCs w:val="28"/>
        </w:rPr>
      </w:pPr>
      <w:r>
        <w:rPr>
          <w:rFonts w:ascii="Arial" w:hAnsi="Arial" w:cs="Arial"/>
          <w:noProof/>
          <w:color w:val="5F5F5F"/>
          <w:sz w:val="10"/>
          <w:szCs w:val="28"/>
        </w:rPr>
        <w:pict>
          <v:shapetype id="_x0000_t202" coordsize="21600,21600" o:spt="202" path="m,l,21600r21600,l21600,xe">
            <v:stroke joinstyle="miter"/>
            <v:path gradientshapeok="t" o:connecttype="rect"/>
          </v:shapetype>
          <v:shape id="Casella di testo 1" o:spid="_x0000_s1026" type="#_x0000_t202" style="position:absolute;left:0;text-align:left;margin-left:426.95pt;margin-top:-73.25pt;width:78.3pt;height:72.3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" fillcolor="window" stroked="f" strokeweight=".5pt">
            <v:path arrowok="t"/>
            <v:textbox inset="0,0,0,0">
              <w:txbxContent>
                <w:p w:rsidR="00A14252" w:rsidRDefault="00957E17" w:rsidP="00035E4D">
                  <w:pPr>
                    <w:spacing w:after="120" w:line="276" w:lineRule="auto"/>
                    <w:rPr>
                      <w:rFonts w:ascii="Arial Narrow" w:hAnsi="Arial Narrow"/>
                      <w:sz w:val="18"/>
                      <w:szCs w:val="18"/>
                    </w:rPr>
                  </w:pPr>
                  <w:hyperlink r:id="rId13" w:history="1">
                    <w:r w:rsidR="00A14252" w:rsidRPr="0059658A">
                      <w:rPr>
                        <w:rStyle w:val="Collegamentoipertestuale"/>
                        <w:rFonts w:ascii="Arial Narrow" w:hAnsi="Arial Narrow"/>
                        <w:sz w:val="18"/>
                        <w:szCs w:val="18"/>
                      </w:rPr>
                      <w:t>http://www.istat.it</w:t>
                    </w:r>
                  </w:hyperlink>
                </w:p>
                <w:p w:rsidR="00A14252" w:rsidRPr="00D94ACE" w:rsidRDefault="00957E17" w:rsidP="00A14252">
                  <w:pPr>
                    <w:spacing w:line="360" w:lineRule="auto"/>
                    <w:rPr>
                      <w:rFonts w:ascii="Arial Narrow" w:hAnsi="Arial Narrow"/>
                      <w:b/>
                      <w:bCs/>
                      <w:sz w:val="18"/>
                      <w:szCs w:val="18"/>
                    </w:rPr>
                  </w:pPr>
                  <w:hyperlink r:id="rId14" w:history="1">
                    <w:r w:rsidR="00A14252" w:rsidRPr="00BC1A46">
                      <w:rPr>
                        <w:rStyle w:val="Collegamentoipertestuale"/>
                        <w:rFonts w:ascii="Arial Narrow" w:hAnsi="Arial Narrow"/>
                        <w:b/>
                        <w:bCs/>
                        <w:sz w:val="18"/>
                        <w:szCs w:val="18"/>
                      </w:rPr>
                      <w:t>Contact Centre</w:t>
                    </w:r>
                  </w:hyperlink>
                </w:p>
                <w:p w:rsidR="00A14252" w:rsidRPr="00035E4D" w:rsidRDefault="00A14252" w:rsidP="00035E4D">
                  <w:pPr>
                    <w:spacing w:line="276" w:lineRule="auto"/>
                    <w:rPr>
                      <w:rFonts w:ascii="Arial Narrow" w:hAnsi="Arial Narrow"/>
                      <w:sz w:val="18"/>
                      <w:szCs w:val="18"/>
                    </w:rPr>
                  </w:pPr>
                  <w:r w:rsidRPr="00235BD6">
                    <w:rPr>
                      <w:rFonts w:ascii="Arial Narrow" w:hAnsi="Arial Narrow"/>
                      <w:b/>
                      <w:bCs/>
                      <w:sz w:val="18"/>
                      <w:szCs w:val="18"/>
                    </w:rPr>
                    <w:t>Ufficio Stampa</w:t>
                  </w:r>
                  <w:r w:rsidRPr="00235BD6">
                    <w:rPr>
                      <w:rFonts w:ascii="Arial Narrow" w:hAnsi="Arial Narrow"/>
                      <w:b/>
                      <w:bCs/>
                      <w:sz w:val="18"/>
                      <w:szCs w:val="18"/>
                    </w:rPr>
                    <w:br/>
                  </w:r>
                  <w:r w:rsidRPr="00235BD6">
                    <w:rPr>
                      <w:rFonts w:ascii="Arial Narrow" w:hAnsi="Arial Narrow"/>
                      <w:sz w:val="18"/>
                      <w:szCs w:val="18"/>
                    </w:rPr>
                    <w:t xml:space="preserve">tel. </w:t>
                  </w:r>
                  <w:r w:rsidRPr="00035E4D">
                    <w:rPr>
                      <w:rFonts w:ascii="Arial Narrow" w:hAnsi="Arial Narrow"/>
                      <w:sz w:val="18"/>
                      <w:szCs w:val="18"/>
                    </w:rPr>
                    <w:t>+39 06 4673.2243/4</w:t>
                  </w:r>
                </w:p>
                <w:p w:rsidR="00A14252" w:rsidRPr="00035E4D" w:rsidRDefault="00957E17" w:rsidP="00A14252">
                  <w:pPr>
                    <w:spacing w:after="120" w:line="360" w:lineRule="auto"/>
                    <w:rPr>
                      <w:rFonts w:ascii="Arial Narrow" w:hAnsi="Arial Narrow"/>
                      <w:b/>
                      <w:bCs/>
                      <w:color w:val="7F7F7F"/>
                      <w:sz w:val="18"/>
                      <w:szCs w:val="18"/>
                    </w:rPr>
                  </w:pPr>
                  <w:hyperlink r:id="rId15" w:history="1">
                    <w:r w:rsidR="00A14252" w:rsidRPr="00035E4D">
                      <w:rPr>
                        <w:rStyle w:val="Collegamentoipertestuale"/>
                        <w:rFonts w:ascii="Arial Narrow" w:hAnsi="Arial Narrow"/>
                        <w:bCs/>
                        <w:sz w:val="18"/>
                        <w:szCs w:val="18"/>
                      </w:rPr>
                      <w:t>ufficiostampa@istat.it</w:t>
                    </w:r>
                  </w:hyperlink>
                </w:p>
              </w:txbxContent>
            </v:textbox>
          </v:shape>
        </w:pict>
      </w:r>
    </w:p>
    <w:p w:rsidR="004D6464" w:rsidRPr="00E624EF" w:rsidRDefault="004D6464" w:rsidP="00966D2A">
      <w:pPr>
        <w:spacing w:before="60"/>
        <w:ind w:left="1814"/>
        <w:rPr>
          <w:rFonts w:ascii="Arial" w:hAnsi="Arial" w:cs="Arial"/>
          <w:noProof/>
          <w:color w:val="5F5F5F"/>
          <w:sz w:val="10"/>
          <w:szCs w:val="28"/>
        </w:rPr>
      </w:pPr>
    </w:p>
    <w:p w:rsidR="00B01DC7" w:rsidRPr="00826A5F" w:rsidRDefault="00957E17" w:rsidP="00425306">
      <w:pPr>
        <w:spacing w:before="60"/>
        <w:ind w:left="1814"/>
        <w:rPr>
          <w:rFonts w:ascii="Arial" w:hAnsi="Arial" w:cs="Arial"/>
          <w:noProof/>
          <w:color w:val="5F5F5F"/>
          <w:sz w:val="28"/>
          <w:szCs w:val="28"/>
        </w:rPr>
      </w:pPr>
      <w:r>
        <w:rPr>
          <w:rFonts w:ascii="Arial" w:hAnsi="Arial" w:cs="Arial"/>
          <w:noProof/>
          <w:color w:val="5F5F5F"/>
          <w:sz w:val="28"/>
          <w:szCs w:val="28"/>
        </w:rPr>
        <w:pict>
          <v:shape id="Casella di testo 2" o:spid="_x0000_s1027" type="#_x0000_t202" style="position:absolute;left:0;text-align:left;margin-left:330.25pt;margin-top:-190.25pt;width:79.4pt;height:15.6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" strokecolor="white">
            <v:textbox style="mso-fit-shape-to-text:t" inset="0,0,0,0">
              <w:txbxContent>
                <w:p w:rsidR="00CF1E41" w:rsidRDefault="00CF1E41">
                  <w:pPr>
                    <w:jc w:val="right"/>
                    <w:rPr>
                      <w:rFonts w:ascii="Arial Narrow" w:hAnsi="Arial Narrow"/>
                      <w:b/>
                      <w:color w:val="808080"/>
                      <w:sz w:val="26"/>
                      <w:szCs w:val="26"/>
                    </w:rPr>
                  </w:pPr>
                  <w:r>
                    <w:rPr>
                      <w:rFonts w:ascii="Arial Narrow" w:hAnsi="Arial Narrow"/>
                      <w:b/>
                      <w:color w:val="808080"/>
                      <w:sz w:val="26"/>
                      <w:szCs w:val="26"/>
                    </w:rPr>
                    <w:t>24 luglio 2017</w:t>
                  </w:r>
                </w:p>
              </w:txbxContent>
            </v:textbox>
          </v:shape>
        </w:pict>
      </w:r>
      <w:r w:rsidR="00A312F1">
        <w:rPr>
          <w:rFonts w:ascii="Arial" w:hAnsi="Arial" w:cs="Arial"/>
          <w:noProof/>
          <w:color w:val="5F5F5F"/>
          <w:sz w:val="28"/>
          <w:szCs w:val="28"/>
        </w:rPr>
        <w:t>Marzo</w:t>
      </w:r>
      <w:r w:rsidR="00B01DC7">
        <w:rPr>
          <w:rFonts w:ascii="Arial" w:hAnsi="Arial" w:cs="Arial"/>
          <w:color w:val="5F5F5F"/>
          <w:sz w:val="28"/>
          <w:szCs w:val="28"/>
        </w:rPr>
        <w:t>2024</w:t>
      </w:r>
    </w:p>
    <w:p w:rsidR="00FC0937" w:rsidRPr="00211BB7" w:rsidRDefault="00EE588B" w:rsidP="006017DC">
      <w:pPr>
        <w:tabs>
          <w:tab w:val="left" w:pos="9765"/>
        </w:tabs>
        <w:spacing w:after="300"/>
        <w:ind w:left="1814"/>
        <w:outlineLvl w:val="0"/>
        <w:rPr>
          <w:rFonts w:ascii="Calibri" w:hAnsi="Calibri" w:cs="Arial"/>
          <w:b/>
          <w:bCs/>
          <w:caps/>
          <w:color w:val="5F5F5F"/>
          <w:sz w:val="44"/>
          <w:szCs w:val="52"/>
        </w:rPr>
      </w:pPr>
      <w:r>
        <w:rPr>
          <w:rFonts w:ascii="Calibri" w:hAnsi="Calibri" w:cs="Arial"/>
          <w:b/>
          <w:bCs/>
          <w:color w:val="5F5F5F"/>
          <w:sz w:val="44"/>
          <w:szCs w:val="52"/>
        </w:rPr>
        <w:t>C</w:t>
      </w:r>
      <w:r w:rsidRPr="00211BB7">
        <w:rPr>
          <w:rFonts w:ascii="Calibri" w:hAnsi="Calibri" w:cs="Arial"/>
          <w:b/>
          <w:bCs/>
          <w:color w:val="5F5F5F"/>
          <w:sz w:val="44"/>
          <w:szCs w:val="52"/>
        </w:rPr>
        <w:t>ommercio estero extra UE</w:t>
      </w:r>
    </w:p>
    <w:p w:rsidR="00C80B3D" w:rsidRPr="008A4AEA" w:rsidRDefault="00CB7194" w:rsidP="009573D7">
      <w:pPr>
        <w:pStyle w:val="Corpodeltesto"/>
        <w:numPr>
          <w:ilvl w:val="0"/>
          <w:numId w:val="35"/>
        </w:numPr>
        <w:tabs>
          <w:tab w:val="left" w:pos="284"/>
          <w:tab w:val="left" w:pos="567"/>
          <w:tab w:val="num" w:pos="4733"/>
        </w:tabs>
        <w:suppressAutoHyphens/>
        <w:spacing w:before="240" w:after="120" w:line="230" w:lineRule="exact"/>
        <w:ind w:left="284" w:hanging="284"/>
        <w:jc w:val="both"/>
        <w:rPr>
          <w:rFonts w:ascii="Arial" w:hAnsi="Arial"/>
          <w:sz w:val="21"/>
          <w:szCs w:val="21"/>
          <w:lang w:eastAsia="ar-SA"/>
        </w:rPr>
      </w:pPr>
      <w:r w:rsidRPr="008A4AEA">
        <w:rPr>
          <w:rFonts w:ascii="Arial" w:hAnsi="Arial"/>
          <w:sz w:val="21"/>
          <w:szCs w:val="21"/>
          <w:lang w:eastAsia="ar-SA"/>
        </w:rPr>
        <w:t xml:space="preserve">A </w:t>
      </w:r>
      <w:r w:rsidR="00FB200D">
        <w:rPr>
          <w:rFonts w:ascii="Arial" w:hAnsi="Arial"/>
          <w:sz w:val="21"/>
          <w:szCs w:val="21"/>
          <w:lang w:eastAsia="ar-SA"/>
        </w:rPr>
        <w:t>marzo</w:t>
      </w:r>
      <w:r w:rsidR="006A6122">
        <w:rPr>
          <w:rFonts w:ascii="Arial" w:hAnsi="Arial"/>
          <w:sz w:val="21"/>
          <w:szCs w:val="21"/>
          <w:lang w:eastAsia="ar-SA"/>
        </w:rPr>
        <w:t>2024</w:t>
      </w:r>
      <w:r w:rsidR="00EE588B">
        <w:rPr>
          <w:rFonts w:ascii="Arial" w:hAnsi="Arial"/>
          <w:sz w:val="21"/>
          <w:szCs w:val="21"/>
          <w:lang w:eastAsia="ar-SA"/>
        </w:rPr>
        <w:t xml:space="preserve"> </w:t>
      </w:r>
      <w:r w:rsidR="00C80B3D" w:rsidRPr="00F81628">
        <w:rPr>
          <w:rFonts w:ascii="Arial" w:hAnsi="Arial"/>
          <w:sz w:val="21"/>
          <w:szCs w:val="21"/>
          <w:lang w:eastAsia="ar-SA"/>
        </w:rPr>
        <w:t xml:space="preserve">si stima, per l’interscambio commerciale con i paesi extra </w:t>
      </w:r>
      <w:r w:rsidR="00C80B3D" w:rsidRPr="00F81628">
        <w:rPr>
          <w:rFonts w:ascii="Arial" w:hAnsi="Arial" w:cs="Arial"/>
          <w:sz w:val="21"/>
          <w:szCs w:val="21"/>
        </w:rPr>
        <w:t>Ue27</w:t>
      </w:r>
      <w:r w:rsidR="00C80B3D" w:rsidRPr="00F81628">
        <w:rPr>
          <w:rStyle w:val="Rimandonotaapidipagina"/>
          <w:rFonts w:ascii="Arial" w:hAnsi="Arial"/>
          <w:sz w:val="21"/>
          <w:szCs w:val="21"/>
        </w:rPr>
        <w:footnoteReference w:id="2"/>
      </w:r>
      <w:r w:rsidR="004A7533" w:rsidRPr="00F81628">
        <w:rPr>
          <w:rFonts w:ascii="Arial" w:hAnsi="Arial" w:cs="Arial"/>
          <w:sz w:val="21"/>
          <w:szCs w:val="21"/>
        </w:rPr>
        <w:t xml:space="preserve">, </w:t>
      </w:r>
      <w:r w:rsidR="00AA0EDC" w:rsidRPr="00F81628">
        <w:rPr>
          <w:rFonts w:ascii="Arial" w:hAnsi="Arial"/>
          <w:sz w:val="21"/>
          <w:szCs w:val="21"/>
          <w:lang w:eastAsia="ar-SA"/>
        </w:rPr>
        <w:t>un</w:t>
      </w:r>
      <w:r w:rsidR="00226C3E">
        <w:rPr>
          <w:rFonts w:ascii="Arial" w:hAnsi="Arial"/>
          <w:sz w:val="21"/>
          <w:szCs w:val="21"/>
          <w:lang w:eastAsia="ar-SA"/>
        </w:rPr>
        <w:t>a</w:t>
      </w:r>
      <w:r w:rsidR="00372F92">
        <w:rPr>
          <w:rFonts w:ascii="Arial" w:hAnsi="Arial"/>
          <w:sz w:val="21"/>
          <w:szCs w:val="21"/>
          <w:lang w:eastAsia="ar-SA"/>
        </w:rPr>
        <w:t xml:space="preserve"> riduzione</w:t>
      </w:r>
      <w:r w:rsidR="001D2F3F">
        <w:rPr>
          <w:rFonts w:ascii="Arial" w:hAnsi="Arial"/>
          <w:sz w:val="21"/>
          <w:szCs w:val="21"/>
          <w:lang w:eastAsia="ar-SA"/>
        </w:rPr>
        <w:t>congiunturale</w:t>
      </w:r>
      <w:r w:rsidR="0005558F">
        <w:rPr>
          <w:rFonts w:ascii="Arial" w:hAnsi="Arial"/>
          <w:sz w:val="21"/>
          <w:szCs w:val="21"/>
          <w:lang w:eastAsia="ar-SA"/>
        </w:rPr>
        <w:t xml:space="preserve">per le </w:t>
      </w:r>
      <w:r w:rsidR="00226C3E">
        <w:rPr>
          <w:rFonts w:ascii="Arial" w:hAnsi="Arial"/>
          <w:sz w:val="21"/>
          <w:szCs w:val="21"/>
          <w:lang w:eastAsia="ar-SA"/>
        </w:rPr>
        <w:t>esportazioni (-4,5</w:t>
      </w:r>
      <w:r w:rsidR="0005558F">
        <w:rPr>
          <w:rFonts w:ascii="Arial" w:hAnsi="Arial"/>
          <w:sz w:val="21"/>
          <w:szCs w:val="21"/>
          <w:lang w:eastAsia="ar-SA"/>
        </w:rPr>
        <w:t>%)</w:t>
      </w:r>
      <w:r w:rsidR="00226C3E">
        <w:rPr>
          <w:rFonts w:ascii="Arial" w:hAnsi="Arial"/>
          <w:sz w:val="21"/>
          <w:szCs w:val="21"/>
          <w:lang w:eastAsia="ar-SA"/>
        </w:rPr>
        <w:t xml:space="preserve"> e un aumento per le</w:t>
      </w:r>
      <w:r w:rsidR="0005558F">
        <w:rPr>
          <w:rFonts w:ascii="Arial" w:hAnsi="Arial"/>
          <w:sz w:val="21"/>
          <w:szCs w:val="21"/>
          <w:lang w:eastAsia="ar-SA"/>
        </w:rPr>
        <w:t xml:space="preserve"> im</w:t>
      </w:r>
      <w:r w:rsidR="00407773" w:rsidRPr="00F81628">
        <w:rPr>
          <w:rFonts w:ascii="Arial" w:hAnsi="Arial"/>
          <w:sz w:val="21"/>
          <w:szCs w:val="21"/>
          <w:lang w:eastAsia="ar-SA"/>
        </w:rPr>
        <w:t>portazioni(</w:t>
      </w:r>
      <w:r w:rsidR="004B07BF">
        <w:rPr>
          <w:rFonts w:ascii="Arial" w:hAnsi="Arial"/>
          <w:sz w:val="21"/>
          <w:szCs w:val="21"/>
          <w:lang w:eastAsia="ar-SA"/>
        </w:rPr>
        <w:t>+</w:t>
      </w:r>
      <w:r w:rsidR="00226C3E">
        <w:rPr>
          <w:rFonts w:ascii="Arial" w:hAnsi="Arial"/>
          <w:sz w:val="21"/>
          <w:szCs w:val="21"/>
          <w:lang w:eastAsia="ar-SA"/>
        </w:rPr>
        <w:t>3,1</w:t>
      </w:r>
      <w:r w:rsidR="00C80B3D" w:rsidRPr="00F81628">
        <w:rPr>
          <w:rFonts w:ascii="Arial" w:hAnsi="Arial"/>
          <w:sz w:val="21"/>
          <w:szCs w:val="21"/>
          <w:lang w:eastAsia="ar-SA"/>
        </w:rPr>
        <w:t>%</w:t>
      </w:r>
      <w:r w:rsidR="00407773" w:rsidRPr="00F81628">
        <w:rPr>
          <w:rFonts w:ascii="Arial" w:hAnsi="Arial"/>
          <w:sz w:val="21"/>
          <w:szCs w:val="21"/>
          <w:lang w:eastAsia="ar-SA"/>
        </w:rPr>
        <w:t>)</w:t>
      </w:r>
      <w:r w:rsidR="00C80B3D" w:rsidRPr="008A4AEA">
        <w:rPr>
          <w:rFonts w:ascii="Arial" w:hAnsi="Arial"/>
          <w:sz w:val="21"/>
          <w:szCs w:val="21"/>
          <w:lang w:eastAsia="ar-SA"/>
        </w:rPr>
        <w:t>.</w:t>
      </w:r>
    </w:p>
    <w:p w:rsidR="00C80B3D" w:rsidRPr="001E4295" w:rsidRDefault="00D31067" w:rsidP="007B52D2">
      <w:pPr>
        <w:pStyle w:val="Corpodeltesto"/>
        <w:numPr>
          <w:ilvl w:val="0"/>
          <w:numId w:val="35"/>
        </w:numPr>
        <w:tabs>
          <w:tab w:val="left" w:pos="284"/>
          <w:tab w:val="left" w:pos="567"/>
          <w:tab w:val="num" w:pos="4733"/>
        </w:tabs>
        <w:suppressAutoHyphens/>
        <w:spacing w:after="120" w:line="230" w:lineRule="exact"/>
        <w:ind w:left="284" w:hanging="284"/>
        <w:jc w:val="both"/>
        <w:rPr>
          <w:rFonts w:ascii="Arial" w:hAnsi="Arial"/>
          <w:sz w:val="21"/>
          <w:szCs w:val="21"/>
          <w:lang w:eastAsia="ar-SA"/>
        </w:rPr>
      </w:pPr>
      <w:r w:rsidRPr="001E4295">
        <w:rPr>
          <w:rFonts w:ascii="Arial" w:hAnsi="Arial"/>
          <w:sz w:val="21"/>
          <w:szCs w:val="21"/>
          <w:lang w:eastAsia="ar-SA"/>
        </w:rPr>
        <w:t>La diminuzione</w:t>
      </w:r>
      <w:r w:rsidR="00E5171C" w:rsidRPr="001E4295">
        <w:rPr>
          <w:rFonts w:ascii="Arial" w:hAnsi="Arial"/>
          <w:sz w:val="21"/>
          <w:szCs w:val="21"/>
          <w:lang w:eastAsia="ar-SA"/>
        </w:rPr>
        <w:t>su base mensile dell’export</w:t>
      </w:r>
      <w:r w:rsidR="007B52D2" w:rsidRPr="001E4295">
        <w:rPr>
          <w:rFonts w:ascii="Arial" w:hAnsi="Arial"/>
          <w:sz w:val="21"/>
          <w:szCs w:val="21"/>
          <w:lang w:eastAsia="ar-SA"/>
        </w:rPr>
        <w:t xml:space="preserve">è </w:t>
      </w:r>
      <w:r w:rsidR="00555142" w:rsidRPr="001E4295">
        <w:rPr>
          <w:rFonts w:ascii="Arial" w:hAnsi="Arial"/>
          <w:sz w:val="21"/>
          <w:szCs w:val="21"/>
          <w:lang w:eastAsia="ar-SA"/>
        </w:rPr>
        <w:t xml:space="preserve">dovuta in particolare alla </w:t>
      </w:r>
      <w:r w:rsidR="001E4295">
        <w:rPr>
          <w:rFonts w:ascii="Arial" w:hAnsi="Arial"/>
          <w:sz w:val="21"/>
          <w:szCs w:val="21"/>
          <w:lang w:eastAsia="ar-SA"/>
        </w:rPr>
        <w:t>riduzione</w:t>
      </w:r>
      <w:r w:rsidR="00555142" w:rsidRPr="001E4295">
        <w:rPr>
          <w:rFonts w:ascii="Arial" w:hAnsi="Arial"/>
          <w:sz w:val="21"/>
          <w:szCs w:val="21"/>
          <w:lang w:eastAsia="ar-SA"/>
        </w:rPr>
        <w:t xml:space="preserve"> delle </w:t>
      </w:r>
      <w:r w:rsidR="007B52D2" w:rsidRPr="001E4295">
        <w:rPr>
          <w:rFonts w:ascii="Arial" w:hAnsi="Arial"/>
          <w:sz w:val="21"/>
          <w:szCs w:val="21"/>
          <w:lang w:eastAsia="ar-SA"/>
        </w:rPr>
        <w:t>vendite</w:t>
      </w:r>
      <w:r w:rsidR="00FE1BEE" w:rsidRPr="001E4295">
        <w:rPr>
          <w:rFonts w:ascii="Arial" w:hAnsi="Arial"/>
          <w:sz w:val="21"/>
          <w:szCs w:val="21"/>
          <w:lang w:eastAsia="ar-SA"/>
        </w:rPr>
        <w:t xml:space="preserve">di beni </w:t>
      </w:r>
      <w:r w:rsidR="007B52D2" w:rsidRPr="001E4295">
        <w:rPr>
          <w:rFonts w:ascii="Arial" w:hAnsi="Arial"/>
          <w:sz w:val="21"/>
          <w:szCs w:val="21"/>
          <w:lang w:eastAsia="ar-SA"/>
        </w:rPr>
        <w:t>strumentali(-13</w:t>
      </w:r>
      <w:r w:rsidR="00FE1BEE" w:rsidRPr="001E4295">
        <w:rPr>
          <w:rFonts w:ascii="Arial" w:hAnsi="Arial"/>
          <w:sz w:val="21"/>
          <w:szCs w:val="21"/>
          <w:lang w:eastAsia="ar-SA"/>
        </w:rPr>
        <w:t>,</w:t>
      </w:r>
      <w:r w:rsidR="007B52D2" w:rsidRPr="001E4295">
        <w:rPr>
          <w:rFonts w:ascii="Arial" w:hAnsi="Arial"/>
          <w:sz w:val="21"/>
          <w:szCs w:val="21"/>
          <w:lang w:eastAsia="ar-SA"/>
        </w:rPr>
        <w:t>8</w:t>
      </w:r>
      <w:r w:rsidR="00237F56" w:rsidRPr="001E4295">
        <w:rPr>
          <w:rFonts w:ascii="Arial" w:hAnsi="Arial"/>
          <w:sz w:val="21"/>
          <w:szCs w:val="21"/>
          <w:lang w:eastAsia="ar-SA"/>
        </w:rPr>
        <w:t>%)</w:t>
      </w:r>
      <w:r w:rsidR="00555142" w:rsidRPr="001E4295">
        <w:rPr>
          <w:rFonts w:ascii="Arial" w:hAnsi="Arial"/>
          <w:sz w:val="21"/>
          <w:szCs w:val="21"/>
          <w:lang w:eastAsia="ar-SA"/>
        </w:rPr>
        <w:t>;</w:t>
      </w:r>
      <w:r w:rsidR="001E4295">
        <w:rPr>
          <w:rFonts w:ascii="Arial" w:hAnsi="Arial"/>
          <w:sz w:val="21"/>
          <w:szCs w:val="21"/>
          <w:lang w:eastAsia="ar-SA"/>
        </w:rPr>
        <w:t>diminuiscono</w:t>
      </w:r>
      <w:r w:rsidR="00555142" w:rsidRPr="001E4295">
        <w:rPr>
          <w:rFonts w:ascii="Arial" w:hAnsi="Arial"/>
          <w:sz w:val="21"/>
          <w:szCs w:val="21"/>
          <w:lang w:eastAsia="ar-SA"/>
        </w:rPr>
        <w:t xml:space="preserve"> anche le esportazioni di </w:t>
      </w:r>
      <w:r w:rsidR="007B52D2" w:rsidRPr="001E4295">
        <w:rPr>
          <w:rFonts w:ascii="Arial" w:hAnsi="Arial"/>
          <w:sz w:val="21"/>
          <w:szCs w:val="21"/>
          <w:lang w:eastAsia="ar-SA"/>
        </w:rPr>
        <w:t>energia (-5,2%) e beni di consumo non durevoli (-1,0%)</w:t>
      </w:r>
      <w:r w:rsidR="00555142" w:rsidRPr="001E4295">
        <w:rPr>
          <w:rFonts w:ascii="Arial" w:hAnsi="Arial"/>
          <w:sz w:val="21"/>
          <w:szCs w:val="21"/>
          <w:lang w:eastAsia="ar-SA"/>
        </w:rPr>
        <w:t xml:space="preserve"> mentre </w:t>
      </w:r>
      <w:r w:rsidR="001E4295" w:rsidRPr="001E4295">
        <w:rPr>
          <w:rFonts w:ascii="Arial" w:hAnsi="Arial"/>
          <w:sz w:val="21"/>
          <w:szCs w:val="21"/>
          <w:lang w:eastAsia="ar-SA"/>
        </w:rPr>
        <w:t xml:space="preserve">aumentano </w:t>
      </w:r>
      <w:r w:rsidR="00555142" w:rsidRPr="001E4295">
        <w:rPr>
          <w:rFonts w:ascii="Arial" w:hAnsi="Arial"/>
          <w:sz w:val="21"/>
          <w:szCs w:val="21"/>
          <w:lang w:eastAsia="ar-SA"/>
        </w:rPr>
        <w:t xml:space="preserve">quelle di </w:t>
      </w:r>
      <w:r w:rsidR="007B52D2" w:rsidRPr="001E4295">
        <w:rPr>
          <w:rFonts w:ascii="Arial" w:hAnsi="Arial"/>
          <w:sz w:val="21"/>
          <w:szCs w:val="21"/>
          <w:lang w:eastAsia="ar-SA"/>
        </w:rPr>
        <w:t>beni di consumo durevoli (+14,0%)</w:t>
      </w:r>
      <w:r w:rsidR="00555142" w:rsidRPr="001E4295">
        <w:rPr>
          <w:rFonts w:ascii="Arial" w:hAnsi="Arial"/>
          <w:sz w:val="21"/>
          <w:szCs w:val="21"/>
          <w:lang w:eastAsia="ar-SA"/>
        </w:rPr>
        <w:t xml:space="preserve"> e</w:t>
      </w:r>
      <w:r w:rsidR="007B52D2" w:rsidRPr="001E4295">
        <w:rPr>
          <w:rFonts w:ascii="Arial" w:hAnsi="Arial"/>
          <w:sz w:val="21"/>
          <w:szCs w:val="21"/>
          <w:lang w:eastAsia="ar-SA"/>
        </w:rPr>
        <w:t xml:space="preserve"> beni intermedi (+0,6%). D</w:t>
      </w:r>
      <w:r w:rsidR="00D26F4D" w:rsidRPr="001E4295">
        <w:rPr>
          <w:rFonts w:ascii="Arial" w:hAnsi="Arial"/>
          <w:sz w:val="21"/>
          <w:szCs w:val="21"/>
          <w:lang w:eastAsia="ar-SA"/>
        </w:rPr>
        <w:t>al</w:t>
      </w:r>
      <w:r w:rsidR="00C80B3D" w:rsidRPr="001E4295">
        <w:rPr>
          <w:rFonts w:ascii="Arial" w:hAnsi="Arial"/>
          <w:sz w:val="21"/>
          <w:szCs w:val="21"/>
          <w:lang w:eastAsia="ar-SA"/>
        </w:rPr>
        <w:t xml:space="preserve"> lato dell’import</w:t>
      </w:r>
      <w:r w:rsidR="00507034" w:rsidRPr="001E4295">
        <w:rPr>
          <w:rFonts w:ascii="Arial" w:hAnsi="Arial"/>
          <w:sz w:val="21"/>
          <w:szCs w:val="21"/>
          <w:lang w:eastAsia="ar-SA"/>
        </w:rPr>
        <w:t xml:space="preserve">, a esclusione di beni strumentali (-1,6%) e energia (-0,4%), </w:t>
      </w:r>
      <w:r w:rsidR="00D95574" w:rsidRPr="001E4295">
        <w:rPr>
          <w:rFonts w:ascii="Arial" w:hAnsi="Arial"/>
          <w:sz w:val="21"/>
          <w:szCs w:val="21"/>
          <w:lang w:eastAsia="ar-SA"/>
        </w:rPr>
        <w:t xml:space="preserve">si </w:t>
      </w:r>
      <w:r w:rsidR="003B5563" w:rsidRPr="001E4295">
        <w:rPr>
          <w:rFonts w:ascii="Arial" w:hAnsi="Arial"/>
          <w:sz w:val="21"/>
          <w:szCs w:val="21"/>
          <w:lang w:eastAsia="ar-SA"/>
        </w:rPr>
        <w:t>r</w:t>
      </w:r>
      <w:r w:rsidR="00BC1B1B" w:rsidRPr="001E4295">
        <w:rPr>
          <w:rFonts w:ascii="Arial" w:hAnsi="Arial"/>
          <w:sz w:val="21"/>
          <w:szCs w:val="21"/>
          <w:lang w:eastAsia="ar-SA"/>
        </w:rPr>
        <w:t>ilevano</w:t>
      </w:r>
      <w:r w:rsidR="00E575D2" w:rsidRPr="001E4295">
        <w:rPr>
          <w:rFonts w:ascii="Arial" w:hAnsi="Arial"/>
          <w:sz w:val="21"/>
          <w:szCs w:val="21"/>
          <w:lang w:eastAsia="ar-SA"/>
        </w:rPr>
        <w:t>incrementi</w:t>
      </w:r>
      <w:r w:rsidR="00D95574" w:rsidRPr="001E4295">
        <w:rPr>
          <w:rFonts w:ascii="Arial" w:hAnsi="Arial"/>
          <w:sz w:val="21"/>
          <w:szCs w:val="21"/>
          <w:lang w:eastAsia="ar-SA"/>
        </w:rPr>
        <w:t>congiunturali per tutti i ragg</w:t>
      </w:r>
      <w:r w:rsidR="00F56055" w:rsidRPr="001E4295">
        <w:rPr>
          <w:rFonts w:ascii="Arial" w:hAnsi="Arial"/>
          <w:sz w:val="21"/>
          <w:szCs w:val="21"/>
          <w:lang w:eastAsia="ar-SA"/>
        </w:rPr>
        <w:t>ruppamenti</w:t>
      </w:r>
      <w:r w:rsidR="00507034" w:rsidRPr="001E4295">
        <w:rPr>
          <w:rFonts w:ascii="Arial" w:hAnsi="Arial"/>
          <w:sz w:val="21"/>
          <w:szCs w:val="21"/>
          <w:lang w:eastAsia="ar-SA"/>
        </w:rPr>
        <w:t>.</w:t>
      </w:r>
    </w:p>
    <w:p w:rsidR="00C80B3D" w:rsidRPr="001E4295" w:rsidRDefault="00C80B3D" w:rsidP="004F2327">
      <w:pPr>
        <w:pStyle w:val="Corpodeltesto"/>
        <w:numPr>
          <w:ilvl w:val="0"/>
          <w:numId w:val="35"/>
        </w:numPr>
        <w:tabs>
          <w:tab w:val="left" w:pos="284"/>
          <w:tab w:val="left" w:pos="567"/>
          <w:tab w:val="num" w:pos="4733"/>
        </w:tabs>
        <w:suppressAutoHyphens/>
        <w:spacing w:after="120" w:line="230" w:lineRule="exact"/>
        <w:ind w:left="284" w:hanging="284"/>
        <w:jc w:val="both"/>
        <w:rPr>
          <w:rFonts w:ascii="Arial" w:hAnsi="Arial"/>
          <w:sz w:val="21"/>
          <w:szCs w:val="21"/>
          <w:lang w:eastAsia="ar-SA"/>
        </w:rPr>
      </w:pPr>
      <w:r w:rsidRPr="001E4295">
        <w:rPr>
          <w:rFonts w:ascii="Arial" w:hAnsi="Arial"/>
          <w:sz w:val="21"/>
          <w:szCs w:val="21"/>
          <w:lang w:eastAsia="ar-SA"/>
        </w:rPr>
        <w:t xml:space="preserve">Nel </w:t>
      </w:r>
      <w:r w:rsidR="00FB200D" w:rsidRPr="001E4295">
        <w:rPr>
          <w:rFonts w:ascii="Arial" w:hAnsi="Arial"/>
          <w:sz w:val="21"/>
          <w:szCs w:val="21"/>
          <w:lang w:eastAsia="ar-SA"/>
        </w:rPr>
        <w:t xml:space="preserve">primo </w:t>
      </w:r>
      <w:r w:rsidR="00461B60" w:rsidRPr="001E4295">
        <w:rPr>
          <w:rFonts w:ascii="Arial" w:hAnsi="Arial"/>
          <w:sz w:val="21"/>
          <w:szCs w:val="21"/>
          <w:lang w:eastAsia="ar-SA"/>
        </w:rPr>
        <w:t>trimestr</w:t>
      </w:r>
      <w:r w:rsidR="004F2327" w:rsidRPr="001E4295">
        <w:rPr>
          <w:rFonts w:ascii="Arial" w:hAnsi="Arial"/>
          <w:sz w:val="21"/>
          <w:szCs w:val="21"/>
          <w:lang w:eastAsia="ar-SA"/>
        </w:rPr>
        <w:t>e</w:t>
      </w:r>
      <w:r w:rsidR="00645BD1" w:rsidRPr="001E4295">
        <w:rPr>
          <w:rFonts w:ascii="Arial" w:hAnsi="Arial"/>
          <w:sz w:val="21"/>
          <w:szCs w:val="21"/>
          <w:lang w:eastAsia="ar-SA"/>
        </w:rPr>
        <w:t>2024</w:t>
      </w:r>
      <w:r w:rsidRPr="001E4295">
        <w:rPr>
          <w:rFonts w:ascii="Arial" w:hAnsi="Arial"/>
          <w:sz w:val="21"/>
          <w:szCs w:val="21"/>
          <w:lang w:eastAsia="ar-SA"/>
        </w:rPr>
        <w:t>, rispetto</w:t>
      </w:r>
      <w:r w:rsidR="00F56055" w:rsidRPr="001E4295">
        <w:rPr>
          <w:rFonts w:ascii="Arial" w:hAnsi="Arial"/>
          <w:sz w:val="21"/>
          <w:szCs w:val="21"/>
          <w:lang w:eastAsia="ar-SA"/>
        </w:rPr>
        <w:t xml:space="preserve"> al precedente</w:t>
      </w:r>
      <w:r w:rsidRPr="001E4295">
        <w:rPr>
          <w:rFonts w:ascii="Arial" w:hAnsi="Arial"/>
          <w:sz w:val="21"/>
          <w:szCs w:val="21"/>
          <w:lang w:eastAsia="ar-SA"/>
        </w:rPr>
        <w:t xml:space="preserve">, l’export </w:t>
      </w:r>
      <w:r w:rsidR="00256D35" w:rsidRPr="001E4295">
        <w:rPr>
          <w:rFonts w:ascii="Arial" w:hAnsi="Arial"/>
          <w:sz w:val="21"/>
          <w:szCs w:val="21"/>
          <w:lang w:eastAsia="ar-SA"/>
        </w:rPr>
        <w:t>diminuisce</w:t>
      </w:r>
      <w:r w:rsidR="00680774" w:rsidRPr="001E4295">
        <w:rPr>
          <w:rFonts w:ascii="Arial" w:hAnsi="Arial"/>
          <w:sz w:val="21"/>
          <w:szCs w:val="21"/>
          <w:lang w:eastAsia="ar-SA"/>
        </w:rPr>
        <w:t xml:space="preserve"> del</w:t>
      </w:r>
      <w:r w:rsidR="002257B0" w:rsidRPr="001E4295">
        <w:rPr>
          <w:rFonts w:ascii="Arial" w:hAnsi="Arial"/>
          <w:sz w:val="21"/>
          <w:szCs w:val="21"/>
          <w:lang w:eastAsia="ar-SA"/>
        </w:rPr>
        <w:t>lo</w:t>
      </w:r>
      <w:r w:rsidR="00256D35" w:rsidRPr="001E4295">
        <w:rPr>
          <w:rFonts w:ascii="Arial" w:hAnsi="Arial"/>
          <w:sz w:val="21"/>
          <w:szCs w:val="21"/>
          <w:lang w:eastAsia="ar-SA"/>
        </w:rPr>
        <w:t>0,9</w:t>
      </w:r>
      <w:r w:rsidR="00290289" w:rsidRPr="001E4295">
        <w:rPr>
          <w:rFonts w:ascii="Arial" w:hAnsi="Arial"/>
          <w:sz w:val="21"/>
          <w:szCs w:val="21"/>
          <w:lang w:eastAsia="ar-SA"/>
        </w:rPr>
        <w:t>%</w:t>
      </w:r>
      <w:r w:rsidR="00D775D8" w:rsidRPr="001E4295">
        <w:rPr>
          <w:rFonts w:ascii="Arial" w:hAnsi="Arial"/>
          <w:sz w:val="21"/>
          <w:szCs w:val="21"/>
          <w:lang w:eastAsia="ar-SA"/>
        </w:rPr>
        <w:t xml:space="preserve">; la riduzione riguarda tutti i raggruppamenti, a eccezione di </w:t>
      </w:r>
      <w:r w:rsidR="00CA3903" w:rsidRPr="001E4295">
        <w:rPr>
          <w:rFonts w:ascii="Arial" w:hAnsi="Arial"/>
          <w:sz w:val="21"/>
          <w:szCs w:val="21"/>
          <w:lang w:eastAsia="ar-SA"/>
        </w:rPr>
        <w:t>beni di consumo durevoli (</w:t>
      </w:r>
      <w:r w:rsidR="00FE185B" w:rsidRPr="001E4295">
        <w:rPr>
          <w:rFonts w:ascii="Arial" w:hAnsi="Arial"/>
          <w:sz w:val="21"/>
          <w:szCs w:val="21"/>
          <w:lang w:eastAsia="ar-SA"/>
        </w:rPr>
        <w:t>+12,7%)</w:t>
      </w:r>
      <w:r w:rsidR="00D775D8" w:rsidRPr="001E4295">
        <w:rPr>
          <w:rFonts w:ascii="Arial" w:hAnsi="Arial"/>
          <w:sz w:val="21"/>
          <w:szCs w:val="21"/>
          <w:lang w:eastAsia="ar-SA"/>
        </w:rPr>
        <w:t>.</w:t>
      </w:r>
      <w:r w:rsidRPr="001E4295">
        <w:rPr>
          <w:rFonts w:ascii="Arial" w:hAnsi="Arial"/>
          <w:sz w:val="21"/>
          <w:szCs w:val="21"/>
          <w:lang w:eastAsia="ar-SA"/>
        </w:rPr>
        <w:t xml:space="preserve">Nello stesso periodo, l’import </w:t>
      </w:r>
      <w:r w:rsidR="001E4295" w:rsidRPr="001E4295">
        <w:rPr>
          <w:rFonts w:ascii="Arial" w:hAnsi="Arial"/>
          <w:sz w:val="21"/>
          <w:szCs w:val="21"/>
          <w:lang w:eastAsia="ar-SA"/>
        </w:rPr>
        <w:t xml:space="preserve">registra una flessione </w:t>
      </w:r>
      <w:r w:rsidR="00555142" w:rsidRPr="001E4295">
        <w:rPr>
          <w:rFonts w:ascii="Arial" w:hAnsi="Arial"/>
          <w:sz w:val="21"/>
          <w:szCs w:val="21"/>
          <w:lang w:eastAsia="ar-SA"/>
        </w:rPr>
        <w:t>d</w:t>
      </w:r>
      <w:r w:rsidR="00BC1B1B" w:rsidRPr="001E4295">
        <w:rPr>
          <w:rFonts w:ascii="Arial" w:hAnsi="Arial"/>
          <w:sz w:val="21"/>
          <w:szCs w:val="21"/>
          <w:lang w:eastAsia="ar-SA"/>
        </w:rPr>
        <w:t>el</w:t>
      </w:r>
      <w:r w:rsidR="00FE185B" w:rsidRPr="001E4295">
        <w:rPr>
          <w:rFonts w:ascii="Arial" w:hAnsi="Arial"/>
          <w:sz w:val="21"/>
          <w:szCs w:val="21"/>
          <w:lang w:eastAsia="ar-SA"/>
        </w:rPr>
        <w:t xml:space="preserve"> 6</w:t>
      </w:r>
      <w:r w:rsidR="007B76E7" w:rsidRPr="001E4295">
        <w:rPr>
          <w:rFonts w:ascii="Arial" w:hAnsi="Arial"/>
          <w:sz w:val="21"/>
          <w:szCs w:val="21"/>
          <w:lang w:eastAsia="ar-SA"/>
        </w:rPr>
        <w:t>,1</w:t>
      </w:r>
      <w:r w:rsidR="00F865F2" w:rsidRPr="001E4295">
        <w:rPr>
          <w:rFonts w:ascii="Arial" w:hAnsi="Arial"/>
          <w:sz w:val="21"/>
          <w:szCs w:val="21"/>
          <w:lang w:eastAsia="ar-SA"/>
        </w:rPr>
        <w:t>%</w:t>
      </w:r>
      <w:r w:rsidR="00BC1B1B" w:rsidRPr="001E4295">
        <w:rPr>
          <w:rFonts w:ascii="Arial" w:hAnsi="Arial"/>
          <w:sz w:val="21"/>
          <w:szCs w:val="21"/>
          <w:lang w:eastAsia="ar-SA"/>
        </w:rPr>
        <w:t>,</w:t>
      </w:r>
      <w:r w:rsidR="001E4295" w:rsidRPr="001E4295">
        <w:rPr>
          <w:rFonts w:ascii="Arial" w:hAnsi="Arial"/>
          <w:sz w:val="21"/>
          <w:szCs w:val="21"/>
          <w:lang w:eastAsia="ar-SA"/>
        </w:rPr>
        <w:t xml:space="preserve"> cui contribuisce in misura rilevante la contrazione degli acquisti di </w:t>
      </w:r>
      <w:r w:rsidR="007B76E7" w:rsidRPr="001E4295">
        <w:rPr>
          <w:rFonts w:ascii="Arial" w:hAnsi="Arial"/>
          <w:sz w:val="21"/>
          <w:szCs w:val="21"/>
          <w:lang w:eastAsia="ar-SA"/>
        </w:rPr>
        <w:t>energia (-1</w:t>
      </w:r>
      <w:r w:rsidR="00FE185B" w:rsidRPr="001E4295">
        <w:rPr>
          <w:rFonts w:ascii="Arial" w:hAnsi="Arial"/>
          <w:sz w:val="21"/>
          <w:szCs w:val="21"/>
          <w:lang w:eastAsia="ar-SA"/>
        </w:rPr>
        <w:t>7,0</w:t>
      </w:r>
      <w:r w:rsidR="007B76E7" w:rsidRPr="001E4295">
        <w:rPr>
          <w:rFonts w:ascii="Arial" w:hAnsi="Arial"/>
          <w:sz w:val="21"/>
          <w:szCs w:val="21"/>
          <w:lang w:eastAsia="ar-SA"/>
        </w:rPr>
        <w:t>%)</w:t>
      </w:r>
      <w:r w:rsidR="001E4295" w:rsidRPr="001E4295">
        <w:rPr>
          <w:rFonts w:ascii="Arial" w:hAnsi="Arial"/>
          <w:sz w:val="21"/>
          <w:szCs w:val="21"/>
          <w:lang w:eastAsia="ar-SA"/>
        </w:rPr>
        <w:t>.</w:t>
      </w:r>
    </w:p>
    <w:p w:rsidR="00C80B3D" w:rsidRPr="0000099F" w:rsidRDefault="00E575D2" w:rsidP="00C80B3D">
      <w:pPr>
        <w:pStyle w:val="Corpodeltesto"/>
        <w:numPr>
          <w:ilvl w:val="0"/>
          <w:numId w:val="35"/>
        </w:numPr>
        <w:tabs>
          <w:tab w:val="left" w:pos="284"/>
          <w:tab w:val="left" w:pos="567"/>
          <w:tab w:val="num" w:pos="4733"/>
        </w:tabs>
        <w:suppressAutoHyphens/>
        <w:spacing w:after="120" w:line="230" w:lineRule="exact"/>
        <w:ind w:left="284" w:hanging="284"/>
        <w:jc w:val="both"/>
        <w:rPr>
          <w:rFonts w:ascii="Arial" w:hAnsi="Arial"/>
          <w:sz w:val="21"/>
          <w:szCs w:val="21"/>
          <w:lang w:eastAsia="ar-SA"/>
        </w:rPr>
      </w:pPr>
      <w:r w:rsidRPr="001E4295">
        <w:rPr>
          <w:rFonts w:ascii="Arial" w:hAnsi="Arial"/>
          <w:sz w:val="21"/>
          <w:szCs w:val="21"/>
          <w:lang w:eastAsia="ar-SA"/>
        </w:rPr>
        <w:t xml:space="preserve">A </w:t>
      </w:r>
      <w:r w:rsidR="00FB200D" w:rsidRPr="001E4295">
        <w:rPr>
          <w:rFonts w:ascii="Arial" w:hAnsi="Arial"/>
          <w:sz w:val="21"/>
          <w:szCs w:val="21"/>
          <w:lang w:eastAsia="ar-SA"/>
        </w:rPr>
        <w:t xml:space="preserve">marzo </w:t>
      </w:r>
      <w:r w:rsidRPr="001E4295">
        <w:rPr>
          <w:rFonts w:ascii="Arial" w:hAnsi="Arial"/>
          <w:sz w:val="21"/>
          <w:szCs w:val="21"/>
          <w:lang w:eastAsia="ar-SA"/>
        </w:rPr>
        <w:t xml:space="preserve">2024, </w:t>
      </w:r>
      <w:r w:rsidR="001A3E2B" w:rsidRPr="001E4295">
        <w:rPr>
          <w:rFonts w:ascii="Arial" w:hAnsi="Arial"/>
          <w:sz w:val="21"/>
          <w:szCs w:val="21"/>
          <w:lang w:eastAsia="ar-SA"/>
        </w:rPr>
        <w:t xml:space="preserve">l’export </w:t>
      </w:r>
      <w:r w:rsidR="00A66242">
        <w:rPr>
          <w:rFonts w:ascii="Arial" w:hAnsi="Arial"/>
          <w:sz w:val="21"/>
          <w:szCs w:val="21"/>
          <w:lang w:eastAsia="ar-SA"/>
        </w:rPr>
        <w:t>si riduce</w:t>
      </w:r>
      <w:r w:rsidR="009B1900" w:rsidRPr="001E4295">
        <w:rPr>
          <w:rFonts w:ascii="Arial" w:hAnsi="Arial"/>
          <w:sz w:val="21"/>
          <w:szCs w:val="21"/>
          <w:lang w:eastAsia="ar-SA"/>
        </w:rPr>
        <w:t xml:space="preserve">su base annua </w:t>
      </w:r>
      <w:r w:rsidR="001A3E2B" w:rsidRPr="001E4295">
        <w:rPr>
          <w:rFonts w:ascii="Arial" w:hAnsi="Arial"/>
          <w:sz w:val="21"/>
          <w:szCs w:val="21"/>
          <w:lang w:eastAsia="ar-SA"/>
        </w:rPr>
        <w:t>del</w:t>
      </w:r>
      <w:r w:rsidR="009875C4" w:rsidRPr="001E4295">
        <w:rPr>
          <w:rFonts w:ascii="Arial" w:hAnsi="Arial"/>
          <w:sz w:val="21"/>
          <w:szCs w:val="21"/>
          <w:lang w:eastAsia="ar-SA"/>
        </w:rPr>
        <w:t>5</w:t>
      </w:r>
      <w:r w:rsidR="001A3E2B" w:rsidRPr="001E4295">
        <w:rPr>
          <w:rFonts w:ascii="Arial" w:hAnsi="Arial"/>
          <w:sz w:val="21"/>
          <w:szCs w:val="21"/>
          <w:lang w:eastAsia="ar-SA"/>
        </w:rPr>
        <w:t>,</w:t>
      </w:r>
      <w:r w:rsidR="009875C4" w:rsidRPr="001E4295">
        <w:rPr>
          <w:rFonts w:ascii="Arial" w:hAnsi="Arial"/>
          <w:sz w:val="21"/>
          <w:szCs w:val="21"/>
          <w:lang w:eastAsia="ar-SA"/>
        </w:rPr>
        <w:t>7</w:t>
      </w:r>
      <w:r w:rsidR="001A3E2B" w:rsidRPr="001E4295">
        <w:rPr>
          <w:rFonts w:ascii="Arial" w:hAnsi="Arial"/>
          <w:sz w:val="21"/>
          <w:szCs w:val="21"/>
          <w:lang w:eastAsia="ar-SA"/>
        </w:rPr>
        <w:t>% (</w:t>
      </w:r>
      <w:r w:rsidR="00BB7F66" w:rsidRPr="001E4295">
        <w:rPr>
          <w:rFonts w:ascii="Arial" w:hAnsi="Arial"/>
          <w:sz w:val="21"/>
          <w:szCs w:val="21"/>
          <w:lang w:eastAsia="ar-SA"/>
        </w:rPr>
        <w:t xml:space="preserve">era </w:t>
      </w:r>
      <w:r w:rsidR="009875C4" w:rsidRPr="001E4295">
        <w:rPr>
          <w:rFonts w:ascii="Arial" w:hAnsi="Arial"/>
          <w:sz w:val="21"/>
          <w:szCs w:val="21"/>
          <w:lang w:eastAsia="ar-SA"/>
        </w:rPr>
        <w:t>+2</w:t>
      </w:r>
      <w:r w:rsidR="001A3E2B" w:rsidRPr="001E4295">
        <w:rPr>
          <w:rFonts w:ascii="Arial" w:hAnsi="Arial"/>
          <w:sz w:val="21"/>
          <w:szCs w:val="21"/>
          <w:lang w:eastAsia="ar-SA"/>
        </w:rPr>
        <w:t>,</w:t>
      </w:r>
      <w:r w:rsidR="009875C4" w:rsidRPr="001E4295">
        <w:rPr>
          <w:rFonts w:ascii="Arial" w:hAnsi="Arial"/>
          <w:sz w:val="21"/>
          <w:szCs w:val="21"/>
          <w:lang w:eastAsia="ar-SA"/>
        </w:rPr>
        <w:t>8</w:t>
      </w:r>
      <w:r w:rsidR="00102BDB" w:rsidRPr="001E4295">
        <w:rPr>
          <w:rFonts w:ascii="Arial" w:hAnsi="Arial"/>
          <w:sz w:val="21"/>
          <w:szCs w:val="21"/>
          <w:lang w:eastAsia="ar-SA"/>
        </w:rPr>
        <w:t xml:space="preserve">% a </w:t>
      </w:r>
      <w:r w:rsidR="009875C4" w:rsidRPr="001E4295">
        <w:rPr>
          <w:rFonts w:ascii="Arial" w:hAnsi="Arial"/>
          <w:sz w:val="21"/>
          <w:szCs w:val="21"/>
          <w:lang w:eastAsia="ar-SA"/>
        </w:rPr>
        <w:t>febbra</w:t>
      </w:r>
      <w:r w:rsidR="00E4559B" w:rsidRPr="001E4295">
        <w:rPr>
          <w:rFonts w:ascii="Arial" w:hAnsi="Arial"/>
          <w:sz w:val="21"/>
          <w:szCs w:val="21"/>
          <w:lang w:eastAsia="ar-SA"/>
        </w:rPr>
        <w:t>io</w:t>
      </w:r>
      <w:r w:rsidR="001A3E2B" w:rsidRPr="001E4295">
        <w:rPr>
          <w:rFonts w:ascii="Arial" w:hAnsi="Arial"/>
          <w:sz w:val="21"/>
          <w:szCs w:val="21"/>
          <w:lang w:eastAsia="ar-SA"/>
        </w:rPr>
        <w:t xml:space="preserve"> 202</w:t>
      </w:r>
      <w:r w:rsidR="00E4559B" w:rsidRPr="001E4295">
        <w:rPr>
          <w:rFonts w:ascii="Arial" w:hAnsi="Arial"/>
          <w:sz w:val="21"/>
          <w:szCs w:val="21"/>
          <w:lang w:eastAsia="ar-SA"/>
        </w:rPr>
        <w:t>4</w:t>
      </w:r>
      <w:r w:rsidR="00102BDB" w:rsidRPr="001E4295">
        <w:rPr>
          <w:rFonts w:ascii="Arial" w:hAnsi="Arial"/>
          <w:sz w:val="21"/>
          <w:szCs w:val="21"/>
          <w:lang w:eastAsia="ar-SA"/>
        </w:rPr>
        <w:t>)</w:t>
      </w:r>
      <w:r w:rsidR="00A66242">
        <w:rPr>
          <w:rFonts w:ascii="Arial" w:hAnsi="Arial"/>
          <w:sz w:val="21"/>
          <w:szCs w:val="21"/>
          <w:lang w:eastAsia="ar-SA"/>
        </w:rPr>
        <w:t>. La flessione è determinata dalle</w:t>
      </w:r>
      <w:r w:rsidR="00B34121">
        <w:rPr>
          <w:rFonts w:ascii="Arial" w:hAnsi="Arial"/>
          <w:sz w:val="21"/>
          <w:szCs w:val="21"/>
          <w:lang w:eastAsia="ar-SA"/>
        </w:rPr>
        <w:t xml:space="preserve"> minori</w:t>
      </w:r>
      <w:r w:rsidR="002B1BC2" w:rsidRPr="001E4295">
        <w:rPr>
          <w:rFonts w:ascii="Arial" w:hAnsi="Arial"/>
          <w:sz w:val="21"/>
          <w:szCs w:val="21"/>
          <w:lang w:eastAsia="ar-SA"/>
        </w:rPr>
        <w:t xml:space="preserve"> vendite di </w:t>
      </w:r>
      <w:r w:rsidR="002E73CC" w:rsidRPr="001E4295">
        <w:rPr>
          <w:rFonts w:ascii="Arial" w:hAnsi="Arial"/>
          <w:sz w:val="21"/>
          <w:szCs w:val="21"/>
          <w:lang w:eastAsia="ar-SA"/>
        </w:rPr>
        <w:t xml:space="preserve">beni </w:t>
      </w:r>
      <w:r w:rsidR="002B1BC2" w:rsidRPr="001E4295">
        <w:rPr>
          <w:rFonts w:ascii="Arial" w:hAnsi="Arial"/>
          <w:sz w:val="21"/>
          <w:szCs w:val="21"/>
          <w:lang w:eastAsia="ar-SA"/>
        </w:rPr>
        <w:t>intermedi (-10</w:t>
      </w:r>
      <w:r w:rsidR="002E73CC" w:rsidRPr="001E4295">
        <w:rPr>
          <w:rFonts w:ascii="Arial" w:hAnsi="Arial"/>
          <w:sz w:val="21"/>
          <w:szCs w:val="21"/>
          <w:lang w:eastAsia="ar-SA"/>
        </w:rPr>
        <w:t>,2</w:t>
      </w:r>
      <w:r w:rsidR="002E73CC" w:rsidRPr="002E73CC">
        <w:rPr>
          <w:rFonts w:ascii="Arial" w:hAnsi="Arial"/>
          <w:sz w:val="21"/>
          <w:szCs w:val="21"/>
          <w:lang w:eastAsia="ar-SA"/>
        </w:rPr>
        <w:t>%)</w:t>
      </w:r>
      <w:r w:rsidR="00D775D8">
        <w:rPr>
          <w:rFonts w:ascii="Arial" w:hAnsi="Arial"/>
          <w:sz w:val="21"/>
          <w:szCs w:val="21"/>
          <w:lang w:eastAsia="ar-SA"/>
        </w:rPr>
        <w:t>,</w:t>
      </w:r>
      <w:r w:rsidR="002B1BC2">
        <w:rPr>
          <w:rFonts w:ascii="Arial" w:hAnsi="Arial"/>
          <w:sz w:val="21"/>
          <w:szCs w:val="21"/>
          <w:lang w:eastAsia="ar-SA"/>
        </w:rPr>
        <w:t>beni di consumo non durevoli (-9,8%)</w:t>
      </w:r>
      <w:r w:rsidR="00D775D8">
        <w:rPr>
          <w:rFonts w:ascii="Arial" w:hAnsi="Arial"/>
          <w:sz w:val="21"/>
          <w:szCs w:val="21"/>
          <w:lang w:eastAsia="ar-SA"/>
        </w:rPr>
        <w:t xml:space="preserve"> e </w:t>
      </w:r>
      <w:r w:rsidR="00144245">
        <w:rPr>
          <w:rFonts w:ascii="Arial" w:hAnsi="Arial"/>
          <w:sz w:val="21"/>
          <w:szCs w:val="21"/>
          <w:lang w:eastAsia="ar-SA"/>
        </w:rPr>
        <w:t>beni strumenta</w:t>
      </w:r>
      <w:r w:rsidR="00BC53B9">
        <w:rPr>
          <w:rFonts w:ascii="Arial" w:hAnsi="Arial"/>
          <w:sz w:val="21"/>
          <w:szCs w:val="21"/>
          <w:lang w:eastAsia="ar-SA"/>
        </w:rPr>
        <w:t xml:space="preserve">li (-6,9%). </w:t>
      </w:r>
      <w:r w:rsidR="00C80B3D" w:rsidRPr="002E73CC">
        <w:rPr>
          <w:rFonts w:ascii="Arial" w:hAnsi="Arial"/>
          <w:sz w:val="21"/>
          <w:szCs w:val="21"/>
          <w:lang w:eastAsia="ar-SA"/>
        </w:rPr>
        <w:t>L’import</w:t>
      </w:r>
      <w:r w:rsidR="00BC53B9">
        <w:rPr>
          <w:rFonts w:ascii="Arial" w:hAnsi="Arial"/>
          <w:sz w:val="21"/>
          <w:szCs w:val="21"/>
          <w:lang w:eastAsia="ar-SA"/>
        </w:rPr>
        <w:t>registra</w:t>
      </w:r>
      <w:r w:rsidR="00C80B3D" w:rsidRPr="0000099F">
        <w:rPr>
          <w:rFonts w:ascii="Arial" w:hAnsi="Arial"/>
          <w:sz w:val="21"/>
          <w:szCs w:val="21"/>
          <w:lang w:eastAsia="ar-SA"/>
        </w:rPr>
        <w:t xml:space="preserve"> un</w:t>
      </w:r>
      <w:r w:rsidR="00DA7ABA" w:rsidRPr="0000099F">
        <w:rPr>
          <w:rFonts w:ascii="Arial" w:hAnsi="Arial"/>
          <w:sz w:val="21"/>
          <w:szCs w:val="21"/>
          <w:lang w:eastAsia="ar-SA"/>
        </w:rPr>
        <w:t xml:space="preserve">a </w:t>
      </w:r>
      <w:r w:rsidR="0000099F">
        <w:rPr>
          <w:rFonts w:ascii="Arial" w:hAnsi="Arial"/>
          <w:sz w:val="21"/>
          <w:szCs w:val="21"/>
          <w:lang w:eastAsia="ar-SA"/>
        </w:rPr>
        <w:t>flessione</w:t>
      </w:r>
      <w:r w:rsidR="00C80B3D" w:rsidRPr="0000099F">
        <w:rPr>
          <w:rFonts w:ascii="Arial" w:hAnsi="Arial"/>
          <w:sz w:val="21"/>
          <w:szCs w:val="21"/>
          <w:lang w:eastAsia="ar-SA"/>
        </w:rPr>
        <w:t>tendenziale</w:t>
      </w:r>
      <w:r w:rsidR="002257B0" w:rsidRPr="0000099F">
        <w:rPr>
          <w:rFonts w:ascii="Arial" w:hAnsi="Arial"/>
          <w:sz w:val="21"/>
          <w:szCs w:val="21"/>
          <w:lang w:eastAsia="ar-SA"/>
        </w:rPr>
        <w:t>del</w:t>
      </w:r>
      <w:r w:rsidR="00BC53B9">
        <w:rPr>
          <w:rFonts w:ascii="Arial" w:hAnsi="Arial"/>
          <w:sz w:val="21"/>
          <w:szCs w:val="21"/>
          <w:lang w:eastAsia="ar-SA"/>
        </w:rPr>
        <w:t xml:space="preserve"> 12</w:t>
      </w:r>
      <w:r w:rsidR="002257B0" w:rsidRPr="0000099F">
        <w:rPr>
          <w:rFonts w:ascii="Arial" w:hAnsi="Arial"/>
          <w:sz w:val="21"/>
          <w:szCs w:val="21"/>
          <w:lang w:eastAsia="ar-SA"/>
        </w:rPr>
        <w:t>,</w:t>
      </w:r>
      <w:r w:rsidR="00BC53B9">
        <w:rPr>
          <w:rFonts w:ascii="Arial" w:hAnsi="Arial"/>
          <w:sz w:val="21"/>
          <w:szCs w:val="21"/>
          <w:lang w:eastAsia="ar-SA"/>
        </w:rPr>
        <w:t>8</w:t>
      </w:r>
      <w:r w:rsidR="00C80B3D" w:rsidRPr="0000099F">
        <w:rPr>
          <w:rFonts w:ascii="Arial" w:hAnsi="Arial"/>
          <w:sz w:val="21"/>
          <w:szCs w:val="21"/>
          <w:lang w:eastAsia="ar-SA"/>
        </w:rPr>
        <w:t>%,</w:t>
      </w:r>
      <w:r w:rsidR="00B34121">
        <w:rPr>
          <w:rFonts w:ascii="Arial" w:hAnsi="Arial"/>
          <w:sz w:val="21"/>
          <w:szCs w:val="21"/>
          <w:lang w:eastAsia="ar-SA"/>
        </w:rPr>
        <w:t xml:space="preserve">per effetto principalmente dei minori </w:t>
      </w:r>
      <w:r w:rsidR="00436000" w:rsidRPr="0000099F">
        <w:rPr>
          <w:rFonts w:ascii="Arial" w:hAnsi="Arial"/>
          <w:sz w:val="21"/>
          <w:szCs w:val="21"/>
          <w:lang w:eastAsia="ar-SA"/>
        </w:rPr>
        <w:t xml:space="preserve">acquisti </w:t>
      </w:r>
      <w:r w:rsidR="00B74ACD" w:rsidRPr="0000099F">
        <w:rPr>
          <w:rFonts w:ascii="Arial" w:hAnsi="Arial"/>
          <w:sz w:val="21"/>
          <w:szCs w:val="21"/>
          <w:lang w:eastAsia="ar-SA"/>
        </w:rPr>
        <w:t xml:space="preserve">di </w:t>
      </w:r>
      <w:r w:rsidR="00C80B3D" w:rsidRPr="0000099F">
        <w:rPr>
          <w:rFonts w:ascii="Arial" w:hAnsi="Arial"/>
          <w:sz w:val="21"/>
          <w:szCs w:val="21"/>
          <w:lang w:eastAsia="ar-SA"/>
        </w:rPr>
        <w:t>energia (-</w:t>
      </w:r>
      <w:r w:rsidR="00436000" w:rsidRPr="0000099F">
        <w:rPr>
          <w:rFonts w:ascii="Arial" w:hAnsi="Arial"/>
          <w:sz w:val="21"/>
          <w:szCs w:val="21"/>
          <w:lang w:eastAsia="ar-SA"/>
        </w:rPr>
        <w:t>30</w:t>
      </w:r>
      <w:r w:rsidR="007835C1" w:rsidRPr="0000099F">
        <w:rPr>
          <w:rFonts w:ascii="Arial" w:hAnsi="Arial"/>
          <w:sz w:val="21"/>
          <w:szCs w:val="21"/>
          <w:lang w:eastAsia="ar-SA"/>
        </w:rPr>
        <w:t>,</w:t>
      </w:r>
      <w:r w:rsidR="00BC53B9">
        <w:rPr>
          <w:rFonts w:ascii="Arial" w:hAnsi="Arial"/>
          <w:sz w:val="21"/>
          <w:szCs w:val="21"/>
          <w:lang w:eastAsia="ar-SA"/>
        </w:rPr>
        <w:t>3</w:t>
      </w:r>
      <w:r w:rsidR="00C80B3D" w:rsidRPr="0000099F">
        <w:rPr>
          <w:rFonts w:ascii="Arial" w:hAnsi="Arial"/>
          <w:sz w:val="21"/>
          <w:szCs w:val="21"/>
          <w:lang w:eastAsia="ar-SA"/>
        </w:rPr>
        <w:t>%)</w:t>
      </w:r>
      <w:r w:rsidR="00B34121">
        <w:rPr>
          <w:rFonts w:ascii="Arial" w:hAnsi="Arial"/>
          <w:sz w:val="21"/>
          <w:szCs w:val="21"/>
          <w:lang w:eastAsia="ar-SA"/>
        </w:rPr>
        <w:t>; contributi negativi importanti derivano anche da</w:t>
      </w:r>
      <w:r w:rsidR="00A66242">
        <w:rPr>
          <w:rFonts w:ascii="Arial" w:hAnsi="Arial"/>
          <w:sz w:val="21"/>
          <w:szCs w:val="21"/>
          <w:lang w:eastAsia="ar-SA"/>
        </w:rPr>
        <w:t xml:space="preserve">i minori acquisti di </w:t>
      </w:r>
      <w:r w:rsidR="00144245">
        <w:rPr>
          <w:rFonts w:ascii="Arial" w:hAnsi="Arial"/>
          <w:sz w:val="21"/>
          <w:szCs w:val="21"/>
          <w:lang w:eastAsia="ar-SA"/>
        </w:rPr>
        <w:t>beni strumentali (-12,3%)</w:t>
      </w:r>
      <w:r w:rsidR="00A66242">
        <w:rPr>
          <w:rFonts w:ascii="Arial" w:hAnsi="Arial"/>
          <w:sz w:val="21"/>
          <w:szCs w:val="21"/>
          <w:lang w:eastAsia="ar-SA"/>
        </w:rPr>
        <w:t xml:space="preserve"> e</w:t>
      </w:r>
      <w:r w:rsidR="00144245">
        <w:rPr>
          <w:rFonts w:ascii="Arial" w:hAnsi="Arial"/>
          <w:sz w:val="21"/>
          <w:szCs w:val="21"/>
          <w:lang w:eastAsia="ar-SA"/>
        </w:rPr>
        <w:t xml:space="preserve"> beni intermedi (-7,6%)</w:t>
      </w:r>
      <w:r w:rsidR="00B34121">
        <w:rPr>
          <w:rFonts w:ascii="Arial" w:hAnsi="Arial"/>
          <w:sz w:val="21"/>
          <w:szCs w:val="21"/>
          <w:lang w:eastAsia="ar-SA"/>
        </w:rPr>
        <w:t xml:space="preserve">; aumentano </w:t>
      </w:r>
      <w:r w:rsidR="00A66242">
        <w:rPr>
          <w:rFonts w:ascii="Arial" w:hAnsi="Arial"/>
          <w:sz w:val="21"/>
          <w:szCs w:val="21"/>
          <w:lang w:eastAsia="ar-SA"/>
        </w:rPr>
        <w:t>le importazioni</w:t>
      </w:r>
      <w:r w:rsidR="00B34121">
        <w:rPr>
          <w:rFonts w:ascii="Arial" w:hAnsi="Arial"/>
          <w:sz w:val="21"/>
          <w:szCs w:val="21"/>
          <w:lang w:eastAsia="ar-SA"/>
        </w:rPr>
        <w:t xml:space="preserve"> di beni di consumo non durevoli (+5,8%)</w:t>
      </w:r>
      <w:r w:rsidR="0000099F" w:rsidRPr="0000099F">
        <w:rPr>
          <w:rFonts w:ascii="Arial" w:hAnsi="Arial"/>
          <w:sz w:val="21"/>
          <w:szCs w:val="21"/>
          <w:lang w:eastAsia="ar-SA"/>
        </w:rPr>
        <w:t>.</w:t>
      </w:r>
    </w:p>
    <w:p w:rsidR="00C80B3D" w:rsidRPr="00725756" w:rsidRDefault="00CB7194" w:rsidP="00C80B3D">
      <w:pPr>
        <w:pStyle w:val="Corpodeltesto"/>
        <w:numPr>
          <w:ilvl w:val="0"/>
          <w:numId w:val="35"/>
        </w:numPr>
        <w:tabs>
          <w:tab w:val="left" w:pos="284"/>
          <w:tab w:val="left" w:pos="567"/>
          <w:tab w:val="num" w:pos="4733"/>
        </w:tabs>
        <w:suppressAutoHyphens/>
        <w:spacing w:after="120" w:line="230" w:lineRule="exact"/>
        <w:ind w:left="284" w:hanging="284"/>
        <w:jc w:val="both"/>
        <w:rPr>
          <w:rFonts w:ascii="Arial" w:hAnsi="Arial"/>
          <w:sz w:val="21"/>
          <w:szCs w:val="21"/>
          <w:lang w:eastAsia="ar-SA"/>
        </w:rPr>
      </w:pPr>
      <w:r w:rsidRPr="00725756">
        <w:rPr>
          <w:rFonts w:ascii="Arial" w:hAnsi="Arial"/>
          <w:sz w:val="21"/>
          <w:szCs w:val="21"/>
          <w:lang w:eastAsia="ar-SA"/>
        </w:rPr>
        <w:t xml:space="preserve">A </w:t>
      </w:r>
      <w:r w:rsidR="00FB200D">
        <w:rPr>
          <w:rFonts w:ascii="Arial" w:hAnsi="Arial"/>
          <w:sz w:val="21"/>
          <w:szCs w:val="21"/>
          <w:lang w:eastAsia="ar-SA"/>
        </w:rPr>
        <w:t>marzo</w:t>
      </w:r>
      <w:r w:rsidR="00725756">
        <w:rPr>
          <w:rFonts w:ascii="Arial" w:hAnsi="Arial"/>
          <w:sz w:val="21"/>
          <w:szCs w:val="21"/>
          <w:lang w:eastAsia="ar-SA"/>
        </w:rPr>
        <w:t>2024</w:t>
      </w:r>
      <w:r w:rsidR="00C80B3D" w:rsidRPr="00725756">
        <w:rPr>
          <w:rFonts w:ascii="Arial" w:hAnsi="Arial"/>
          <w:sz w:val="21"/>
          <w:szCs w:val="21"/>
          <w:lang w:eastAsia="ar-SA"/>
        </w:rPr>
        <w:t xml:space="preserve"> il saldo commerciale con i paesi e</w:t>
      </w:r>
      <w:r w:rsidR="00F6673C" w:rsidRPr="00725756">
        <w:rPr>
          <w:rFonts w:ascii="Arial" w:hAnsi="Arial"/>
          <w:sz w:val="21"/>
          <w:szCs w:val="21"/>
          <w:lang w:eastAsia="ar-SA"/>
        </w:rPr>
        <w:t>xtra Ue27 è positivo e pari a +</w:t>
      </w:r>
      <w:r w:rsidR="00C30841">
        <w:rPr>
          <w:rFonts w:ascii="Arial" w:hAnsi="Arial"/>
          <w:sz w:val="21"/>
          <w:szCs w:val="21"/>
          <w:lang w:eastAsia="ar-SA"/>
        </w:rPr>
        <w:t>5.603 milioni (+4</w:t>
      </w:r>
      <w:r w:rsidR="00F6673C" w:rsidRPr="00725756">
        <w:rPr>
          <w:rFonts w:ascii="Arial" w:hAnsi="Arial"/>
          <w:sz w:val="21"/>
          <w:szCs w:val="21"/>
          <w:lang w:eastAsia="ar-SA"/>
        </w:rPr>
        <w:t>.</w:t>
      </w:r>
      <w:r w:rsidR="00C30841">
        <w:rPr>
          <w:rFonts w:ascii="Arial" w:hAnsi="Arial"/>
          <w:sz w:val="21"/>
          <w:szCs w:val="21"/>
          <w:lang w:eastAsia="ar-SA"/>
        </w:rPr>
        <w:t>161</w:t>
      </w:r>
      <w:r w:rsidRPr="00725756">
        <w:rPr>
          <w:rFonts w:ascii="Arial" w:hAnsi="Arial"/>
          <w:sz w:val="21"/>
          <w:szCs w:val="21"/>
          <w:lang w:eastAsia="ar-SA"/>
        </w:rPr>
        <w:t xml:space="preserve"> milioni </w:t>
      </w:r>
      <w:r w:rsidR="00266896" w:rsidRPr="00725756">
        <w:rPr>
          <w:rFonts w:ascii="Arial" w:hAnsi="Arial"/>
          <w:sz w:val="21"/>
          <w:szCs w:val="21"/>
          <w:lang w:eastAsia="ar-SA"/>
        </w:rPr>
        <w:t>nello stesso mese del</w:t>
      </w:r>
      <w:r w:rsidR="003543BC">
        <w:rPr>
          <w:rFonts w:ascii="Arial" w:hAnsi="Arial"/>
          <w:sz w:val="21"/>
          <w:szCs w:val="21"/>
          <w:lang w:eastAsia="ar-SA"/>
        </w:rPr>
        <w:t>2023</w:t>
      </w:r>
      <w:r w:rsidR="00C30841">
        <w:rPr>
          <w:rFonts w:ascii="Arial" w:hAnsi="Arial"/>
          <w:sz w:val="21"/>
          <w:szCs w:val="21"/>
          <w:lang w:eastAsia="ar-SA"/>
        </w:rPr>
        <w:t>). Il deficit energetico (-4</w:t>
      </w:r>
      <w:r w:rsidR="00C80B3D" w:rsidRPr="00725756">
        <w:rPr>
          <w:rFonts w:ascii="Arial" w:hAnsi="Arial"/>
          <w:sz w:val="21"/>
          <w:szCs w:val="21"/>
          <w:lang w:eastAsia="ar-SA"/>
        </w:rPr>
        <w:t>.</w:t>
      </w:r>
      <w:r w:rsidR="00C30841">
        <w:rPr>
          <w:rFonts w:ascii="Arial" w:hAnsi="Arial"/>
          <w:sz w:val="21"/>
          <w:szCs w:val="21"/>
          <w:lang w:eastAsia="ar-SA"/>
        </w:rPr>
        <w:t>012</w:t>
      </w:r>
      <w:r w:rsidR="00C80B3D" w:rsidRPr="00725756">
        <w:rPr>
          <w:rFonts w:ascii="Arial" w:hAnsi="Arial"/>
          <w:sz w:val="21"/>
          <w:szCs w:val="21"/>
          <w:lang w:eastAsia="ar-SA"/>
        </w:rPr>
        <w:t xml:space="preserve"> milioni) è</w:t>
      </w:r>
      <w:r w:rsidR="00680774" w:rsidRPr="00725756">
        <w:rPr>
          <w:rFonts w:ascii="Arial" w:hAnsi="Arial"/>
          <w:sz w:val="21"/>
          <w:szCs w:val="21"/>
          <w:lang w:eastAsia="ar-SA"/>
        </w:rPr>
        <w:t>in</w:t>
      </w:r>
      <w:r w:rsidR="00BB7F66">
        <w:rPr>
          <w:rFonts w:ascii="Arial" w:hAnsi="Arial"/>
          <w:sz w:val="21"/>
          <w:szCs w:val="21"/>
          <w:lang w:eastAsia="ar-SA"/>
        </w:rPr>
        <w:t xml:space="preserve">feriore </w:t>
      </w:r>
      <w:r w:rsidR="00DF0110" w:rsidRPr="00725756">
        <w:rPr>
          <w:rFonts w:ascii="Arial" w:hAnsi="Arial"/>
          <w:sz w:val="21"/>
          <w:szCs w:val="21"/>
          <w:lang w:eastAsia="ar-SA"/>
        </w:rPr>
        <w:t xml:space="preserve">rispetto </w:t>
      </w:r>
      <w:r w:rsidR="00B72BBE">
        <w:rPr>
          <w:rFonts w:ascii="Arial" w:hAnsi="Arial"/>
          <w:sz w:val="21"/>
          <w:szCs w:val="21"/>
          <w:lang w:eastAsia="ar-SA"/>
        </w:rPr>
        <w:t>a u</w:t>
      </w:r>
      <w:bookmarkStart w:id="0" w:name="_GoBack"/>
      <w:bookmarkEnd w:id="0"/>
      <w:r w:rsidR="00B72BBE">
        <w:rPr>
          <w:rFonts w:ascii="Arial" w:hAnsi="Arial"/>
          <w:sz w:val="21"/>
          <w:szCs w:val="21"/>
          <w:lang w:eastAsia="ar-SA"/>
        </w:rPr>
        <w:t xml:space="preserve">n </w:t>
      </w:r>
      <w:r w:rsidR="00680774" w:rsidRPr="00725756">
        <w:rPr>
          <w:rFonts w:ascii="Arial" w:hAnsi="Arial"/>
          <w:sz w:val="21"/>
          <w:szCs w:val="21"/>
          <w:lang w:eastAsia="ar-SA"/>
        </w:rPr>
        <w:t xml:space="preserve">anno </w:t>
      </w:r>
      <w:r w:rsidR="00BB7F66">
        <w:rPr>
          <w:rFonts w:ascii="Arial" w:hAnsi="Arial"/>
          <w:sz w:val="21"/>
          <w:szCs w:val="21"/>
          <w:lang w:eastAsia="ar-SA"/>
        </w:rPr>
        <w:t>prima</w:t>
      </w:r>
      <w:r w:rsidR="00DF0110" w:rsidRPr="00725756">
        <w:rPr>
          <w:rFonts w:ascii="Arial" w:hAnsi="Arial"/>
          <w:sz w:val="21"/>
          <w:szCs w:val="21"/>
          <w:lang w:eastAsia="ar-SA"/>
        </w:rPr>
        <w:t xml:space="preserve"> (-</w:t>
      </w:r>
      <w:r w:rsidR="00C30841">
        <w:rPr>
          <w:rFonts w:ascii="Arial" w:hAnsi="Arial"/>
          <w:sz w:val="21"/>
          <w:szCs w:val="21"/>
          <w:lang w:eastAsia="ar-SA"/>
        </w:rPr>
        <w:t>6</w:t>
      </w:r>
      <w:r w:rsidR="00DF0110" w:rsidRPr="00725756">
        <w:rPr>
          <w:rFonts w:ascii="Arial" w:hAnsi="Arial"/>
          <w:sz w:val="21"/>
          <w:szCs w:val="21"/>
          <w:lang w:eastAsia="ar-SA"/>
        </w:rPr>
        <w:t>.</w:t>
      </w:r>
      <w:r w:rsidR="00C30841">
        <w:rPr>
          <w:rFonts w:ascii="Arial" w:hAnsi="Arial"/>
          <w:sz w:val="21"/>
          <w:szCs w:val="21"/>
          <w:lang w:eastAsia="ar-SA"/>
        </w:rPr>
        <w:t>282</w:t>
      </w:r>
      <w:r w:rsidR="00C80B3D" w:rsidRPr="00725756">
        <w:rPr>
          <w:rFonts w:ascii="Arial" w:hAnsi="Arial"/>
          <w:sz w:val="21"/>
          <w:szCs w:val="21"/>
          <w:lang w:eastAsia="ar-SA"/>
        </w:rPr>
        <w:t xml:space="preserve"> milioni)</w:t>
      </w:r>
      <w:r w:rsidR="00DA6A07">
        <w:rPr>
          <w:rFonts w:ascii="Arial" w:hAnsi="Arial"/>
          <w:sz w:val="21"/>
          <w:szCs w:val="21"/>
          <w:lang w:eastAsia="ar-SA"/>
        </w:rPr>
        <w:t>. L</w:t>
      </w:r>
      <w:r w:rsidR="00266896" w:rsidRPr="00725756">
        <w:rPr>
          <w:rFonts w:ascii="Arial" w:hAnsi="Arial"/>
          <w:sz w:val="21"/>
          <w:szCs w:val="21"/>
          <w:lang w:eastAsia="ar-SA"/>
        </w:rPr>
        <w:t>’</w:t>
      </w:r>
      <w:r w:rsidR="00C80B3D" w:rsidRPr="00725756">
        <w:rPr>
          <w:rFonts w:ascii="Arial" w:hAnsi="Arial"/>
          <w:sz w:val="21"/>
          <w:szCs w:val="21"/>
          <w:lang w:eastAsia="ar-SA"/>
        </w:rPr>
        <w:t>avanzo nell’interscambio di pro</w:t>
      </w:r>
      <w:r w:rsidR="007B4028" w:rsidRPr="00725756">
        <w:rPr>
          <w:rFonts w:ascii="Arial" w:hAnsi="Arial"/>
          <w:sz w:val="21"/>
          <w:szCs w:val="21"/>
          <w:lang w:eastAsia="ar-SA"/>
        </w:rPr>
        <w:t>dotti non energetici</w:t>
      </w:r>
      <w:r w:rsidR="00136DCE">
        <w:rPr>
          <w:rFonts w:ascii="Arial" w:hAnsi="Arial"/>
          <w:sz w:val="21"/>
          <w:szCs w:val="21"/>
          <w:lang w:eastAsia="ar-SA"/>
        </w:rPr>
        <w:t>, seppur ampio, si riduce</w:t>
      </w:r>
      <w:r w:rsidR="002D4D00">
        <w:rPr>
          <w:rFonts w:ascii="Arial" w:hAnsi="Arial"/>
          <w:sz w:val="21"/>
          <w:szCs w:val="21"/>
          <w:lang w:eastAsia="ar-SA"/>
        </w:rPr>
        <w:t xml:space="preserve"> da </w:t>
      </w:r>
      <w:r w:rsidR="00C30841">
        <w:rPr>
          <w:rFonts w:ascii="Arial" w:hAnsi="Arial"/>
          <w:sz w:val="21"/>
          <w:szCs w:val="21"/>
          <w:lang w:eastAsia="ar-SA"/>
        </w:rPr>
        <w:t>10.444</w:t>
      </w:r>
      <w:r w:rsidR="00B72BBE">
        <w:rPr>
          <w:rFonts w:ascii="Arial" w:hAnsi="Arial"/>
          <w:sz w:val="21"/>
          <w:szCs w:val="21"/>
          <w:lang w:eastAsia="ar-SA"/>
        </w:rPr>
        <w:t xml:space="preserve"> milioni di </w:t>
      </w:r>
      <w:r w:rsidR="00226C3E">
        <w:rPr>
          <w:rFonts w:ascii="Arial" w:hAnsi="Arial"/>
          <w:sz w:val="21"/>
          <w:szCs w:val="21"/>
          <w:lang w:eastAsia="ar-SA"/>
        </w:rPr>
        <w:t>marzo</w:t>
      </w:r>
      <w:r w:rsidR="00B72BBE">
        <w:rPr>
          <w:rFonts w:ascii="Arial" w:hAnsi="Arial"/>
          <w:sz w:val="21"/>
          <w:szCs w:val="21"/>
          <w:lang w:eastAsia="ar-SA"/>
        </w:rPr>
        <w:t xml:space="preserve"> 2023 a </w:t>
      </w:r>
      <w:r w:rsidR="00C30841">
        <w:rPr>
          <w:rFonts w:ascii="Arial" w:hAnsi="Arial"/>
          <w:sz w:val="21"/>
          <w:szCs w:val="21"/>
          <w:lang w:eastAsia="ar-SA"/>
        </w:rPr>
        <w:t>9.615</w:t>
      </w:r>
      <w:r w:rsidR="00AA6CBD" w:rsidRPr="00725756">
        <w:rPr>
          <w:rFonts w:ascii="Arial" w:hAnsi="Arial"/>
          <w:sz w:val="21"/>
          <w:szCs w:val="21"/>
          <w:lang w:eastAsia="ar-SA"/>
        </w:rPr>
        <w:t xml:space="preserve"> milion</w:t>
      </w:r>
      <w:r w:rsidR="00266896" w:rsidRPr="00725756">
        <w:rPr>
          <w:rFonts w:ascii="Arial" w:hAnsi="Arial"/>
          <w:sz w:val="21"/>
          <w:szCs w:val="21"/>
          <w:lang w:eastAsia="ar-SA"/>
        </w:rPr>
        <w:t xml:space="preserve">i </w:t>
      </w:r>
      <w:r w:rsidR="00B72BBE">
        <w:rPr>
          <w:rFonts w:ascii="Arial" w:hAnsi="Arial"/>
          <w:sz w:val="21"/>
          <w:szCs w:val="21"/>
          <w:lang w:eastAsia="ar-SA"/>
        </w:rPr>
        <w:t xml:space="preserve">di </w:t>
      </w:r>
      <w:r w:rsidR="00226C3E">
        <w:rPr>
          <w:rFonts w:ascii="Arial" w:hAnsi="Arial"/>
          <w:sz w:val="21"/>
          <w:szCs w:val="21"/>
          <w:lang w:eastAsia="ar-SA"/>
        </w:rPr>
        <w:t>marzo</w:t>
      </w:r>
      <w:r w:rsidR="00B72BBE">
        <w:rPr>
          <w:rFonts w:ascii="Arial" w:hAnsi="Arial"/>
          <w:sz w:val="21"/>
          <w:szCs w:val="21"/>
          <w:lang w:eastAsia="ar-SA"/>
        </w:rPr>
        <w:t xml:space="preserve"> 2024</w:t>
      </w:r>
      <w:r w:rsidR="00FF0333">
        <w:rPr>
          <w:rFonts w:ascii="Arial" w:hAnsi="Arial"/>
          <w:sz w:val="21"/>
          <w:szCs w:val="21"/>
          <w:lang w:eastAsia="ar-SA"/>
        </w:rPr>
        <w:t>.</w:t>
      </w:r>
    </w:p>
    <w:p w:rsidR="009B1900" w:rsidRPr="004A6B89" w:rsidRDefault="007B0DC8" w:rsidP="009B1900">
      <w:pPr>
        <w:pStyle w:val="Corpodeltesto"/>
        <w:numPr>
          <w:ilvl w:val="0"/>
          <w:numId w:val="35"/>
        </w:numPr>
        <w:tabs>
          <w:tab w:val="left" w:pos="284"/>
          <w:tab w:val="left" w:pos="567"/>
          <w:tab w:val="num" w:pos="4733"/>
        </w:tabs>
        <w:suppressAutoHyphens/>
        <w:spacing w:after="120" w:line="230" w:lineRule="exact"/>
        <w:ind w:left="284" w:hanging="284"/>
        <w:jc w:val="both"/>
        <w:rPr>
          <w:rFonts w:ascii="Arial" w:hAnsi="Arial"/>
          <w:sz w:val="21"/>
          <w:szCs w:val="21"/>
          <w:lang w:eastAsia="ar-SA"/>
        </w:rPr>
      </w:pPr>
      <w:r>
        <w:rPr>
          <w:rFonts w:ascii="Arial" w:hAnsi="Arial"/>
          <w:sz w:val="21"/>
          <w:szCs w:val="21"/>
          <w:lang w:eastAsia="ar-SA"/>
        </w:rPr>
        <w:t xml:space="preserve">Tranne che verso Turchia (+33,9%) e paesi OPEC (+5,8%),le esportazioni verso tutti i principali partner extra Ue27 sono in calo su base annua. Le vendite verso </w:t>
      </w:r>
      <w:r w:rsidR="00136DCE">
        <w:rPr>
          <w:rFonts w:ascii="Arial" w:hAnsi="Arial"/>
          <w:sz w:val="21"/>
          <w:szCs w:val="21"/>
          <w:lang w:eastAsia="ar-SA"/>
        </w:rPr>
        <w:t xml:space="preserve">la </w:t>
      </w:r>
      <w:r>
        <w:rPr>
          <w:rFonts w:ascii="Arial" w:hAnsi="Arial"/>
          <w:sz w:val="21"/>
          <w:szCs w:val="21"/>
          <w:lang w:eastAsia="ar-SA"/>
        </w:rPr>
        <w:t xml:space="preserve">Cina segnano la flessione tendenziale </w:t>
      </w:r>
      <w:r w:rsidR="0003135F">
        <w:rPr>
          <w:rFonts w:ascii="Arial" w:hAnsi="Arial"/>
          <w:sz w:val="21"/>
          <w:szCs w:val="21"/>
          <w:lang w:eastAsia="ar-SA"/>
        </w:rPr>
        <w:t>più ampia</w:t>
      </w:r>
      <w:r w:rsidR="00492960">
        <w:rPr>
          <w:rFonts w:ascii="Arial" w:hAnsi="Arial"/>
          <w:sz w:val="21"/>
          <w:szCs w:val="21"/>
          <w:lang w:eastAsia="ar-SA"/>
        </w:rPr>
        <w:t xml:space="preserve"> (-26,0%)</w:t>
      </w:r>
      <w:r w:rsidR="004A6B89">
        <w:rPr>
          <w:rFonts w:ascii="Arial" w:hAnsi="Arial"/>
          <w:sz w:val="21"/>
          <w:szCs w:val="21"/>
          <w:lang w:eastAsia="ar-SA"/>
        </w:rPr>
        <w:t>.</w:t>
      </w:r>
    </w:p>
    <w:p w:rsidR="00C80B3D" w:rsidRPr="008D6EF0" w:rsidRDefault="00474C60" w:rsidP="006017DC">
      <w:pPr>
        <w:pStyle w:val="Corpodeltesto"/>
        <w:numPr>
          <w:ilvl w:val="0"/>
          <w:numId w:val="35"/>
        </w:numPr>
        <w:tabs>
          <w:tab w:val="left" w:pos="284"/>
          <w:tab w:val="left" w:pos="567"/>
        </w:tabs>
        <w:suppressAutoHyphens/>
        <w:spacing w:line="230" w:lineRule="exact"/>
        <w:ind w:left="284" w:hanging="284"/>
        <w:jc w:val="both"/>
        <w:rPr>
          <w:rFonts w:ascii="Arial" w:hAnsi="Arial"/>
          <w:sz w:val="21"/>
          <w:szCs w:val="21"/>
          <w:lang w:eastAsia="ar-SA"/>
        </w:rPr>
      </w:pPr>
      <w:r>
        <w:rPr>
          <w:rFonts w:ascii="Arial" w:hAnsi="Arial"/>
          <w:sz w:val="21"/>
          <w:szCs w:val="21"/>
          <w:lang w:eastAsia="ar-SA"/>
        </w:rPr>
        <w:t xml:space="preserve">Crescono su base annua le importazioni </w:t>
      </w:r>
      <w:r w:rsidR="00264CEF" w:rsidRPr="00725756">
        <w:rPr>
          <w:rFonts w:ascii="Arial" w:hAnsi="Arial"/>
          <w:sz w:val="21"/>
          <w:szCs w:val="21"/>
          <w:lang w:eastAsia="ar-SA"/>
        </w:rPr>
        <w:t xml:space="preserve">da </w:t>
      </w:r>
      <w:r w:rsidR="006239FD" w:rsidRPr="00725756">
        <w:rPr>
          <w:rFonts w:ascii="Arial" w:hAnsi="Arial"/>
          <w:sz w:val="21"/>
          <w:szCs w:val="21"/>
          <w:lang w:eastAsia="ar-SA"/>
        </w:rPr>
        <w:t>Stati Uniti</w:t>
      </w:r>
      <w:r w:rsidR="00264CEF" w:rsidRPr="00725756">
        <w:rPr>
          <w:rFonts w:ascii="Arial" w:hAnsi="Arial"/>
          <w:sz w:val="21"/>
          <w:szCs w:val="21"/>
          <w:lang w:eastAsia="ar-SA"/>
        </w:rPr>
        <w:t xml:space="preserve"> (</w:t>
      </w:r>
      <w:r w:rsidR="007F04E4" w:rsidRPr="00725756">
        <w:rPr>
          <w:rFonts w:ascii="Arial" w:hAnsi="Arial"/>
          <w:sz w:val="21"/>
          <w:szCs w:val="21"/>
          <w:lang w:eastAsia="ar-SA"/>
        </w:rPr>
        <w:t>+</w:t>
      </w:r>
      <w:r w:rsidR="00F571F6">
        <w:rPr>
          <w:rFonts w:ascii="Arial" w:hAnsi="Arial"/>
          <w:sz w:val="21"/>
          <w:szCs w:val="21"/>
          <w:lang w:eastAsia="ar-SA"/>
        </w:rPr>
        <w:t>9</w:t>
      </w:r>
      <w:r w:rsidR="008D6EF0">
        <w:rPr>
          <w:rFonts w:ascii="Arial" w:hAnsi="Arial"/>
          <w:sz w:val="21"/>
          <w:szCs w:val="21"/>
          <w:lang w:eastAsia="ar-SA"/>
        </w:rPr>
        <w:t>,</w:t>
      </w:r>
      <w:r w:rsidR="00F571F6">
        <w:rPr>
          <w:rFonts w:ascii="Arial" w:hAnsi="Arial"/>
          <w:sz w:val="21"/>
          <w:szCs w:val="21"/>
          <w:lang w:eastAsia="ar-SA"/>
        </w:rPr>
        <w:t>8</w:t>
      </w:r>
      <w:r w:rsidR="007F04E4" w:rsidRPr="00725756">
        <w:rPr>
          <w:rFonts w:ascii="Arial" w:hAnsi="Arial"/>
          <w:sz w:val="21"/>
          <w:szCs w:val="21"/>
          <w:lang w:eastAsia="ar-SA"/>
        </w:rPr>
        <w:t>%)</w:t>
      </w:r>
      <w:r w:rsidR="00062D5C">
        <w:rPr>
          <w:rFonts w:ascii="Arial" w:hAnsi="Arial"/>
          <w:sz w:val="21"/>
          <w:szCs w:val="21"/>
          <w:lang w:eastAsia="ar-SA"/>
        </w:rPr>
        <w:t>,</w:t>
      </w:r>
      <w:r w:rsidR="00F571F6">
        <w:rPr>
          <w:rFonts w:ascii="Arial" w:hAnsi="Arial"/>
          <w:sz w:val="21"/>
          <w:szCs w:val="21"/>
          <w:lang w:eastAsia="ar-SA"/>
        </w:rPr>
        <w:t xml:space="preserve"> India (+5,1%) e Cina (+3,2%)</w:t>
      </w:r>
      <w:r w:rsidR="007F04E4" w:rsidRPr="00725756">
        <w:rPr>
          <w:rFonts w:ascii="Arial" w:hAnsi="Arial"/>
          <w:sz w:val="21"/>
          <w:szCs w:val="21"/>
          <w:lang w:eastAsia="ar-SA"/>
        </w:rPr>
        <w:t>,</w:t>
      </w:r>
      <w:r>
        <w:rPr>
          <w:rFonts w:ascii="Arial" w:hAnsi="Arial"/>
          <w:sz w:val="21"/>
          <w:szCs w:val="21"/>
          <w:lang w:eastAsia="ar-SA"/>
        </w:rPr>
        <w:t xml:space="preserve"> mentre flettono gli acquisti da tutti gli altri </w:t>
      </w:r>
      <w:r w:rsidR="00C80B3D" w:rsidRPr="00725756">
        <w:rPr>
          <w:rFonts w:ascii="Arial" w:hAnsi="Arial"/>
          <w:sz w:val="21"/>
          <w:szCs w:val="21"/>
          <w:lang w:eastAsia="ar-SA"/>
        </w:rPr>
        <w:t>principali paesi partner extra Ue27</w:t>
      </w:r>
      <w:r>
        <w:rPr>
          <w:rFonts w:ascii="Arial" w:hAnsi="Arial"/>
          <w:sz w:val="21"/>
          <w:szCs w:val="21"/>
          <w:lang w:eastAsia="ar-SA"/>
        </w:rPr>
        <w:t xml:space="preserve">. </w:t>
      </w:r>
      <w:r w:rsidR="00AB57B7">
        <w:rPr>
          <w:rFonts w:ascii="Arial" w:hAnsi="Arial"/>
          <w:sz w:val="21"/>
          <w:szCs w:val="21"/>
          <w:lang w:eastAsia="ar-SA"/>
        </w:rPr>
        <w:t xml:space="preserve">Le riduzioni tendenziali più </w:t>
      </w:r>
      <w:r w:rsidR="006017DC">
        <w:rPr>
          <w:rFonts w:ascii="Arial" w:hAnsi="Arial"/>
          <w:sz w:val="21"/>
          <w:szCs w:val="21"/>
          <w:lang w:eastAsia="ar-SA"/>
        </w:rPr>
        <w:t>marcate</w:t>
      </w:r>
      <w:r w:rsidR="00AB57B7">
        <w:rPr>
          <w:rFonts w:ascii="Arial" w:hAnsi="Arial"/>
          <w:sz w:val="21"/>
          <w:szCs w:val="21"/>
          <w:lang w:eastAsia="ar-SA"/>
        </w:rPr>
        <w:t xml:space="preserve"> riguardano g</w:t>
      </w:r>
      <w:r w:rsidR="00651EAF" w:rsidRPr="00725756">
        <w:rPr>
          <w:rFonts w:ascii="Arial" w:hAnsi="Arial"/>
          <w:sz w:val="21"/>
          <w:szCs w:val="21"/>
          <w:lang w:eastAsia="ar-SA"/>
        </w:rPr>
        <w:t>li</w:t>
      </w:r>
      <w:r w:rsidR="00927214" w:rsidRPr="00725756">
        <w:rPr>
          <w:rFonts w:ascii="Arial" w:hAnsi="Arial"/>
          <w:sz w:val="21"/>
          <w:szCs w:val="21"/>
          <w:lang w:eastAsia="ar-SA"/>
        </w:rPr>
        <w:t>acquisti</w:t>
      </w:r>
      <w:r w:rsidR="00960642" w:rsidRPr="00725756">
        <w:rPr>
          <w:rFonts w:ascii="Arial" w:hAnsi="Arial"/>
          <w:sz w:val="21"/>
          <w:szCs w:val="21"/>
          <w:lang w:eastAsia="ar-SA"/>
        </w:rPr>
        <w:t xml:space="preserve"> da </w:t>
      </w:r>
      <w:r w:rsidR="00F20D36" w:rsidRPr="00725756">
        <w:rPr>
          <w:rFonts w:ascii="Arial" w:hAnsi="Arial"/>
          <w:sz w:val="21"/>
          <w:szCs w:val="21"/>
          <w:lang w:eastAsia="ar-SA"/>
        </w:rPr>
        <w:t xml:space="preserve">paesi </w:t>
      </w:r>
      <w:r w:rsidR="00F571F6">
        <w:rPr>
          <w:rFonts w:ascii="Arial" w:hAnsi="Arial"/>
          <w:sz w:val="21"/>
          <w:szCs w:val="21"/>
          <w:lang w:eastAsia="ar-SA"/>
        </w:rPr>
        <w:t xml:space="preserve">MERCOSUR (-33,4%), paesi </w:t>
      </w:r>
      <w:r w:rsidR="00B21D56">
        <w:rPr>
          <w:rFonts w:ascii="Arial" w:hAnsi="Arial"/>
          <w:sz w:val="21"/>
          <w:szCs w:val="21"/>
          <w:lang w:eastAsia="ar-SA"/>
        </w:rPr>
        <w:t>OPEC</w:t>
      </w:r>
      <w:r w:rsidR="00F571F6">
        <w:rPr>
          <w:rFonts w:ascii="Arial" w:hAnsi="Arial"/>
          <w:sz w:val="21"/>
          <w:szCs w:val="21"/>
          <w:lang w:eastAsia="ar-SA"/>
        </w:rPr>
        <w:t>(-30,6</w:t>
      </w:r>
      <w:r w:rsidR="00F20D36" w:rsidRPr="00725756">
        <w:rPr>
          <w:rFonts w:ascii="Arial" w:hAnsi="Arial"/>
          <w:sz w:val="21"/>
          <w:szCs w:val="21"/>
          <w:lang w:eastAsia="ar-SA"/>
        </w:rPr>
        <w:t>%)</w:t>
      </w:r>
      <w:r w:rsidR="005E3C7D">
        <w:rPr>
          <w:rFonts w:ascii="Arial" w:hAnsi="Arial"/>
          <w:sz w:val="21"/>
          <w:szCs w:val="21"/>
          <w:lang w:eastAsia="ar-SA"/>
        </w:rPr>
        <w:t xml:space="preserve">, </w:t>
      </w:r>
      <w:r w:rsidR="00F571F6">
        <w:rPr>
          <w:rFonts w:ascii="Arial" w:hAnsi="Arial"/>
          <w:sz w:val="21"/>
          <w:szCs w:val="21"/>
          <w:lang w:eastAsia="ar-SA"/>
        </w:rPr>
        <w:t>paesi ASEAN (-18,7%) e Regno Unito    (-15,5</w:t>
      </w:r>
      <w:r w:rsidR="008D6EF0">
        <w:rPr>
          <w:rFonts w:ascii="Arial" w:hAnsi="Arial"/>
          <w:sz w:val="21"/>
          <w:szCs w:val="21"/>
          <w:lang w:eastAsia="ar-SA"/>
        </w:rPr>
        <w:t>%)</w:t>
      </w:r>
      <w:r w:rsidR="00F571F6">
        <w:rPr>
          <w:rFonts w:ascii="Arial" w:hAnsi="Arial"/>
          <w:sz w:val="21"/>
          <w:szCs w:val="21"/>
          <w:lang w:eastAsia="ar-SA"/>
        </w:rPr>
        <w:t>.</w:t>
      </w:r>
    </w:p>
    <w:p w:rsidR="00F40206" w:rsidRPr="000C71A0" w:rsidRDefault="00F40206" w:rsidP="008D6EF0">
      <w:pPr>
        <w:pStyle w:val="Corpodeltesto"/>
        <w:tabs>
          <w:tab w:val="left" w:pos="284"/>
          <w:tab w:val="left" w:pos="567"/>
        </w:tabs>
        <w:suppressAutoHyphens/>
        <w:spacing w:line="230" w:lineRule="exact"/>
        <w:jc w:val="both"/>
        <w:rPr>
          <w:rFonts w:ascii="Arial" w:hAnsi="Arial"/>
          <w:sz w:val="21"/>
          <w:szCs w:val="21"/>
          <w:lang w:eastAsia="ar-SA"/>
        </w:rPr>
      </w:pPr>
      <w:r w:rsidRPr="00126FCA">
        <w:rPr>
          <w:rFonts w:ascii="Arial" w:hAnsi="Arial"/>
          <w:noProof/>
          <w:sz w:val="21"/>
          <w:szCs w:val="21"/>
          <w:highlight w:val="yellow"/>
        </w:rPr>
        <w:drawing>
          <wp:anchor distT="0" distB="0" distL="114300" distR="114300" simplePos="0" relativeHeight="251664384" behindDoc="0" locked="0" layoutInCell="1" allowOverlap="1">
            <wp:simplePos x="0" y="0"/>
            <wp:positionH relativeFrom="column">
              <wp:posOffset>2540</wp:posOffset>
            </wp:positionH>
            <wp:positionV relativeFrom="paragraph">
              <wp:posOffset>96520</wp:posOffset>
            </wp:positionV>
            <wp:extent cx="844550" cy="844550"/>
            <wp:effectExtent l="0" t="0" r="0" b="0"/>
            <wp:wrapNone/>
            <wp:docPr id="222" name="Immagin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4550" cy="844550"/>
                    </a:xfrm>
                    <a:prstGeom prst="rect">
                      <a:avLst/>
                    </a:prstGeom>
                    <a:noFill/>
                  </pic:spPr>
                </pic:pic>
              </a:graphicData>
            </a:graphic>
          </wp:anchor>
        </w:drawing>
      </w:r>
    </w:p>
    <w:p w:rsidR="00451459" w:rsidRPr="003E2B95" w:rsidRDefault="00451459" w:rsidP="00D56B7E">
      <w:pPr>
        <w:pStyle w:val="Corpodeltesto"/>
        <w:tabs>
          <w:tab w:val="left" w:pos="284"/>
          <w:tab w:val="left" w:pos="567"/>
        </w:tabs>
        <w:suppressAutoHyphens/>
        <w:spacing w:after="120" w:line="230" w:lineRule="exact"/>
        <w:ind w:left="284"/>
        <w:jc w:val="both"/>
        <w:rPr>
          <w:rFonts w:ascii="Arial" w:hAnsi="Arial"/>
          <w:sz w:val="21"/>
          <w:szCs w:val="21"/>
          <w:lang w:eastAsia="ar-SA"/>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24"/>
        <w:gridCol w:w="3282"/>
      </w:tblGrid>
      <w:tr w:rsidR="00FF7EF0" w:rsidTr="00FA69DA">
        <w:trPr>
          <w:trHeight w:val="115"/>
        </w:trPr>
        <w:tc>
          <w:tcPr>
            <w:tcW w:w="6924" w:type="dxa"/>
            <w:vMerge w:val="restart"/>
            <w:tcBorders>
              <w:top w:val="nil"/>
              <w:left w:val="single" w:sz="4" w:space="0" w:color="FFFFFF"/>
              <w:right w:val="single" w:sz="48" w:space="0" w:color="FFFFFF"/>
            </w:tcBorders>
            <w:shd w:val="clear" w:color="auto" w:fill="D9D9D9"/>
          </w:tcPr>
          <w:p w:rsidR="00CE4C09" w:rsidRDefault="00AB20B7" w:rsidP="00366107">
            <w:pPr>
              <w:pStyle w:val="NormaleWeb"/>
              <w:shd w:val="clear" w:color="auto" w:fill="D8D8D8"/>
              <w:spacing w:after="160"/>
              <w:jc w:val="both"/>
              <w:rPr>
                <w:rFonts w:ascii="Calibri" w:hAnsi="Calibri"/>
                <w:color w:val="E22316"/>
                <w:sz w:val="56"/>
                <w:szCs w:val="56"/>
              </w:rPr>
            </w:pPr>
            <w:r>
              <w:rPr>
                <w:rFonts w:ascii="Calibri" w:hAnsi="Calibri"/>
                <w:color w:val="E22316"/>
                <w:sz w:val="56"/>
                <w:szCs w:val="56"/>
              </w:rPr>
              <w:t>Il commento</w:t>
            </w:r>
          </w:p>
          <w:p w:rsidR="009E3DB3" w:rsidRPr="00095A1A" w:rsidRDefault="009E3DB3" w:rsidP="004C5F8B">
            <w:pPr>
              <w:jc w:val="both"/>
              <w:rPr>
                <w:rFonts w:ascii="Arial" w:hAnsi="Arial" w:cs="Arial"/>
                <w:iCs/>
                <w:sz w:val="16"/>
                <w:szCs w:val="16"/>
              </w:rPr>
            </w:pPr>
          </w:p>
          <w:p w:rsidR="00301BFD" w:rsidRDefault="00986A6D" w:rsidP="006017DC">
            <w:pPr>
              <w:spacing w:after="60"/>
              <w:jc w:val="both"/>
              <w:rPr>
                <w:rFonts w:ascii="Arial" w:hAnsi="Arial" w:cs="Arial"/>
                <w:iCs/>
                <w:sz w:val="21"/>
                <w:szCs w:val="21"/>
              </w:rPr>
            </w:pPr>
            <w:r>
              <w:rPr>
                <w:rFonts w:ascii="Arial" w:hAnsi="Arial" w:cs="Arial"/>
                <w:iCs/>
                <w:sz w:val="21"/>
                <w:szCs w:val="21"/>
              </w:rPr>
              <w:t>L</w:t>
            </w:r>
            <w:r w:rsidR="00492960">
              <w:rPr>
                <w:rFonts w:ascii="Arial" w:hAnsi="Arial" w:cs="Arial"/>
                <w:iCs/>
                <w:sz w:val="21"/>
                <w:szCs w:val="21"/>
              </w:rPr>
              <w:t xml:space="preserve">a </w:t>
            </w:r>
            <w:r w:rsidR="00B0071B">
              <w:rPr>
                <w:rFonts w:ascii="Arial" w:hAnsi="Arial" w:cs="Arial"/>
                <w:iCs/>
                <w:sz w:val="21"/>
                <w:szCs w:val="21"/>
              </w:rPr>
              <w:t>riduzione congiunturale dell’export verso i paesi extra U</w:t>
            </w:r>
            <w:r w:rsidR="007D2F0C">
              <w:rPr>
                <w:rFonts w:ascii="Arial" w:hAnsi="Arial" w:cs="Arial"/>
                <w:iCs/>
                <w:sz w:val="21"/>
                <w:szCs w:val="21"/>
              </w:rPr>
              <w:t>e</w:t>
            </w:r>
            <w:r>
              <w:rPr>
                <w:rFonts w:ascii="Arial" w:hAnsi="Arial" w:cs="Arial"/>
                <w:iCs/>
                <w:sz w:val="21"/>
                <w:szCs w:val="21"/>
              </w:rPr>
              <w:t>,</w:t>
            </w:r>
            <w:r w:rsidR="00B0071B">
              <w:rPr>
                <w:rFonts w:ascii="Arial" w:hAnsi="Arial" w:cs="Arial"/>
                <w:iCs/>
                <w:sz w:val="21"/>
                <w:szCs w:val="21"/>
              </w:rPr>
              <w:t xml:space="preserve">determinata </w:t>
            </w:r>
            <w:r>
              <w:rPr>
                <w:rFonts w:ascii="Arial" w:hAnsi="Arial" w:cs="Arial"/>
                <w:iCs/>
                <w:sz w:val="21"/>
                <w:szCs w:val="21"/>
              </w:rPr>
              <w:t xml:space="preserve">principalmente </w:t>
            </w:r>
            <w:r w:rsidR="00B0071B">
              <w:rPr>
                <w:rFonts w:ascii="Arial" w:hAnsi="Arial" w:cs="Arial"/>
                <w:iCs/>
                <w:sz w:val="21"/>
                <w:szCs w:val="21"/>
              </w:rPr>
              <w:t>dalle minori vendite di beni strumentali, è condizionata da</w:t>
            </w:r>
            <w:r>
              <w:rPr>
                <w:rFonts w:ascii="Arial" w:hAnsi="Arial" w:cs="Arial"/>
                <w:iCs/>
                <w:sz w:val="21"/>
                <w:szCs w:val="21"/>
              </w:rPr>
              <w:t>lle</w:t>
            </w:r>
            <w:r w:rsidR="00B0071B">
              <w:rPr>
                <w:rFonts w:ascii="Arial" w:hAnsi="Arial" w:cs="Arial"/>
                <w:iCs/>
                <w:sz w:val="21"/>
                <w:szCs w:val="21"/>
              </w:rPr>
              <w:t xml:space="preserve"> operazioni di elevato impatto (cantieristica navale) registrate</w:t>
            </w:r>
            <w:r>
              <w:rPr>
                <w:rFonts w:ascii="Arial" w:hAnsi="Arial" w:cs="Arial"/>
                <w:iCs/>
                <w:sz w:val="21"/>
                <w:szCs w:val="21"/>
              </w:rPr>
              <w:t xml:space="preserve"> a febbraio 2024; al netto di queste, </w:t>
            </w:r>
            <w:r w:rsidR="00B0071B">
              <w:rPr>
                <w:rFonts w:ascii="Arial" w:hAnsi="Arial" w:cs="Arial"/>
                <w:iCs/>
                <w:sz w:val="21"/>
                <w:szCs w:val="21"/>
              </w:rPr>
              <w:t>si stima una ridu</w:t>
            </w:r>
            <w:r w:rsidR="006017DC">
              <w:rPr>
                <w:rFonts w:ascii="Arial" w:hAnsi="Arial" w:cs="Arial"/>
                <w:iCs/>
                <w:sz w:val="21"/>
                <w:szCs w:val="21"/>
              </w:rPr>
              <w:t xml:space="preserve">zione meno ampia, pari a -0,8%. </w:t>
            </w:r>
            <w:r w:rsidR="004C27F3">
              <w:rPr>
                <w:rFonts w:ascii="Arial" w:hAnsi="Arial" w:cs="Arial"/>
                <w:iCs/>
                <w:sz w:val="21"/>
                <w:szCs w:val="21"/>
              </w:rPr>
              <w:t>S</w:t>
            </w:r>
            <w:r w:rsidR="007D2F0C">
              <w:rPr>
                <w:rFonts w:ascii="Arial" w:hAnsi="Arial" w:cs="Arial"/>
                <w:iCs/>
                <w:sz w:val="21"/>
                <w:szCs w:val="21"/>
              </w:rPr>
              <w:t>u base annua</w:t>
            </w:r>
            <w:r w:rsidR="004C27F3">
              <w:rPr>
                <w:rFonts w:ascii="Arial" w:hAnsi="Arial" w:cs="Arial"/>
                <w:iCs/>
                <w:sz w:val="21"/>
                <w:szCs w:val="21"/>
              </w:rPr>
              <w:t>, la flessione dell</w:t>
            </w:r>
            <w:r w:rsidR="007D2F0C">
              <w:rPr>
                <w:rFonts w:ascii="Arial" w:hAnsi="Arial" w:cs="Arial"/>
                <w:iCs/>
                <w:sz w:val="21"/>
                <w:szCs w:val="21"/>
              </w:rPr>
              <w:t xml:space="preserve">’export </w:t>
            </w:r>
            <w:r w:rsidR="004C27F3">
              <w:rPr>
                <w:rFonts w:ascii="Arial" w:hAnsi="Arial" w:cs="Arial"/>
                <w:iCs/>
                <w:sz w:val="21"/>
                <w:szCs w:val="21"/>
              </w:rPr>
              <w:t>investe quasi tutti iprincipali partner extra Ue27</w:t>
            </w:r>
            <w:r w:rsidR="00B83321">
              <w:rPr>
                <w:rFonts w:ascii="Arial" w:hAnsi="Arial" w:cs="Arial"/>
                <w:iCs/>
                <w:sz w:val="21"/>
                <w:szCs w:val="21"/>
              </w:rPr>
              <w:t xml:space="preserve"> ed è spiegata per oltre la metà dallariduzione delle vendite versoCinae Stati U</w:t>
            </w:r>
            <w:r w:rsidR="00163872">
              <w:rPr>
                <w:rFonts w:ascii="Arial" w:hAnsi="Arial" w:cs="Arial"/>
                <w:iCs/>
                <w:sz w:val="21"/>
                <w:szCs w:val="21"/>
              </w:rPr>
              <w:t>niti</w:t>
            </w:r>
            <w:r w:rsidR="0036767E">
              <w:rPr>
                <w:rFonts w:ascii="Arial" w:hAnsi="Arial" w:cs="Arial"/>
                <w:iCs/>
                <w:sz w:val="21"/>
                <w:szCs w:val="21"/>
              </w:rPr>
              <w:t xml:space="preserve">. </w:t>
            </w:r>
          </w:p>
          <w:p w:rsidR="000B7E5B" w:rsidRDefault="0010442D" w:rsidP="006017DC">
            <w:pPr>
              <w:spacing w:after="60"/>
              <w:jc w:val="both"/>
              <w:rPr>
                <w:rFonts w:ascii="Arial" w:hAnsi="Arial" w:cs="Arial"/>
                <w:iCs/>
                <w:sz w:val="21"/>
                <w:szCs w:val="21"/>
              </w:rPr>
            </w:pPr>
            <w:r>
              <w:rPr>
                <w:rFonts w:ascii="Arial" w:hAnsi="Arial" w:cs="Arial"/>
                <w:iCs/>
                <w:sz w:val="21"/>
                <w:szCs w:val="21"/>
              </w:rPr>
              <w:t xml:space="preserve">L’import </w:t>
            </w:r>
            <w:r w:rsidR="00986A6D">
              <w:rPr>
                <w:rFonts w:ascii="Arial" w:hAnsi="Arial" w:cs="Arial"/>
                <w:iCs/>
                <w:sz w:val="21"/>
                <w:szCs w:val="21"/>
              </w:rPr>
              <w:t>si conferma in crescita</w:t>
            </w:r>
            <w:r w:rsidR="007208C1">
              <w:rPr>
                <w:rFonts w:ascii="Arial" w:hAnsi="Arial" w:cs="Arial"/>
                <w:iCs/>
                <w:sz w:val="21"/>
                <w:szCs w:val="21"/>
              </w:rPr>
              <w:t>su base mensile per effetto soprattutto</w:t>
            </w:r>
            <w:r>
              <w:rPr>
                <w:rFonts w:ascii="Arial" w:hAnsi="Arial" w:cs="Arial"/>
                <w:iCs/>
                <w:sz w:val="21"/>
                <w:szCs w:val="21"/>
              </w:rPr>
              <w:t xml:space="preserve"> dei maggiori acquisti di beni intermedi e </w:t>
            </w:r>
            <w:r w:rsidR="00986A6D">
              <w:rPr>
                <w:rFonts w:ascii="Arial" w:hAnsi="Arial" w:cs="Arial"/>
                <w:iCs/>
                <w:sz w:val="21"/>
                <w:szCs w:val="21"/>
              </w:rPr>
              <w:t xml:space="preserve">beni </w:t>
            </w:r>
            <w:r>
              <w:rPr>
                <w:rFonts w:ascii="Arial" w:hAnsi="Arial" w:cs="Arial"/>
                <w:iCs/>
                <w:sz w:val="21"/>
                <w:szCs w:val="21"/>
              </w:rPr>
              <w:t xml:space="preserve">di consumo non durevoli; </w:t>
            </w:r>
            <w:r w:rsidR="007208C1">
              <w:rPr>
                <w:rFonts w:ascii="Arial" w:hAnsi="Arial" w:cs="Arial"/>
                <w:iCs/>
                <w:sz w:val="21"/>
                <w:szCs w:val="21"/>
              </w:rPr>
              <w:t xml:space="preserve">la sua flessione </w:t>
            </w:r>
            <w:r w:rsidR="00492960">
              <w:rPr>
                <w:rFonts w:ascii="Arial" w:hAnsi="Arial" w:cs="Arial"/>
                <w:iCs/>
                <w:sz w:val="21"/>
                <w:szCs w:val="21"/>
              </w:rPr>
              <w:t xml:space="preserve">su base annua </w:t>
            </w:r>
            <w:r w:rsidR="007208C1">
              <w:rPr>
                <w:rFonts w:ascii="Arial" w:hAnsi="Arial" w:cs="Arial"/>
                <w:iCs/>
                <w:sz w:val="21"/>
                <w:szCs w:val="21"/>
              </w:rPr>
              <w:t>si accentua lievemente</w:t>
            </w:r>
            <w:r w:rsidR="000B7E5B">
              <w:rPr>
                <w:rFonts w:ascii="Arial" w:hAnsi="Arial" w:cs="Arial"/>
                <w:iCs/>
                <w:sz w:val="21"/>
                <w:szCs w:val="21"/>
              </w:rPr>
              <w:t>.</w:t>
            </w:r>
          </w:p>
          <w:p w:rsidR="00366107" w:rsidRPr="000D23E6" w:rsidRDefault="00366107" w:rsidP="007208C1">
            <w:pPr>
              <w:spacing w:after="120"/>
              <w:jc w:val="both"/>
              <w:rPr>
                <w:rFonts w:ascii="Arial" w:hAnsi="Arial" w:cs="Arial"/>
                <w:iCs/>
                <w:sz w:val="21"/>
                <w:szCs w:val="21"/>
              </w:rPr>
            </w:pPr>
            <w:r>
              <w:rPr>
                <w:rFonts w:ascii="Arial" w:hAnsi="Arial" w:cs="Arial"/>
                <w:iCs/>
                <w:sz w:val="21"/>
                <w:szCs w:val="21"/>
              </w:rPr>
              <w:t xml:space="preserve">Nei primi </w:t>
            </w:r>
            <w:r w:rsidR="006C2D72">
              <w:rPr>
                <w:rFonts w:ascii="Arial" w:hAnsi="Arial" w:cs="Arial"/>
                <w:iCs/>
                <w:sz w:val="21"/>
                <w:szCs w:val="21"/>
              </w:rPr>
              <w:t xml:space="preserve">tre </w:t>
            </w:r>
            <w:r>
              <w:rPr>
                <w:rFonts w:ascii="Arial" w:hAnsi="Arial" w:cs="Arial"/>
                <w:iCs/>
                <w:sz w:val="21"/>
                <w:szCs w:val="21"/>
              </w:rPr>
              <w:t xml:space="preserve">mesi del 2024, il saldo commerciale </w:t>
            </w:r>
            <w:r w:rsidR="00770968">
              <w:rPr>
                <w:rFonts w:ascii="Arial" w:hAnsi="Arial" w:cs="Arial"/>
                <w:iCs/>
                <w:sz w:val="21"/>
                <w:szCs w:val="21"/>
              </w:rPr>
              <w:t xml:space="preserve">con i paesi extra Ue </w:t>
            </w:r>
            <w:r>
              <w:rPr>
                <w:rFonts w:ascii="Arial" w:hAnsi="Arial" w:cs="Arial"/>
                <w:iCs/>
                <w:sz w:val="21"/>
                <w:szCs w:val="21"/>
              </w:rPr>
              <w:t xml:space="preserve">è positivo per </w:t>
            </w:r>
            <w:r w:rsidR="006C2D72">
              <w:rPr>
                <w:rFonts w:ascii="Arial" w:hAnsi="Arial" w:cs="Arial"/>
                <w:iCs/>
                <w:sz w:val="21"/>
                <w:szCs w:val="21"/>
              </w:rPr>
              <w:t>15,5</w:t>
            </w:r>
            <w:r>
              <w:rPr>
                <w:rFonts w:ascii="Arial" w:hAnsi="Arial" w:cs="Arial"/>
                <w:iCs/>
                <w:sz w:val="21"/>
                <w:szCs w:val="21"/>
              </w:rPr>
              <w:t xml:space="preserve"> miliardi (era </w:t>
            </w:r>
            <w:r w:rsidR="00770968">
              <w:rPr>
                <w:rFonts w:ascii="Arial" w:hAnsi="Arial" w:cs="Arial"/>
                <w:iCs/>
                <w:sz w:val="21"/>
                <w:szCs w:val="21"/>
              </w:rPr>
              <w:t>+</w:t>
            </w:r>
            <w:r w:rsidR="006C2D72">
              <w:rPr>
                <w:rFonts w:ascii="Arial" w:hAnsi="Arial" w:cs="Arial"/>
                <w:iCs/>
                <w:sz w:val="21"/>
                <w:szCs w:val="21"/>
              </w:rPr>
              <w:t>6,8</w:t>
            </w:r>
            <w:r>
              <w:rPr>
                <w:rFonts w:ascii="Arial" w:hAnsi="Arial" w:cs="Arial"/>
                <w:iCs/>
                <w:sz w:val="21"/>
                <w:szCs w:val="21"/>
              </w:rPr>
              <w:t xml:space="preserve"> miliardi nello stesso periodo del </w:t>
            </w:r>
            <w:r>
              <w:rPr>
                <w:rFonts w:ascii="Arial" w:hAnsi="Arial" w:cs="Arial"/>
                <w:iCs/>
                <w:sz w:val="21"/>
                <w:szCs w:val="21"/>
              </w:rPr>
              <w:lastRenderedPageBreak/>
              <w:t>2023).</w:t>
            </w:r>
          </w:p>
        </w:tc>
        <w:tc>
          <w:tcPr>
            <w:tcW w:w="3282" w:type="dxa"/>
            <w:tcBorders>
              <w:top w:val="nil"/>
              <w:left w:val="single" w:sz="48" w:space="0" w:color="FFFFFF"/>
              <w:bottom w:val="single" w:sz="36" w:space="0" w:color="FFFFFF"/>
              <w:right w:val="single" w:sz="36" w:space="0" w:color="FFFFFF"/>
            </w:tcBorders>
            <w:shd w:val="clear" w:color="auto" w:fill="E31C18"/>
          </w:tcPr>
          <w:p w:rsidR="00FF7EF0" w:rsidRDefault="00FF7EF0" w:rsidP="00FA69DA">
            <w:pPr>
              <w:pStyle w:val="Paragrafobase"/>
              <w:spacing w:before="200" w:line="320" w:lineRule="exact"/>
              <w:ind w:left="176"/>
              <w:rPr>
                <w:rFonts w:ascii="Calibri" w:hAnsi="Calibri" w:cs="Arial"/>
                <w:b/>
                <w:color w:val="FFFFFF"/>
                <w:sz w:val="28"/>
                <w:szCs w:val="28"/>
              </w:rPr>
            </w:pPr>
            <w:r>
              <w:rPr>
                <w:rFonts w:ascii="Calibri" w:hAnsi="Calibri" w:cs="Arial"/>
                <w:b/>
                <w:noProof/>
                <w:color w:val="FFFFFF"/>
                <w:sz w:val="32"/>
                <w:szCs w:val="32"/>
              </w:rPr>
              <w:lastRenderedPageBreak/>
              <w:drawing>
                <wp:anchor distT="0" distB="0" distL="114300" distR="114300" simplePos="0" relativeHeight="251661312" behindDoc="0" locked="0" layoutInCell="1" allowOverlap="1">
                  <wp:simplePos x="0" y="0"/>
                  <wp:positionH relativeFrom="column">
                    <wp:posOffset>1350645</wp:posOffset>
                  </wp:positionH>
                  <wp:positionV relativeFrom="paragraph">
                    <wp:posOffset>-92075</wp:posOffset>
                  </wp:positionV>
                  <wp:extent cx="657225" cy="638175"/>
                  <wp:effectExtent l="0" t="0" r="9525" b="9525"/>
                  <wp:wrapNone/>
                  <wp:docPr id="221" name="Immagine 3" descr="Descrizione: iconeComunicati-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scrizione: iconeComunicati-05"/>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638175"/>
                          </a:xfrm>
                          <a:prstGeom prst="rect">
                            <a:avLst/>
                          </a:prstGeom>
                          <a:noFill/>
                          <a:ln>
                            <a:noFill/>
                          </a:ln>
                        </pic:spPr>
                      </pic:pic>
                    </a:graphicData>
                  </a:graphic>
                </wp:anchor>
              </w:drawing>
            </w:r>
            <w:r>
              <w:rPr>
                <w:rFonts w:ascii="Calibri" w:hAnsi="Calibri" w:cs="Arial"/>
                <w:b/>
                <w:color w:val="FFFFFF"/>
                <w:sz w:val="28"/>
                <w:szCs w:val="28"/>
              </w:rPr>
              <w:t>PROSSIMA</w:t>
            </w:r>
          </w:p>
          <w:p w:rsidR="00FF7EF0" w:rsidRDefault="00FF7EF0" w:rsidP="00FA69DA">
            <w:pPr>
              <w:pStyle w:val="Paragrafobase"/>
              <w:spacing w:line="320" w:lineRule="exact"/>
              <w:ind w:left="175"/>
              <w:rPr>
                <w:rFonts w:ascii="Arial Narrow" w:hAnsi="Arial Narrow" w:cs="Arial"/>
                <w:b/>
                <w:color w:val="FFFFFF"/>
                <w:sz w:val="28"/>
                <w:szCs w:val="28"/>
              </w:rPr>
            </w:pPr>
            <w:r>
              <w:rPr>
                <w:rFonts w:ascii="Calibri" w:hAnsi="Calibri" w:cs="Arial"/>
                <w:b/>
                <w:color w:val="FFFFFF"/>
                <w:sz w:val="28"/>
                <w:szCs w:val="28"/>
              </w:rPr>
              <w:t>DIFFUSIONE</w:t>
            </w:r>
          </w:p>
          <w:p w:rsidR="00FF7EF0" w:rsidRDefault="00B01DC7" w:rsidP="00A312F1">
            <w:pPr>
              <w:pStyle w:val="Paragrafobase"/>
              <w:spacing w:before="120" w:after="120" w:line="160" w:lineRule="atLeast"/>
              <w:ind w:left="176"/>
              <w:rPr>
                <w:rFonts w:ascii="Arial" w:hAnsi="Arial" w:cs="Arial"/>
                <w:sz w:val="21"/>
                <w:szCs w:val="21"/>
              </w:rPr>
            </w:pPr>
            <w:r>
              <w:rPr>
                <w:rFonts w:ascii="Arial Narrow" w:hAnsi="Arial Narrow" w:cs="Arial"/>
                <w:color w:val="FFFFFF"/>
                <w:sz w:val="22"/>
                <w:szCs w:val="22"/>
              </w:rPr>
              <w:t>2</w:t>
            </w:r>
            <w:r w:rsidR="00425306">
              <w:rPr>
                <w:rFonts w:ascii="Arial Narrow" w:hAnsi="Arial Narrow" w:cs="Arial"/>
                <w:color w:val="FFFFFF"/>
                <w:sz w:val="22"/>
                <w:szCs w:val="22"/>
              </w:rPr>
              <w:t>9</w:t>
            </w:r>
            <w:r w:rsidR="00A312F1">
              <w:rPr>
                <w:rFonts w:ascii="Arial Narrow" w:hAnsi="Arial Narrow" w:cs="Arial"/>
                <w:color w:val="FFFFFF"/>
                <w:sz w:val="22"/>
                <w:szCs w:val="22"/>
              </w:rPr>
              <w:t>Maggio</w:t>
            </w:r>
            <w:r w:rsidR="00FF7EF0">
              <w:rPr>
                <w:rFonts w:ascii="Arial Narrow" w:hAnsi="Arial Narrow" w:cs="Arial"/>
                <w:color w:val="FFFFFF"/>
                <w:sz w:val="22"/>
                <w:szCs w:val="22"/>
              </w:rPr>
              <w:t xml:space="preserve"> 202</w:t>
            </w:r>
            <w:r w:rsidR="000C4B44">
              <w:rPr>
                <w:rFonts w:ascii="Arial Narrow" w:hAnsi="Arial Narrow" w:cs="Arial"/>
                <w:color w:val="FFFFFF"/>
                <w:sz w:val="22"/>
                <w:szCs w:val="22"/>
              </w:rPr>
              <w:t>4</w:t>
            </w:r>
          </w:p>
        </w:tc>
      </w:tr>
      <w:tr w:rsidR="00FF7EF0" w:rsidTr="00FA69DA">
        <w:trPr>
          <w:trHeight w:val="115"/>
        </w:trPr>
        <w:tc>
          <w:tcPr>
            <w:tcW w:w="6924" w:type="dxa"/>
            <w:vMerge/>
            <w:tcBorders>
              <w:left w:val="single" w:sz="4" w:space="0" w:color="FFFFFF"/>
              <w:right w:val="single" w:sz="48" w:space="0" w:color="FFFFFF"/>
            </w:tcBorders>
            <w:shd w:val="clear" w:color="auto" w:fill="D9D9D9"/>
          </w:tcPr>
          <w:p w:rsidR="00FF7EF0" w:rsidRDefault="00FF7EF0" w:rsidP="00FA69DA">
            <w:pPr>
              <w:tabs>
                <w:tab w:val="left" w:pos="284"/>
                <w:tab w:val="left" w:pos="709"/>
              </w:tabs>
              <w:spacing w:after="120" w:line="230" w:lineRule="exact"/>
              <w:jc w:val="both"/>
              <w:rPr>
                <w:rFonts w:ascii="Arial" w:hAnsi="Arial" w:cs="Arial"/>
                <w:sz w:val="21"/>
                <w:szCs w:val="21"/>
              </w:rPr>
            </w:pPr>
          </w:p>
        </w:tc>
        <w:tc>
          <w:tcPr>
            <w:tcW w:w="3282" w:type="dxa"/>
            <w:tcBorders>
              <w:top w:val="single" w:sz="36" w:space="0" w:color="FFFFFF"/>
              <w:left w:val="single" w:sz="48" w:space="0" w:color="FFFFFF"/>
              <w:bottom w:val="single" w:sz="36" w:space="0" w:color="FFFFFF"/>
              <w:right w:val="single" w:sz="36" w:space="0" w:color="FFFFFF"/>
            </w:tcBorders>
            <w:shd w:val="clear" w:color="auto" w:fill="FFFFFF"/>
          </w:tcPr>
          <w:p w:rsidR="00FF7EF0" w:rsidRDefault="00FF7EF0" w:rsidP="00FA69DA">
            <w:pPr>
              <w:pStyle w:val="Paragrafobase"/>
              <w:spacing w:before="120" w:line="240" w:lineRule="exact"/>
              <w:ind w:left="175"/>
              <w:rPr>
                <w:rFonts w:ascii="Arial" w:hAnsi="Arial" w:cs="Arial"/>
                <w:sz w:val="21"/>
                <w:szCs w:val="21"/>
              </w:rPr>
            </w:pPr>
            <w:r>
              <w:rPr>
                <w:rFonts w:ascii="Arial Narrow" w:hAnsi="Arial Narrow" w:cs="Arial"/>
                <w:noProof/>
                <w:color w:val="FFFFFF"/>
                <w:sz w:val="22"/>
                <w:szCs w:val="22"/>
              </w:rPr>
              <w:drawing>
                <wp:anchor distT="0" distB="0" distL="114300" distR="114300" simplePos="0" relativeHeight="251662336" behindDoc="0" locked="0" layoutInCell="1" allowOverlap="1">
                  <wp:simplePos x="0" y="0"/>
                  <wp:positionH relativeFrom="column">
                    <wp:posOffset>1388745</wp:posOffset>
                  </wp:positionH>
                  <wp:positionV relativeFrom="paragraph">
                    <wp:posOffset>142240</wp:posOffset>
                  </wp:positionV>
                  <wp:extent cx="647700" cy="628650"/>
                  <wp:effectExtent l="0" t="0" r="0" b="0"/>
                  <wp:wrapNone/>
                  <wp:docPr id="220" name="Immagine 9" descr="Descrizione: iconeComunicati-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Descrizione: iconeComunicati-0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7700" cy="628650"/>
                          </a:xfrm>
                          <a:prstGeom prst="rect">
                            <a:avLst/>
                          </a:prstGeom>
                          <a:noFill/>
                          <a:ln>
                            <a:noFill/>
                          </a:ln>
                        </pic:spPr>
                      </pic:pic>
                    </a:graphicData>
                  </a:graphic>
                </wp:anchor>
              </w:drawing>
            </w:r>
          </w:p>
        </w:tc>
      </w:tr>
      <w:tr w:rsidR="00FF7EF0" w:rsidRPr="00CD1632" w:rsidTr="00FA69DA">
        <w:trPr>
          <w:trHeight w:val="1873"/>
        </w:trPr>
        <w:tc>
          <w:tcPr>
            <w:tcW w:w="6924" w:type="dxa"/>
            <w:vMerge/>
            <w:tcBorders>
              <w:left w:val="single" w:sz="4" w:space="0" w:color="FFFFFF"/>
              <w:bottom w:val="nil"/>
              <w:right w:val="single" w:sz="48" w:space="0" w:color="FFFFFF"/>
            </w:tcBorders>
            <w:shd w:val="clear" w:color="auto" w:fill="D9D9D9"/>
          </w:tcPr>
          <w:p w:rsidR="00FF7EF0" w:rsidRDefault="00FF7EF0" w:rsidP="00FA69DA">
            <w:pPr>
              <w:tabs>
                <w:tab w:val="left" w:pos="284"/>
                <w:tab w:val="left" w:pos="709"/>
              </w:tabs>
              <w:spacing w:after="120" w:line="230" w:lineRule="exact"/>
              <w:jc w:val="both"/>
              <w:rPr>
                <w:rFonts w:ascii="Arial" w:hAnsi="Arial" w:cs="Arial"/>
                <w:sz w:val="21"/>
                <w:szCs w:val="21"/>
              </w:rPr>
            </w:pPr>
          </w:p>
        </w:tc>
        <w:tc>
          <w:tcPr>
            <w:tcW w:w="3282" w:type="dxa"/>
            <w:tcBorders>
              <w:top w:val="single" w:sz="36" w:space="0" w:color="FFFFFF"/>
              <w:left w:val="single" w:sz="48" w:space="0" w:color="FFFFFF"/>
              <w:bottom w:val="single" w:sz="36" w:space="0" w:color="FFFFFF"/>
              <w:right w:val="single" w:sz="36" w:space="0" w:color="FFFFFF"/>
            </w:tcBorders>
            <w:shd w:val="clear" w:color="auto" w:fill="E31C18"/>
          </w:tcPr>
          <w:p w:rsidR="00FF7EF0" w:rsidRPr="00E9337D" w:rsidRDefault="00FF7EF0" w:rsidP="00FA69DA">
            <w:pPr>
              <w:pStyle w:val="Paragrafobase"/>
              <w:spacing w:before="160" w:line="320" w:lineRule="exact"/>
              <w:ind w:left="175"/>
              <w:rPr>
                <w:rFonts w:ascii="Calibri" w:hAnsi="Calibri" w:cs="Arial"/>
                <w:b/>
                <w:color w:val="FFFFFF"/>
                <w:sz w:val="28"/>
                <w:szCs w:val="28"/>
                <w:lang w:val="en-US"/>
              </w:rPr>
            </w:pPr>
            <w:r w:rsidRPr="00E9337D">
              <w:rPr>
                <w:rFonts w:ascii="Calibri" w:hAnsi="Calibri" w:cs="Arial"/>
                <w:b/>
                <w:color w:val="FFFFFF"/>
                <w:sz w:val="28"/>
                <w:szCs w:val="28"/>
                <w:lang w:val="en-US"/>
              </w:rPr>
              <w:t>Link utili</w:t>
            </w:r>
          </w:p>
          <w:p w:rsidR="00FF7EF0" w:rsidRPr="00E9337D" w:rsidRDefault="00FF7EF0" w:rsidP="00FA69DA">
            <w:pPr>
              <w:pStyle w:val="Paragrafobase"/>
              <w:spacing w:before="100" w:line="240" w:lineRule="exact"/>
              <w:ind w:left="176"/>
              <w:rPr>
                <w:rStyle w:val="Collegamentoipertestuale"/>
                <w:rFonts w:cs="Arial"/>
                <w:color w:val="FFFFFF"/>
                <w:lang w:val="en-US"/>
              </w:rPr>
            </w:pPr>
          </w:p>
          <w:p w:rsidR="00CD1632" w:rsidRPr="00E9337D" w:rsidRDefault="00957E17" w:rsidP="00CD1632">
            <w:pPr>
              <w:pStyle w:val="Paragrafobase"/>
              <w:spacing w:before="100" w:line="240" w:lineRule="exact"/>
              <w:ind w:left="176"/>
              <w:rPr>
                <w:rFonts w:ascii="Arial" w:hAnsi="Arial" w:cs="Arial"/>
                <w:color w:val="FFFFFF" w:themeColor="background1"/>
                <w:sz w:val="20"/>
                <w:szCs w:val="20"/>
                <w:lang w:val="en-US"/>
              </w:rPr>
            </w:pPr>
            <w:hyperlink r:id="rId19" w:history="1">
              <w:r w:rsidR="00CD1632" w:rsidRPr="00E9337D">
                <w:rPr>
                  <w:rStyle w:val="Collegamentoipertestuale"/>
                  <w:rFonts w:ascii="Arial Narrow" w:hAnsi="Arial Narrow" w:cs="Arial"/>
                  <w:color w:val="FFFFFF" w:themeColor="background1"/>
                  <w:sz w:val="22"/>
                  <w:szCs w:val="22"/>
                  <w:lang w:val="en-US"/>
                </w:rPr>
                <w:t>http://dati.istat.it</w:t>
              </w:r>
            </w:hyperlink>
          </w:p>
          <w:p w:rsidR="00CD1632" w:rsidRDefault="00957E17" w:rsidP="00CD1632">
            <w:pPr>
              <w:pStyle w:val="Paragrafobase"/>
              <w:spacing w:before="100" w:line="240" w:lineRule="exact"/>
              <w:ind w:left="176"/>
              <w:rPr>
                <w:rStyle w:val="Collegamentoipertestuale"/>
                <w:rFonts w:ascii="Arial Narrow" w:hAnsi="Arial Narrow" w:cs="Arial"/>
                <w:color w:val="FFFFFF"/>
                <w:sz w:val="22"/>
                <w:szCs w:val="22"/>
                <w:lang w:val="en-US"/>
              </w:rPr>
            </w:pPr>
            <w:hyperlink r:id="rId20" w:history="1">
              <w:r w:rsidR="00CD1632" w:rsidRPr="006F2EB6">
                <w:rPr>
                  <w:rStyle w:val="Collegamentoipertestuale"/>
                  <w:rFonts w:ascii="Arial Narrow" w:hAnsi="Arial Narrow" w:cs="Arial"/>
                  <w:color w:val="FFFFFF"/>
                  <w:sz w:val="22"/>
                  <w:szCs w:val="22"/>
                  <w:lang w:val="en-US"/>
                </w:rPr>
                <w:t>http://www.istat.it/it/congiuntura</w:t>
              </w:r>
            </w:hyperlink>
          </w:p>
          <w:p w:rsidR="00212E55" w:rsidRPr="00A44785" w:rsidRDefault="00957E17" w:rsidP="00CD1632">
            <w:pPr>
              <w:pStyle w:val="Paragrafobase"/>
              <w:spacing w:before="100" w:line="240" w:lineRule="exact"/>
              <w:ind w:left="176"/>
              <w:rPr>
                <w:rFonts w:ascii="Arial Narrow" w:hAnsi="Arial Narrow" w:cs="Arial"/>
                <w:color w:val="FFFFFF"/>
                <w:sz w:val="22"/>
                <w:szCs w:val="20"/>
                <w:u w:val="single"/>
                <w:lang w:val="en-US"/>
              </w:rPr>
            </w:pPr>
            <w:hyperlink r:id="rId21" w:history="1">
              <w:r w:rsidR="00212E55" w:rsidRPr="00A44785">
                <w:rPr>
                  <w:rStyle w:val="Collegamentoipertestuale"/>
                  <w:rFonts w:ascii="Arial Narrow" w:hAnsi="Arial Narrow" w:cs="Arial"/>
                  <w:color w:val="FFFFFF"/>
                  <w:sz w:val="22"/>
                  <w:szCs w:val="20"/>
                  <w:lang w:val="en-US"/>
                </w:rPr>
                <w:t>https://www.coeweb.istat.it</w:t>
              </w:r>
            </w:hyperlink>
          </w:p>
          <w:p w:rsidR="00FF7EF0" w:rsidRDefault="00FF7EF0" w:rsidP="00FA69DA">
            <w:pPr>
              <w:pStyle w:val="Paragrafobase"/>
              <w:spacing w:before="120" w:line="240" w:lineRule="exact"/>
              <w:ind w:left="175"/>
              <w:rPr>
                <w:rFonts w:ascii="Arial" w:hAnsi="Arial" w:cs="Arial"/>
                <w:sz w:val="21"/>
                <w:szCs w:val="21"/>
                <w:lang w:val="en-US"/>
              </w:rPr>
            </w:pPr>
          </w:p>
        </w:tc>
      </w:tr>
    </w:tbl>
    <w:p w:rsidR="00A651E1" w:rsidRDefault="00A651E1">
      <w:pPr>
        <w:pStyle w:val="Paragrafobase"/>
        <w:spacing w:line="260" w:lineRule="exact"/>
        <w:rPr>
          <w:rFonts w:ascii="Arial" w:hAnsi="Arial" w:cs="Arial"/>
          <w:color w:val="auto"/>
          <w:sz w:val="21"/>
          <w:szCs w:val="21"/>
          <w:lang w:val="en-US"/>
        </w:rPr>
        <w:sectPr w:rsidR="00A651E1" w:rsidSect="007F0745">
          <w:headerReference w:type="default" r:id="rId22"/>
          <w:pgSz w:w="11907" w:h="16840"/>
          <w:pgMar w:top="1870" w:right="851" w:bottom="567" w:left="851" w:header="284" w:footer="204" w:gutter="0"/>
          <w:cols w:space="720"/>
        </w:sectPr>
      </w:pPr>
    </w:p>
    <w:p w:rsidR="00CD5409" w:rsidRPr="00CD1632" w:rsidRDefault="00CD5409">
      <w:pPr>
        <w:tabs>
          <w:tab w:val="left" w:pos="7230"/>
        </w:tabs>
        <w:rPr>
          <w:rFonts w:ascii="Arial Narrow" w:hAnsi="Arial Narrow" w:cs="Arial"/>
          <w:b/>
          <w:bCs/>
          <w:color w:val="E42618"/>
          <w:sz w:val="22"/>
          <w:szCs w:val="22"/>
          <w:lang w:val="en-US"/>
        </w:rPr>
      </w:pPr>
    </w:p>
    <w:p w:rsidR="00A651E1" w:rsidRPr="00AE5C79" w:rsidRDefault="00E777A0" w:rsidP="000067EB">
      <w:pPr>
        <w:tabs>
          <w:tab w:val="left" w:pos="7230"/>
        </w:tabs>
        <w:spacing w:after="60"/>
        <w:rPr>
          <w:rFonts w:ascii="Arial Narrow" w:hAnsi="Arial Narrow" w:cs="Arial"/>
          <w:color w:val="5F5F5F"/>
          <w:sz w:val="20"/>
        </w:rPr>
      </w:pPr>
      <w:r>
        <w:rPr>
          <w:rFonts w:ascii="Arial Narrow" w:hAnsi="Arial Narrow" w:cs="Arial"/>
          <w:b/>
          <w:bCs/>
          <w:color w:val="E42618"/>
          <w:sz w:val="22"/>
          <w:szCs w:val="22"/>
        </w:rPr>
        <w:t>FIGURA 1</w:t>
      </w:r>
      <w:r>
        <w:rPr>
          <w:rStyle w:val="001TitoGraRed"/>
          <w:b/>
          <w:color w:val="E42618"/>
        </w:rPr>
        <w:t>.</w:t>
      </w:r>
      <w:r>
        <w:rPr>
          <w:rFonts w:ascii="Arial Narrow" w:hAnsi="Arial Narrow" w:cs="Arial"/>
          <w:b/>
          <w:bCs/>
          <w:color w:val="5F5F5F"/>
          <w:sz w:val="22"/>
          <w:szCs w:val="22"/>
        </w:rPr>
        <w:t xml:space="preserve"> FLUSSI COMMERCIALI CON I PAESI EXTRA UE</w:t>
      </w:r>
      <w:r w:rsidR="006D23B8">
        <w:rPr>
          <w:rFonts w:ascii="Arial Narrow" w:hAnsi="Arial Narrow" w:cs="Arial"/>
          <w:b/>
          <w:bCs/>
          <w:color w:val="5F5F5F"/>
          <w:sz w:val="22"/>
          <w:szCs w:val="22"/>
        </w:rPr>
        <w:t xml:space="preserve">27 </w:t>
      </w:r>
      <w:r>
        <w:rPr>
          <w:rFonts w:ascii="Arial Narrow" w:hAnsi="Arial Narrow" w:cs="Arial"/>
          <w:b/>
          <w:bCs/>
          <w:color w:val="5F5F5F"/>
          <w:sz w:val="22"/>
          <w:szCs w:val="22"/>
        </w:rPr>
        <w:t>E SALDO COMMERCIALE</w:t>
      </w:r>
      <w:r>
        <w:rPr>
          <w:rFonts w:ascii="Arial Narrow" w:hAnsi="Arial Narrow" w:cs="Arial"/>
          <w:b/>
          <w:bCs/>
          <w:color w:val="5F5F5F"/>
          <w:sz w:val="22"/>
          <w:szCs w:val="22"/>
        </w:rPr>
        <w:br/>
      </w:r>
      <w:r w:rsidRPr="00AE5C79">
        <w:rPr>
          <w:rFonts w:ascii="Arial Narrow" w:hAnsi="Arial Narrow" w:cs="Arial"/>
          <w:color w:val="5F5F5F"/>
          <w:sz w:val="20"/>
        </w:rPr>
        <w:t>Gennaio 201</w:t>
      </w:r>
      <w:r w:rsidR="00B01DC7">
        <w:rPr>
          <w:rFonts w:ascii="Arial Narrow" w:hAnsi="Arial Narrow" w:cs="Arial"/>
          <w:color w:val="5F5F5F"/>
          <w:sz w:val="20"/>
        </w:rPr>
        <w:t>9</w:t>
      </w:r>
      <w:r w:rsidRPr="00AE5C79">
        <w:rPr>
          <w:rFonts w:ascii="Arial Narrow" w:hAnsi="Arial Narrow" w:cs="Arial"/>
          <w:color w:val="5F5F5F"/>
          <w:sz w:val="20"/>
        </w:rPr>
        <w:t xml:space="preserve"> - </w:t>
      </w:r>
      <w:r w:rsidR="00A312F1">
        <w:rPr>
          <w:rFonts w:ascii="Arial Narrow" w:hAnsi="Arial Narrow" w:cs="Arial"/>
          <w:color w:val="5F5F5F"/>
          <w:sz w:val="20"/>
        </w:rPr>
        <w:t>marzo</w:t>
      </w:r>
      <w:r w:rsidR="00B01DC7">
        <w:rPr>
          <w:rFonts w:ascii="Arial Narrow" w:hAnsi="Arial Narrow" w:cs="Arial"/>
          <w:color w:val="5F5F5F"/>
          <w:sz w:val="20"/>
        </w:rPr>
        <w:t xml:space="preserve"> 2024</w:t>
      </w:r>
      <w:r w:rsidRPr="00AE5C79">
        <w:rPr>
          <w:rFonts w:ascii="Arial Narrow" w:hAnsi="Arial Narrow" w:cs="Arial"/>
          <w:color w:val="5F5F5F"/>
          <w:sz w:val="20"/>
        </w:rPr>
        <w:t>, importazioni ed esportazioni mensili, medie mobili a tre mesi (scala sinistra) e saldi (scala destra), in miliardi di euro. Dati destagionalizzati</w:t>
      </w:r>
    </w:p>
    <w:p w:rsidR="00D26562" w:rsidRDefault="00A11B0F">
      <w:pPr>
        <w:tabs>
          <w:tab w:val="left" w:pos="7230"/>
        </w:tabs>
        <w:rPr>
          <w:rFonts w:ascii="Arial Narrow" w:hAnsi="Arial Narrow" w:cs="Arial"/>
          <w:b/>
          <w:bCs/>
          <w:color w:val="E42618"/>
          <w:sz w:val="22"/>
          <w:szCs w:val="22"/>
        </w:rPr>
      </w:pPr>
      <w:r>
        <w:rPr>
          <w:noProof/>
        </w:rPr>
        <w:drawing>
          <wp:inline distT="0" distB="0" distL="0" distR="0">
            <wp:extent cx="6480175" cy="3240000"/>
            <wp:effectExtent l="0" t="0" r="0" b="0"/>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26562" w:rsidRDefault="00D26562">
      <w:pPr>
        <w:tabs>
          <w:tab w:val="left" w:pos="7230"/>
        </w:tabs>
        <w:rPr>
          <w:rFonts w:ascii="Arial Narrow" w:hAnsi="Arial Narrow" w:cs="Arial"/>
          <w:b/>
          <w:bCs/>
          <w:color w:val="E42618"/>
          <w:sz w:val="22"/>
          <w:szCs w:val="22"/>
        </w:rPr>
      </w:pPr>
    </w:p>
    <w:p w:rsidR="00D26562" w:rsidRDefault="00D26562">
      <w:pPr>
        <w:tabs>
          <w:tab w:val="left" w:pos="7230"/>
        </w:tabs>
        <w:rPr>
          <w:rFonts w:ascii="Arial Narrow" w:hAnsi="Arial Narrow" w:cs="Arial"/>
          <w:b/>
          <w:bCs/>
          <w:color w:val="E42618"/>
          <w:sz w:val="22"/>
          <w:szCs w:val="22"/>
        </w:rPr>
      </w:pPr>
    </w:p>
    <w:p w:rsidR="00A651E1" w:rsidRPr="00AE5C79" w:rsidRDefault="00E777A0">
      <w:pPr>
        <w:tabs>
          <w:tab w:val="left" w:pos="7230"/>
        </w:tabs>
        <w:rPr>
          <w:rFonts w:ascii="Arial Narrow" w:hAnsi="Arial Narrow" w:cs="Arial"/>
          <w:color w:val="5F5F5F"/>
          <w:sz w:val="20"/>
        </w:rPr>
      </w:pPr>
      <w:r>
        <w:rPr>
          <w:rFonts w:ascii="Arial Narrow" w:hAnsi="Arial Narrow" w:cs="Arial"/>
          <w:b/>
          <w:bCs/>
          <w:color w:val="E42618"/>
          <w:sz w:val="22"/>
          <w:szCs w:val="22"/>
        </w:rPr>
        <w:t>FIGURA 2</w:t>
      </w:r>
      <w:r>
        <w:rPr>
          <w:rStyle w:val="001TitoGraRed"/>
          <w:b/>
          <w:color w:val="E42618"/>
        </w:rPr>
        <w:t>.</w:t>
      </w:r>
      <w:r>
        <w:rPr>
          <w:rFonts w:ascii="Arial Narrow" w:hAnsi="Arial Narrow" w:cs="Arial"/>
          <w:b/>
          <w:bCs/>
          <w:color w:val="5F5F5F"/>
          <w:sz w:val="22"/>
          <w:szCs w:val="22"/>
        </w:rPr>
        <w:t xml:space="preserve"> FLUSSI COMMERCIALI CON I PAESI EXTRA UE</w:t>
      </w:r>
      <w:r w:rsidR="006D23B8">
        <w:rPr>
          <w:rFonts w:ascii="Arial Narrow" w:hAnsi="Arial Narrow" w:cs="Arial"/>
          <w:b/>
          <w:bCs/>
          <w:color w:val="5F5F5F"/>
          <w:sz w:val="22"/>
          <w:szCs w:val="22"/>
        </w:rPr>
        <w:t>27</w:t>
      </w:r>
      <w:r>
        <w:rPr>
          <w:rFonts w:ascii="Arial Narrow" w:hAnsi="Arial Narrow" w:cs="Arial"/>
          <w:b/>
          <w:bCs/>
          <w:color w:val="5F5F5F"/>
          <w:sz w:val="22"/>
          <w:szCs w:val="22"/>
        </w:rPr>
        <w:t>, VARIAZIONI PERCENTUALI TENDENZIALI</w:t>
      </w:r>
      <w:r>
        <w:rPr>
          <w:rFonts w:ascii="Arial Narrow" w:hAnsi="Arial Narrow" w:cs="Arial"/>
          <w:b/>
          <w:bCs/>
          <w:color w:val="5F5F5F"/>
          <w:sz w:val="22"/>
          <w:szCs w:val="22"/>
        </w:rPr>
        <w:br/>
      </w:r>
      <w:r w:rsidRPr="00AE5C79">
        <w:rPr>
          <w:rFonts w:ascii="Arial Narrow" w:hAnsi="Arial Narrow" w:cs="Arial"/>
          <w:color w:val="5F5F5F"/>
          <w:sz w:val="20"/>
        </w:rPr>
        <w:t>Gennaio 20</w:t>
      </w:r>
      <w:r w:rsidR="00B01DC7">
        <w:rPr>
          <w:rFonts w:ascii="Arial Narrow" w:hAnsi="Arial Narrow" w:cs="Arial"/>
          <w:color w:val="5F5F5F"/>
          <w:sz w:val="20"/>
        </w:rPr>
        <w:t>20</w:t>
      </w:r>
      <w:r w:rsidRPr="00AE5C79">
        <w:rPr>
          <w:rFonts w:ascii="Arial Narrow" w:hAnsi="Arial Narrow" w:cs="Arial"/>
          <w:color w:val="5F5F5F"/>
          <w:sz w:val="20"/>
        </w:rPr>
        <w:t xml:space="preserve"> - </w:t>
      </w:r>
      <w:r w:rsidR="00A312F1">
        <w:rPr>
          <w:rFonts w:ascii="Arial Narrow" w:hAnsi="Arial Narrow" w:cs="Arial"/>
          <w:color w:val="5F5F5F"/>
          <w:sz w:val="20"/>
        </w:rPr>
        <w:t xml:space="preserve">marzo </w:t>
      </w:r>
      <w:r w:rsidR="00B01DC7">
        <w:rPr>
          <w:rFonts w:ascii="Arial Narrow" w:hAnsi="Arial Narrow" w:cs="Arial"/>
          <w:color w:val="5F5F5F"/>
          <w:sz w:val="20"/>
        </w:rPr>
        <w:t>2024</w:t>
      </w:r>
      <w:r w:rsidRPr="00AE5C79">
        <w:rPr>
          <w:rFonts w:ascii="Arial Narrow" w:hAnsi="Arial Narrow" w:cs="Arial"/>
          <w:color w:val="5F5F5F"/>
          <w:sz w:val="20"/>
        </w:rPr>
        <w:t>, dati grezzi</w:t>
      </w:r>
    </w:p>
    <w:p w:rsidR="00A651E1" w:rsidRDefault="00A11B0F">
      <w:pPr>
        <w:tabs>
          <w:tab w:val="left" w:pos="7230"/>
        </w:tabs>
        <w:rPr>
          <w:rFonts w:cs="Arial"/>
          <w:color w:val="5F5F5F"/>
        </w:rPr>
      </w:pPr>
      <w:r>
        <w:rPr>
          <w:noProof/>
        </w:rPr>
        <w:drawing>
          <wp:inline distT="0" distB="0" distL="0" distR="0">
            <wp:extent cx="6660000" cy="2160000"/>
            <wp:effectExtent l="0" t="0" r="7620" b="0"/>
            <wp:docPr id="16" name="Gra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651E1" w:rsidRDefault="00A651E1">
      <w:pPr>
        <w:pStyle w:val="Corpodeltesto"/>
        <w:spacing w:after="120" w:line="240" w:lineRule="auto"/>
        <w:rPr>
          <w:rStyle w:val="001TitoGraRed"/>
          <w:rFonts w:ascii="Arial Narrow" w:hAnsi="Arial Narrow"/>
          <w:b/>
          <w:color w:val="E42618"/>
          <w:sz w:val="2"/>
          <w:szCs w:val="22"/>
        </w:rPr>
      </w:pPr>
    </w:p>
    <w:p w:rsidR="00A651E1" w:rsidRDefault="00A651E1">
      <w:pPr>
        <w:pStyle w:val="Corpodeltesto"/>
        <w:spacing w:after="120" w:line="240" w:lineRule="auto"/>
        <w:rPr>
          <w:rStyle w:val="001TitoGraRed"/>
          <w:rFonts w:ascii="Arial Narrow" w:hAnsi="Arial Narrow"/>
          <w:b/>
          <w:color w:val="E42618"/>
          <w:sz w:val="2"/>
          <w:szCs w:val="22"/>
        </w:rPr>
      </w:pPr>
    </w:p>
    <w:p w:rsidR="00CD5409" w:rsidRDefault="00CD5409">
      <w:pPr>
        <w:pStyle w:val="Corpodeltesto"/>
        <w:spacing w:line="240" w:lineRule="auto"/>
        <w:ind w:right="-142"/>
        <w:rPr>
          <w:rStyle w:val="001TitoGraRed"/>
          <w:rFonts w:ascii="Arial Narrow" w:hAnsi="Arial Narrow"/>
          <w:b/>
          <w:color w:val="E42618"/>
          <w:sz w:val="22"/>
          <w:szCs w:val="22"/>
        </w:rPr>
      </w:pPr>
    </w:p>
    <w:p w:rsidR="00A651E1" w:rsidRDefault="00E777A0">
      <w:pPr>
        <w:pStyle w:val="Corpodeltesto"/>
        <w:spacing w:line="240" w:lineRule="auto"/>
        <w:ind w:right="-142"/>
        <w:rPr>
          <w:rFonts w:ascii="Arial Narrow" w:hAnsi="Arial Narrow" w:cs="Arial"/>
          <w:b/>
          <w:color w:val="5F5F5F"/>
          <w:sz w:val="22"/>
        </w:rPr>
      </w:pPr>
      <w:r>
        <w:rPr>
          <w:rStyle w:val="001TitoGraRed"/>
          <w:rFonts w:ascii="Arial Narrow" w:hAnsi="Arial Narrow"/>
          <w:b/>
          <w:color w:val="E42618"/>
          <w:sz w:val="22"/>
          <w:szCs w:val="22"/>
        </w:rPr>
        <w:t>PROSPETTO 1</w:t>
      </w:r>
      <w:r>
        <w:rPr>
          <w:rStyle w:val="001TitoGraRed"/>
          <w:b/>
          <w:color w:val="E42618"/>
        </w:rPr>
        <w:t>.</w:t>
      </w:r>
      <w:r>
        <w:rPr>
          <w:rFonts w:ascii="Arial Narrow" w:hAnsi="Arial Narrow" w:cs="Arial"/>
          <w:b/>
          <w:color w:val="5F5F5F"/>
          <w:sz w:val="22"/>
          <w:szCs w:val="22"/>
        </w:rPr>
        <w:t>ESPORTAZIONI, IMPORTAZIONI E SALDI DELLA BILANCIA COMMERCIALE CON I PAESI EXTRA UE</w:t>
      </w:r>
      <w:r w:rsidR="006D23B8">
        <w:rPr>
          <w:rFonts w:ascii="Arial Narrow" w:hAnsi="Arial Narrow" w:cs="Arial"/>
          <w:b/>
          <w:color w:val="5F5F5F"/>
          <w:sz w:val="22"/>
          <w:szCs w:val="22"/>
        </w:rPr>
        <w:t xml:space="preserve">27 </w:t>
      </w:r>
      <w:r>
        <w:rPr>
          <w:rFonts w:ascii="Arial Narrow" w:hAnsi="Arial Narrow" w:cs="Arial"/>
          <w:b/>
          <w:color w:val="5F5F5F"/>
          <w:sz w:val="22"/>
          <w:szCs w:val="22"/>
        </w:rPr>
        <w:t>(a)</w:t>
      </w:r>
      <w:r>
        <w:rPr>
          <w:rFonts w:ascii="Arial Narrow" w:hAnsi="Arial Narrow" w:cs="Arial"/>
          <w:color w:val="5F5F5F"/>
          <w:sz w:val="22"/>
          <w:szCs w:val="22"/>
        </w:rPr>
        <w:t xml:space="preserve">, </w:t>
      </w:r>
      <w:r>
        <w:rPr>
          <w:rFonts w:ascii="Arial Narrow" w:hAnsi="Arial Narrow" w:cs="Arial"/>
          <w:b/>
          <w:color w:val="5F5F5F"/>
          <w:sz w:val="22"/>
          <w:szCs w:val="22"/>
        </w:rPr>
        <w:t xml:space="preserve">VALORI ASSOLUTI E </w:t>
      </w:r>
      <w:r>
        <w:rPr>
          <w:rFonts w:ascii="Arial Narrow" w:hAnsi="Arial Narrow" w:cs="Arial"/>
          <w:b/>
          <w:color w:val="5F5F5F"/>
          <w:sz w:val="22"/>
        </w:rPr>
        <w:t>VARIAZIONI PERCENTUALI CONGIUNTURALI E TENDENZIALI</w:t>
      </w:r>
    </w:p>
    <w:p w:rsidR="00A651E1" w:rsidRPr="00AE5C79" w:rsidRDefault="00A312F1">
      <w:pPr>
        <w:pStyle w:val="Corpodeltesto"/>
        <w:spacing w:after="120" w:line="240" w:lineRule="auto"/>
        <w:ind w:right="-143"/>
        <w:rPr>
          <w:rFonts w:ascii="Arial Narrow" w:hAnsi="Arial Narrow" w:cs="Arial"/>
          <w:b/>
          <w:sz w:val="18"/>
          <w:szCs w:val="22"/>
        </w:rPr>
      </w:pPr>
      <w:r>
        <w:rPr>
          <w:rFonts w:ascii="Arial Narrow" w:hAnsi="Arial Narrow" w:cs="Arial"/>
          <w:color w:val="5F5F5F"/>
          <w:sz w:val="20"/>
        </w:rPr>
        <w:t>Marzo</w:t>
      </w:r>
      <w:r w:rsidR="00D02030">
        <w:rPr>
          <w:rFonts w:ascii="Arial Narrow" w:hAnsi="Arial Narrow" w:cs="Arial"/>
          <w:color w:val="5F5F5F"/>
          <w:sz w:val="20"/>
        </w:rPr>
        <w:t xml:space="preserve"> 202</w:t>
      </w:r>
      <w:r w:rsidR="00B01DC7">
        <w:rPr>
          <w:rFonts w:ascii="Arial Narrow" w:hAnsi="Arial Narrow" w:cs="Arial"/>
          <w:color w:val="5F5F5F"/>
          <w:sz w:val="20"/>
        </w:rPr>
        <w:t>4</w:t>
      </w:r>
      <w:r w:rsidR="00E777A0" w:rsidRPr="00AE5C79">
        <w:rPr>
          <w:rFonts w:ascii="Arial Narrow" w:hAnsi="Arial Narrow" w:cs="Arial"/>
          <w:color w:val="5F5F5F"/>
          <w:sz w:val="20"/>
        </w:rPr>
        <w:t>, dati destagionalizzati e grezzi, valori in milioni di euro</w:t>
      </w:r>
    </w:p>
    <w:tbl>
      <w:tblPr>
        <w:tblW w:w="10206" w:type="dxa"/>
        <w:jc w:val="center"/>
        <w:tblBorders>
          <w:top w:val="single" w:sz="4" w:space="0" w:color="auto"/>
          <w:bottom w:val="single" w:sz="4" w:space="0" w:color="auto"/>
          <w:insideH w:val="single" w:sz="4" w:space="0" w:color="auto"/>
        </w:tblBorders>
        <w:tblLayout w:type="fixed"/>
        <w:tblCellMar>
          <w:left w:w="70" w:type="dxa"/>
          <w:right w:w="70" w:type="dxa"/>
        </w:tblCellMar>
        <w:tblLook w:val="0200"/>
      </w:tblPr>
      <w:tblGrid>
        <w:gridCol w:w="1560"/>
        <w:gridCol w:w="1277"/>
        <w:gridCol w:w="14"/>
        <w:gridCol w:w="944"/>
        <w:gridCol w:w="1167"/>
        <w:gridCol w:w="858"/>
        <w:gridCol w:w="1552"/>
        <w:gridCol w:w="1291"/>
        <w:gridCol w:w="1543"/>
      </w:tblGrid>
      <w:tr w:rsidR="00425306" w:rsidTr="00484E64">
        <w:trPr>
          <w:trHeight w:val="255"/>
          <w:jc w:val="center"/>
        </w:trPr>
        <w:tc>
          <w:tcPr>
            <w:tcW w:w="1560" w:type="dxa"/>
            <w:vMerge w:val="restart"/>
            <w:vAlign w:val="bottom"/>
          </w:tcPr>
          <w:p w:rsidR="00425306" w:rsidRDefault="00425306" w:rsidP="00484E64">
            <w:pPr>
              <w:spacing w:before="40" w:after="20"/>
              <w:rPr>
                <w:rFonts w:ascii="Arial Narrow" w:hAnsi="Arial Narrow"/>
                <w:sz w:val="18"/>
              </w:rPr>
            </w:pPr>
            <w:r>
              <w:rPr>
                <w:rFonts w:ascii="Arial Narrow" w:hAnsi="Arial Narrow"/>
                <w:sz w:val="18"/>
              </w:rPr>
              <w:t> </w:t>
            </w:r>
          </w:p>
        </w:tc>
        <w:tc>
          <w:tcPr>
            <w:tcW w:w="3402" w:type="dxa"/>
            <w:gridSpan w:val="4"/>
            <w:shd w:val="clear" w:color="auto" w:fill="D9D9D9"/>
            <w:vAlign w:val="center"/>
          </w:tcPr>
          <w:p w:rsidR="00425306" w:rsidRDefault="00425306" w:rsidP="00484E64">
            <w:pPr>
              <w:spacing w:before="40" w:after="20"/>
              <w:jc w:val="center"/>
              <w:rPr>
                <w:rFonts w:ascii="Arial Narrow" w:hAnsi="Arial Narrow"/>
                <w:b/>
                <w:sz w:val="18"/>
              </w:rPr>
            </w:pPr>
            <w:r>
              <w:rPr>
                <w:rFonts w:ascii="Arial Narrow" w:hAnsi="Arial Narrow"/>
                <w:b/>
                <w:sz w:val="18"/>
              </w:rPr>
              <w:t>DATI DESTAGIONALIZZATI</w:t>
            </w:r>
          </w:p>
        </w:tc>
        <w:tc>
          <w:tcPr>
            <w:tcW w:w="5244" w:type="dxa"/>
            <w:gridSpan w:val="4"/>
            <w:vAlign w:val="center"/>
          </w:tcPr>
          <w:p w:rsidR="00425306" w:rsidRDefault="00425306" w:rsidP="00484E64">
            <w:pPr>
              <w:spacing w:before="40" w:after="20"/>
              <w:jc w:val="center"/>
              <w:rPr>
                <w:rFonts w:ascii="Arial Narrow" w:hAnsi="Arial Narrow"/>
                <w:b/>
                <w:sz w:val="18"/>
              </w:rPr>
            </w:pPr>
            <w:r>
              <w:rPr>
                <w:rFonts w:ascii="Arial Narrow" w:hAnsi="Arial Narrow"/>
                <w:b/>
                <w:sz w:val="18"/>
              </w:rPr>
              <w:t>DATI GREZZI</w:t>
            </w:r>
          </w:p>
        </w:tc>
      </w:tr>
      <w:tr w:rsidR="00425306" w:rsidTr="00484E64">
        <w:trPr>
          <w:trHeight w:val="255"/>
          <w:jc w:val="center"/>
        </w:trPr>
        <w:tc>
          <w:tcPr>
            <w:tcW w:w="1560" w:type="dxa"/>
            <w:vMerge/>
            <w:vAlign w:val="bottom"/>
          </w:tcPr>
          <w:p w:rsidR="00425306" w:rsidRDefault="00425306" w:rsidP="00484E64">
            <w:pPr>
              <w:spacing w:before="40" w:after="20"/>
              <w:rPr>
                <w:rFonts w:ascii="Arial Narrow" w:hAnsi="Arial Narrow"/>
                <w:sz w:val="18"/>
              </w:rPr>
            </w:pPr>
          </w:p>
        </w:tc>
        <w:tc>
          <w:tcPr>
            <w:tcW w:w="1277" w:type="dxa"/>
            <w:shd w:val="clear" w:color="auto" w:fill="FFFFFF"/>
            <w:vAlign w:val="center"/>
          </w:tcPr>
          <w:p w:rsidR="00425306" w:rsidRDefault="00425306" w:rsidP="00484E64">
            <w:pPr>
              <w:spacing w:before="40" w:after="20"/>
              <w:jc w:val="center"/>
              <w:rPr>
                <w:rFonts w:ascii="Arial Narrow" w:hAnsi="Arial Narrow"/>
                <w:b/>
                <w:sz w:val="18"/>
              </w:rPr>
            </w:pPr>
            <w:r>
              <w:rPr>
                <w:rFonts w:ascii="Arial Narrow" w:hAnsi="Arial Narrow"/>
                <w:b/>
                <w:sz w:val="18"/>
              </w:rPr>
              <w:t>Milioni di euro</w:t>
            </w:r>
          </w:p>
        </w:tc>
        <w:tc>
          <w:tcPr>
            <w:tcW w:w="2125" w:type="dxa"/>
            <w:gridSpan w:val="3"/>
            <w:shd w:val="clear" w:color="auto" w:fill="D9D9D9"/>
            <w:vAlign w:val="center"/>
          </w:tcPr>
          <w:p w:rsidR="00425306" w:rsidRDefault="00425306" w:rsidP="00484E64">
            <w:pPr>
              <w:spacing w:before="40" w:after="20"/>
              <w:jc w:val="center"/>
              <w:rPr>
                <w:rFonts w:ascii="Arial Narrow" w:hAnsi="Arial Narrow"/>
                <w:b/>
                <w:sz w:val="18"/>
              </w:rPr>
            </w:pPr>
            <w:r>
              <w:rPr>
                <w:rFonts w:ascii="Arial Narrow" w:hAnsi="Arial Narrow"/>
                <w:b/>
                <w:sz w:val="18"/>
              </w:rPr>
              <w:t>Variazioni %</w:t>
            </w:r>
          </w:p>
        </w:tc>
        <w:tc>
          <w:tcPr>
            <w:tcW w:w="2410" w:type="dxa"/>
            <w:gridSpan w:val="2"/>
            <w:shd w:val="clear" w:color="auto" w:fill="FFFFFF"/>
            <w:vAlign w:val="center"/>
          </w:tcPr>
          <w:p w:rsidR="00425306" w:rsidRDefault="00425306" w:rsidP="00484E64">
            <w:pPr>
              <w:spacing w:before="40" w:after="20"/>
              <w:jc w:val="center"/>
              <w:rPr>
                <w:rFonts w:ascii="Arial Narrow" w:hAnsi="Arial Narrow"/>
                <w:b/>
                <w:sz w:val="18"/>
              </w:rPr>
            </w:pPr>
            <w:r>
              <w:rPr>
                <w:rFonts w:ascii="Arial Narrow" w:hAnsi="Arial Narrow"/>
                <w:b/>
                <w:sz w:val="18"/>
              </w:rPr>
              <w:t>Milioni di euro</w:t>
            </w:r>
          </w:p>
        </w:tc>
        <w:tc>
          <w:tcPr>
            <w:tcW w:w="2834" w:type="dxa"/>
            <w:gridSpan w:val="2"/>
            <w:shd w:val="clear" w:color="auto" w:fill="D9D9D9"/>
            <w:vAlign w:val="center"/>
          </w:tcPr>
          <w:p w:rsidR="00425306" w:rsidRDefault="00425306" w:rsidP="00484E64">
            <w:pPr>
              <w:jc w:val="center"/>
            </w:pPr>
            <w:r>
              <w:rPr>
                <w:rFonts w:ascii="Arial Narrow" w:hAnsi="Arial Narrow"/>
                <w:b/>
                <w:sz w:val="18"/>
              </w:rPr>
              <w:t>Variazioni %</w:t>
            </w:r>
          </w:p>
        </w:tc>
      </w:tr>
      <w:tr w:rsidR="00425306" w:rsidTr="00484E64">
        <w:trPr>
          <w:trHeight w:val="255"/>
          <w:jc w:val="center"/>
        </w:trPr>
        <w:tc>
          <w:tcPr>
            <w:tcW w:w="1560" w:type="dxa"/>
            <w:vMerge/>
            <w:vAlign w:val="bottom"/>
          </w:tcPr>
          <w:p w:rsidR="00425306" w:rsidRDefault="00425306" w:rsidP="00484E64">
            <w:pPr>
              <w:spacing w:before="40" w:after="20"/>
              <w:rPr>
                <w:rFonts w:ascii="Arial Narrow" w:hAnsi="Arial Narrow"/>
                <w:sz w:val="18"/>
              </w:rPr>
            </w:pPr>
          </w:p>
        </w:tc>
        <w:tc>
          <w:tcPr>
            <w:tcW w:w="1291" w:type="dxa"/>
            <w:gridSpan w:val="2"/>
            <w:shd w:val="clear" w:color="auto" w:fill="FFFFFF"/>
            <w:vAlign w:val="center"/>
          </w:tcPr>
          <w:p w:rsidR="00425306" w:rsidRDefault="00A312F1" w:rsidP="00425306">
            <w:pPr>
              <w:spacing w:before="40" w:after="20"/>
              <w:jc w:val="center"/>
              <w:rPr>
                <w:rFonts w:ascii="Arial Narrow" w:hAnsi="Arial Narrow"/>
                <w:sz w:val="18"/>
                <w:szCs w:val="18"/>
              </w:rPr>
            </w:pPr>
            <w:r>
              <w:rPr>
                <w:rFonts w:ascii="Arial Narrow" w:hAnsi="Arial Narrow"/>
                <w:sz w:val="18"/>
                <w:szCs w:val="18"/>
              </w:rPr>
              <w:t>mar</w:t>
            </w:r>
            <w:r w:rsidR="00425306">
              <w:rPr>
                <w:rFonts w:ascii="Arial Narrow" w:hAnsi="Arial Narrow"/>
                <w:sz w:val="18"/>
                <w:szCs w:val="18"/>
              </w:rPr>
              <w:t xml:space="preserve"> 2024</w:t>
            </w:r>
          </w:p>
        </w:tc>
        <w:tc>
          <w:tcPr>
            <w:tcW w:w="944" w:type="dxa"/>
            <w:shd w:val="clear" w:color="auto" w:fill="FFFFFF"/>
            <w:vAlign w:val="center"/>
          </w:tcPr>
          <w:p w:rsidR="00425306" w:rsidRDefault="00A312F1" w:rsidP="00484E64">
            <w:pPr>
              <w:spacing w:before="40" w:after="20"/>
              <w:jc w:val="center"/>
              <w:rPr>
                <w:rFonts w:ascii="Arial Narrow" w:hAnsi="Arial Narrow"/>
                <w:sz w:val="18"/>
                <w:szCs w:val="18"/>
                <w:u w:val="single"/>
              </w:rPr>
            </w:pPr>
            <w:r>
              <w:rPr>
                <w:rFonts w:ascii="Arial Narrow" w:hAnsi="Arial Narrow"/>
                <w:sz w:val="18"/>
                <w:szCs w:val="18"/>
                <w:u w:val="single"/>
              </w:rPr>
              <w:t>mar</w:t>
            </w:r>
            <w:r w:rsidR="00425306">
              <w:rPr>
                <w:rFonts w:ascii="Arial Narrow" w:hAnsi="Arial Narrow"/>
                <w:sz w:val="18"/>
                <w:szCs w:val="18"/>
                <w:u w:val="single"/>
              </w:rPr>
              <w:t xml:space="preserve"> 24</w:t>
            </w:r>
          </w:p>
          <w:p w:rsidR="00425306" w:rsidRDefault="00A312F1" w:rsidP="00425306">
            <w:pPr>
              <w:spacing w:before="40" w:after="20"/>
              <w:jc w:val="center"/>
              <w:rPr>
                <w:rFonts w:ascii="Arial Narrow" w:hAnsi="Arial Narrow"/>
                <w:sz w:val="18"/>
                <w:szCs w:val="18"/>
                <w:u w:val="single"/>
              </w:rPr>
            </w:pPr>
            <w:r>
              <w:rPr>
                <w:rFonts w:ascii="Arial Narrow" w:hAnsi="Arial Narrow"/>
                <w:sz w:val="18"/>
                <w:szCs w:val="18"/>
              </w:rPr>
              <w:t>feb</w:t>
            </w:r>
            <w:r w:rsidR="00425306">
              <w:rPr>
                <w:rFonts w:ascii="Arial Narrow" w:hAnsi="Arial Narrow"/>
                <w:sz w:val="18"/>
                <w:szCs w:val="18"/>
              </w:rPr>
              <w:t xml:space="preserve"> 24</w:t>
            </w:r>
          </w:p>
        </w:tc>
        <w:tc>
          <w:tcPr>
            <w:tcW w:w="1167" w:type="dxa"/>
            <w:shd w:val="clear" w:color="auto" w:fill="FFFFFF"/>
            <w:vAlign w:val="center"/>
          </w:tcPr>
          <w:p w:rsidR="00425306" w:rsidRDefault="00A312F1" w:rsidP="00484E64">
            <w:pPr>
              <w:spacing w:before="40" w:after="20"/>
              <w:jc w:val="center"/>
              <w:rPr>
                <w:rFonts w:ascii="Arial Narrow" w:hAnsi="Arial Narrow"/>
                <w:sz w:val="18"/>
                <w:szCs w:val="18"/>
                <w:u w:val="single"/>
              </w:rPr>
            </w:pPr>
            <w:r>
              <w:rPr>
                <w:rFonts w:ascii="Arial Narrow" w:hAnsi="Arial Narrow"/>
                <w:sz w:val="18"/>
                <w:szCs w:val="18"/>
                <w:u w:val="single"/>
              </w:rPr>
              <w:t>gen</w:t>
            </w:r>
            <w:r w:rsidR="00425306">
              <w:rPr>
                <w:rFonts w:ascii="Arial Narrow" w:hAnsi="Arial Narrow"/>
                <w:sz w:val="18"/>
                <w:szCs w:val="18"/>
                <w:u w:val="single"/>
              </w:rPr>
              <w:t>-</w:t>
            </w:r>
            <w:r>
              <w:rPr>
                <w:rFonts w:ascii="Arial Narrow" w:hAnsi="Arial Narrow"/>
                <w:sz w:val="18"/>
                <w:szCs w:val="18"/>
                <w:u w:val="single"/>
              </w:rPr>
              <w:t>mar</w:t>
            </w:r>
            <w:r w:rsidR="00425306">
              <w:rPr>
                <w:rFonts w:ascii="Arial Narrow" w:hAnsi="Arial Narrow"/>
                <w:sz w:val="18"/>
                <w:szCs w:val="18"/>
                <w:u w:val="single"/>
              </w:rPr>
              <w:t xml:space="preserve"> 24</w:t>
            </w:r>
          </w:p>
          <w:p w:rsidR="00425306" w:rsidRDefault="00A312F1" w:rsidP="00A312F1">
            <w:pPr>
              <w:spacing w:before="40" w:after="20"/>
              <w:jc w:val="center"/>
              <w:rPr>
                <w:rFonts w:ascii="Arial Narrow" w:hAnsi="Arial Narrow"/>
                <w:sz w:val="18"/>
                <w:szCs w:val="18"/>
              </w:rPr>
            </w:pPr>
            <w:r>
              <w:rPr>
                <w:rFonts w:ascii="Arial Narrow" w:hAnsi="Arial Narrow"/>
                <w:sz w:val="18"/>
                <w:szCs w:val="18"/>
              </w:rPr>
              <w:t>ott</w:t>
            </w:r>
            <w:r w:rsidR="00425306">
              <w:rPr>
                <w:rFonts w:ascii="Arial Narrow" w:hAnsi="Arial Narrow"/>
                <w:sz w:val="18"/>
                <w:szCs w:val="18"/>
              </w:rPr>
              <w:t>-</w:t>
            </w:r>
            <w:r>
              <w:rPr>
                <w:rFonts w:ascii="Arial Narrow" w:hAnsi="Arial Narrow"/>
                <w:sz w:val="18"/>
                <w:szCs w:val="18"/>
              </w:rPr>
              <w:t>dic</w:t>
            </w:r>
            <w:r w:rsidR="00425306">
              <w:rPr>
                <w:rFonts w:ascii="Arial Narrow" w:hAnsi="Arial Narrow"/>
                <w:sz w:val="18"/>
                <w:szCs w:val="18"/>
              </w:rPr>
              <w:t xml:space="preserve"> 23</w:t>
            </w:r>
          </w:p>
        </w:tc>
        <w:tc>
          <w:tcPr>
            <w:tcW w:w="858" w:type="dxa"/>
            <w:shd w:val="clear" w:color="auto" w:fill="FFFFFF"/>
            <w:vAlign w:val="center"/>
          </w:tcPr>
          <w:p w:rsidR="00425306" w:rsidRDefault="00A312F1" w:rsidP="00484E64">
            <w:pPr>
              <w:spacing w:before="40" w:after="20"/>
              <w:jc w:val="center"/>
              <w:rPr>
                <w:rFonts w:ascii="Arial Narrow" w:hAnsi="Arial Narrow"/>
                <w:sz w:val="18"/>
                <w:szCs w:val="18"/>
              </w:rPr>
            </w:pPr>
            <w:r>
              <w:rPr>
                <w:rFonts w:ascii="Arial Narrow" w:hAnsi="Arial Narrow"/>
                <w:sz w:val="18"/>
                <w:szCs w:val="18"/>
              </w:rPr>
              <w:t>mar</w:t>
            </w:r>
            <w:r w:rsidR="00425306">
              <w:rPr>
                <w:rFonts w:ascii="Arial Narrow" w:hAnsi="Arial Narrow"/>
                <w:sz w:val="18"/>
                <w:szCs w:val="18"/>
              </w:rPr>
              <w:t xml:space="preserve"> 2024</w:t>
            </w:r>
          </w:p>
        </w:tc>
        <w:tc>
          <w:tcPr>
            <w:tcW w:w="1552" w:type="dxa"/>
            <w:shd w:val="clear" w:color="auto" w:fill="FFFFFF"/>
            <w:vAlign w:val="center"/>
          </w:tcPr>
          <w:p w:rsidR="00425306" w:rsidRDefault="00425306" w:rsidP="00A312F1">
            <w:pPr>
              <w:spacing w:before="40" w:after="20"/>
              <w:jc w:val="center"/>
              <w:rPr>
                <w:rFonts w:ascii="Arial Narrow" w:hAnsi="Arial Narrow"/>
                <w:sz w:val="18"/>
                <w:szCs w:val="18"/>
              </w:rPr>
            </w:pPr>
            <w:r>
              <w:rPr>
                <w:rFonts w:ascii="Arial Narrow" w:hAnsi="Arial Narrow"/>
                <w:sz w:val="18"/>
                <w:szCs w:val="18"/>
              </w:rPr>
              <w:t>gen-</w:t>
            </w:r>
            <w:r w:rsidR="00A312F1">
              <w:rPr>
                <w:rFonts w:ascii="Arial Narrow" w:hAnsi="Arial Narrow"/>
                <w:sz w:val="18"/>
                <w:szCs w:val="18"/>
              </w:rPr>
              <w:t>mar</w:t>
            </w:r>
            <w:r>
              <w:rPr>
                <w:rFonts w:ascii="Arial Narrow" w:hAnsi="Arial Narrow"/>
                <w:sz w:val="18"/>
                <w:szCs w:val="18"/>
              </w:rPr>
              <w:t xml:space="preserve"> 24</w:t>
            </w:r>
          </w:p>
        </w:tc>
        <w:tc>
          <w:tcPr>
            <w:tcW w:w="1291" w:type="dxa"/>
            <w:shd w:val="clear" w:color="auto" w:fill="FFFFFF"/>
            <w:vAlign w:val="center"/>
          </w:tcPr>
          <w:p w:rsidR="00425306" w:rsidRDefault="00A312F1" w:rsidP="00484E64">
            <w:pPr>
              <w:spacing w:before="40" w:after="20"/>
              <w:jc w:val="center"/>
              <w:rPr>
                <w:rFonts w:ascii="Arial Narrow" w:hAnsi="Arial Narrow"/>
                <w:sz w:val="18"/>
                <w:szCs w:val="18"/>
                <w:u w:val="single"/>
              </w:rPr>
            </w:pPr>
            <w:r>
              <w:rPr>
                <w:rFonts w:ascii="Arial Narrow" w:hAnsi="Arial Narrow"/>
                <w:sz w:val="18"/>
                <w:szCs w:val="18"/>
                <w:u w:val="single"/>
              </w:rPr>
              <w:t>mar</w:t>
            </w:r>
            <w:r w:rsidR="00425306">
              <w:rPr>
                <w:rFonts w:ascii="Arial Narrow" w:hAnsi="Arial Narrow"/>
                <w:sz w:val="18"/>
                <w:szCs w:val="18"/>
                <w:u w:val="single"/>
              </w:rPr>
              <w:t xml:space="preserve"> 24</w:t>
            </w:r>
          </w:p>
          <w:p w:rsidR="00425306" w:rsidRDefault="00A312F1" w:rsidP="00425306">
            <w:pPr>
              <w:spacing w:before="40" w:after="20"/>
              <w:jc w:val="center"/>
              <w:rPr>
                <w:rFonts w:ascii="Arial Narrow" w:hAnsi="Arial Narrow"/>
                <w:sz w:val="18"/>
                <w:szCs w:val="18"/>
                <w:u w:val="single"/>
              </w:rPr>
            </w:pPr>
            <w:r>
              <w:rPr>
                <w:rFonts w:ascii="Arial Narrow" w:hAnsi="Arial Narrow"/>
                <w:sz w:val="18"/>
                <w:szCs w:val="18"/>
              </w:rPr>
              <w:t>mar</w:t>
            </w:r>
            <w:r w:rsidR="00425306">
              <w:rPr>
                <w:rFonts w:ascii="Arial Narrow" w:hAnsi="Arial Narrow"/>
                <w:sz w:val="18"/>
                <w:szCs w:val="18"/>
              </w:rPr>
              <w:t xml:space="preserve"> 23</w:t>
            </w:r>
          </w:p>
        </w:tc>
        <w:tc>
          <w:tcPr>
            <w:tcW w:w="1543" w:type="dxa"/>
            <w:shd w:val="clear" w:color="auto" w:fill="FFFFFF"/>
            <w:vAlign w:val="center"/>
          </w:tcPr>
          <w:p w:rsidR="00425306" w:rsidRDefault="00425306" w:rsidP="00484E64">
            <w:pPr>
              <w:spacing w:before="40" w:after="20"/>
              <w:jc w:val="center"/>
              <w:rPr>
                <w:rFonts w:ascii="Arial Narrow" w:hAnsi="Arial Narrow"/>
                <w:sz w:val="18"/>
                <w:szCs w:val="18"/>
                <w:u w:val="single"/>
              </w:rPr>
            </w:pPr>
            <w:r>
              <w:rPr>
                <w:rFonts w:ascii="Arial Narrow" w:hAnsi="Arial Narrow"/>
                <w:sz w:val="18"/>
                <w:szCs w:val="18"/>
                <w:u w:val="single"/>
              </w:rPr>
              <w:t>gen-</w:t>
            </w:r>
            <w:r w:rsidR="00A312F1">
              <w:rPr>
                <w:rFonts w:ascii="Arial Narrow" w:hAnsi="Arial Narrow"/>
                <w:sz w:val="18"/>
                <w:szCs w:val="18"/>
                <w:u w:val="single"/>
              </w:rPr>
              <w:t>mar</w:t>
            </w:r>
            <w:r>
              <w:rPr>
                <w:rFonts w:ascii="Arial Narrow" w:hAnsi="Arial Narrow"/>
                <w:sz w:val="18"/>
                <w:szCs w:val="18"/>
                <w:u w:val="single"/>
              </w:rPr>
              <w:t xml:space="preserve"> 24</w:t>
            </w:r>
          </w:p>
          <w:p w:rsidR="00425306" w:rsidRDefault="00425306" w:rsidP="00A312F1">
            <w:pPr>
              <w:spacing w:before="40" w:after="20"/>
              <w:jc w:val="center"/>
              <w:rPr>
                <w:rFonts w:ascii="Arial Narrow" w:hAnsi="Arial Narrow"/>
                <w:sz w:val="18"/>
                <w:szCs w:val="18"/>
                <w:u w:val="single"/>
              </w:rPr>
            </w:pPr>
            <w:r>
              <w:rPr>
                <w:rFonts w:ascii="Arial Narrow" w:hAnsi="Arial Narrow"/>
                <w:sz w:val="18"/>
                <w:szCs w:val="18"/>
              </w:rPr>
              <w:t>gen-</w:t>
            </w:r>
            <w:r w:rsidR="00A312F1">
              <w:rPr>
                <w:rFonts w:ascii="Arial Narrow" w:hAnsi="Arial Narrow"/>
                <w:sz w:val="18"/>
                <w:szCs w:val="18"/>
              </w:rPr>
              <w:t>mar</w:t>
            </w:r>
            <w:r>
              <w:rPr>
                <w:rFonts w:ascii="Arial Narrow" w:hAnsi="Arial Narrow"/>
                <w:sz w:val="18"/>
                <w:szCs w:val="18"/>
              </w:rPr>
              <w:t xml:space="preserve"> 23</w:t>
            </w:r>
          </w:p>
        </w:tc>
      </w:tr>
      <w:tr w:rsidR="00A11B0F" w:rsidRPr="00994790" w:rsidTr="00484E64">
        <w:trPr>
          <w:trHeight w:val="255"/>
          <w:jc w:val="center"/>
        </w:trPr>
        <w:tc>
          <w:tcPr>
            <w:tcW w:w="1560" w:type="dxa"/>
            <w:vAlign w:val="bottom"/>
          </w:tcPr>
          <w:p w:rsidR="00A11B0F" w:rsidRDefault="00A11B0F" w:rsidP="00A11B0F">
            <w:pPr>
              <w:spacing w:before="40"/>
              <w:rPr>
                <w:rFonts w:ascii="Arial Narrow" w:hAnsi="Arial Narrow"/>
                <w:sz w:val="18"/>
              </w:rPr>
            </w:pPr>
            <w:r>
              <w:rPr>
                <w:rFonts w:ascii="Arial Narrow" w:hAnsi="Arial Narrow"/>
                <w:sz w:val="18"/>
              </w:rPr>
              <w:t>Esportazioni</w:t>
            </w:r>
          </w:p>
        </w:tc>
        <w:tc>
          <w:tcPr>
            <w:tcW w:w="1291" w:type="dxa"/>
            <w:gridSpan w:val="2"/>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+25.249</w:t>
            </w:r>
          </w:p>
        </w:tc>
        <w:tc>
          <w:tcPr>
            <w:tcW w:w="944" w:type="dxa"/>
            <w:shd w:val="clear" w:color="auto" w:fill="FFFFFF"/>
            <w:vAlign w:val="bottom"/>
          </w:tcPr>
          <w:p w:rsidR="00A11B0F" w:rsidRDefault="00A11B0F" w:rsidP="00A11B0F">
            <w:pPr>
              <w:jc w:val="center"/>
              <w:rPr>
                <w:rFonts w:ascii="Arial Narrow" w:hAnsi="Arial Narrow"/>
                <w:sz w:val="18"/>
                <w:szCs w:val="18"/>
              </w:rPr>
            </w:pPr>
            <w:r>
              <w:rPr>
                <w:rFonts w:ascii="Arial Narrow" w:hAnsi="Arial Narrow"/>
                <w:sz w:val="18"/>
                <w:szCs w:val="18"/>
              </w:rPr>
              <w:t>-4,5</w:t>
            </w:r>
          </w:p>
        </w:tc>
        <w:tc>
          <w:tcPr>
            <w:tcW w:w="1167" w:type="dxa"/>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-0,9</w:t>
            </w:r>
          </w:p>
        </w:tc>
        <w:tc>
          <w:tcPr>
            <w:tcW w:w="858" w:type="dxa"/>
            <w:shd w:val="clear" w:color="auto" w:fill="FFFFFF"/>
            <w:vAlign w:val="bottom"/>
          </w:tcPr>
          <w:p w:rsidR="00A11B0F" w:rsidRDefault="00A11B0F" w:rsidP="00A11B0F">
            <w:pPr>
              <w:jc w:val="center"/>
              <w:rPr>
                <w:rFonts w:ascii="Arial Narrow" w:hAnsi="Arial Narrow"/>
                <w:sz w:val="18"/>
                <w:szCs w:val="18"/>
              </w:rPr>
            </w:pPr>
            <w:r>
              <w:rPr>
                <w:rFonts w:ascii="Arial Narrow" w:hAnsi="Arial Narrow"/>
                <w:sz w:val="18"/>
                <w:szCs w:val="18"/>
              </w:rPr>
              <w:t>+26.114</w:t>
            </w:r>
          </w:p>
        </w:tc>
        <w:tc>
          <w:tcPr>
            <w:tcW w:w="1552" w:type="dxa"/>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+73.843</w:t>
            </w:r>
          </w:p>
        </w:tc>
        <w:tc>
          <w:tcPr>
            <w:tcW w:w="1291" w:type="dxa"/>
            <w:shd w:val="clear" w:color="auto" w:fill="FFFFFF"/>
            <w:vAlign w:val="bottom"/>
          </w:tcPr>
          <w:p w:rsidR="00A11B0F" w:rsidRDefault="00A11B0F" w:rsidP="00A11B0F">
            <w:pPr>
              <w:jc w:val="center"/>
              <w:rPr>
                <w:rFonts w:ascii="Arial Narrow" w:hAnsi="Arial Narrow"/>
                <w:sz w:val="18"/>
                <w:szCs w:val="18"/>
              </w:rPr>
            </w:pPr>
            <w:r>
              <w:rPr>
                <w:rFonts w:ascii="Arial Narrow" w:hAnsi="Arial Narrow"/>
                <w:sz w:val="18"/>
                <w:szCs w:val="18"/>
              </w:rPr>
              <w:t>-5,7</w:t>
            </w:r>
          </w:p>
        </w:tc>
        <w:tc>
          <w:tcPr>
            <w:tcW w:w="1543" w:type="dxa"/>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-1,3</w:t>
            </w:r>
          </w:p>
        </w:tc>
      </w:tr>
      <w:tr w:rsidR="00A11B0F" w:rsidRPr="00994790" w:rsidTr="00484E64">
        <w:trPr>
          <w:trHeight w:val="255"/>
          <w:jc w:val="center"/>
        </w:trPr>
        <w:tc>
          <w:tcPr>
            <w:tcW w:w="1560" w:type="dxa"/>
            <w:vAlign w:val="bottom"/>
          </w:tcPr>
          <w:p w:rsidR="00A11B0F" w:rsidRDefault="00A11B0F" w:rsidP="00A11B0F">
            <w:pPr>
              <w:spacing w:before="40"/>
              <w:rPr>
                <w:rFonts w:ascii="Arial Narrow" w:hAnsi="Arial Narrow"/>
                <w:sz w:val="18"/>
              </w:rPr>
            </w:pPr>
            <w:r>
              <w:rPr>
                <w:rFonts w:ascii="Arial Narrow" w:hAnsi="Arial Narrow"/>
                <w:sz w:val="18"/>
              </w:rPr>
              <w:t>Importazioni</w:t>
            </w:r>
          </w:p>
        </w:tc>
        <w:tc>
          <w:tcPr>
            <w:tcW w:w="1291" w:type="dxa"/>
            <w:gridSpan w:val="2"/>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+20.175</w:t>
            </w:r>
          </w:p>
        </w:tc>
        <w:tc>
          <w:tcPr>
            <w:tcW w:w="944" w:type="dxa"/>
            <w:shd w:val="clear" w:color="auto" w:fill="FFFFFF"/>
            <w:vAlign w:val="bottom"/>
          </w:tcPr>
          <w:p w:rsidR="00A11B0F" w:rsidRDefault="00A11B0F" w:rsidP="00A11B0F">
            <w:pPr>
              <w:jc w:val="center"/>
              <w:rPr>
                <w:rFonts w:ascii="Arial Narrow" w:hAnsi="Arial Narrow"/>
                <w:sz w:val="18"/>
                <w:szCs w:val="18"/>
              </w:rPr>
            </w:pPr>
            <w:r>
              <w:rPr>
                <w:rFonts w:ascii="Arial Narrow" w:hAnsi="Arial Narrow"/>
                <w:sz w:val="18"/>
                <w:szCs w:val="18"/>
              </w:rPr>
              <w:t>+3,1</w:t>
            </w:r>
          </w:p>
        </w:tc>
        <w:tc>
          <w:tcPr>
            <w:tcW w:w="1167" w:type="dxa"/>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-6,1</w:t>
            </w:r>
          </w:p>
        </w:tc>
        <w:tc>
          <w:tcPr>
            <w:tcW w:w="858" w:type="dxa"/>
            <w:shd w:val="clear" w:color="auto" w:fill="FFFFFF"/>
            <w:vAlign w:val="bottom"/>
          </w:tcPr>
          <w:p w:rsidR="00A11B0F" w:rsidRDefault="00A11B0F" w:rsidP="00A11B0F">
            <w:pPr>
              <w:jc w:val="center"/>
              <w:rPr>
                <w:rFonts w:ascii="Arial Narrow" w:hAnsi="Arial Narrow"/>
                <w:sz w:val="18"/>
                <w:szCs w:val="18"/>
              </w:rPr>
            </w:pPr>
            <w:r>
              <w:rPr>
                <w:rFonts w:ascii="Arial Narrow" w:hAnsi="Arial Narrow"/>
                <w:sz w:val="18"/>
                <w:szCs w:val="18"/>
              </w:rPr>
              <w:t>+20.511</w:t>
            </w:r>
          </w:p>
        </w:tc>
        <w:tc>
          <w:tcPr>
            <w:tcW w:w="1552" w:type="dxa"/>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+58.325</w:t>
            </w:r>
          </w:p>
        </w:tc>
        <w:tc>
          <w:tcPr>
            <w:tcW w:w="1291" w:type="dxa"/>
            <w:shd w:val="clear" w:color="auto" w:fill="FFFFFF"/>
            <w:vAlign w:val="bottom"/>
          </w:tcPr>
          <w:p w:rsidR="00A11B0F" w:rsidRDefault="00A11B0F" w:rsidP="00A11B0F">
            <w:pPr>
              <w:jc w:val="center"/>
              <w:rPr>
                <w:rFonts w:ascii="Arial Narrow" w:hAnsi="Arial Narrow"/>
                <w:sz w:val="18"/>
                <w:szCs w:val="18"/>
              </w:rPr>
            </w:pPr>
            <w:r>
              <w:rPr>
                <w:rFonts w:ascii="Arial Narrow" w:hAnsi="Arial Narrow"/>
                <w:sz w:val="18"/>
                <w:szCs w:val="18"/>
              </w:rPr>
              <w:t>-12,8</w:t>
            </w:r>
          </w:p>
        </w:tc>
        <w:tc>
          <w:tcPr>
            <w:tcW w:w="1543" w:type="dxa"/>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-14,3</w:t>
            </w:r>
          </w:p>
        </w:tc>
      </w:tr>
      <w:tr w:rsidR="00A11B0F" w:rsidRPr="00994790" w:rsidTr="00484E64">
        <w:trPr>
          <w:trHeight w:val="255"/>
          <w:jc w:val="center"/>
        </w:trPr>
        <w:tc>
          <w:tcPr>
            <w:tcW w:w="1560" w:type="dxa"/>
            <w:vAlign w:val="bottom"/>
          </w:tcPr>
          <w:p w:rsidR="00A11B0F" w:rsidRDefault="00A11B0F" w:rsidP="00A11B0F">
            <w:pPr>
              <w:spacing w:before="40"/>
              <w:rPr>
                <w:rFonts w:ascii="Arial Narrow" w:hAnsi="Arial Narrow"/>
                <w:sz w:val="18"/>
              </w:rPr>
            </w:pPr>
            <w:r>
              <w:rPr>
                <w:rFonts w:ascii="Arial Narrow" w:hAnsi="Arial Narrow"/>
                <w:sz w:val="18"/>
              </w:rPr>
              <w:t>Saldo</w:t>
            </w:r>
          </w:p>
        </w:tc>
        <w:tc>
          <w:tcPr>
            <w:tcW w:w="1291" w:type="dxa"/>
            <w:gridSpan w:val="2"/>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+5.074</w:t>
            </w:r>
          </w:p>
        </w:tc>
        <w:tc>
          <w:tcPr>
            <w:tcW w:w="944" w:type="dxa"/>
            <w:shd w:val="clear" w:color="auto" w:fill="FFFFFF"/>
            <w:vAlign w:val="bottom"/>
          </w:tcPr>
          <w:p w:rsidR="00A11B0F" w:rsidRDefault="00A11B0F" w:rsidP="00A11B0F">
            <w:pPr>
              <w:jc w:val="center"/>
              <w:rPr>
                <w:rFonts w:ascii="Arial Narrow" w:hAnsi="Arial Narrow"/>
                <w:sz w:val="18"/>
                <w:szCs w:val="18"/>
              </w:rPr>
            </w:pPr>
          </w:p>
        </w:tc>
        <w:tc>
          <w:tcPr>
            <w:tcW w:w="1167" w:type="dxa"/>
            <w:shd w:val="clear" w:color="auto" w:fill="D9D9D9"/>
            <w:vAlign w:val="bottom"/>
          </w:tcPr>
          <w:p w:rsidR="00A11B0F" w:rsidRDefault="00A11B0F" w:rsidP="00A11B0F">
            <w:pPr>
              <w:jc w:val="center"/>
              <w:rPr>
                <w:rFonts w:ascii="Arial Narrow" w:hAnsi="Arial Narrow"/>
                <w:sz w:val="18"/>
                <w:szCs w:val="18"/>
              </w:rPr>
            </w:pPr>
          </w:p>
        </w:tc>
        <w:tc>
          <w:tcPr>
            <w:tcW w:w="858" w:type="dxa"/>
            <w:shd w:val="clear" w:color="auto" w:fill="FFFFFF"/>
            <w:vAlign w:val="bottom"/>
          </w:tcPr>
          <w:p w:rsidR="00A11B0F" w:rsidRDefault="00A11B0F" w:rsidP="00A11B0F">
            <w:pPr>
              <w:jc w:val="center"/>
              <w:rPr>
                <w:rFonts w:ascii="Arial Narrow" w:hAnsi="Arial Narrow"/>
                <w:sz w:val="18"/>
                <w:szCs w:val="18"/>
              </w:rPr>
            </w:pPr>
            <w:r>
              <w:rPr>
                <w:rFonts w:ascii="Arial Narrow" w:hAnsi="Arial Narrow"/>
                <w:sz w:val="18"/>
                <w:szCs w:val="18"/>
              </w:rPr>
              <w:t>+5.603</w:t>
            </w:r>
          </w:p>
        </w:tc>
        <w:tc>
          <w:tcPr>
            <w:tcW w:w="1552" w:type="dxa"/>
            <w:shd w:val="clear" w:color="auto" w:fill="D9D9D9"/>
            <w:vAlign w:val="bottom"/>
          </w:tcPr>
          <w:p w:rsidR="00A11B0F" w:rsidRDefault="00A11B0F" w:rsidP="00A11B0F">
            <w:pPr>
              <w:jc w:val="center"/>
              <w:rPr>
                <w:rFonts w:ascii="Arial Narrow" w:hAnsi="Arial Narrow"/>
                <w:sz w:val="18"/>
                <w:szCs w:val="18"/>
              </w:rPr>
            </w:pPr>
            <w:r>
              <w:rPr>
                <w:rFonts w:ascii="Arial Narrow" w:hAnsi="Arial Narrow"/>
                <w:sz w:val="18"/>
                <w:szCs w:val="18"/>
              </w:rPr>
              <w:t>+15.518</w:t>
            </w:r>
          </w:p>
        </w:tc>
        <w:tc>
          <w:tcPr>
            <w:tcW w:w="1291" w:type="dxa"/>
            <w:shd w:val="clear" w:color="auto" w:fill="FFFFFF"/>
            <w:vAlign w:val="bottom"/>
          </w:tcPr>
          <w:p w:rsidR="00A11B0F" w:rsidRDefault="00A11B0F" w:rsidP="00A11B0F">
            <w:pPr>
              <w:jc w:val="center"/>
              <w:rPr>
                <w:rFonts w:ascii="Arial Narrow" w:hAnsi="Arial Narrow"/>
                <w:sz w:val="18"/>
                <w:szCs w:val="18"/>
              </w:rPr>
            </w:pPr>
          </w:p>
        </w:tc>
        <w:tc>
          <w:tcPr>
            <w:tcW w:w="1543" w:type="dxa"/>
            <w:shd w:val="clear" w:color="auto" w:fill="D9D9D9"/>
            <w:vAlign w:val="bottom"/>
          </w:tcPr>
          <w:p w:rsidR="00A11B0F" w:rsidRDefault="00A11B0F" w:rsidP="00A11B0F">
            <w:pPr>
              <w:jc w:val="center"/>
              <w:rPr>
                <w:rFonts w:ascii="Arial Narrow" w:hAnsi="Arial Narrow"/>
                <w:sz w:val="18"/>
                <w:szCs w:val="18"/>
              </w:rPr>
            </w:pPr>
          </w:p>
        </w:tc>
      </w:tr>
    </w:tbl>
    <w:p w:rsidR="00A651E1" w:rsidRDefault="00E32477">
      <w:pPr>
        <w:pStyle w:val="Corpodeltesto"/>
        <w:numPr>
          <w:ilvl w:val="0"/>
          <w:numId w:val="23"/>
        </w:numPr>
        <w:tabs>
          <w:tab w:val="left" w:pos="284"/>
        </w:tabs>
        <w:spacing w:before="60" w:after="120" w:line="240" w:lineRule="auto"/>
        <w:ind w:left="0" w:firstLine="0"/>
        <w:jc w:val="both"/>
        <w:rPr>
          <w:rFonts w:ascii="Arial Narrow" w:hAnsi="Arial Narrow" w:cs="Arial"/>
          <w:b/>
          <w:sz w:val="15"/>
        </w:rPr>
      </w:pPr>
      <w:r>
        <w:rPr>
          <w:rFonts w:ascii="Arial Narrow" w:hAnsi="Arial Narrow" w:cs="Arial"/>
          <w:sz w:val="15"/>
        </w:rPr>
        <w:t>D</w:t>
      </w:r>
      <w:r w:rsidR="00E777A0">
        <w:rPr>
          <w:rFonts w:ascii="Arial Narrow" w:hAnsi="Arial Narrow" w:cs="Arial"/>
          <w:sz w:val="15"/>
        </w:rPr>
        <w:t>ati provvisori.</w:t>
      </w:r>
    </w:p>
    <w:p w:rsidR="006B6065" w:rsidRDefault="006B6065">
      <w:pPr>
        <w:rPr>
          <w:rStyle w:val="001TitoGraRed"/>
          <w:rFonts w:ascii="Arial Narrow" w:hAnsi="Arial Narrow"/>
          <w:b/>
          <w:color w:val="E42618"/>
          <w:sz w:val="22"/>
          <w:szCs w:val="22"/>
        </w:rPr>
      </w:pPr>
    </w:p>
    <w:p w:rsidR="00A651E1" w:rsidRDefault="00E777A0">
      <w:pPr>
        <w:rPr>
          <w:rFonts w:ascii="Arial Narrow" w:hAnsi="Arial Narrow" w:cs="Arial"/>
          <w:b/>
          <w:bCs/>
          <w:color w:val="5F5F5F"/>
          <w:sz w:val="22"/>
          <w:szCs w:val="22"/>
        </w:rPr>
      </w:pPr>
      <w:r>
        <w:rPr>
          <w:rStyle w:val="001TitoGraRed"/>
          <w:rFonts w:ascii="Arial Narrow" w:hAnsi="Arial Narrow"/>
          <w:b/>
          <w:color w:val="E42618"/>
          <w:sz w:val="22"/>
          <w:szCs w:val="22"/>
        </w:rPr>
        <w:t>FIGURA 3.</w:t>
      </w:r>
      <w:r>
        <w:rPr>
          <w:rFonts w:ascii="Arial Narrow" w:hAnsi="Arial Narrow" w:cs="Arial"/>
          <w:b/>
          <w:bCs/>
          <w:color w:val="5F5F5F"/>
          <w:sz w:val="22"/>
          <w:szCs w:val="22"/>
        </w:rPr>
        <w:t>PRINCIPALI PARTNER COMMERCIALI EXTRAUE</w:t>
      </w:r>
      <w:r w:rsidR="006A6DA2">
        <w:rPr>
          <w:rFonts w:ascii="Arial Narrow" w:hAnsi="Arial Narrow" w:cs="Arial"/>
          <w:b/>
          <w:bCs/>
          <w:color w:val="5F5F5F"/>
          <w:sz w:val="22"/>
          <w:szCs w:val="22"/>
        </w:rPr>
        <w:t xml:space="preserve">27 </w:t>
      </w:r>
      <w:r w:rsidR="00041A5D">
        <w:rPr>
          <w:rFonts w:ascii="Arial Narrow" w:hAnsi="Arial Narrow" w:cs="Arial"/>
          <w:b/>
          <w:bCs/>
          <w:color w:val="5F5F5F"/>
          <w:sz w:val="22"/>
          <w:szCs w:val="22"/>
        </w:rPr>
        <w:t>(</w:t>
      </w:r>
      <w:r w:rsidR="00E32477">
        <w:rPr>
          <w:rFonts w:ascii="Arial Narrow" w:hAnsi="Arial Narrow" w:cs="Arial"/>
          <w:b/>
          <w:bCs/>
          <w:color w:val="5F5F5F"/>
          <w:sz w:val="22"/>
          <w:szCs w:val="22"/>
        </w:rPr>
        <w:t>a</w:t>
      </w:r>
      <w:r w:rsidR="00041A5D">
        <w:rPr>
          <w:rFonts w:ascii="Arial Narrow" w:hAnsi="Arial Narrow" w:cs="Arial"/>
          <w:b/>
          <w:bCs/>
          <w:color w:val="5F5F5F"/>
          <w:sz w:val="22"/>
          <w:szCs w:val="22"/>
        </w:rPr>
        <w:t>)</w:t>
      </w:r>
      <w:r>
        <w:rPr>
          <w:rFonts w:ascii="Arial Narrow" w:hAnsi="Arial Narrow" w:cs="Arial"/>
          <w:b/>
          <w:bCs/>
          <w:color w:val="5F5F5F"/>
          <w:sz w:val="22"/>
          <w:szCs w:val="22"/>
        </w:rPr>
        <w:t xml:space="preserve">: CONTRIBUTI ALLA VARIAZIONE TENDENZIALE DELLE ESPORTAZIONI E VARIAZIONI PERCENTUALI TENDENZIALI </w:t>
      </w:r>
    </w:p>
    <w:p w:rsidR="00A651E1" w:rsidRDefault="00A312F1">
      <w:pPr>
        <w:tabs>
          <w:tab w:val="left" w:pos="1365"/>
        </w:tabs>
      </w:pPr>
      <w:r>
        <w:rPr>
          <w:rFonts w:ascii="Arial Narrow" w:hAnsi="Arial Narrow" w:cs="Arial"/>
          <w:color w:val="5F5F5F"/>
          <w:sz w:val="20"/>
        </w:rPr>
        <w:t>Marzo</w:t>
      </w:r>
      <w:r w:rsidR="0030302D">
        <w:rPr>
          <w:rFonts w:ascii="Arial Narrow" w:hAnsi="Arial Narrow" w:cs="Arial"/>
          <w:color w:val="5F5F5F"/>
          <w:sz w:val="20"/>
        </w:rPr>
        <w:t>202</w:t>
      </w:r>
      <w:r w:rsidR="00B01DC7">
        <w:rPr>
          <w:rFonts w:ascii="Arial Narrow" w:hAnsi="Arial Narrow" w:cs="Arial"/>
          <w:color w:val="5F5F5F"/>
          <w:sz w:val="20"/>
        </w:rPr>
        <w:t>4</w:t>
      </w:r>
      <w:r w:rsidR="00927B16">
        <w:rPr>
          <w:noProof/>
        </w:rPr>
        <w:drawing>
          <wp:inline distT="0" distB="0" distL="0" distR="0">
            <wp:extent cx="6660000" cy="2160000"/>
            <wp:effectExtent l="0" t="0" r="7620" b="0"/>
            <wp:docPr id="17" name="Gra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651E1" w:rsidRPr="009C2B9D" w:rsidRDefault="00041A5D" w:rsidP="00E32477">
      <w:pPr>
        <w:pStyle w:val="Corpodeltesto"/>
        <w:numPr>
          <w:ilvl w:val="0"/>
          <w:numId w:val="29"/>
        </w:numPr>
        <w:tabs>
          <w:tab w:val="left" w:pos="284"/>
        </w:tabs>
        <w:spacing w:before="60" w:after="120" w:line="240" w:lineRule="auto"/>
        <w:jc w:val="both"/>
        <w:rPr>
          <w:rFonts w:cs="Arial"/>
          <w:sz w:val="15"/>
        </w:rPr>
      </w:pPr>
      <w:r w:rsidRPr="009C2B9D">
        <w:rPr>
          <w:rFonts w:cs="Arial"/>
          <w:sz w:val="15"/>
        </w:rPr>
        <w:t xml:space="preserve">Il dato </w:t>
      </w:r>
      <w:r w:rsidR="009C2B9D" w:rsidRPr="009C2B9D">
        <w:rPr>
          <w:rFonts w:cs="Arial"/>
          <w:sz w:val="15"/>
        </w:rPr>
        <w:t xml:space="preserve">preliminare </w:t>
      </w:r>
      <w:r w:rsidRPr="009C2B9D">
        <w:rPr>
          <w:rFonts w:cs="Arial"/>
          <w:sz w:val="15"/>
        </w:rPr>
        <w:t xml:space="preserve">del Regno Unito </w:t>
      </w:r>
      <w:r w:rsidR="00897276" w:rsidRPr="009C2B9D">
        <w:rPr>
          <w:rFonts w:cs="Arial"/>
          <w:sz w:val="15"/>
        </w:rPr>
        <w:t>non comprende l’Irlanda del Nord</w:t>
      </w:r>
      <w:r w:rsidRPr="009C2B9D">
        <w:rPr>
          <w:rFonts w:cs="Arial"/>
          <w:sz w:val="15"/>
        </w:rPr>
        <w:t xml:space="preserve"> (</w:t>
      </w:r>
      <w:r w:rsidR="006D23B8" w:rsidRPr="009C2B9D">
        <w:rPr>
          <w:rFonts w:cs="Arial"/>
          <w:sz w:val="15"/>
        </w:rPr>
        <w:t xml:space="preserve">si </w:t>
      </w:r>
      <w:r w:rsidRPr="009C2B9D">
        <w:rPr>
          <w:rFonts w:cs="Arial"/>
          <w:sz w:val="15"/>
        </w:rPr>
        <w:t>ved</w:t>
      </w:r>
      <w:r w:rsidR="006D23B8" w:rsidRPr="009C2B9D">
        <w:rPr>
          <w:rFonts w:cs="Arial"/>
          <w:sz w:val="15"/>
        </w:rPr>
        <w:t>a</w:t>
      </w:r>
      <w:r w:rsidR="005D5D9F" w:rsidRPr="009C2B9D">
        <w:rPr>
          <w:rFonts w:cs="Arial"/>
          <w:sz w:val="15"/>
        </w:rPr>
        <w:t xml:space="preserve">la </w:t>
      </w:r>
      <w:r w:rsidR="006D23B8" w:rsidRPr="009C2B9D">
        <w:rPr>
          <w:rFonts w:cs="Arial"/>
          <w:sz w:val="15"/>
        </w:rPr>
        <w:t>N</w:t>
      </w:r>
      <w:r w:rsidRPr="009C2B9D">
        <w:rPr>
          <w:rFonts w:cs="Arial"/>
          <w:sz w:val="15"/>
        </w:rPr>
        <w:t>ota metodologica).</w:t>
      </w:r>
    </w:p>
    <w:p w:rsidR="009B710E" w:rsidRDefault="009B710E">
      <w:pPr>
        <w:rPr>
          <w:rStyle w:val="001TitoGraRed"/>
          <w:rFonts w:ascii="Arial Narrow" w:hAnsi="Arial Narrow"/>
          <w:b/>
          <w:color w:val="E42618"/>
          <w:sz w:val="14"/>
          <w:szCs w:val="22"/>
        </w:rPr>
      </w:pPr>
    </w:p>
    <w:p w:rsidR="000067EB" w:rsidRPr="009B710E" w:rsidRDefault="000067EB">
      <w:pPr>
        <w:rPr>
          <w:rStyle w:val="001TitoGraRed"/>
          <w:rFonts w:ascii="Arial Narrow" w:hAnsi="Arial Narrow"/>
          <w:b/>
          <w:color w:val="E42618"/>
          <w:sz w:val="14"/>
          <w:szCs w:val="22"/>
        </w:rPr>
      </w:pPr>
    </w:p>
    <w:p w:rsidR="00A651E1" w:rsidRDefault="00E777A0">
      <w:pPr>
        <w:rPr>
          <w:color w:val="5F5F5F"/>
        </w:rPr>
      </w:pPr>
      <w:r>
        <w:rPr>
          <w:rStyle w:val="001TitoGraRed"/>
          <w:rFonts w:ascii="Arial Narrow" w:hAnsi="Arial Narrow"/>
          <w:b/>
          <w:color w:val="E42618"/>
          <w:sz w:val="22"/>
          <w:szCs w:val="22"/>
        </w:rPr>
        <w:t>FIGURA 4.</w:t>
      </w:r>
      <w:r>
        <w:rPr>
          <w:rFonts w:ascii="Arial Narrow" w:hAnsi="Arial Narrow" w:cs="Arial"/>
          <w:b/>
          <w:bCs/>
          <w:color w:val="5F5F5F"/>
          <w:sz w:val="22"/>
          <w:szCs w:val="22"/>
        </w:rPr>
        <w:t>PRINCIPALI PARTNER COMMERCIALI EXTRAUE</w:t>
      </w:r>
      <w:r w:rsidR="006A6DA2">
        <w:rPr>
          <w:rFonts w:ascii="Arial Narrow" w:hAnsi="Arial Narrow" w:cs="Arial"/>
          <w:b/>
          <w:bCs/>
          <w:color w:val="5F5F5F"/>
          <w:sz w:val="22"/>
          <w:szCs w:val="22"/>
        </w:rPr>
        <w:t xml:space="preserve">27 </w:t>
      </w:r>
      <w:r w:rsidR="00E32477">
        <w:rPr>
          <w:rFonts w:ascii="Arial Narrow" w:hAnsi="Arial Narrow" w:cs="Arial"/>
          <w:b/>
          <w:bCs/>
          <w:color w:val="5F5F5F"/>
          <w:sz w:val="22"/>
          <w:szCs w:val="22"/>
        </w:rPr>
        <w:t>(a</w:t>
      </w:r>
      <w:r w:rsidR="00041A5D">
        <w:rPr>
          <w:rFonts w:ascii="Arial Narrow" w:hAnsi="Arial Narrow" w:cs="Arial"/>
          <w:b/>
          <w:bCs/>
          <w:color w:val="5F5F5F"/>
          <w:sz w:val="22"/>
          <w:szCs w:val="22"/>
        </w:rPr>
        <w:t>)</w:t>
      </w:r>
      <w:r>
        <w:rPr>
          <w:rFonts w:ascii="Arial Narrow" w:hAnsi="Arial Narrow" w:cs="Arial"/>
          <w:b/>
          <w:bCs/>
          <w:color w:val="5F5F5F"/>
          <w:sz w:val="22"/>
          <w:szCs w:val="22"/>
        </w:rPr>
        <w:t>: CONTRIBUTI ALLA VARIAZIONE TENDENZIALE DELLE IMPORTAZIONI E VARIAZIONI PERCENTUALI TENDENZIALI</w:t>
      </w:r>
    </w:p>
    <w:p w:rsidR="00436314" w:rsidRDefault="00A312F1">
      <w:r>
        <w:rPr>
          <w:rFonts w:ascii="Arial Narrow" w:hAnsi="Arial Narrow" w:cs="Arial"/>
          <w:color w:val="5F5F5F"/>
          <w:sz w:val="20"/>
        </w:rPr>
        <w:t xml:space="preserve">Marzo </w:t>
      </w:r>
      <w:r w:rsidR="00B01DC7">
        <w:rPr>
          <w:rFonts w:ascii="Arial Narrow" w:hAnsi="Arial Narrow" w:cs="Arial"/>
          <w:color w:val="5F5F5F"/>
          <w:sz w:val="20"/>
        </w:rPr>
        <w:t>2024</w:t>
      </w:r>
      <w:r w:rsidR="00927B16">
        <w:rPr>
          <w:noProof/>
        </w:rPr>
        <w:drawing>
          <wp:inline distT="0" distB="0" distL="0" distR="0">
            <wp:extent cx="6660000" cy="2160000"/>
            <wp:effectExtent l="0" t="0" r="7620" b="0"/>
            <wp:docPr id="18" name="Gra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41A5D" w:rsidRPr="009C2B9D" w:rsidRDefault="00041A5D" w:rsidP="00E32477">
      <w:pPr>
        <w:pStyle w:val="Corpodeltesto"/>
        <w:numPr>
          <w:ilvl w:val="0"/>
          <w:numId w:val="30"/>
        </w:numPr>
        <w:tabs>
          <w:tab w:val="left" w:pos="284"/>
        </w:tabs>
        <w:spacing w:before="60" w:after="120" w:line="240" w:lineRule="auto"/>
        <w:jc w:val="both"/>
        <w:rPr>
          <w:rFonts w:cs="Arial"/>
          <w:sz w:val="15"/>
        </w:rPr>
      </w:pPr>
      <w:r w:rsidRPr="009C2B9D">
        <w:rPr>
          <w:rFonts w:cs="Arial"/>
          <w:sz w:val="15"/>
        </w:rPr>
        <w:t xml:space="preserve">Il dato </w:t>
      </w:r>
      <w:r w:rsidR="009C2B9D" w:rsidRPr="009C2B9D">
        <w:rPr>
          <w:rFonts w:cs="Arial"/>
          <w:sz w:val="15"/>
        </w:rPr>
        <w:t xml:space="preserve">preliminare </w:t>
      </w:r>
      <w:r w:rsidRPr="009C2B9D">
        <w:rPr>
          <w:rFonts w:cs="Arial"/>
          <w:sz w:val="15"/>
        </w:rPr>
        <w:t xml:space="preserve">del Regno Unito </w:t>
      </w:r>
      <w:r w:rsidR="00897276" w:rsidRPr="009C2B9D">
        <w:rPr>
          <w:rFonts w:cs="Arial"/>
          <w:sz w:val="15"/>
        </w:rPr>
        <w:t xml:space="preserve">non comprende l’Irlanda del Nord </w:t>
      </w:r>
      <w:r w:rsidRPr="009C2B9D">
        <w:rPr>
          <w:rFonts w:cs="Arial"/>
          <w:sz w:val="15"/>
        </w:rPr>
        <w:t>(</w:t>
      </w:r>
      <w:r w:rsidR="005D5D9F" w:rsidRPr="009C2B9D">
        <w:rPr>
          <w:rFonts w:cs="Arial"/>
          <w:sz w:val="15"/>
        </w:rPr>
        <w:t xml:space="preserve">si </w:t>
      </w:r>
      <w:r w:rsidRPr="009C2B9D">
        <w:rPr>
          <w:rFonts w:cs="Arial"/>
          <w:sz w:val="15"/>
        </w:rPr>
        <w:t>ved</w:t>
      </w:r>
      <w:r w:rsidR="005D5D9F" w:rsidRPr="009C2B9D">
        <w:rPr>
          <w:rFonts w:cs="Arial"/>
          <w:sz w:val="15"/>
        </w:rPr>
        <w:t>ala N</w:t>
      </w:r>
      <w:r w:rsidRPr="009C2B9D">
        <w:rPr>
          <w:rFonts w:cs="Arial"/>
          <w:sz w:val="15"/>
        </w:rPr>
        <w:t>ota metodologica).</w:t>
      </w:r>
    </w:p>
    <w:p w:rsidR="00A651E1" w:rsidRDefault="00A651E1">
      <w:pPr>
        <w:rPr>
          <w:rStyle w:val="001TitoGraRed"/>
          <w:rFonts w:ascii="Arial Narrow" w:hAnsi="Arial Narrow"/>
          <w:b/>
          <w:color w:val="E42618"/>
          <w:sz w:val="14"/>
          <w:szCs w:val="22"/>
        </w:rPr>
      </w:pPr>
    </w:p>
    <w:p w:rsidR="000067EB" w:rsidRPr="009B710E" w:rsidRDefault="000067EB">
      <w:pPr>
        <w:rPr>
          <w:rStyle w:val="001TitoGraRed"/>
          <w:rFonts w:ascii="Arial Narrow" w:hAnsi="Arial Narrow"/>
          <w:b/>
          <w:color w:val="E42618"/>
          <w:sz w:val="14"/>
          <w:szCs w:val="22"/>
        </w:rPr>
      </w:pPr>
    </w:p>
    <w:p w:rsidR="00A651E1" w:rsidRDefault="00E777A0" w:rsidP="00BD1526">
      <w:pPr>
        <w:outlineLvl w:val="0"/>
        <w:rPr>
          <w:rFonts w:ascii="Arial Narrow" w:hAnsi="Arial Narrow" w:cs="Arial"/>
          <w:b/>
          <w:bCs/>
          <w:color w:val="5F5F5F"/>
          <w:sz w:val="22"/>
          <w:szCs w:val="22"/>
        </w:rPr>
      </w:pPr>
      <w:r>
        <w:rPr>
          <w:rStyle w:val="001TitoGraRed"/>
          <w:rFonts w:ascii="Arial Narrow" w:hAnsi="Arial Narrow"/>
          <w:b/>
          <w:color w:val="E42618"/>
          <w:sz w:val="22"/>
          <w:szCs w:val="22"/>
        </w:rPr>
        <w:t>FIGURA 5.</w:t>
      </w:r>
      <w:r>
        <w:rPr>
          <w:rFonts w:ascii="Arial Narrow" w:hAnsi="Arial Narrow" w:cs="Arial"/>
          <w:b/>
          <w:bCs/>
          <w:color w:val="5F5F5F"/>
          <w:sz w:val="22"/>
          <w:szCs w:val="22"/>
        </w:rPr>
        <w:t>PRINCIPALI PARTNER COMMERCIALI EXTRAUE</w:t>
      </w:r>
      <w:r w:rsidR="006A6DA2">
        <w:rPr>
          <w:rFonts w:ascii="Arial Narrow" w:hAnsi="Arial Narrow" w:cs="Arial"/>
          <w:b/>
          <w:bCs/>
          <w:color w:val="5F5F5F"/>
          <w:sz w:val="22"/>
          <w:szCs w:val="22"/>
        </w:rPr>
        <w:t xml:space="preserve">27 </w:t>
      </w:r>
      <w:r w:rsidR="00041A5D">
        <w:rPr>
          <w:rFonts w:ascii="Arial Narrow" w:hAnsi="Arial Narrow" w:cs="Arial"/>
          <w:b/>
          <w:bCs/>
          <w:color w:val="5F5F5F"/>
          <w:sz w:val="22"/>
          <w:szCs w:val="22"/>
        </w:rPr>
        <w:t>(</w:t>
      </w:r>
      <w:r w:rsidR="00E32477">
        <w:rPr>
          <w:rFonts w:ascii="Arial Narrow" w:hAnsi="Arial Narrow" w:cs="Arial"/>
          <w:b/>
          <w:bCs/>
          <w:color w:val="5F5F5F"/>
          <w:sz w:val="22"/>
          <w:szCs w:val="22"/>
        </w:rPr>
        <w:t>a</w:t>
      </w:r>
      <w:r w:rsidR="00041A5D">
        <w:rPr>
          <w:rFonts w:ascii="Arial Narrow" w:hAnsi="Arial Narrow" w:cs="Arial"/>
          <w:b/>
          <w:bCs/>
          <w:color w:val="5F5F5F"/>
          <w:sz w:val="22"/>
          <w:szCs w:val="22"/>
        </w:rPr>
        <w:t>)</w:t>
      </w:r>
      <w:r>
        <w:rPr>
          <w:rFonts w:ascii="Arial Narrow" w:hAnsi="Arial Narrow" w:cs="Arial"/>
          <w:b/>
          <w:bCs/>
          <w:color w:val="5F5F5F"/>
          <w:sz w:val="22"/>
          <w:szCs w:val="22"/>
        </w:rPr>
        <w:t>: SALDI COMMERCIALI IN MILIONI DI EURO</w:t>
      </w:r>
    </w:p>
    <w:p w:rsidR="009C2B9D" w:rsidRDefault="00A312F1" w:rsidP="00B01DC7">
      <w:pPr>
        <w:pStyle w:val="Corpodeltesto"/>
        <w:spacing w:line="240" w:lineRule="auto"/>
        <w:rPr>
          <w:rStyle w:val="001TitoGraRed"/>
          <w:rFonts w:ascii="Arial Narrow" w:hAnsi="Arial Narrow"/>
          <w:b/>
          <w:color w:val="E42618"/>
          <w:sz w:val="22"/>
          <w:szCs w:val="22"/>
        </w:rPr>
      </w:pPr>
      <w:r>
        <w:rPr>
          <w:rFonts w:ascii="Arial Narrow" w:hAnsi="Arial Narrow" w:cs="Arial"/>
          <w:color w:val="5F5F5F"/>
          <w:sz w:val="20"/>
        </w:rPr>
        <w:t xml:space="preserve">Marzo </w:t>
      </w:r>
      <w:r w:rsidR="00B01DC7">
        <w:rPr>
          <w:rFonts w:ascii="Arial Narrow" w:hAnsi="Arial Narrow" w:cs="Arial"/>
          <w:color w:val="5F5F5F"/>
          <w:sz w:val="20"/>
        </w:rPr>
        <w:t>2024</w:t>
      </w:r>
      <w:r w:rsidR="00927B16">
        <w:rPr>
          <w:noProof/>
        </w:rPr>
        <w:drawing>
          <wp:inline distT="0" distB="0" distL="0" distR="0">
            <wp:extent cx="6660000" cy="2160000"/>
            <wp:effectExtent l="0" t="0" r="7620" b="0"/>
            <wp:docPr id="19" name="Gra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067EB" w:rsidRPr="009C2B9D" w:rsidRDefault="000067EB" w:rsidP="000067EB">
      <w:pPr>
        <w:pStyle w:val="Corpodeltesto"/>
        <w:numPr>
          <w:ilvl w:val="0"/>
          <w:numId w:val="31"/>
        </w:numPr>
        <w:tabs>
          <w:tab w:val="left" w:pos="284"/>
        </w:tabs>
        <w:spacing w:before="60" w:after="120" w:line="240" w:lineRule="auto"/>
        <w:jc w:val="both"/>
        <w:rPr>
          <w:rFonts w:cs="Arial"/>
          <w:sz w:val="15"/>
        </w:rPr>
      </w:pPr>
      <w:r w:rsidRPr="009C2B9D">
        <w:rPr>
          <w:rFonts w:cs="Arial"/>
          <w:sz w:val="15"/>
        </w:rPr>
        <w:t xml:space="preserve">Il dato preliminare del Regno Unito non comprende l’Irlanda del Nord (si veda la Nota metodologica). </w:t>
      </w:r>
    </w:p>
    <w:p w:rsidR="000067EB" w:rsidRDefault="000067EB">
      <w:pPr>
        <w:pStyle w:val="Corpodeltesto"/>
        <w:spacing w:line="240" w:lineRule="auto"/>
        <w:jc w:val="both"/>
        <w:rPr>
          <w:rStyle w:val="001TitoGraRed"/>
          <w:rFonts w:ascii="Arial Narrow" w:hAnsi="Arial Narrow"/>
          <w:b/>
          <w:color w:val="E42618"/>
          <w:sz w:val="22"/>
          <w:szCs w:val="22"/>
        </w:rPr>
      </w:pPr>
    </w:p>
    <w:p w:rsidR="00A651E1" w:rsidRDefault="00E777A0">
      <w:pPr>
        <w:pStyle w:val="Corpodeltesto"/>
        <w:spacing w:line="240" w:lineRule="auto"/>
        <w:jc w:val="both"/>
        <w:rPr>
          <w:rFonts w:ascii="Arial" w:hAnsi="Arial" w:cs="Arial"/>
          <w:sz w:val="17"/>
        </w:rPr>
      </w:pPr>
      <w:r>
        <w:rPr>
          <w:rStyle w:val="001TitoGraRed"/>
          <w:rFonts w:ascii="Arial Narrow" w:hAnsi="Arial Narrow"/>
          <w:b/>
          <w:color w:val="E42618"/>
          <w:sz w:val="22"/>
          <w:szCs w:val="22"/>
        </w:rPr>
        <w:t>PROSPETTO 2.</w:t>
      </w:r>
      <w:r>
        <w:rPr>
          <w:rFonts w:ascii="Arial Narrow" w:hAnsi="Arial Narrow" w:cs="Arial"/>
          <w:b/>
          <w:color w:val="5F5F5F"/>
          <w:sz w:val="22"/>
          <w:szCs w:val="22"/>
        </w:rPr>
        <w:t>ESPORTAZIONI</w:t>
      </w:r>
      <w:r>
        <w:rPr>
          <w:rFonts w:ascii="Arial Narrow" w:hAnsi="Arial Narrow" w:cs="Arial"/>
          <w:color w:val="5F5F5F"/>
          <w:sz w:val="22"/>
          <w:szCs w:val="22"/>
        </w:rPr>
        <w:t xml:space="preserve">, </w:t>
      </w:r>
      <w:r>
        <w:rPr>
          <w:rFonts w:ascii="Arial Narrow" w:hAnsi="Arial Narrow" w:cs="Arial"/>
          <w:b/>
          <w:color w:val="5F5F5F"/>
          <w:sz w:val="22"/>
          <w:szCs w:val="22"/>
        </w:rPr>
        <w:t>IMPORTAZIONI E SALDI DELLA BILANCIA COMMERCIALE CON I PAESI EXTRA UE</w:t>
      </w:r>
      <w:r w:rsidR="006A6DA2">
        <w:rPr>
          <w:rFonts w:ascii="Arial Narrow" w:hAnsi="Arial Narrow" w:cs="Arial"/>
          <w:b/>
          <w:color w:val="5F5F5F"/>
          <w:sz w:val="22"/>
          <w:szCs w:val="22"/>
        </w:rPr>
        <w:t xml:space="preserve">27 </w:t>
      </w:r>
      <w:r>
        <w:rPr>
          <w:rFonts w:ascii="Arial Narrow" w:hAnsi="Arial Narrow" w:cs="Arial"/>
          <w:b/>
          <w:color w:val="5F5F5F"/>
          <w:sz w:val="22"/>
          <w:szCs w:val="22"/>
        </w:rPr>
        <w:t>PER RAGGRUPPAMENTO PRINCIPALE DI INDUSTRIE</w:t>
      </w:r>
      <w:r w:rsidR="002F15C9">
        <w:rPr>
          <w:rFonts w:ascii="Arial Narrow" w:hAnsi="Arial Narrow" w:cs="Arial"/>
          <w:b/>
          <w:color w:val="5F5F5F"/>
          <w:sz w:val="22"/>
          <w:szCs w:val="22"/>
        </w:rPr>
        <w:t xml:space="preserve"> (a)</w:t>
      </w:r>
    </w:p>
    <w:p w:rsidR="00A651E1" w:rsidRPr="00AE5C79" w:rsidRDefault="00A312F1" w:rsidP="00BD1526">
      <w:pPr>
        <w:pStyle w:val="Corpodeltesto"/>
        <w:spacing w:after="120" w:line="240" w:lineRule="auto"/>
        <w:jc w:val="both"/>
        <w:outlineLvl w:val="0"/>
        <w:rPr>
          <w:rFonts w:ascii="Arial Narrow" w:hAnsi="Arial Narrow" w:cs="Arial"/>
          <w:color w:val="5F5F5F"/>
          <w:sz w:val="20"/>
        </w:rPr>
      </w:pPr>
      <w:r>
        <w:rPr>
          <w:rFonts w:ascii="Arial Narrow" w:hAnsi="Arial Narrow" w:cs="Arial"/>
          <w:color w:val="5F5F5F"/>
          <w:sz w:val="20"/>
        </w:rPr>
        <w:t xml:space="preserve">Marzo </w:t>
      </w:r>
      <w:r w:rsidR="00B01DC7">
        <w:rPr>
          <w:rFonts w:ascii="Arial Narrow" w:hAnsi="Arial Narrow" w:cs="Arial"/>
          <w:color w:val="5F5F5F"/>
          <w:sz w:val="20"/>
        </w:rPr>
        <w:t>2024</w:t>
      </w:r>
      <w:r w:rsidR="00E777A0" w:rsidRPr="00AE5C79">
        <w:rPr>
          <w:rFonts w:ascii="Arial Narrow" w:hAnsi="Arial Narrow" w:cs="Arial"/>
          <w:color w:val="5F5F5F"/>
          <w:sz w:val="20"/>
        </w:rPr>
        <w:t>, dati destagionalizzati e grezzi, variazioni percentuali congiunturali e tendenziali e saldi</w:t>
      </w:r>
    </w:p>
    <w:tbl>
      <w:tblPr>
        <w:tblW w:w="1056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A0"/>
      </w:tblPr>
      <w:tblGrid>
        <w:gridCol w:w="1625"/>
        <w:gridCol w:w="712"/>
        <w:gridCol w:w="1137"/>
        <w:gridCol w:w="633"/>
        <w:gridCol w:w="994"/>
        <w:gridCol w:w="6"/>
        <w:gridCol w:w="705"/>
        <w:gridCol w:w="1206"/>
        <w:gridCol w:w="731"/>
        <w:gridCol w:w="970"/>
        <w:gridCol w:w="850"/>
        <w:gridCol w:w="993"/>
      </w:tblGrid>
      <w:tr w:rsidR="00246AB1" w:rsidTr="00484E64">
        <w:trPr>
          <w:trHeight w:val="255"/>
        </w:trPr>
        <w:tc>
          <w:tcPr>
            <w:tcW w:w="1625" w:type="dxa"/>
            <w:vMerge w:val="restart"/>
            <w:vAlign w:val="center"/>
          </w:tcPr>
          <w:p w:rsidR="00246AB1" w:rsidRDefault="00246AB1" w:rsidP="00484E64">
            <w:pPr>
              <w:spacing w:before="40" w:after="20"/>
              <w:rPr>
                <w:rFonts w:ascii="Arial Narrow" w:hAnsi="Arial Narrow"/>
                <w:b/>
                <w:sz w:val="18"/>
              </w:rPr>
            </w:pPr>
            <w:r>
              <w:rPr>
                <w:rFonts w:ascii="Arial Narrow" w:hAnsi="Arial Narrow"/>
                <w:b/>
                <w:sz w:val="18"/>
              </w:rPr>
              <w:t xml:space="preserve">RAGGRUPPAMENTI PRINCIPALI </w:t>
            </w:r>
            <w:r>
              <w:rPr>
                <w:rFonts w:ascii="Arial Narrow" w:hAnsi="Arial Narrow"/>
                <w:b/>
                <w:sz w:val="18"/>
              </w:rPr>
              <w:br/>
              <w:t>DI INDUSTRIE</w:t>
            </w:r>
          </w:p>
        </w:tc>
        <w:tc>
          <w:tcPr>
            <w:tcW w:w="3476" w:type="dxa"/>
            <w:gridSpan w:val="4"/>
            <w:shd w:val="clear" w:color="auto" w:fill="D9D9D9"/>
            <w:vAlign w:val="center"/>
          </w:tcPr>
          <w:p w:rsidR="00246AB1" w:rsidRDefault="00246AB1" w:rsidP="00484E64">
            <w:pPr>
              <w:spacing w:before="40" w:after="20"/>
              <w:jc w:val="center"/>
              <w:rPr>
                <w:rFonts w:ascii="Arial Narrow" w:hAnsi="Arial Narrow"/>
                <w:sz w:val="18"/>
              </w:rPr>
            </w:pPr>
            <w:r>
              <w:rPr>
                <w:rFonts w:ascii="Arial Narrow" w:hAnsi="Arial Narrow" w:cs="Arial"/>
                <w:b/>
                <w:sz w:val="18"/>
              </w:rPr>
              <w:t>ESPORTAZIONI</w:t>
            </w:r>
          </w:p>
        </w:tc>
        <w:tc>
          <w:tcPr>
            <w:tcW w:w="3618" w:type="dxa"/>
            <w:gridSpan w:val="5"/>
            <w:shd w:val="clear" w:color="auto" w:fill="FFFFFF"/>
            <w:vAlign w:val="center"/>
          </w:tcPr>
          <w:p w:rsidR="00246AB1" w:rsidRDefault="00246AB1" w:rsidP="00484E64">
            <w:pPr>
              <w:spacing w:before="40" w:after="20"/>
              <w:jc w:val="center"/>
              <w:rPr>
                <w:rFonts w:ascii="Arial Narrow" w:hAnsi="Arial Narrow" w:cs="Arial"/>
                <w:b/>
                <w:sz w:val="18"/>
              </w:rPr>
            </w:pPr>
            <w:r>
              <w:rPr>
                <w:rFonts w:ascii="Arial Narrow" w:hAnsi="Arial Narrow" w:cs="Arial"/>
                <w:b/>
                <w:sz w:val="18"/>
              </w:rPr>
              <w:t>IMPORTAZIONI</w:t>
            </w:r>
          </w:p>
        </w:tc>
        <w:tc>
          <w:tcPr>
            <w:tcW w:w="1843" w:type="dxa"/>
            <w:gridSpan w:val="2"/>
            <w:shd w:val="clear" w:color="auto" w:fill="D9D9D9"/>
            <w:vAlign w:val="center"/>
          </w:tcPr>
          <w:p w:rsidR="00246AB1" w:rsidRDefault="00246AB1" w:rsidP="00484E64">
            <w:pPr>
              <w:spacing w:before="40" w:after="20"/>
              <w:jc w:val="center"/>
              <w:rPr>
                <w:rFonts w:ascii="Arial Narrow" w:hAnsi="Arial Narrow" w:cs="Arial"/>
                <w:b/>
                <w:sz w:val="18"/>
              </w:rPr>
            </w:pPr>
            <w:r>
              <w:rPr>
                <w:rFonts w:ascii="Arial Narrow" w:hAnsi="Arial Narrow" w:cs="Arial"/>
                <w:b/>
                <w:sz w:val="18"/>
              </w:rPr>
              <w:t>SALDI</w:t>
            </w:r>
          </w:p>
        </w:tc>
      </w:tr>
      <w:tr w:rsidR="00246AB1" w:rsidTr="00484E64">
        <w:trPr>
          <w:trHeight w:val="255"/>
        </w:trPr>
        <w:tc>
          <w:tcPr>
            <w:tcW w:w="1625" w:type="dxa"/>
            <w:vMerge/>
            <w:vAlign w:val="center"/>
          </w:tcPr>
          <w:p w:rsidR="00246AB1" w:rsidRDefault="00246AB1" w:rsidP="00484E64">
            <w:pPr>
              <w:spacing w:before="40" w:after="20"/>
              <w:rPr>
                <w:rFonts w:ascii="Arial Narrow" w:hAnsi="Arial Narrow"/>
                <w:sz w:val="18"/>
              </w:rPr>
            </w:pPr>
          </w:p>
        </w:tc>
        <w:tc>
          <w:tcPr>
            <w:tcW w:w="1849" w:type="dxa"/>
            <w:gridSpan w:val="2"/>
            <w:shd w:val="clear" w:color="auto" w:fill="FFFFFF"/>
            <w:vAlign w:val="center"/>
          </w:tcPr>
          <w:p w:rsidR="00246AB1" w:rsidRDefault="00246AB1" w:rsidP="00484E64">
            <w:pPr>
              <w:spacing w:before="40" w:after="20"/>
              <w:jc w:val="center"/>
              <w:rPr>
                <w:rFonts w:ascii="Arial Narrow" w:hAnsi="Arial Narrow"/>
                <w:b/>
                <w:sz w:val="18"/>
              </w:rPr>
            </w:pPr>
            <w:r>
              <w:rPr>
                <w:rFonts w:ascii="Arial Narrow" w:hAnsi="Arial Narrow"/>
                <w:b/>
                <w:sz w:val="18"/>
              </w:rPr>
              <w:t>Dati destagionalizzati</w:t>
            </w:r>
          </w:p>
        </w:tc>
        <w:tc>
          <w:tcPr>
            <w:tcW w:w="1633" w:type="dxa"/>
            <w:gridSpan w:val="3"/>
            <w:shd w:val="clear" w:color="auto" w:fill="D9D9D9"/>
            <w:vAlign w:val="center"/>
          </w:tcPr>
          <w:p w:rsidR="00246AB1" w:rsidRDefault="00246AB1" w:rsidP="00484E64">
            <w:pPr>
              <w:spacing w:before="40" w:after="20"/>
              <w:jc w:val="center"/>
              <w:rPr>
                <w:rFonts w:ascii="Arial Narrow" w:hAnsi="Arial Narrow"/>
                <w:b/>
                <w:sz w:val="18"/>
              </w:rPr>
            </w:pPr>
            <w:r>
              <w:rPr>
                <w:rFonts w:ascii="Arial Narrow" w:hAnsi="Arial Narrow"/>
                <w:b/>
                <w:sz w:val="18"/>
              </w:rPr>
              <w:t>Dati grezzi</w:t>
            </w:r>
          </w:p>
        </w:tc>
        <w:tc>
          <w:tcPr>
            <w:tcW w:w="1911" w:type="dxa"/>
            <w:gridSpan w:val="2"/>
            <w:shd w:val="clear" w:color="auto" w:fill="FFFFFF"/>
            <w:vAlign w:val="center"/>
          </w:tcPr>
          <w:p w:rsidR="00246AB1" w:rsidRDefault="00246AB1" w:rsidP="00484E64">
            <w:pPr>
              <w:spacing w:before="40" w:after="20"/>
              <w:jc w:val="center"/>
              <w:rPr>
                <w:rFonts w:ascii="Arial Narrow" w:hAnsi="Arial Narrow"/>
                <w:b/>
                <w:sz w:val="18"/>
              </w:rPr>
            </w:pPr>
            <w:r>
              <w:rPr>
                <w:rFonts w:ascii="Arial Narrow" w:hAnsi="Arial Narrow"/>
                <w:b/>
                <w:sz w:val="18"/>
              </w:rPr>
              <w:t>Dati destagionalizzati</w:t>
            </w:r>
          </w:p>
        </w:tc>
        <w:tc>
          <w:tcPr>
            <w:tcW w:w="1701" w:type="dxa"/>
            <w:gridSpan w:val="2"/>
            <w:shd w:val="clear" w:color="auto" w:fill="D9D9D9"/>
            <w:vAlign w:val="center"/>
          </w:tcPr>
          <w:p w:rsidR="00246AB1" w:rsidRDefault="00246AB1" w:rsidP="00484E64">
            <w:pPr>
              <w:spacing w:before="40" w:after="20"/>
              <w:jc w:val="center"/>
              <w:rPr>
                <w:rFonts w:ascii="Arial Narrow" w:hAnsi="Arial Narrow"/>
                <w:b/>
                <w:sz w:val="18"/>
              </w:rPr>
            </w:pPr>
            <w:r>
              <w:rPr>
                <w:rFonts w:ascii="Arial Narrow" w:hAnsi="Arial Narrow"/>
                <w:b/>
                <w:sz w:val="18"/>
              </w:rPr>
              <w:t>Dati grezzi</w:t>
            </w:r>
          </w:p>
        </w:tc>
        <w:tc>
          <w:tcPr>
            <w:tcW w:w="1843" w:type="dxa"/>
            <w:gridSpan w:val="2"/>
            <w:shd w:val="clear" w:color="auto" w:fill="FFFFFF"/>
            <w:vAlign w:val="center"/>
          </w:tcPr>
          <w:p w:rsidR="00246AB1" w:rsidRDefault="00246AB1" w:rsidP="00484E64">
            <w:pPr>
              <w:spacing w:before="40" w:after="20"/>
              <w:jc w:val="center"/>
              <w:rPr>
                <w:rFonts w:ascii="Arial Narrow" w:hAnsi="Arial Narrow"/>
                <w:b/>
                <w:sz w:val="18"/>
              </w:rPr>
            </w:pPr>
            <w:r>
              <w:rPr>
                <w:rFonts w:ascii="Arial Narrow" w:hAnsi="Arial Narrow"/>
                <w:b/>
                <w:sz w:val="18"/>
              </w:rPr>
              <w:t>Dati grezzi</w:t>
            </w:r>
          </w:p>
          <w:p w:rsidR="00246AB1" w:rsidRDefault="00246AB1" w:rsidP="00484E64">
            <w:pPr>
              <w:spacing w:before="40" w:after="20"/>
              <w:jc w:val="center"/>
              <w:rPr>
                <w:rFonts w:ascii="Arial Narrow" w:hAnsi="Arial Narrow"/>
                <w:b/>
                <w:sz w:val="18"/>
              </w:rPr>
            </w:pPr>
            <w:r>
              <w:rPr>
                <w:rFonts w:ascii="Arial Narrow" w:hAnsi="Arial Narrow"/>
                <w:b/>
                <w:sz w:val="18"/>
              </w:rPr>
              <w:t>Milioni di euro</w:t>
            </w:r>
          </w:p>
        </w:tc>
      </w:tr>
      <w:tr w:rsidR="00A312F1" w:rsidTr="00484E64">
        <w:trPr>
          <w:trHeight w:val="267"/>
        </w:trPr>
        <w:tc>
          <w:tcPr>
            <w:tcW w:w="1625" w:type="dxa"/>
            <w:vMerge/>
            <w:vAlign w:val="center"/>
          </w:tcPr>
          <w:p w:rsidR="00A312F1" w:rsidRDefault="00A312F1" w:rsidP="00A312F1">
            <w:pPr>
              <w:spacing w:before="40" w:after="20"/>
              <w:rPr>
                <w:rFonts w:ascii="Arial Narrow" w:hAnsi="Arial Narrow"/>
                <w:sz w:val="18"/>
              </w:rPr>
            </w:pPr>
          </w:p>
        </w:tc>
        <w:tc>
          <w:tcPr>
            <w:tcW w:w="712" w:type="dxa"/>
            <w:vMerge w:val="restart"/>
            <w:shd w:val="clear" w:color="auto" w:fill="FFFFFF"/>
            <w:vAlign w:val="center"/>
          </w:tcPr>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u w:val="single"/>
              </w:rPr>
              <w:t>mar 24</w:t>
            </w:r>
          </w:p>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rPr>
              <w:t>feb 24</w:t>
            </w:r>
          </w:p>
        </w:tc>
        <w:tc>
          <w:tcPr>
            <w:tcW w:w="1137" w:type="dxa"/>
            <w:vMerge w:val="restart"/>
            <w:shd w:val="clear" w:color="auto" w:fill="FFFFFF"/>
            <w:vAlign w:val="center"/>
          </w:tcPr>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u w:val="single"/>
              </w:rPr>
              <w:t>gen-mar 24</w:t>
            </w:r>
          </w:p>
          <w:p w:rsidR="00A312F1" w:rsidRDefault="00A312F1" w:rsidP="00A312F1">
            <w:pPr>
              <w:spacing w:before="40" w:after="20"/>
              <w:jc w:val="center"/>
              <w:rPr>
                <w:rFonts w:ascii="Arial Narrow" w:hAnsi="Arial Narrow"/>
                <w:sz w:val="18"/>
                <w:szCs w:val="18"/>
              </w:rPr>
            </w:pPr>
            <w:r>
              <w:rPr>
                <w:rFonts w:ascii="Arial Narrow" w:hAnsi="Arial Narrow"/>
                <w:sz w:val="18"/>
                <w:szCs w:val="18"/>
              </w:rPr>
              <w:t>ott-dic 23</w:t>
            </w:r>
          </w:p>
        </w:tc>
        <w:tc>
          <w:tcPr>
            <w:tcW w:w="633" w:type="dxa"/>
            <w:vMerge w:val="restart"/>
            <w:shd w:val="clear" w:color="auto" w:fill="FFFFFF"/>
            <w:vAlign w:val="center"/>
          </w:tcPr>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u w:val="single"/>
              </w:rPr>
              <w:t>mar 24</w:t>
            </w:r>
          </w:p>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rPr>
              <w:t>mar 23</w:t>
            </w:r>
          </w:p>
        </w:tc>
        <w:tc>
          <w:tcPr>
            <w:tcW w:w="1000" w:type="dxa"/>
            <w:gridSpan w:val="2"/>
            <w:vMerge w:val="restart"/>
            <w:shd w:val="clear" w:color="auto" w:fill="FFFFFF"/>
            <w:vAlign w:val="center"/>
          </w:tcPr>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u w:val="single"/>
              </w:rPr>
              <w:t>gen-mar 24</w:t>
            </w:r>
          </w:p>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rPr>
              <w:t>gen-mar 23</w:t>
            </w:r>
          </w:p>
        </w:tc>
        <w:tc>
          <w:tcPr>
            <w:tcW w:w="705" w:type="dxa"/>
            <w:vMerge w:val="restart"/>
            <w:shd w:val="clear" w:color="auto" w:fill="FFFFFF"/>
            <w:vAlign w:val="center"/>
          </w:tcPr>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u w:val="single"/>
              </w:rPr>
              <w:t>mar 24</w:t>
            </w:r>
          </w:p>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rPr>
              <w:t>feb 24</w:t>
            </w:r>
          </w:p>
        </w:tc>
        <w:tc>
          <w:tcPr>
            <w:tcW w:w="1206" w:type="dxa"/>
            <w:vMerge w:val="restart"/>
            <w:shd w:val="clear" w:color="auto" w:fill="FFFFFF"/>
            <w:vAlign w:val="center"/>
          </w:tcPr>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u w:val="single"/>
              </w:rPr>
              <w:t>gen-mar 24</w:t>
            </w:r>
          </w:p>
          <w:p w:rsidR="00A312F1" w:rsidRDefault="00A312F1" w:rsidP="00A312F1">
            <w:pPr>
              <w:spacing w:before="40" w:after="20"/>
              <w:jc w:val="center"/>
              <w:rPr>
                <w:rFonts w:ascii="Arial Narrow" w:hAnsi="Arial Narrow"/>
                <w:sz w:val="18"/>
                <w:szCs w:val="18"/>
              </w:rPr>
            </w:pPr>
            <w:r>
              <w:rPr>
                <w:rFonts w:ascii="Arial Narrow" w:hAnsi="Arial Narrow"/>
                <w:sz w:val="18"/>
                <w:szCs w:val="18"/>
              </w:rPr>
              <w:t>ott-dic 23</w:t>
            </w:r>
          </w:p>
        </w:tc>
        <w:tc>
          <w:tcPr>
            <w:tcW w:w="731" w:type="dxa"/>
            <w:vMerge w:val="restart"/>
            <w:shd w:val="clear" w:color="auto" w:fill="FFFFFF"/>
            <w:vAlign w:val="center"/>
          </w:tcPr>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u w:val="single"/>
              </w:rPr>
              <w:t>mar 24</w:t>
            </w:r>
          </w:p>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rPr>
              <w:t>mar 23</w:t>
            </w:r>
          </w:p>
        </w:tc>
        <w:tc>
          <w:tcPr>
            <w:tcW w:w="970" w:type="dxa"/>
            <w:vMerge w:val="restart"/>
            <w:shd w:val="clear" w:color="auto" w:fill="FFFFFF"/>
            <w:vAlign w:val="center"/>
          </w:tcPr>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u w:val="single"/>
              </w:rPr>
              <w:t>gen-mar 24</w:t>
            </w:r>
          </w:p>
          <w:p w:rsidR="00A312F1" w:rsidRDefault="00A312F1" w:rsidP="00A312F1">
            <w:pPr>
              <w:spacing w:before="40" w:after="20"/>
              <w:jc w:val="center"/>
              <w:rPr>
                <w:rFonts w:ascii="Arial Narrow" w:hAnsi="Arial Narrow"/>
                <w:sz w:val="18"/>
                <w:szCs w:val="18"/>
                <w:u w:val="single"/>
              </w:rPr>
            </w:pPr>
            <w:r>
              <w:rPr>
                <w:rFonts w:ascii="Arial Narrow" w:hAnsi="Arial Narrow"/>
                <w:sz w:val="18"/>
                <w:szCs w:val="18"/>
              </w:rPr>
              <w:t>gen-mar 23</w:t>
            </w:r>
          </w:p>
        </w:tc>
        <w:tc>
          <w:tcPr>
            <w:tcW w:w="850" w:type="dxa"/>
            <w:vMerge w:val="restart"/>
            <w:shd w:val="clear" w:color="auto" w:fill="FFFFFF"/>
            <w:vAlign w:val="center"/>
          </w:tcPr>
          <w:p w:rsidR="00A312F1" w:rsidRDefault="00A312F1" w:rsidP="00A312F1">
            <w:pPr>
              <w:spacing w:before="40" w:after="20"/>
              <w:jc w:val="center"/>
              <w:rPr>
                <w:rFonts w:ascii="Arial Narrow" w:hAnsi="Arial Narrow"/>
                <w:sz w:val="18"/>
                <w:szCs w:val="18"/>
              </w:rPr>
            </w:pPr>
            <w:r>
              <w:rPr>
                <w:rFonts w:ascii="Arial Narrow" w:hAnsi="Arial Narrow"/>
                <w:sz w:val="18"/>
                <w:szCs w:val="18"/>
              </w:rPr>
              <w:t>mar 2024</w:t>
            </w:r>
          </w:p>
        </w:tc>
        <w:tc>
          <w:tcPr>
            <w:tcW w:w="993" w:type="dxa"/>
            <w:vMerge w:val="restart"/>
            <w:shd w:val="clear" w:color="auto" w:fill="FFFFFF"/>
            <w:vAlign w:val="center"/>
          </w:tcPr>
          <w:p w:rsidR="00A312F1" w:rsidRDefault="00A312F1" w:rsidP="00A312F1">
            <w:pPr>
              <w:spacing w:before="40" w:after="20"/>
              <w:jc w:val="center"/>
              <w:rPr>
                <w:rFonts w:ascii="Arial Narrow" w:hAnsi="Arial Narrow"/>
                <w:sz w:val="18"/>
                <w:szCs w:val="18"/>
              </w:rPr>
            </w:pPr>
            <w:r>
              <w:rPr>
                <w:rFonts w:ascii="Arial Narrow" w:hAnsi="Arial Narrow"/>
                <w:sz w:val="18"/>
                <w:szCs w:val="18"/>
              </w:rPr>
              <w:t>gen-mar 24</w:t>
            </w:r>
          </w:p>
        </w:tc>
      </w:tr>
      <w:tr w:rsidR="00246AB1" w:rsidTr="00484E64">
        <w:trPr>
          <w:trHeight w:val="427"/>
        </w:trPr>
        <w:tc>
          <w:tcPr>
            <w:tcW w:w="1625" w:type="dxa"/>
            <w:vMerge/>
            <w:tcBorders>
              <w:bottom w:val="single" w:sz="4" w:space="0" w:color="auto"/>
            </w:tcBorders>
            <w:vAlign w:val="center"/>
          </w:tcPr>
          <w:p w:rsidR="00246AB1" w:rsidRDefault="00246AB1" w:rsidP="00484E64">
            <w:pPr>
              <w:spacing w:before="40" w:after="20"/>
              <w:rPr>
                <w:rFonts w:ascii="Arial Narrow" w:hAnsi="Arial Narrow"/>
                <w:sz w:val="18"/>
              </w:rPr>
            </w:pPr>
          </w:p>
        </w:tc>
        <w:tc>
          <w:tcPr>
            <w:tcW w:w="712" w:type="dxa"/>
            <w:vMerge/>
            <w:tcBorders>
              <w:bottom w:val="single" w:sz="4" w:space="0" w:color="auto"/>
            </w:tcBorders>
            <w:shd w:val="clear" w:color="auto" w:fill="FFFFFF"/>
            <w:vAlign w:val="center"/>
          </w:tcPr>
          <w:p w:rsidR="00246AB1" w:rsidRDefault="00246AB1" w:rsidP="00484E64">
            <w:pPr>
              <w:spacing w:before="40" w:after="20"/>
              <w:jc w:val="center"/>
              <w:rPr>
                <w:sz w:val="16"/>
                <w:lang w:eastAsia="ar-SA"/>
              </w:rPr>
            </w:pPr>
          </w:p>
        </w:tc>
        <w:tc>
          <w:tcPr>
            <w:tcW w:w="1137" w:type="dxa"/>
            <w:vMerge/>
            <w:tcBorders>
              <w:bottom w:val="single" w:sz="4" w:space="0" w:color="auto"/>
            </w:tcBorders>
            <w:shd w:val="clear" w:color="auto" w:fill="FFFFFF"/>
            <w:vAlign w:val="center"/>
          </w:tcPr>
          <w:p w:rsidR="00246AB1" w:rsidRDefault="00246AB1" w:rsidP="00484E64">
            <w:pPr>
              <w:spacing w:before="40" w:after="20"/>
              <w:jc w:val="center"/>
              <w:rPr>
                <w:rFonts w:ascii="Arial Narrow" w:hAnsi="Arial Narrow"/>
                <w:sz w:val="16"/>
              </w:rPr>
            </w:pPr>
          </w:p>
        </w:tc>
        <w:tc>
          <w:tcPr>
            <w:tcW w:w="633" w:type="dxa"/>
            <w:vMerge/>
            <w:tcBorders>
              <w:bottom w:val="single" w:sz="4" w:space="0" w:color="auto"/>
            </w:tcBorders>
            <w:shd w:val="clear" w:color="auto" w:fill="FFFFFF"/>
            <w:vAlign w:val="center"/>
          </w:tcPr>
          <w:p w:rsidR="00246AB1" w:rsidRDefault="00246AB1" w:rsidP="00484E64">
            <w:pPr>
              <w:spacing w:before="40" w:after="20"/>
              <w:jc w:val="center"/>
              <w:rPr>
                <w:sz w:val="16"/>
                <w:lang w:eastAsia="ar-SA"/>
              </w:rPr>
            </w:pPr>
          </w:p>
        </w:tc>
        <w:tc>
          <w:tcPr>
            <w:tcW w:w="1000" w:type="dxa"/>
            <w:gridSpan w:val="2"/>
            <w:vMerge/>
            <w:tcBorders>
              <w:bottom w:val="single" w:sz="4" w:space="0" w:color="auto"/>
            </w:tcBorders>
            <w:shd w:val="clear" w:color="auto" w:fill="FFFFFF"/>
            <w:vAlign w:val="center"/>
          </w:tcPr>
          <w:p w:rsidR="00246AB1" w:rsidRDefault="00246AB1" w:rsidP="00484E64">
            <w:pPr>
              <w:spacing w:before="40" w:after="20"/>
              <w:jc w:val="center"/>
              <w:rPr>
                <w:rFonts w:ascii="Arial Narrow" w:hAnsi="Arial Narrow"/>
                <w:sz w:val="16"/>
              </w:rPr>
            </w:pPr>
          </w:p>
        </w:tc>
        <w:tc>
          <w:tcPr>
            <w:tcW w:w="705" w:type="dxa"/>
            <w:vMerge/>
            <w:tcBorders>
              <w:bottom w:val="single" w:sz="4" w:space="0" w:color="auto"/>
            </w:tcBorders>
            <w:shd w:val="clear" w:color="auto" w:fill="FFFFFF"/>
            <w:vAlign w:val="center"/>
          </w:tcPr>
          <w:p w:rsidR="00246AB1" w:rsidRDefault="00246AB1" w:rsidP="00484E64">
            <w:pPr>
              <w:spacing w:before="40" w:after="20"/>
              <w:jc w:val="center"/>
              <w:rPr>
                <w:sz w:val="16"/>
                <w:lang w:eastAsia="ar-SA"/>
              </w:rPr>
            </w:pPr>
          </w:p>
        </w:tc>
        <w:tc>
          <w:tcPr>
            <w:tcW w:w="1206" w:type="dxa"/>
            <w:vMerge/>
            <w:tcBorders>
              <w:bottom w:val="single" w:sz="4" w:space="0" w:color="auto"/>
            </w:tcBorders>
            <w:shd w:val="clear" w:color="auto" w:fill="FFFFFF"/>
            <w:vAlign w:val="center"/>
          </w:tcPr>
          <w:p w:rsidR="00246AB1" w:rsidRDefault="00246AB1" w:rsidP="00484E64">
            <w:pPr>
              <w:spacing w:before="40" w:after="20"/>
              <w:jc w:val="center"/>
              <w:rPr>
                <w:rFonts w:ascii="Arial Narrow" w:hAnsi="Arial Narrow"/>
                <w:sz w:val="16"/>
              </w:rPr>
            </w:pPr>
          </w:p>
        </w:tc>
        <w:tc>
          <w:tcPr>
            <w:tcW w:w="731" w:type="dxa"/>
            <w:vMerge/>
            <w:tcBorders>
              <w:bottom w:val="single" w:sz="4" w:space="0" w:color="auto"/>
            </w:tcBorders>
            <w:shd w:val="clear" w:color="auto" w:fill="FFFFFF"/>
            <w:vAlign w:val="center"/>
          </w:tcPr>
          <w:p w:rsidR="00246AB1" w:rsidRDefault="00246AB1" w:rsidP="00484E64">
            <w:pPr>
              <w:spacing w:before="40" w:after="20"/>
              <w:jc w:val="center"/>
              <w:rPr>
                <w:sz w:val="16"/>
                <w:lang w:eastAsia="ar-SA"/>
              </w:rPr>
            </w:pPr>
          </w:p>
        </w:tc>
        <w:tc>
          <w:tcPr>
            <w:tcW w:w="970" w:type="dxa"/>
            <w:vMerge/>
            <w:tcBorders>
              <w:bottom w:val="single" w:sz="4" w:space="0" w:color="auto"/>
            </w:tcBorders>
            <w:shd w:val="clear" w:color="auto" w:fill="FFFFFF"/>
            <w:vAlign w:val="center"/>
          </w:tcPr>
          <w:p w:rsidR="00246AB1" w:rsidRDefault="00246AB1" w:rsidP="00484E64">
            <w:pPr>
              <w:spacing w:before="40" w:after="20"/>
              <w:jc w:val="center"/>
              <w:rPr>
                <w:rFonts w:ascii="Arial Narrow" w:hAnsi="Arial Narrow"/>
                <w:sz w:val="16"/>
              </w:rPr>
            </w:pPr>
          </w:p>
        </w:tc>
        <w:tc>
          <w:tcPr>
            <w:tcW w:w="850" w:type="dxa"/>
            <w:vMerge/>
            <w:tcBorders>
              <w:bottom w:val="single" w:sz="4" w:space="0" w:color="auto"/>
            </w:tcBorders>
            <w:shd w:val="clear" w:color="auto" w:fill="FFFFFF"/>
            <w:vAlign w:val="center"/>
          </w:tcPr>
          <w:p w:rsidR="00246AB1" w:rsidRDefault="00246AB1" w:rsidP="00484E64">
            <w:pPr>
              <w:spacing w:before="40" w:after="20"/>
              <w:jc w:val="center"/>
              <w:rPr>
                <w:rFonts w:ascii="Arial Narrow" w:hAnsi="Arial Narrow"/>
                <w:sz w:val="16"/>
              </w:rPr>
            </w:pPr>
          </w:p>
        </w:tc>
        <w:tc>
          <w:tcPr>
            <w:tcW w:w="993" w:type="dxa"/>
            <w:vMerge/>
            <w:tcBorders>
              <w:bottom w:val="single" w:sz="4" w:space="0" w:color="auto"/>
            </w:tcBorders>
            <w:shd w:val="clear" w:color="auto" w:fill="FFFFFF"/>
            <w:vAlign w:val="center"/>
          </w:tcPr>
          <w:p w:rsidR="00246AB1" w:rsidRDefault="00246AB1" w:rsidP="00484E64">
            <w:pPr>
              <w:spacing w:before="40" w:after="20"/>
              <w:jc w:val="center"/>
              <w:rPr>
                <w:rFonts w:ascii="Arial Narrow" w:hAnsi="Arial Narrow"/>
                <w:sz w:val="16"/>
              </w:rPr>
            </w:pPr>
          </w:p>
        </w:tc>
      </w:tr>
      <w:tr w:rsidR="00927B16" w:rsidRPr="005D27EB" w:rsidTr="00927B16">
        <w:trPr>
          <w:trHeight w:val="255"/>
        </w:trPr>
        <w:tc>
          <w:tcPr>
            <w:tcW w:w="1625" w:type="dxa"/>
          </w:tcPr>
          <w:p w:rsidR="00927B16" w:rsidRDefault="00927B16" w:rsidP="00927B16">
            <w:pPr>
              <w:spacing w:before="40"/>
              <w:rPr>
                <w:rFonts w:ascii="Arial Narrow" w:hAnsi="Arial Narrow"/>
                <w:sz w:val="18"/>
              </w:rPr>
            </w:pPr>
            <w:r>
              <w:rPr>
                <w:rFonts w:ascii="Arial Narrow" w:hAnsi="Arial Narrow"/>
                <w:sz w:val="18"/>
              </w:rPr>
              <w:t>Beni di consumo</w:t>
            </w:r>
          </w:p>
        </w:tc>
        <w:tc>
          <w:tcPr>
            <w:tcW w:w="712"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+2,0</w:t>
            </w:r>
          </w:p>
        </w:tc>
        <w:tc>
          <w:tcPr>
            <w:tcW w:w="1137"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+2,1</w:t>
            </w:r>
          </w:p>
        </w:tc>
        <w:tc>
          <w:tcPr>
            <w:tcW w:w="633"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-3,0</w:t>
            </w:r>
          </w:p>
        </w:tc>
        <w:tc>
          <w:tcPr>
            <w:tcW w:w="1000" w:type="dxa"/>
            <w:gridSpan w:val="2"/>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-3,5</w:t>
            </w:r>
          </w:p>
        </w:tc>
        <w:tc>
          <w:tcPr>
            <w:tcW w:w="705"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+6,6</w:t>
            </w:r>
          </w:p>
        </w:tc>
        <w:tc>
          <w:tcPr>
            <w:tcW w:w="1206"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-1,1</w:t>
            </w:r>
          </w:p>
        </w:tc>
        <w:tc>
          <w:tcPr>
            <w:tcW w:w="731"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+4,5</w:t>
            </w:r>
          </w:p>
        </w:tc>
        <w:tc>
          <w:tcPr>
            <w:tcW w:w="970"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-0,2</w:t>
            </w:r>
          </w:p>
        </w:tc>
        <w:tc>
          <w:tcPr>
            <w:tcW w:w="850"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+4.747</w:t>
            </w:r>
          </w:p>
        </w:tc>
        <w:tc>
          <w:tcPr>
            <w:tcW w:w="993"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+13.809</w:t>
            </w:r>
          </w:p>
        </w:tc>
      </w:tr>
      <w:tr w:rsidR="00927B16" w:rsidRPr="005D27EB" w:rsidTr="00927B16">
        <w:trPr>
          <w:trHeight w:val="255"/>
        </w:trPr>
        <w:tc>
          <w:tcPr>
            <w:tcW w:w="1625" w:type="dxa"/>
          </w:tcPr>
          <w:p w:rsidR="00927B16" w:rsidRDefault="00927B16" w:rsidP="00927B16">
            <w:pPr>
              <w:spacing w:before="40"/>
              <w:rPr>
                <w:rFonts w:ascii="Arial Narrow" w:hAnsi="Arial Narrow"/>
                <w:sz w:val="18"/>
              </w:rPr>
            </w:pPr>
            <w:r>
              <w:rPr>
                <w:rFonts w:ascii="Arial Narrow" w:hAnsi="Arial Narrow"/>
                <w:sz w:val="18"/>
              </w:rPr>
              <w:t xml:space="preserve"> durevoli</w:t>
            </w:r>
          </w:p>
        </w:tc>
        <w:tc>
          <w:tcPr>
            <w:tcW w:w="712"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+14,0</w:t>
            </w:r>
          </w:p>
        </w:tc>
        <w:tc>
          <w:tcPr>
            <w:tcW w:w="1137"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+12,7</w:t>
            </w:r>
          </w:p>
        </w:tc>
        <w:tc>
          <w:tcPr>
            <w:tcW w:w="633"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+26,3</w:t>
            </w:r>
          </w:p>
        </w:tc>
        <w:tc>
          <w:tcPr>
            <w:tcW w:w="1000" w:type="dxa"/>
            <w:gridSpan w:val="2"/>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+21,2</w:t>
            </w:r>
          </w:p>
        </w:tc>
        <w:tc>
          <w:tcPr>
            <w:tcW w:w="705"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+5,4</w:t>
            </w:r>
          </w:p>
        </w:tc>
        <w:tc>
          <w:tcPr>
            <w:tcW w:w="1206"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-8,0</w:t>
            </w:r>
          </w:p>
        </w:tc>
        <w:tc>
          <w:tcPr>
            <w:tcW w:w="731"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-3,8</w:t>
            </w:r>
          </w:p>
        </w:tc>
        <w:tc>
          <w:tcPr>
            <w:tcW w:w="970"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-12,4</w:t>
            </w:r>
          </w:p>
        </w:tc>
        <w:tc>
          <w:tcPr>
            <w:tcW w:w="850"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+1.754</w:t>
            </w:r>
          </w:p>
        </w:tc>
        <w:tc>
          <w:tcPr>
            <w:tcW w:w="993"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+3.960</w:t>
            </w:r>
          </w:p>
        </w:tc>
      </w:tr>
      <w:tr w:rsidR="00927B16" w:rsidRPr="005D27EB" w:rsidTr="00927B16">
        <w:trPr>
          <w:trHeight w:val="255"/>
        </w:trPr>
        <w:tc>
          <w:tcPr>
            <w:tcW w:w="1625" w:type="dxa"/>
          </w:tcPr>
          <w:p w:rsidR="00927B16" w:rsidRDefault="00927B16" w:rsidP="00927B16">
            <w:pPr>
              <w:spacing w:before="40"/>
              <w:rPr>
                <w:rFonts w:ascii="Arial Narrow" w:hAnsi="Arial Narrow"/>
                <w:sz w:val="18"/>
              </w:rPr>
            </w:pPr>
            <w:r>
              <w:rPr>
                <w:rFonts w:ascii="Arial Narrow" w:hAnsi="Arial Narrow"/>
                <w:sz w:val="18"/>
              </w:rPr>
              <w:t xml:space="preserve"> non durevoli</w:t>
            </w:r>
          </w:p>
        </w:tc>
        <w:tc>
          <w:tcPr>
            <w:tcW w:w="712"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-1,0</w:t>
            </w:r>
          </w:p>
        </w:tc>
        <w:tc>
          <w:tcPr>
            <w:tcW w:w="1137"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-0,3</w:t>
            </w:r>
          </w:p>
        </w:tc>
        <w:tc>
          <w:tcPr>
            <w:tcW w:w="633"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-9,8</w:t>
            </w:r>
          </w:p>
        </w:tc>
        <w:tc>
          <w:tcPr>
            <w:tcW w:w="1000" w:type="dxa"/>
            <w:gridSpan w:val="2"/>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-8,3</w:t>
            </w:r>
          </w:p>
        </w:tc>
        <w:tc>
          <w:tcPr>
            <w:tcW w:w="705"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+6,8</w:t>
            </w:r>
          </w:p>
        </w:tc>
        <w:tc>
          <w:tcPr>
            <w:tcW w:w="1206"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+0,0</w:t>
            </w:r>
          </w:p>
        </w:tc>
        <w:tc>
          <w:tcPr>
            <w:tcW w:w="731"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+5,8</w:t>
            </w:r>
          </w:p>
        </w:tc>
        <w:tc>
          <w:tcPr>
            <w:tcW w:w="970"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+1,8</w:t>
            </w:r>
          </w:p>
        </w:tc>
        <w:tc>
          <w:tcPr>
            <w:tcW w:w="850"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+2.993</w:t>
            </w:r>
          </w:p>
        </w:tc>
        <w:tc>
          <w:tcPr>
            <w:tcW w:w="993"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+9.850</w:t>
            </w:r>
          </w:p>
        </w:tc>
      </w:tr>
      <w:tr w:rsidR="00927B16" w:rsidRPr="005D27EB" w:rsidTr="00927B16">
        <w:trPr>
          <w:trHeight w:val="255"/>
        </w:trPr>
        <w:tc>
          <w:tcPr>
            <w:tcW w:w="1625" w:type="dxa"/>
          </w:tcPr>
          <w:p w:rsidR="00927B16" w:rsidRDefault="00927B16" w:rsidP="00927B16">
            <w:pPr>
              <w:spacing w:before="40"/>
              <w:rPr>
                <w:rFonts w:ascii="Arial Narrow" w:hAnsi="Arial Narrow"/>
                <w:sz w:val="18"/>
              </w:rPr>
            </w:pPr>
            <w:r>
              <w:rPr>
                <w:rFonts w:ascii="Arial Narrow" w:hAnsi="Arial Narrow"/>
                <w:sz w:val="18"/>
              </w:rPr>
              <w:t>Beni strumentali</w:t>
            </w:r>
          </w:p>
        </w:tc>
        <w:tc>
          <w:tcPr>
            <w:tcW w:w="712"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-13,8</w:t>
            </w:r>
          </w:p>
        </w:tc>
        <w:tc>
          <w:tcPr>
            <w:tcW w:w="1137"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-2,8</w:t>
            </w:r>
          </w:p>
        </w:tc>
        <w:tc>
          <w:tcPr>
            <w:tcW w:w="633"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-6,9</w:t>
            </w:r>
          </w:p>
        </w:tc>
        <w:tc>
          <w:tcPr>
            <w:tcW w:w="1000" w:type="dxa"/>
            <w:gridSpan w:val="2"/>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+6,1</w:t>
            </w:r>
          </w:p>
        </w:tc>
        <w:tc>
          <w:tcPr>
            <w:tcW w:w="705"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-1,6</w:t>
            </w:r>
          </w:p>
        </w:tc>
        <w:tc>
          <w:tcPr>
            <w:tcW w:w="1206"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-2,2</w:t>
            </w:r>
          </w:p>
        </w:tc>
        <w:tc>
          <w:tcPr>
            <w:tcW w:w="731"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-12,3</w:t>
            </w:r>
          </w:p>
        </w:tc>
        <w:tc>
          <w:tcPr>
            <w:tcW w:w="970"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-4,1</w:t>
            </w:r>
          </w:p>
        </w:tc>
        <w:tc>
          <w:tcPr>
            <w:tcW w:w="850"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+4.734</w:t>
            </w:r>
          </w:p>
        </w:tc>
        <w:tc>
          <w:tcPr>
            <w:tcW w:w="993"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+13.527</w:t>
            </w:r>
          </w:p>
        </w:tc>
      </w:tr>
      <w:tr w:rsidR="00927B16" w:rsidRPr="005D27EB" w:rsidTr="00927B16">
        <w:trPr>
          <w:trHeight w:val="255"/>
        </w:trPr>
        <w:tc>
          <w:tcPr>
            <w:tcW w:w="1625" w:type="dxa"/>
          </w:tcPr>
          <w:p w:rsidR="00927B16" w:rsidRDefault="00927B16" w:rsidP="00927B16">
            <w:pPr>
              <w:spacing w:before="40"/>
              <w:rPr>
                <w:rFonts w:ascii="Arial Narrow" w:hAnsi="Arial Narrow"/>
                <w:sz w:val="18"/>
              </w:rPr>
            </w:pPr>
            <w:r>
              <w:rPr>
                <w:rFonts w:ascii="Arial Narrow" w:hAnsi="Arial Narrow"/>
                <w:sz w:val="18"/>
              </w:rPr>
              <w:t>Beni intermedi</w:t>
            </w:r>
          </w:p>
        </w:tc>
        <w:tc>
          <w:tcPr>
            <w:tcW w:w="712"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+0,6</w:t>
            </w:r>
          </w:p>
        </w:tc>
        <w:tc>
          <w:tcPr>
            <w:tcW w:w="1137"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-2,5</w:t>
            </w:r>
          </w:p>
        </w:tc>
        <w:tc>
          <w:tcPr>
            <w:tcW w:w="633"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-10,2</w:t>
            </w:r>
          </w:p>
        </w:tc>
        <w:tc>
          <w:tcPr>
            <w:tcW w:w="1000" w:type="dxa"/>
            <w:gridSpan w:val="2"/>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-7,5</w:t>
            </w:r>
          </w:p>
        </w:tc>
        <w:tc>
          <w:tcPr>
            <w:tcW w:w="705"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+6,4</w:t>
            </w:r>
          </w:p>
        </w:tc>
        <w:tc>
          <w:tcPr>
            <w:tcW w:w="1206"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-1,4</w:t>
            </w:r>
          </w:p>
        </w:tc>
        <w:tc>
          <w:tcPr>
            <w:tcW w:w="731"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-7,6</w:t>
            </w:r>
          </w:p>
        </w:tc>
        <w:tc>
          <w:tcPr>
            <w:tcW w:w="970"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-10,2</w:t>
            </w:r>
          </w:p>
        </w:tc>
        <w:tc>
          <w:tcPr>
            <w:tcW w:w="850"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+135</w:t>
            </w:r>
          </w:p>
        </w:tc>
        <w:tc>
          <w:tcPr>
            <w:tcW w:w="993"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+384</w:t>
            </w:r>
          </w:p>
        </w:tc>
      </w:tr>
      <w:tr w:rsidR="00927B16" w:rsidRPr="005D27EB" w:rsidTr="00927B16">
        <w:trPr>
          <w:trHeight w:val="255"/>
        </w:trPr>
        <w:tc>
          <w:tcPr>
            <w:tcW w:w="1625" w:type="dxa"/>
          </w:tcPr>
          <w:p w:rsidR="00927B16" w:rsidRDefault="00927B16" w:rsidP="00927B16">
            <w:pPr>
              <w:spacing w:before="40"/>
              <w:rPr>
                <w:rFonts w:ascii="Arial Narrow" w:hAnsi="Arial Narrow"/>
                <w:sz w:val="18"/>
              </w:rPr>
            </w:pPr>
            <w:r>
              <w:rPr>
                <w:rFonts w:ascii="Arial Narrow" w:hAnsi="Arial Narrow"/>
                <w:sz w:val="18"/>
              </w:rPr>
              <w:t>Energia</w:t>
            </w:r>
          </w:p>
        </w:tc>
        <w:tc>
          <w:tcPr>
            <w:tcW w:w="712"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-5,2</w:t>
            </w:r>
          </w:p>
        </w:tc>
        <w:tc>
          <w:tcPr>
            <w:tcW w:w="1137"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-2,3</w:t>
            </w:r>
          </w:p>
        </w:tc>
        <w:tc>
          <w:tcPr>
            <w:tcW w:w="633"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+14,9</w:t>
            </w:r>
          </w:p>
        </w:tc>
        <w:tc>
          <w:tcPr>
            <w:tcW w:w="1000" w:type="dxa"/>
            <w:gridSpan w:val="2"/>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+4,3</w:t>
            </w:r>
          </w:p>
        </w:tc>
        <w:tc>
          <w:tcPr>
            <w:tcW w:w="705"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-0,4</w:t>
            </w:r>
          </w:p>
        </w:tc>
        <w:tc>
          <w:tcPr>
            <w:tcW w:w="1206"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-17,0</w:t>
            </w:r>
          </w:p>
        </w:tc>
        <w:tc>
          <w:tcPr>
            <w:tcW w:w="731"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-30,3</w:t>
            </w:r>
          </w:p>
        </w:tc>
        <w:tc>
          <w:tcPr>
            <w:tcW w:w="970"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-32,5</w:t>
            </w:r>
          </w:p>
        </w:tc>
        <w:tc>
          <w:tcPr>
            <w:tcW w:w="850"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-4.012</w:t>
            </w:r>
          </w:p>
        </w:tc>
        <w:tc>
          <w:tcPr>
            <w:tcW w:w="993"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-12.202</w:t>
            </w:r>
          </w:p>
        </w:tc>
      </w:tr>
      <w:tr w:rsidR="00927B16" w:rsidRPr="005D27EB" w:rsidTr="00927B16">
        <w:trPr>
          <w:trHeight w:val="255"/>
        </w:trPr>
        <w:tc>
          <w:tcPr>
            <w:tcW w:w="1625" w:type="dxa"/>
            <w:vAlign w:val="center"/>
          </w:tcPr>
          <w:p w:rsidR="00927B16" w:rsidRDefault="00927B16" w:rsidP="00927B16">
            <w:pPr>
              <w:spacing w:before="40"/>
              <w:rPr>
                <w:rFonts w:ascii="Arial Narrow" w:hAnsi="Arial Narrow"/>
                <w:sz w:val="18"/>
              </w:rPr>
            </w:pPr>
            <w:r>
              <w:rPr>
                <w:rFonts w:ascii="Arial Narrow" w:hAnsi="Arial Narrow"/>
                <w:sz w:val="18"/>
              </w:rPr>
              <w:t>Totale al netto dell’energia</w:t>
            </w:r>
          </w:p>
        </w:tc>
        <w:tc>
          <w:tcPr>
            <w:tcW w:w="712"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-4,4</w:t>
            </w:r>
          </w:p>
        </w:tc>
        <w:tc>
          <w:tcPr>
            <w:tcW w:w="1137"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-0,9</w:t>
            </w:r>
          </w:p>
        </w:tc>
        <w:tc>
          <w:tcPr>
            <w:tcW w:w="633"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-6,3</w:t>
            </w:r>
          </w:p>
        </w:tc>
        <w:tc>
          <w:tcPr>
            <w:tcW w:w="1000" w:type="dxa"/>
            <w:gridSpan w:val="2"/>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-1,5</w:t>
            </w:r>
          </w:p>
        </w:tc>
        <w:tc>
          <w:tcPr>
            <w:tcW w:w="705"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+4,4</w:t>
            </w:r>
          </w:p>
        </w:tc>
        <w:tc>
          <w:tcPr>
            <w:tcW w:w="1206"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-1,5</w:t>
            </w:r>
          </w:p>
        </w:tc>
        <w:tc>
          <w:tcPr>
            <w:tcW w:w="731"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-5,3</w:t>
            </w:r>
          </w:p>
        </w:tc>
        <w:tc>
          <w:tcPr>
            <w:tcW w:w="970"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-5,5</w:t>
            </w:r>
          </w:p>
        </w:tc>
        <w:tc>
          <w:tcPr>
            <w:tcW w:w="850" w:type="dxa"/>
            <w:shd w:val="clear" w:color="auto" w:fill="D9D9D9"/>
            <w:vAlign w:val="center"/>
          </w:tcPr>
          <w:p w:rsidR="00927B16" w:rsidRDefault="00927B16" w:rsidP="00927B16">
            <w:pPr>
              <w:jc w:val="center"/>
              <w:rPr>
                <w:rFonts w:ascii="Arial Narrow" w:hAnsi="Arial Narrow"/>
                <w:sz w:val="18"/>
                <w:szCs w:val="18"/>
              </w:rPr>
            </w:pPr>
            <w:r>
              <w:rPr>
                <w:rFonts w:ascii="Arial Narrow" w:hAnsi="Arial Narrow"/>
                <w:sz w:val="18"/>
                <w:szCs w:val="18"/>
              </w:rPr>
              <w:t>+9.615</w:t>
            </w:r>
          </w:p>
        </w:tc>
        <w:tc>
          <w:tcPr>
            <w:tcW w:w="993" w:type="dxa"/>
            <w:shd w:val="clear" w:color="auto" w:fill="FFFFFF"/>
            <w:vAlign w:val="center"/>
          </w:tcPr>
          <w:p w:rsidR="00927B16" w:rsidRDefault="00927B16" w:rsidP="00927B16">
            <w:pPr>
              <w:jc w:val="center"/>
              <w:rPr>
                <w:rFonts w:ascii="Arial Narrow" w:hAnsi="Arial Narrow"/>
                <w:sz w:val="18"/>
                <w:szCs w:val="18"/>
              </w:rPr>
            </w:pPr>
            <w:r>
              <w:rPr>
                <w:rFonts w:ascii="Arial Narrow" w:hAnsi="Arial Narrow"/>
                <w:sz w:val="18"/>
                <w:szCs w:val="18"/>
              </w:rPr>
              <w:t>+27.720</w:t>
            </w:r>
          </w:p>
        </w:tc>
      </w:tr>
      <w:tr w:rsidR="00927B16" w:rsidRPr="005D27EB" w:rsidTr="00927B16">
        <w:trPr>
          <w:trHeight w:val="247"/>
        </w:trPr>
        <w:tc>
          <w:tcPr>
            <w:tcW w:w="1625" w:type="dxa"/>
            <w:tcBorders>
              <w:bottom w:val="single" w:sz="4" w:space="0" w:color="auto"/>
            </w:tcBorders>
            <w:shd w:val="clear" w:color="auto" w:fill="E42618"/>
          </w:tcPr>
          <w:p w:rsidR="00927B16" w:rsidRPr="005D27EB" w:rsidRDefault="00927B16" w:rsidP="00927B16">
            <w:pPr>
              <w:spacing w:before="40"/>
              <w:rPr>
                <w:rFonts w:ascii="Arial Narrow" w:hAnsi="Arial Narrow"/>
                <w:b/>
                <w:color w:val="FFFFFF" w:themeColor="background1"/>
                <w:sz w:val="18"/>
              </w:rPr>
            </w:pPr>
            <w:r w:rsidRPr="005D27EB">
              <w:rPr>
                <w:rFonts w:ascii="Arial Narrow" w:hAnsi="Arial Narrow"/>
                <w:b/>
                <w:color w:val="FFFFFF" w:themeColor="background1"/>
                <w:sz w:val="18"/>
              </w:rPr>
              <w:t>Totale</w:t>
            </w:r>
          </w:p>
        </w:tc>
        <w:tc>
          <w:tcPr>
            <w:tcW w:w="712"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-4,5</w:t>
            </w:r>
          </w:p>
        </w:tc>
        <w:tc>
          <w:tcPr>
            <w:tcW w:w="1137"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-0,9</w:t>
            </w:r>
          </w:p>
        </w:tc>
        <w:tc>
          <w:tcPr>
            <w:tcW w:w="633"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-5,7</w:t>
            </w:r>
          </w:p>
        </w:tc>
        <w:tc>
          <w:tcPr>
            <w:tcW w:w="1000" w:type="dxa"/>
            <w:gridSpan w:val="2"/>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-1,3</w:t>
            </w:r>
          </w:p>
        </w:tc>
        <w:tc>
          <w:tcPr>
            <w:tcW w:w="705"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+3,1</w:t>
            </w:r>
          </w:p>
        </w:tc>
        <w:tc>
          <w:tcPr>
            <w:tcW w:w="1206"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-6,1</w:t>
            </w:r>
          </w:p>
        </w:tc>
        <w:tc>
          <w:tcPr>
            <w:tcW w:w="731"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-12,8</w:t>
            </w:r>
          </w:p>
        </w:tc>
        <w:tc>
          <w:tcPr>
            <w:tcW w:w="970"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-14,3</w:t>
            </w:r>
          </w:p>
        </w:tc>
        <w:tc>
          <w:tcPr>
            <w:tcW w:w="850"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+5.603</w:t>
            </w:r>
          </w:p>
        </w:tc>
        <w:tc>
          <w:tcPr>
            <w:tcW w:w="993" w:type="dxa"/>
            <w:tcBorders>
              <w:bottom w:val="single" w:sz="4" w:space="0" w:color="auto"/>
            </w:tcBorders>
            <w:shd w:val="clear" w:color="auto" w:fill="E42618"/>
            <w:vAlign w:val="center"/>
          </w:tcPr>
          <w:p w:rsidR="00927B16" w:rsidRDefault="00927B16" w:rsidP="00927B16">
            <w:pPr>
              <w:jc w:val="center"/>
              <w:rPr>
                <w:rFonts w:ascii="Arial Narrow" w:hAnsi="Arial Narrow"/>
                <w:b/>
                <w:bCs/>
                <w:color w:val="FFFFFF"/>
                <w:sz w:val="18"/>
                <w:szCs w:val="18"/>
              </w:rPr>
            </w:pPr>
            <w:r>
              <w:rPr>
                <w:rFonts w:ascii="Arial Narrow" w:hAnsi="Arial Narrow"/>
                <w:b/>
                <w:bCs/>
                <w:color w:val="FFFFFF"/>
                <w:sz w:val="18"/>
                <w:szCs w:val="18"/>
              </w:rPr>
              <w:t>+15.518</w:t>
            </w:r>
          </w:p>
        </w:tc>
      </w:tr>
    </w:tbl>
    <w:p w:rsidR="002F15C9" w:rsidRPr="000B5DFE" w:rsidRDefault="00E32477" w:rsidP="000B5DFE">
      <w:pPr>
        <w:pStyle w:val="Corpodeltesto"/>
        <w:numPr>
          <w:ilvl w:val="0"/>
          <w:numId w:val="27"/>
        </w:numPr>
        <w:tabs>
          <w:tab w:val="left" w:pos="284"/>
        </w:tabs>
        <w:spacing w:before="60" w:after="120" w:line="240" w:lineRule="auto"/>
        <w:ind w:left="1276" w:hanging="1276"/>
        <w:jc w:val="both"/>
        <w:rPr>
          <w:rFonts w:ascii="Arial Narrow" w:hAnsi="Arial Narrow" w:cs="Arial"/>
          <w:sz w:val="15"/>
        </w:rPr>
      </w:pPr>
      <w:r>
        <w:rPr>
          <w:rFonts w:ascii="Arial Narrow" w:hAnsi="Arial Narrow" w:cs="Arial"/>
          <w:sz w:val="15"/>
        </w:rPr>
        <w:t>D</w:t>
      </w:r>
      <w:r w:rsidR="002F15C9">
        <w:rPr>
          <w:rFonts w:ascii="Arial Narrow" w:hAnsi="Arial Narrow" w:cs="Arial"/>
          <w:sz w:val="15"/>
        </w:rPr>
        <w:t>ati provvisori.</w:t>
      </w:r>
    </w:p>
    <w:p w:rsidR="007A37FD" w:rsidRDefault="007A37FD"/>
    <w:p w:rsidR="007A37FD" w:rsidRDefault="007A37FD" w:rsidP="007A37FD"/>
    <w:p w:rsidR="00A651E1" w:rsidRPr="007A37FD" w:rsidRDefault="00A651E1" w:rsidP="007A37FD">
      <w:pPr>
        <w:sectPr w:rsidR="00A651E1" w:rsidRPr="007A37FD" w:rsidSect="007F0745">
          <w:headerReference w:type="default" r:id="rId28"/>
          <w:footerReference w:type="default" r:id="rId29"/>
          <w:pgSz w:w="11907" w:h="16840"/>
          <w:pgMar w:top="567" w:right="851" w:bottom="680" w:left="851" w:header="567" w:footer="567" w:gutter="0"/>
          <w:cols w:space="720"/>
        </w:sectPr>
      </w:pPr>
    </w:p>
    <w:p w:rsidR="00A651E1" w:rsidRDefault="00A651E1">
      <w:pPr>
        <w:spacing w:after="120"/>
        <w:jc w:val="both"/>
        <w:rPr>
          <w:rFonts w:ascii="Arial" w:hAnsi="Arial" w:cs="Arial"/>
          <w:b/>
        </w:rPr>
      </w:pPr>
    </w:p>
    <w:p w:rsidR="00A651E1" w:rsidRPr="00B77592" w:rsidRDefault="00E777A0">
      <w:pPr>
        <w:spacing w:after="120"/>
        <w:jc w:val="both"/>
        <w:rPr>
          <w:rFonts w:ascii="Arial" w:hAnsi="Arial" w:cs="Arial"/>
          <w:sz w:val="20"/>
          <w:szCs w:val="20"/>
        </w:rPr>
      </w:pPr>
      <w:r w:rsidRPr="00B77592">
        <w:rPr>
          <w:rFonts w:ascii="Arial" w:hAnsi="Arial" w:cs="Arial"/>
          <w:b/>
          <w:sz w:val="20"/>
          <w:szCs w:val="20"/>
        </w:rPr>
        <w:t>Contributo alla variazione tendenziale dell’indice generale</w:t>
      </w:r>
      <w:r w:rsidRPr="00B77592">
        <w:rPr>
          <w:rFonts w:ascii="Arial" w:hAnsi="Arial" w:cs="Arial"/>
          <w:sz w:val="20"/>
          <w:szCs w:val="20"/>
        </w:rPr>
        <w:t xml:space="preserve">: misura l’incidenza delle variazioni delle importazioni e delle esportazioni dei singoli aggregati merceologici o geografici sull’aumento o sulla diminuzione dei flussi aggregati. </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Dati corretti per gli effetti di calendario</w:t>
      </w:r>
      <w:r w:rsidRPr="00B77592">
        <w:rPr>
          <w:rFonts w:ascii="Arial" w:hAnsi="Arial" w:cs="Arial"/>
          <w:sz w:val="20"/>
          <w:szCs w:val="20"/>
        </w:rPr>
        <w:t>: dati depurati mediante apposite tecniche statistiche dalla variabilità attribuibile alla composizione del calendario nei singoli periodi (mesi o trimestri) dell’anno, dovuta al diverso numero di giorni lavorativi o di giorni specifici della settimana in essi contenuti, nonché dell’anno bisestile. Il ricorso a tale trasformazione dei dati consente di cogliere in maniera più adeguata sia le variazioni tendenziali (calcolate rispetto allo stesso periodo dell'anno precedente), sia le variazioni medie annue.</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Dati destagionalizzati</w:t>
      </w:r>
      <w:r w:rsidRPr="00B77592">
        <w:rPr>
          <w:rFonts w:ascii="Arial" w:hAnsi="Arial" w:cs="Arial"/>
          <w:sz w:val="20"/>
          <w:szCs w:val="20"/>
        </w:rPr>
        <w:t>: dati depurati mediante apposite tecniche statistiche dalle fluttuazioni attribuibili alla componente stagionale (dovute a fattori meteorologici, consuetudinari, legislativi, ecc.) e, se significativi, dagli effetti di calendario. Questa trasformazione dei dati è la più idonea a cogliere l’evoluzione congiunturale di un indicatore.</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Esportazioni</w:t>
      </w:r>
      <w:r w:rsidRPr="00B77592">
        <w:rPr>
          <w:rFonts w:ascii="Arial" w:hAnsi="Arial" w:cs="Arial"/>
          <w:sz w:val="20"/>
          <w:szCs w:val="20"/>
        </w:rPr>
        <w:t>: includono tutti i beni (nazionali o nazionalizzati, nuovi o usati) che, a titolo oneroso o gratuito, escono dal territorio economico del Paese per essere destinati al resto del mondo. Esse sono valutate al valore FOB (free on board), che corrisponde al prezzo di mercato alla frontiera del Paese esportatore. Questo prezzo comprende il prezzo ex-fabrica, i margini commerciali, le spese di trasporto internazionale e gli eventuali diritti all'esportazione.</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Importazioni</w:t>
      </w:r>
      <w:r w:rsidRPr="00B77592">
        <w:rPr>
          <w:rFonts w:ascii="Arial" w:hAnsi="Arial" w:cs="Arial"/>
          <w:sz w:val="20"/>
          <w:szCs w:val="20"/>
        </w:rPr>
        <w:t>: comprendono tutti i beni (nuovi o usati) che, a titolo oneroso o gratuito, entrano nel territorio economico del Paese in provenienza dal Resto del mondo. Esse possono essere valutate al valore CIF (cost, insurance, freight), che comprende: il valore FOB dei beni, le spese di trasporto e le attività assicurative tra la frontiera del Paese esportatore e la frontiera del Paese importatore.</w:t>
      </w:r>
    </w:p>
    <w:p w:rsidR="00A651E1" w:rsidRPr="00F576FF" w:rsidRDefault="00E777A0">
      <w:pPr>
        <w:spacing w:after="120"/>
        <w:jc w:val="both"/>
        <w:rPr>
          <w:rFonts w:ascii="Arial" w:hAnsi="Arial" w:cs="Arial"/>
          <w:strike/>
          <w:sz w:val="20"/>
          <w:szCs w:val="20"/>
        </w:rPr>
      </w:pPr>
      <w:r w:rsidRPr="00B77592">
        <w:rPr>
          <w:rFonts w:ascii="Arial" w:hAnsi="Arial" w:cs="Arial"/>
          <w:b/>
          <w:sz w:val="20"/>
          <w:szCs w:val="20"/>
        </w:rPr>
        <w:t>Paesi extra Ue</w:t>
      </w:r>
      <w:r w:rsidRPr="00B77592">
        <w:rPr>
          <w:rFonts w:ascii="Arial" w:hAnsi="Arial" w:cs="Arial"/>
          <w:sz w:val="20"/>
          <w:szCs w:val="20"/>
        </w:rPr>
        <w:t>: tutti i paesi non appartenenti all’Unione europea</w:t>
      </w:r>
      <w:r w:rsidR="00A0309B">
        <w:rPr>
          <w:rFonts w:ascii="Arial" w:hAnsi="Arial" w:cs="Arial"/>
          <w:sz w:val="20"/>
          <w:szCs w:val="20"/>
        </w:rPr>
        <w:t>.</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Variazione congiunturale</w:t>
      </w:r>
      <w:r w:rsidRPr="00B77592">
        <w:rPr>
          <w:rFonts w:ascii="Arial" w:hAnsi="Arial" w:cs="Arial"/>
          <w:sz w:val="20"/>
          <w:szCs w:val="20"/>
        </w:rPr>
        <w:t>: variazione percentuale rispetto al mese o al periodo precedente.</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Variazione tendenziale</w:t>
      </w:r>
      <w:r w:rsidRPr="00B77592">
        <w:rPr>
          <w:rFonts w:ascii="Arial" w:hAnsi="Arial" w:cs="Arial"/>
          <w:sz w:val="20"/>
          <w:szCs w:val="20"/>
        </w:rPr>
        <w:t>: variazione percentuale rispetto allo stesso mese o periodo dell’anno precedente.</w:t>
      </w:r>
    </w:p>
    <w:p w:rsidR="00A651E1" w:rsidRPr="00B77592" w:rsidRDefault="00A651E1">
      <w:pPr>
        <w:spacing w:after="120"/>
        <w:jc w:val="both"/>
        <w:rPr>
          <w:rFonts w:ascii="Arial" w:hAnsi="Arial" w:cs="Arial"/>
          <w:sz w:val="20"/>
          <w:szCs w:val="20"/>
        </w:rPr>
      </w:pPr>
    </w:p>
    <w:p w:rsidR="00A651E1" w:rsidRPr="00826A5F" w:rsidRDefault="00E777A0" w:rsidP="00BD1526">
      <w:pPr>
        <w:pStyle w:val="A"/>
        <w:spacing w:after="120"/>
        <w:outlineLvl w:val="0"/>
        <w:rPr>
          <w:rFonts w:ascii="Arial" w:hAnsi="Arial" w:cs="Arial"/>
          <w:sz w:val="22"/>
          <w:szCs w:val="20"/>
        </w:rPr>
      </w:pPr>
      <w:r w:rsidRPr="00826A5F">
        <w:rPr>
          <w:rFonts w:ascii="Arial" w:hAnsi="Arial" w:cs="Arial"/>
          <w:sz w:val="22"/>
          <w:szCs w:val="20"/>
        </w:rPr>
        <w:t>Definizioni delle aree geografiche e geoeconomiche</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Paesi europei non Ue</w:t>
      </w:r>
      <w:r w:rsidRPr="00B77592">
        <w:rPr>
          <w:rFonts w:ascii="Arial" w:hAnsi="Arial" w:cs="Arial"/>
          <w:sz w:val="20"/>
          <w:szCs w:val="20"/>
        </w:rPr>
        <w:t xml:space="preserve">: comprende Albania, Andorra, Bielorussia, Bosnia-Erzegovina, Fær Øer, Gibilterra, Islanda, Kosovo, Liechtenstein, </w:t>
      </w:r>
      <w:r w:rsidR="00FB52D3">
        <w:rPr>
          <w:rFonts w:ascii="Arial" w:hAnsi="Arial" w:cs="Arial"/>
          <w:sz w:val="20"/>
          <w:szCs w:val="20"/>
        </w:rPr>
        <w:t>Macedonia del Nord,</w:t>
      </w:r>
      <w:r w:rsidRPr="00B77592">
        <w:rPr>
          <w:rFonts w:ascii="Arial" w:hAnsi="Arial" w:cs="Arial"/>
          <w:sz w:val="20"/>
          <w:szCs w:val="20"/>
        </w:rPr>
        <w:t xml:space="preserve">Montenegro, Norvegia, </w:t>
      </w:r>
      <w:r w:rsidR="004E4AC6">
        <w:rPr>
          <w:rFonts w:ascii="Arial" w:hAnsi="Arial" w:cs="Arial"/>
          <w:sz w:val="20"/>
          <w:szCs w:val="20"/>
        </w:rPr>
        <w:t xml:space="preserve">Regno Unito, </w:t>
      </w:r>
      <w:r w:rsidRPr="00B77592">
        <w:rPr>
          <w:rFonts w:ascii="Arial" w:hAnsi="Arial" w:cs="Arial"/>
          <w:sz w:val="20"/>
          <w:szCs w:val="20"/>
        </w:rPr>
        <w:t>Repubblica moldova, Russia, Santa Sede (Stato della Città del Vaticano), Serbia, Svizzera, Turchia, Ucraina.</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Africa settentrionale</w:t>
      </w:r>
      <w:r w:rsidRPr="00B77592">
        <w:rPr>
          <w:rFonts w:ascii="Arial" w:hAnsi="Arial" w:cs="Arial"/>
          <w:sz w:val="20"/>
          <w:szCs w:val="20"/>
        </w:rPr>
        <w:t>: comprende Algeria, Egitto</w:t>
      </w:r>
      <w:r w:rsidR="003B57EB">
        <w:rPr>
          <w:rFonts w:ascii="Arial" w:hAnsi="Arial" w:cs="Arial"/>
          <w:sz w:val="20"/>
          <w:szCs w:val="20"/>
        </w:rPr>
        <w:t xml:space="preserve">, </w:t>
      </w:r>
      <w:r w:rsidRPr="00B77592">
        <w:rPr>
          <w:rFonts w:ascii="Arial" w:hAnsi="Arial" w:cs="Arial"/>
          <w:sz w:val="20"/>
          <w:szCs w:val="20"/>
        </w:rPr>
        <w:t>Ceuta, Libia, Marocco, Melilla, Sahara Occidentale, Tunisia.</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Altri paesi africani</w:t>
      </w:r>
      <w:r w:rsidRPr="00B77592">
        <w:rPr>
          <w:rFonts w:ascii="Arial" w:hAnsi="Arial" w:cs="Arial"/>
          <w:sz w:val="20"/>
          <w:szCs w:val="20"/>
        </w:rPr>
        <w:t xml:space="preserve">: comprende Angola, Benin, Botswana, Burkina Faso, Burundi, Camerun, Capo Verde, Ciad, Comore, Congo, Costa d’Avorio, Eritrea, Etiopia, Gabon, Gambia, Ghana, Gibuti, Guinea, Guinea equatoriale, Guinea-Bissau, Kenya, Lesotho, Liberia, Madagascar, Malawi, Mali, Mauritania, Maurizio, Mayotte, Mozambico, Namibia, Niger, Nigeria, Repubblica Centrafricana, Repubblica democratica del Congo, Repubblica unita di Tanzania, Ruanda, Sant’Elena-Ascensione e Tristan da Cunha, São Tomé e Principe, Seychelles, Senegal, Sierra Leone, Somalia, Sud Africa, Sudan, Sud Sudan, Swaziland, Territorio britannico dell’ Oceano Indiano, Togo, Uganda, Zambia, Zimbabwe. </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America settentrionale</w:t>
      </w:r>
      <w:r w:rsidRPr="00B77592">
        <w:rPr>
          <w:rFonts w:ascii="Arial" w:hAnsi="Arial" w:cs="Arial"/>
          <w:sz w:val="20"/>
          <w:szCs w:val="20"/>
        </w:rPr>
        <w:t>: comprende Canada, Groenlandia, Saint-Pierre e Miquelon, Stati Uniti.</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America centro-meridionale</w:t>
      </w:r>
      <w:r w:rsidRPr="00B77592">
        <w:rPr>
          <w:rFonts w:ascii="Arial" w:hAnsi="Arial" w:cs="Arial"/>
          <w:sz w:val="20"/>
          <w:szCs w:val="20"/>
        </w:rPr>
        <w:t xml:space="preserve">: comprende Anguilla, Antigua e Barbuda, Argentina, Aruba, Bahama, Barbados, Belize, Bermuda, Bolivia, Bonaire, Sint Eustatius e Saba, Brasile, Cile, Colombia, Costa Rica, Cuba, Curaçao, Dominica, Ecuador, El Salvador, Giamaica, Grenada, Guatemala, Guyana, Haiti, Honduras, Isole Cayman, Isole Falkland, Isole Turks e Caicos, Isole Vergini Americane, Isole Vergini Britanniche, Messico, Montserrat, Nicaragua, Panama, Paraguay, Perù, Repubblica dominicana, Saint-Barthélemy, Saint Kitts e Nevis, Saint Vincente e le Grenadine, Santa Lucia, Sint Maarten, Suriname, Trinidad e Tobago, Uruguay, Venezuela. </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Medio Oriente</w:t>
      </w:r>
      <w:r w:rsidRPr="00B77592">
        <w:rPr>
          <w:rFonts w:ascii="Arial" w:hAnsi="Arial" w:cs="Arial"/>
          <w:sz w:val="20"/>
          <w:szCs w:val="20"/>
        </w:rPr>
        <w:t xml:space="preserve">: comprende Arabia Saudita, Armenia, Azerbaigian, Bahrein, Emirati Arabi Uniti, Georgia, Giordania, Iraq, Israele, Kuwait, Libano, Oman, Qatar, Repubblica islamica dell’Iran, Siria, Territorio palestinese occupato, Yemen. </w:t>
      </w:r>
    </w:p>
    <w:p w:rsidR="00A651E1" w:rsidRDefault="00E777A0">
      <w:pPr>
        <w:spacing w:after="120"/>
        <w:jc w:val="both"/>
        <w:rPr>
          <w:rFonts w:ascii="Arial" w:hAnsi="Arial" w:cs="Arial"/>
          <w:sz w:val="20"/>
          <w:szCs w:val="20"/>
        </w:rPr>
      </w:pPr>
      <w:r w:rsidRPr="00B77592">
        <w:rPr>
          <w:rFonts w:ascii="Arial" w:hAnsi="Arial" w:cs="Arial"/>
          <w:b/>
          <w:sz w:val="20"/>
          <w:szCs w:val="20"/>
        </w:rPr>
        <w:t>Altri paesi asiatici</w:t>
      </w:r>
      <w:r w:rsidRPr="00B77592">
        <w:rPr>
          <w:rFonts w:ascii="Arial" w:hAnsi="Arial" w:cs="Arial"/>
          <w:sz w:val="20"/>
          <w:szCs w:val="20"/>
        </w:rPr>
        <w:t>: comprende Afghanistan, Bangladesh, Bhutan, Birmania, Brunei, Cambogia, Cina, Corea del Nord, Corea del Sud, Filippine, Giappone, Hong Kong, India, Indonesia, Kazakistan, Kirghizistan, Laos, Macao, Malaysia, Maldive, Mongolia, Nepal, Pakistan, Singapore, Sri Lanka, Tagikistan, Taiwan, Thailandia, Timor-Leste, Turkmenistan, Uzbekistan, Vietnam.</w:t>
      </w:r>
    </w:p>
    <w:p w:rsidR="009C2B9D" w:rsidRDefault="009C2B9D">
      <w:pPr>
        <w:spacing w:after="120"/>
        <w:jc w:val="both"/>
        <w:rPr>
          <w:rFonts w:ascii="Arial" w:hAnsi="Arial" w:cs="Arial"/>
          <w:sz w:val="20"/>
          <w:szCs w:val="20"/>
        </w:rPr>
      </w:pPr>
    </w:p>
    <w:p w:rsidR="009C2B9D" w:rsidRPr="00B77592" w:rsidRDefault="009C2B9D">
      <w:pPr>
        <w:spacing w:after="120"/>
        <w:jc w:val="both"/>
        <w:rPr>
          <w:rFonts w:ascii="Arial" w:hAnsi="Arial" w:cs="Arial"/>
          <w:sz w:val="20"/>
          <w:szCs w:val="20"/>
        </w:rPr>
      </w:pPr>
    </w:p>
    <w:p w:rsidR="00A651E1" w:rsidRPr="00B77592" w:rsidRDefault="00E777A0">
      <w:pPr>
        <w:spacing w:after="120"/>
        <w:jc w:val="both"/>
        <w:rPr>
          <w:rFonts w:ascii="Arial" w:hAnsi="Arial" w:cs="Arial"/>
          <w:sz w:val="20"/>
          <w:szCs w:val="20"/>
        </w:rPr>
      </w:pPr>
      <w:r w:rsidRPr="00B77592">
        <w:rPr>
          <w:rFonts w:ascii="Arial" w:hAnsi="Arial" w:cs="Arial"/>
          <w:b/>
          <w:sz w:val="20"/>
          <w:szCs w:val="20"/>
        </w:rPr>
        <w:t>Oceania e altri territori</w:t>
      </w:r>
      <w:r w:rsidRPr="00B77592">
        <w:rPr>
          <w:rFonts w:ascii="Arial" w:hAnsi="Arial" w:cs="Arial"/>
          <w:sz w:val="20"/>
          <w:szCs w:val="20"/>
        </w:rPr>
        <w:t>: comprende Antartide, Australia, Figi, Georgia del Sud e Isole Sandwich australi, Isola di Bouvet, Isola Christmas, Isole Cocos (Keeling), Isole Cook, Isole Heard e McDonald, Isole Marianne settentrionali, Isole Marshall, Isole minori periferiche degli Stati Uniti, Isola Norfolk, Isole Pitcairn, Isole Salomone, Kiribati, Nauru, Niue, Nuova Caledonia, Nuova Zelanda, Palau, Papua Nuova Guinea, Polinesia francese, Samoa, Samoa americane, Stati Federati di Micronesia, Terre australi e antartiche francesi, Tokelau, Tonga, Tuvalu, Vanuatu, Wallis e Futuna, Provviste e dotazioni di bordo, Paesi e territori non specificati, Paesi e territori non specificati per ragioni commerciali o militari.</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ASEAN (Associazione delle Nazioni del Sud-Est Asiatico)</w:t>
      </w:r>
      <w:r w:rsidRPr="00B77592">
        <w:rPr>
          <w:rFonts w:ascii="Arial" w:hAnsi="Arial" w:cs="Arial"/>
          <w:sz w:val="20"/>
          <w:szCs w:val="20"/>
        </w:rPr>
        <w:t xml:space="preserve">: comprende Brunei, Cambogia, Filippine, Indonesia, Laos, Malaysia, Birmania, Singapore, Thailandia, Vietnam. </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OPEC</w:t>
      </w:r>
      <w:r w:rsidR="002D1FE2">
        <w:rPr>
          <w:rFonts w:ascii="Arial" w:hAnsi="Arial" w:cs="Arial"/>
          <w:sz w:val="20"/>
          <w:szCs w:val="20"/>
        </w:rPr>
        <w:t>: comprende Algeria</w:t>
      </w:r>
      <w:r w:rsidRPr="00B77592">
        <w:rPr>
          <w:rFonts w:ascii="Arial" w:hAnsi="Arial" w:cs="Arial"/>
          <w:sz w:val="20"/>
          <w:szCs w:val="20"/>
        </w:rPr>
        <w:t>, Arabia Saudita, Emirati Arabi Uniti</w:t>
      </w:r>
      <w:r w:rsidR="00407A14" w:rsidRPr="00B77592">
        <w:rPr>
          <w:rFonts w:ascii="Arial" w:hAnsi="Arial" w:cs="Arial"/>
          <w:sz w:val="20"/>
          <w:szCs w:val="20"/>
        </w:rPr>
        <w:t xml:space="preserve">, Iraq, Kuwait, Libia, Nigeria, </w:t>
      </w:r>
      <w:r w:rsidRPr="00B77592">
        <w:rPr>
          <w:rFonts w:ascii="Arial" w:hAnsi="Arial" w:cs="Arial"/>
          <w:sz w:val="20"/>
          <w:szCs w:val="20"/>
        </w:rPr>
        <w:t>Repubblica</w:t>
      </w:r>
      <w:r w:rsidR="00A32F3F">
        <w:rPr>
          <w:rFonts w:ascii="Arial" w:hAnsi="Arial" w:cs="Arial"/>
          <w:sz w:val="20"/>
          <w:szCs w:val="20"/>
        </w:rPr>
        <w:t xml:space="preserve"> islamica dell’Iran, Venezuela</w:t>
      </w:r>
      <w:r w:rsidR="00A80CCA" w:rsidRPr="00B77592">
        <w:rPr>
          <w:rFonts w:ascii="Arial" w:hAnsi="Arial" w:cs="Arial"/>
          <w:sz w:val="20"/>
          <w:szCs w:val="20"/>
        </w:rPr>
        <w:t xml:space="preserve">, </w:t>
      </w:r>
      <w:r w:rsidR="007D5291" w:rsidRPr="00B77592">
        <w:rPr>
          <w:rFonts w:ascii="Arial" w:hAnsi="Arial" w:cs="Arial"/>
          <w:sz w:val="20"/>
          <w:szCs w:val="20"/>
        </w:rPr>
        <w:t xml:space="preserve">Gabon, </w:t>
      </w:r>
      <w:r w:rsidR="00CF3DE7" w:rsidRPr="00B77592">
        <w:rPr>
          <w:rFonts w:ascii="Arial" w:hAnsi="Arial" w:cs="Arial"/>
          <w:sz w:val="20"/>
          <w:szCs w:val="20"/>
        </w:rPr>
        <w:t>Guinea Equatoriale</w:t>
      </w:r>
      <w:r w:rsidR="00407A14" w:rsidRPr="00B77592">
        <w:rPr>
          <w:rFonts w:ascii="Arial" w:hAnsi="Arial" w:cs="Arial"/>
          <w:sz w:val="20"/>
          <w:szCs w:val="20"/>
        </w:rPr>
        <w:t>e Congo</w:t>
      </w:r>
      <w:r w:rsidRPr="00B77592">
        <w:rPr>
          <w:rFonts w:ascii="Arial" w:hAnsi="Arial" w:cs="Arial"/>
          <w:sz w:val="20"/>
          <w:szCs w:val="20"/>
        </w:rPr>
        <w:t>.</w:t>
      </w:r>
    </w:p>
    <w:p w:rsidR="00A651E1" w:rsidRPr="00B77592" w:rsidRDefault="00E777A0">
      <w:pPr>
        <w:spacing w:after="120"/>
        <w:jc w:val="both"/>
        <w:rPr>
          <w:rFonts w:ascii="Arial" w:hAnsi="Arial" w:cs="Arial"/>
          <w:sz w:val="20"/>
          <w:szCs w:val="20"/>
        </w:rPr>
      </w:pPr>
      <w:r w:rsidRPr="00B77592">
        <w:rPr>
          <w:rFonts w:ascii="Arial" w:hAnsi="Arial" w:cs="Arial"/>
          <w:b/>
          <w:sz w:val="20"/>
          <w:szCs w:val="20"/>
        </w:rPr>
        <w:t>Mercosur</w:t>
      </w:r>
      <w:r w:rsidRPr="00B77592">
        <w:rPr>
          <w:rFonts w:ascii="Arial" w:hAnsi="Arial" w:cs="Arial"/>
          <w:sz w:val="20"/>
          <w:szCs w:val="20"/>
        </w:rPr>
        <w:t xml:space="preserve">: comprende </w:t>
      </w:r>
      <w:r w:rsidR="002D1FE2">
        <w:rPr>
          <w:rFonts w:ascii="Arial" w:hAnsi="Arial" w:cs="Arial"/>
          <w:sz w:val="20"/>
          <w:szCs w:val="20"/>
        </w:rPr>
        <w:t xml:space="preserve">Bolivia, </w:t>
      </w:r>
      <w:r w:rsidRPr="00B77592">
        <w:rPr>
          <w:rFonts w:ascii="Arial" w:hAnsi="Arial" w:cs="Arial"/>
          <w:sz w:val="20"/>
          <w:szCs w:val="20"/>
        </w:rPr>
        <w:t>Brasile, Paraguay, Uruguay, Argentina.</w:t>
      </w:r>
    </w:p>
    <w:p w:rsidR="00A651E1" w:rsidRPr="00210529" w:rsidRDefault="00A651E1">
      <w:pPr>
        <w:spacing w:after="120" w:line="240" w:lineRule="exact"/>
        <w:jc w:val="both"/>
        <w:rPr>
          <w:rFonts w:cs="Arial"/>
          <w:color w:val="FF0000"/>
          <w:sz w:val="20"/>
          <w:szCs w:val="20"/>
        </w:rPr>
        <w:sectPr w:rsidR="00A651E1" w:rsidRPr="00210529" w:rsidSect="007F0745">
          <w:headerReference w:type="default" r:id="rId30"/>
          <w:pgSz w:w="11907" w:h="16840"/>
          <w:pgMar w:top="567" w:right="851" w:bottom="680" w:left="851" w:header="567" w:footer="567" w:gutter="0"/>
          <w:cols w:space="720"/>
        </w:sectPr>
      </w:pPr>
    </w:p>
    <w:p w:rsidR="00A651E1" w:rsidRPr="00993765" w:rsidRDefault="00A651E1">
      <w:pPr>
        <w:pStyle w:val="A"/>
        <w:spacing w:after="120"/>
        <w:rPr>
          <w:rFonts w:ascii="Arial" w:hAnsi="Arial" w:cs="Arial"/>
          <w:b w:val="0"/>
          <w:sz w:val="20"/>
        </w:rPr>
      </w:pPr>
    </w:p>
    <w:p w:rsidR="00A651E1" w:rsidRPr="003F5831" w:rsidRDefault="00E777A0" w:rsidP="00BD1526">
      <w:pPr>
        <w:pStyle w:val="A"/>
        <w:spacing w:after="120"/>
        <w:outlineLvl w:val="0"/>
        <w:rPr>
          <w:rFonts w:ascii="Arial" w:hAnsi="Arial" w:cs="Arial"/>
          <w:sz w:val="22"/>
          <w:szCs w:val="20"/>
        </w:rPr>
      </w:pPr>
      <w:r w:rsidRPr="003F5831">
        <w:rPr>
          <w:rFonts w:ascii="Arial" w:hAnsi="Arial" w:cs="Arial"/>
          <w:sz w:val="22"/>
          <w:szCs w:val="20"/>
        </w:rPr>
        <w:t>Fonti utilizzate e quadro normativo di riferimento</w:t>
      </w:r>
    </w:p>
    <w:p w:rsidR="00A651E1" w:rsidRPr="00B77592" w:rsidRDefault="00E777A0" w:rsidP="005675A9">
      <w:pPr>
        <w:pStyle w:val="A"/>
        <w:spacing w:after="100"/>
        <w:rPr>
          <w:rFonts w:ascii="Arial" w:hAnsi="Arial" w:cs="Arial"/>
          <w:b w:val="0"/>
          <w:sz w:val="20"/>
          <w:szCs w:val="20"/>
        </w:rPr>
      </w:pPr>
      <w:r w:rsidRPr="00B77592">
        <w:rPr>
          <w:rFonts w:ascii="Arial" w:hAnsi="Arial" w:cs="Arial"/>
          <w:b w:val="0"/>
          <w:sz w:val="20"/>
          <w:szCs w:val="20"/>
        </w:rPr>
        <w:t>L’indagine del commercio con i paesi extra Ue è effettuata secondo la normativa comunitaria</w:t>
      </w:r>
      <w:r w:rsidR="00BA60AD">
        <w:rPr>
          <w:rFonts w:ascii="Arial" w:hAnsi="Arial" w:cs="Arial"/>
          <w:b w:val="0"/>
          <w:sz w:val="20"/>
          <w:szCs w:val="20"/>
        </w:rPr>
        <w:t xml:space="preserve">: </w:t>
      </w:r>
      <w:r w:rsidR="00BA60AD" w:rsidRPr="00BA60AD">
        <w:rPr>
          <w:rFonts w:ascii="Arial" w:hAnsi="Arial" w:cs="Arial"/>
          <w:b w:val="0"/>
          <w:sz w:val="20"/>
          <w:szCs w:val="20"/>
        </w:rPr>
        <w:t>Regolamento (UE) 2019/2152 del Parlamento europeo e del Consiglio relativo alle statistiche europee sulle imprese</w:t>
      </w:r>
      <w:r w:rsidR="00BA60AD">
        <w:rPr>
          <w:rFonts w:ascii="Arial" w:hAnsi="Arial" w:cs="Arial"/>
          <w:b w:val="0"/>
          <w:sz w:val="20"/>
          <w:szCs w:val="20"/>
        </w:rPr>
        <w:t xml:space="preserve">; </w:t>
      </w:r>
      <w:r w:rsidR="00AF02B8" w:rsidRPr="00AF02B8">
        <w:rPr>
          <w:rFonts w:ascii="Arial" w:hAnsi="Arial" w:cs="Arial"/>
          <w:b w:val="0"/>
          <w:sz w:val="20"/>
          <w:szCs w:val="20"/>
        </w:rPr>
        <w:t>Regolamento di esecuzione (UE) 2020/1197 della Commissione che stabilisce le specifiche tecniche e le modalità a norma del regolamento (UE) 2019/2152; Regolamento delegato (UE) 2021/1704 della Commissione che integra il regolamento (UE) 2019/2152 specificando ulteriormente i dettagli delle informazioni statistiche che devono essere fornite dalle autorità fiscali e doganali e che ne modifica gli allegati V e VI</w:t>
      </w:r>
      <w:r w:rsidR="00AF02B8">
        <w:rPr>
          <w:rFonts w:ascii="Arial" w:hAnsi="Arial" w:cs="Arial"/>
          <w:b w:val="0"/>
          <w:sz w:val="20"/>
          <w:szCs w:val="20"/>
        </w:rPr>
        <w:t xml:space="preserve">; </w:t>
      </w:r>
      <w:r w:rsidR="00AF02B8" w:rsidRPr="00AF02B8">
        <w:rPr>
          <w:rFonts w:ascii="Arial" w:hAnsi="Arial" w:cs="Arial"/>
          <w:b w:val="0"/>
          <w:sz w:val="20"/>
          <w:szCs w:val="20"/>
        </w:rPr>
        <w:t xml:space="preserve">Regolamento di esecuzione (UE) 2021/1225 della </w:t>
      </w:r>
      <w:r w:rsidR="001F6211" w:rsidRPr="00AF02B8">
        <w:rPr>
          <w:rFonts w:ascii="Arial" w:hAnsi="Arial" w:cs="Arial"/>
          <w:b w:val="0"/>
          <w:sz w:val="20"/>
          <w:szCs w:val="20"/>
        </w:rPr>
        <w:t>Commissione</w:t>
      </w:r>
      <w:r w:rsidR="00AF02B8" w:rsidRPr="00AF02B8">
        <w:rPr>
          <w:rFonts w:ascii="Arial" w:hAnsi="Arial" w:cs="Arial"/>
          <w:b w:val="0"/>
          <w:sz w:val="20"/>
          <w:szCs w:val="20"/>
        </w:rPr>
        <w:t xml:space="preserve"> che specifica le modalità degli scambi di dati a norma del regolamento (UE) 2019/2152 e che modifica il regolamento di esecuzione (UE) 2020/1197 per quanto riguarda lo Stato membro di esportazione extra-UE e gli obblighi delle unità rispondenti</w:t>
      </w:r>
      <w:r w:rsidR="00AF02B8">
        <w:rPr>
          <w:rFonts w:ascii="Arial" w:hAnsi="Arial" w:cs="Arial"/>
          <w:b w:val="0"/>
          <w:sz w:val="20"/>
          <w:szCs w:val="20"/>
        </w:rPr>
        <w:t>.</w:t>
      </w:r>
      <w:r w:rsidRPr="00B77592">
        <w:rPr>
          <w:rFonts w:ascii="Arial" w:hAnsi="Arial" w:cs="Arial"/>
          <w:b w:val="0"/>
          <w:sz w:val="20"/>
          <w:szCs w:val="20"/>
        </w:rPr>
        <w:t xml:space="preserve">Trova applicazione in sede nazionale con opportuni provvedimenti emanati dall’Agenzia delle Dogane. </w:t>
      </w:r>
    </w:p>
    <w:p w:rsidR="00423EFB" w:rsidRPr="00423EFB" w:rsidRDefault="00E777A0" w:rsidP="005675A9">
      <w:pPr>
        <w:spacing w:after="100"/>
        <w:jc w:val="both"/>
        <w:rPr>
          <w:rFonts w:ascii="Arial" w:hAnsi="Arial" w:cs="Arial"/>
          <w:sz w:val="20"/>
          <w:szCs w:val="20"/>
        </w:rPr>
      </w:pPr>
      <w:r w:rsidRPr="00B77592">
        <w:rPr>
          <w:rFonts w:ascii="Arial" w:hAnsi="Arial" w:cs="Arial"/>
          <w:sz w:val="20"/>
          <w:szCs w:val="20"/>
        </w:rPr>
        <w:t xml:space="preserve">L'indagine ha periodicità mensile ed è effettuata elaborando dati provenienti da una base dati di tipo fiscale-amministrativo (Documento Amministrativo Unico – DAU) coerente con le definizioni e le classificazioni di tipo statistico. Questi vengono </w:t>
      </w:r>
      <w:r w:rsidRPr="00896581">
        <w:rPr>
          <w:rFonts w:ascii="Arial" w:hAnsi="Arial" w:cs="Arial"/>
          <w:sz w:val="20"/>
          <w:szCs w:val="20"/>
        </w:rPr>
        <w:t xml:space="preserve">successivamente armonizzati e validati attraverso un processo di controllo e revisione esperta svolto dall’Istituto. </w:t>
      </w:r>
      <w:r w:rsidR="00896581" w:rsidRPr="00896581">
        <w:rPr>
          <w:rFonts w:ascii="Arial" w:hAnsi="Arial" w:cs="Arial"/>
          <w:sz w:val="20"/>
          <w:szCs w:val="20"/>
        </w:rPr>
        <w:t>A partire da gennaio 2024, la rilevazione include i dati di “quasi-export” (esportazioni di beni nazionali registrate presso dogane di altri paesi Ue). Questi ultimi – frutto dello scambio di microdati tra Istituti di statistica europei (CDE - Customs data exchange) – si rendono disponibili successivamente alla prima pubblicazione dei dati di commercio estero extra Ue.</w:t>
      </w:r>
      <w:r w:rsidR="00423EFB" w:rsidRPr="00423EFB">
        <w:rPr>
          <w:rFonts w:ascii="Arial" w:hAnsi="Arial" w:cs="Arial"/>
          <w:sz w:val="20"/>
          <w:szCs w:val="20"/>
        </w:rPr>
        <w:t>I flussi di “quasi-export” di beni nazionali registrati presso le dogane di altri paesi Ue sono pertanto inclusi nei dati di commercio extra-Ue in occasione della prima revisione nel mese successivo e diffusi nel Comunicato Stampa Commercio con l’estero e prezzi all’import. Analogamente, in tale occasione, sono esclusi dai dati di commercio extra-Ue i flussi di “quasi-export” di beni di altri paesi Ue registrati presso dogane italiane.</w:t>
      </w:r>
    </w:p>
    <w:p w:rsidR="00A651E1" w:rsidRDefault="00E777A0" w:rsidP="005675A9">
      <w:pPr>
        <w:pStyle w:val="A"/>
        <w:spacing w:after="100"/>
        <w:rPr>
          <w:rFonts w:ascii="Arial" w:hAnsi="Arial" w:cs="Arial"/>
          <w:b w:val="0"/>
          <w:sz w:val="20"/>
          <w:szCs w:val="20"/>
        </w:rPr>
      </w:pPr>
      <w:r w:rsidRPr="00B77592">
        <w:rPr>
          <w:rFonts w:ascii="Arial" w:hAnsi="Arial" w:cs="Arial"/>
          <w:b w:val="0"/>
          <w:sz w:val="20"/>
          <w:szCs w:val="20"/>
        </w:rPr>
        <w:t>Conformemente alla normativa comunitaria, dal 2000 le esportazioni e le importazioni al di sotto delle soglie di esclusione (operazioni commerciali di valore inferiore a 1.000 euro a partire dal 2010) vengono inserite nelle statistiche del commercio estero con i paesi extra Ue mensilmente in forma aggregata.</w:t>
      </w:r>
    </w:p>
    <w:p w:rsidR="003C293E" w:rsidRPr="00B577D3" w:rsidRDefault="00B05DDB" w:rsidP="00B05DDB">
      <w:pPr>
        <w:pStyle w:val="A"/>
        <w:spacing w:after="120"/>
        <w:rPr>
          <w:rFonts w:ascii="Arial" w:hAnsi="Arial" w:cs="Arial"/>
          <w:b w:val="0"/>
          <w:sz w:val="20"/>
          <w:szCs w:val="20"/>
        </w:rPr>
      </w:pPr>
      <w:r w:rsidRPr="00B577D3">
        <w:rPr>
          <w:rFonts w:ascii="Arial" w:hAnsi="Arial" w:cs="Arial"/>
          <w:b w:val="0"/>
          <w:sz w:val="20"/>
          <w:szCs w:val="20"/>
        </w:rPr>
        <w:t>Dal 1° gennaio 2021, il Regno Unito non è più parte del territorio doganale e fiscale (IVA e accise) dell’Unione europea e le relazioni economiche tra i due sistemi, dopo la Brexit, sono disciplinate dall’accordo raggiunto tra le parti il 24 dicembre 2020. Tuttavia, sulla base di quanto previsto dal Protocollo su Irlanda/Irlanda del Nord - già allegato all’Accordo di recesso Regno Unito/Ue – al fine di evitare una front</w:t>
      </w:r>
      <w:r w:rsidR="001A34E1" w:rsidRPr="00B577D3">
        <w:rPr>
          <w:rFonts w:ascii="Arial" w:hAnsi="Arial" w:cs="Arial"/>
          <w:b w:val="0"/>
          <w:sz w:val="20"/>
          <w:szCs w:val="20"/>
        </w:rPr>
        <w:t>iera</w:t>
      </w:r>
      <w:r w:rsidRPr="00B577D3">
        <w:rPr>
          <w:rFonts w:ascii="Arial" w:hAnsi="Arial" w:cs="Arial"/>
          <w:b w:val="0"/>
          <w:sz w:val="20"/>
          <w:szCs w:val="20"/>
        </w:rPr>
        <w:t xml:space="preserve"> fisica tra i due </w:t>
      </w:r>
      <w:r w:rsidR="003C293E" w:rsidRPr="00B577D3">
        <w:rPr>
          <w:rFonts w:ascii="Arial" w:hAnsi="Arial" w:cs="Arial"/>
          <w:b w:val="0"/>
          <w:sz w:val="20"/>
          <w:szCs w:val="20"/>
        </w:rPr>
        <w:t>t</w:t>
      </w:r>
      <w:r w:rsidRPr="00B577D3">
        <w:rPr>
          <w:rFonts w:ascii="Arial" w:hAnsi="Arial" w:cs="Arial"/>
          <w:b w:val="0"/>
          <w:sz w:val="20"/>
          <w:szCs w:val="20"/>
        </w:rPr>
        <w:t xml:space="preserve">erritori, l’Irlanda del Nord resta soggetta alla normativa </w:t>
      </w:r>
      <w:r w:rsidR="00E01B83">
        <w:rPr>
          <w:rFonts w:ascii="Arial" w:hAnsi="Arial" w:cs="Arial"/>
          <w:b w:val="0"/>
          <w:sz w:val="20"/>
          <w:szCs w:val="20"/>
        </w:rPr>
        <w:t>dell’Ue</w:t>
      </w:r>
      <w:r w:rsidRPr="00B577D3">
        <w:rPr>
          <w:rFonts w:ascii="Arial" w:hAnsi="Arial" w:cs="Arial"/>
          <w:b w:val="0"/>
          <w:sz w:val="20"/>
          <w:szCs w:val="20"/>
        </w:rPr>
        <w:t xml:space="preserve"> in materia di IVA per gli scambi commerciali di beni. </w:t>
      </w:r>
    </w:p>
    <w:p w:rsidR="00716789" w:rsidRPr="00B577D3" w:rsidRDefault="00B05DDB" w:rsidP="005675A9">
      <w:pPr>
        <w:pStyle w:val="A"/>
        <w:spacing w:after="100"/>
        <w:rPr>
          <w:rFonts w:ascii="Arial" w:hAnsi="Arial" w:cs="Arial"/>
          <w:b w:val="0"/>
          <w:sz w:val="20"/>
          <w:szCs w:val="20"/>
        </w:rPr>
      </w:pPr>
      <w:r w:rsidRPr="00B577D3">
        <w:rPr>
          <w:rFonts w:ascii="Arial" w:hAnsi="Arial" w:cs="Arial"/>
          <w:b w:val="0"/>
          <w:sz w:val="20"/>
          <w:szCs w:val="20"/>
        </w:rPr>
        <w:t>In termini di rilevazione dei dati di commercio estero, questo implica che dal 1° gennaio 2021 i flussi commerciali da e verso</w:t>
      </w:r>
      <w:r w:rsidR="002925B2">
        <w:rPr>
          <w:rFonts w:ascii="Arial" w:hAnsi="Arial" w:cs="Arial"/>
          <w:b w:val="0"/>
          <w:sz w:val="20"/>
          <w:szCs w:val="20"/>
        </w:rPr>
        <w:t xml:space="preserve"> la Gran Bretagna sono desunti </w:t>
      </w:r>
      <w:r w:rsidRPr="00B577D3">
        <w:rPr>
          <w:rFonts w:ascii="Arial" w:hAnsi="Arial" w:cs="Arial"/>
          <w:b w:val="0"/>
          <w:sz w:val="20"/>
          <w:szCs w:val="20"/>
        </w:rPr>
        <w:t xml:space="preserve">dalle dichiarazioni doganali (DAU), quelli da e verso l’Irlanda del Nord dalle dichiarazioni Intrastat. </w:t>
      </w:r>
    </w:p>
    <w:p w:rsidR="003638FD" w:rsidRDefault="00B05DDB" w:rsidP="005675A9">
      <w:pPr>
        <w:pStyle w:val="A"/>
        <w:spacing w:after="100"/>
        <w:rPr>
          <w:rFonts w:ascii="Arial" w:hAnsi="Arial" w:cs="Arial"/>
          <w:b w:val="0"/>
          <w:sz w:val="20"/>
          <w:szCs w:val="20"/>
        </w:rPr>
      </w:pPr>
      <w:r w:rsidRPr="00B577D3">
        <w:rPr>
          <w:rFonts w:ascii="Arial" w:hAnsi="Arial" w:cs="Arial"/>
          <w:b w:val="0"/>
          <w:sz w:val="20"/>
          <w:szCs w:val="20"/>
        </w:rPr>
        <w:t>Stante la diversa tempistica di ricezione delle fonti Intrastat ed Extrastat, che non rende disponibili le dichiarazioni Intrastat al momento della prima pubblicazione dei dati di commercio estero extra Ue, i dati preliminari del Regno Unito e, quindi dell’area extra Ue27,</w:t>
      </w:r>
      <w:r w:rsidR="00635CD8" w:rsidRPr="00B577D3">
        <w:rPr>
          <w:rFonts w:ascii="Arial" w:hAnsi="Arial" w:cs="Arial"/>
          <w:b w:val="0"/>
          <w:sz w:val="20"/>
          <w:szCs w:val="20"/>
        </w:rPr>
        <w:t xml:space="preserve"> diffusi nel presente comunicato,</w:t>
      </w:r>
      <w:r w:rsidRPr="00B577D3">
        <w:rPr>
          <w:rFonts w:ascii="Arial" w:hAnsi="Arial" w:cs="Arial"/>
          <w:b w:val="0"/>
          <w:sz w:val="20"/>
          <w:szCs w:val="20"/>
        </w:rPr>
        <w:t xml:space="preserve"> non comprendono</w:t>
      </w:r>
      <w:r w:rsidR="00341D1E" w:rsidRPr="00B577D3">
        <w:rPr>
          <w:rFonts w:ascii="Arial" w:hAnsi="Arial" w:cs="Arial"/>
          <w:b w:val="0"/>
          <w:sz w:val="20"/>
          <w:szCs w:val="20"/>
        </w:rPr>
        <w:t xml:space="preserve"> i dati di interscambio con</w:t>
      </w:r>
      <w:r w:rsidRPr="00B577D3">
        <w:rPr>
          <w:rFonts w:ascii="Arial" w:hAnsi="Arial" w:cs="Arial"/>
          <w:b w:val="0"/>
          <w:sz w:val="20"/>
          <w:szCs w:val="20"/>
        </w:rPr>
        <w:t xml:space="preserve"> l’Irlanda del Nord. Questi sono inclusi</w:t>
      </w:r>
      <w:r w:rsidR="00341D1E" w:rsidRPr="00B577D3">
        <w:rPr>
          <w:rFonts w:ascii="Arial" w:hAnsi="Arial" w:cs="Arial"/>
          <w:b w:val="0"/>
          <w:sz w:val="20"/>
          <w:szCs w:val="20"/>
        </w:rPr>
        <w:t xml:space="preserve"> nei dati di commercio estero extra Ue in occasione della </w:t>
      </w:r>
      <w:r w:rsidRPr="00B577D3">
        <w:rPr>
          <w:rFonts w:ascii="Arial" w:hAnsi="Arial" w:cs="Arial"/>
          <w:b w:val="0"/>
          <w:sz w:val="20"/>
          <w:szCs w:val="20"/>
        </w:rPr>
        <w:t xml:space="preserve">prima revisione nel mese successivo </w:t>
      </w:r>
      <w:r w:rsidR="00341D1E" w:rsidRPr="00B577D3">
        <w:rPr>
          <w:rFonts w:ascii="Arial" w:hAnsi="Arial" w:cs="Arial"/>
          <w:b w:val="0"/>
          <w:sz w:val="20"/>
          <w:szCs w:val="20"/>
        </w:rPr>
        <w:t xml:space="preserve">e diffusi </w:t>
      </w:r>
      <w:r w:rsidR="001A34E1" w:rsidRPr="00B577D3">
        <w:rPr>
          <w:rFonts w:ascii="Arial" w:hAnsi="Arial" w:cs="Arial"/>
          <w:b w:val="0"/>
          <w:sz w:val="20"/>
          <w:szCs w:val="20"/>
        </w:rPr>
        <w:t>nel</w:t>
      </w:r>
      <w:r w:rsidRPr="00B577D3">
        <w:rPr>
          <w:rFonts w:ascii="Arial" w:hAnsi="Arial" w:cs="Arial"/>
          <w:b w:val="0"/>
          <w:sz w:val="20"/>
          <w:szCs w:val="20"/>
        </w:rPr>
        <w:t>Comunicato Stampa Commercio con l’estero e prezzi all’import.</w:t>
      </w:r>
    </w:p>
    <w:p w:rsidR="00F211F7" w:rsidRPr="00267745" w:rsidRDefault="00F211F7" w:rsidP="005675A9">
      <w:pPr>
        <w:pStyle w:val="A"/>
        <w:spacing w:after="100"/>
        <w:rPr>
          <w:rFonts w:ascii="Arial" w:hAnsi="Arial" w:cs="Arial"/>
          <w:b w:val="0"/>
          <w:sz w:val="20"/>
          <w:szCs w:val="20"/>
        </w:rPr>
      </w:pPr>
      <w:r w:rsidRPr="00B77592">
        <w:rPr>
          <w:rFonts w:ascii="Arial" w:hAnsi="Arial" w:cs="Arial"/>
          <w:b w:val="0"/>
          <w:sz w:val="20"/>
          <w:szCs w:val="20"/>
        </w:rPr>
        <w:t xml:space="preserve">A partire dal mese di </w:t>
      </w:r>
      <w:r w:rsidR="00E64DEC">
        <w:rPr>
          <w:rFonts w:ascii="Arial" w:hAnsi="Arial" w:cs="Arial"/>
          <w:b w:val="0"/>
          <w:sz w:val="20"/>
          <w:szCs w:val="20"/>
        </w:rPr>
        <w:t>s</w:t>
      </w:r>
      <w:r w:rsidRPr="00B77592">
        <w:rPr>
          <w:rFonts w:ascii="Arial" w:hAnsi="Arial" w:cs="Arial"/>
          <w:b w:val="0"/>
          <w:sz w:val="20"/>
          <w:szCs w:val="20"/>
        </w:rPr>
        <w:t>ettembre 2011 è stata implementata una nuova metodologia di produzione delle statistiche sugli scambi con l’estero di gas naturale allo stato gassoso e di energia elettrica, che si basa sull’impiego diretto di fonti informative alternative</w:t>
      </w:r>
      <w:r w:rsidRPr="00B77592">
        <w:rPr>
          <w:rStyle w:val="Rimandonotaapidipagina"/>
          <w:rFonts w:ascii="Arial" w:hAnsi="Arial" w:cs="Arial"/>
          <w:b w:val="0"/>
          <w:sz w:val="20"/>
          <w:szCs w:val="20"/>
        </w:rPr>
        <w:footnoteReference w:id="3"/>
      </w:r>
      <w:r w:rsidRPr="00B77592">
        <w:rPr>
          <w:rFonts w:ascii="Arial" w:hAnsi="Arial" w:cs="Arial"/>
          <w:b w:val="0"/>
          <w:sz w:val="20"/>
          <w:szCs w:val="20"/>
        </w:rPr>
        <w:t xml:space="preserve"> ai dati statistico-doganali solo per quanto riguarda la misurazione degli scambi complessivi in quantità, mentre per le altre variabili di analisi e classificazione richieste dai regolamenti statistici comunitari (dati in valore monetario e allocazione geografica dei flussi con l’estero per “paese statistico”) sono stati adottati opportuni criteri di stima (per maggiori dettagli si veda la nota sulle revisioni straordinarie allegata al Comunicato Commercio con l’estero riferito al mese di Settembre 2011 </w:t>
      </w:r>
      <w:hyperlink r:id="rId31" w:history="1">
        <w:r w:rsidRPr="00B77592">
          <w:rPr>
            <w:rStyle w:val="Collegamentoipertestuale"/>
            <w:rFonts w:ascii="Arial" w:hAnsi="Arial" w:cs="Arial"/>
            <w:b w:val="0"/>
            <w:sz w:val="20"/>
            <w:szCs w:val="20"/>
          </w:rPr>
          <w:t>www.istat.it/it/archivio/45225</w:t>
        </w:r>
      </w:hyperlink>
      <w:r w:rsidRPr="00B77592">
        <w:rPr>
          <w:rFonts w:ascii="Arial" w:hAnsi="Arial" w:cs="Arial"/>
          <w:b w:val="0"/>
          <w:sz w:val="20"/>
          <w:szCs w:val="20"/>
        </w:rPr>
        <w:t xml:space="preserve">). La modifica introdotta ha </w:t>
      </w:r>
      <w:r w:rsidRPr="00267745">
        <w:rPr>
          <w:rFonts w:ascii="Arial" w:hAnsi="Arial" w:cs="Arial"/>
          <w:b w:val="0"/>
          <w:sz w:val="20"/>
          <w:szCs w:val="20"/>
        </w:rPr>
        <w:t>comportato la conseguente revisione dei dati relativi ai periodi precedenti.</w:t>
      </w:r>
    </w:p>
    <w:p w:rsidR="00F211F7" w:rsidRPr="00267745" w:rsidRDefault="00E0550F" w:rsidP="005675A9">
      <w:pPr>
        <w:pStyle w:val="A"/>
        <w:rPr>
          <w:rFonts w:ascii="Arial" w:hAnsi="Arial" w:cs="Arial"/>
          <w:sz w:val="20"/>
          <w:szCs w:val="20"/>
        </w:rPr>
      </w:pPr>
      <w:r w:rsidRPr="00E64DEC">
        <w:rPr>
          <w:rFonts w:ascii="Arial" w:hAnsi="Arial" w:cs="Arial"/>
          <w:b w:val="0"/>
          <w:sz w:val="20"/>
          <w:szCs w:val="20"/>
        </w:rPr>
        <w:t>A partire dal mese di dicembre 2022,</w:t>
      </w:r>
      <w:r w:rsidRPr="00267745">
        <w:rPr>
          <w:rFonts w:ascii="Arial" w:hAnsi="Arial" w:cs="Arial"/>
          <w:b w:val="0"/>
          <w:sz w:val="20"/>
          <w:szCs w:val="20"/>
        </w:rPr>
        <w:t xml:space="preserve"> i valori preliminari delle importazioni extra Ue27 del gas naturale allo stato gassoso sono elaborati utilizzando i dati di quantità da fonte Snam Rete Gas S.p.a. e i dati di prezzo (valore medio unitario) da dichiarazioni doganali, relativi allo stesso mese di riferimento. Questo si è reso possibile grazie alla fornitura anticipata</w:t>
      </w:r>
      <w:r w:rsidR="0044241C" w:rsidRPr="00267745">
        <w:rPr>
          <w:rFonts w:ascii="Arial" w:hAnsi="Arial" w:cs="Arial"/>
          <w:b w:val="0"/>
          <w:sz w:val="20"/>
          <w:szCs w:val="20"/>
        </w:rPr>
        <w:t>,</w:t>
      </w:r>
      <w:r w:rsidRPr="00267745">
        <w:rPr>
          <w:rFonts w:ascii="Arial" w:hAnsi="Arial" w:cs="Arial"/>
          <w:b w:val="0"/>
          <w:sz w:val="20"/>
          <w:szCs w:val="20"/>
        </w:rPr>
        <w:t xml:space="preserve"> da parte di Agenzia delle Dogane e dei Monopoli, delle dichiarazioni doganali relative a </w:t>
      </w:r>
      <w:r w:rsidR="00AF0494" w:rsidRPr="00267745">
        <w:rPr>
          <w:rFonts w:ascii="Arial" w:hAnsi="Arial" w:cs="Arial"/>
          <w:b w:val="0"/>
          <w:sz w:val="20"/>
          <w:szCs w:val="20"/>
        </w:rPr>
        <w:t>questo</w:t>
      </w:r>
      <w:r w:rsidRPr="00267745">
        <w:rPr>
          <w:rFonts w:ascii="Arial" w:hAnsi="Arial" w:cs="Arial"/>
          <w:b w:val="0"/>
          <w:sz w:val="20"/>
          <w:szCs w:val="20"/>
        </w:rPr>
        <w:t xml:space="preserve"> prodotto. Si ricorda </w:t>
      </w:r>
      <w:r w:rsidR="00812700" w:rsidRPr="00267745">
        <w:rPr>
          <w:rFonts w:ascii="Arial" w:hAnsi="Arial" w:cs="Arial"/>
          <w:b w:val="0"/>
          <w:sz w:val="20"/>
          <w:szCs w:val="20"/>
        </w:rPr>
        <w:t>che</w:t>
      </w:r>
      <w:r w:rsidR="00CC16EC" w:rsidRPr="00267745">
        <w:rPr>
          <w:rFonts w:ascii="Arial" w:hAnsi="Arial" w:cs="Arial"/>
          <w:b w:val="0"/>
          <w:sz w:val="20"/>
          <w:szCs w:val="20"/>
        </w:rPr>
        <w:t>, nel rispetto degli adempimenti doganali relativi all’importazione di gas naturale a mezzo gasdotto,</w:t>
      </w:r>
      <w:r w:rsidR="00812700" w:rsidRPr="00267745">
        <w:rPr>
          <w:rFonts w:ascii="Arial" w:hAnsi="Arial" w:cs="Arial"/>
          <w:b w:val="0"/>
          <w:sz w:val="20"/>
          <w:szCs w:val="20"/>
        </w:rPr>
        <w:t xml:space="preserve"> le dichiarazioni doganali depositate nel mese riferiscono a movimentazioni avvenute nel mese precedente. </w:t>
      </w:r>
      <w:r w:rsidR="00CC16EC" w:rsidRPr="00267745">
        <w:rPr>
          <w:rFonts w:ascii="Arial" w:hAnsi="Arial" w:cs="Arial"/>
          <w:b w:val="0"/>
          <w:sz w:val="20"/>
          <w:szCs w:val="20"/>
        </w:rPr>
        <w:t>La fornitura anticipata, rendendo immediatamente disponibili le dichiarazioni che afferiscono all</w:t>
      </w:r>
      <w:r w:rsidR="00AF0494" w:rsidRPr="00267745">
        <w:rPr>
          <w:rFonts w:ascii="Arial" w:hAnsi="Arial" w:cs="Arial"/>
          <w:b w:val="0"/>
          <w:sz w:val="20"/>
          <w:szCs w:val="20"/>
        </w:rPr>
        <w:t xml:space="preserve">e </w:t>
      </w:r>
      <w:r w:rsidR="00AF0494" w:rsidRPr="00267745">
        <w:rPr>
          <w:rFonts w:ascii="Arial" w:hAnsi="Arial" w:cs="Arial"/>
          <w:b w:val="0"/>
          <w:sz w:val="20"/>
          <w:szCs w:val="20"/>
        </w:rPr>
        <w:lastRenderedPageBreak/>
        <w:t>importazioni</w:t>
      </w:r>
      <w:r w:rsidR="0044241C" w:rsidRPr="00267745">
        <w:rPr>
          <w:rFonts w:ascii="Arial" w:hAnsi="Arial" w:cs="Arial"/>
          <w:b w:val="0"/>
          <w:sz w:val="20"/>
          <w:szCs w:val="20"/>
        </w:rPr>
        <w:t>n</w:t>
      </w:r>
      <w:r w:rsidR="00CC16EC" w:rsidRPr="00267745">
        <w:rPr>
          <w:rFonts w:ascii="Arial" w:hAnsi="Arial" w:cs="Arial"/>
          <w:b w:val="0"/>
          <w:sz w:val="20"/>
          <w:szCs w:val="20"/>
        </w:rPr>
        <w:t xml:space="preserve">el mese di riferimento, consente di elaborare stime preliminari </w:t>
      </w:r>
      <w:r w:rsidR="0044241C" w:rsidRPr="00267745">
        <w:rPr>
          <w:rFonts w:ascii="Arial" w:hAnsi="Arial" w:cs="Arial"/>
          <w:b w:val="0"/>
          <w:sz w:val="20"/>
          <w:szCs w:val="20"/>
        </w:rPr>
        <w:t xml:space="preserve">più </w:t>
      </w:r>
      <w:r w:rsidR="00CC16EC" w:rsidRPr="00267745">
        <w:rPr>
          <w:rFonts w:ascii="Arial" w:hAnsi="Arial" w:cs="Arial"/>
          <w:b w:val="0"/>
          <w:sz w:val="20"/>
          <w:szCs w:val="20"/>
        </w:rPr>
        <w:t>accurate dei dati di import</w:t>
      </w:r>
      <w:r w:rsidR="0044241C" w:rsidRPr="00267745">
        <w:rPr>
          <w:rFonts w:ascii="Arial" w:hAnsi="Arial" w:cs="Arial"/>
          <w:b w:val="0"/>
          <w:sz w:val="20"/>
          <w:szCs w:val="20"/>
        </w:rPr>
        <w:t xml:space="preserve"> per questo prodotto</w:t>
      </w:r>
      <w:r w:rsidR="00CC16EC" w:rsidRPr="00267745">
        <w:rPr>
          <w:rFonts w:ascii="Arial" w:hAnsi="Arial" w:cs="Arial"/>
          <w:b w:val="0"/>
          <w:sz w:val="20"/>
          <w:szCs w:val="20"/>
        </w:rPr>
        <w:t>.</w:t>
      </w:r>
    </w:p>
    <w:p w:rsidR="00896581" w:rsidRDefault="00896581" w:rsidP="005675A9">
      <w:pPr>
        <w:pStyle w:val="A"/>
        <w:outlineLvl w:val="0"/>
        <w:rPr>
          <w:rFonts w:ascii="Arial" w:hAnsi="Arial" w:cs="Arial"/>
          <w:sz w:val="22"/>
          <w:szCs w:val="20"/>
        </w:rPr>
      </w:pPr>
    </w:p>
    <w:p w:rsidR="00A651E1" w:rsidRPr="003F5831" w:rsidRDefault="00E777A0" w:rsidP="005675A9">
      <w:pPr>
        <w:pStyle w:val="A"/>
        <w:spacing w:before="60" w:after="120"/>
        <w:outlineLvl w:val="0"/>
        <w:rPr>
          <w:rFonts w:ascii="Arial" w:hAnsi="Arial" w:cs="Arial"/>
          <w:sz w:val="22"/>
          <w:szCs w:val="20"/>
        </w:rPr>
      </w:pPr>
      <w:r w:rsidRPr="003F5831">
        <w:rPr>
          <w:rFonts w:ascii="Arial" w:hAnsi="Arial" w:cs="Arial"/>
          <w:sz w:val="22"/>
          <w:szCs w:val="20"/>
        </w:rPr>
        <w:t>Popolazione di riferimento e classificazioni utilizzate</w:t>
      </w:r>
    </w:p>
    <w:p w:rsidR="00D77DE6" w:rsidRDefault="00E777A0">
      <w:pPr>
        <w:spacing w:after="120"/>
        <w:jc w:val="both"/>
        <w:rPr>
          <w:rFonts w:ascii="Arial" w:hAnsi="Arial" w:cs="Arial"/>
          <w:sz w:val="20"/>
          <w:szCs w:val="20"/>
        </w:rPr>
      </w:pPr>
      <w:r w:rsidRPr="00B77592">
        <w:rPr>
          <w:rFonts w:ascii="Arial" w:hAnsi="Arial" w:cs="Arial"/>
          <w:sz w:val="20"/>
          <w:szCs w:val="20"/>
        </w:rPr>
        <w:t xml:space="preserve">L’oggetto dell’indagine sono tutte le merci a esclusione dell’oro monetario, del software personalizzato, degli strumenti di pagamento aventi corso legale e valori, delle merci destinate alla riparazione. </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Nel rispetto dei Regolamenti comunitari, gli scambi commerciali di beni con paesi extra U</w:t>
      </w:r>
      <w:r w:rsidR="00E52308">
        <w:rPr>
          <w:rFonts w:ascii="Arial" w:hAnsi="Arial" w:cs="Arial"/>
          <w:sz w:val="20"/>
          <w:szCs w:val="20"/>
        </w:rPr>
        <w:t>e</w:t>
      </w:r>
      <w:r w:rsidRPr="00B77592">
        <w:rPr>
          <w:rFonts w:ascii="Arial" w:hAnsi="Arial" w:cs="Arial"/>
          <w:sz w:val="20"/>
          <w:szCs w:val="20"/>
        </w:rPr>
        <w:t xml:space="preserve"> sono classificati secondo il paese di origine per le importazioni e il paese di destinazione per le esportazioni.</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 xml:space="preserve">I dati diffusi mensilmente riguardano i valori monetari, le variazioni tendenziali e quelle congiunturali relativi alle variabili che descrivono i flussi commerciali con l’estero. </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I valori monetari a prezzi correnti si riferiscono alle importazioni ed esportazioni di merci rilevate o stimate in termini di valore statistico (Cif, Fob).</w:t>
      </w:r>
    </w:p>
    <w:p w:rsidR="00A651E1" w:rsidRPr="00B77592" w:rsidRDefault="00E777A0">
      <w:pPr>
        <w:pStyle w:val="A"/>
        <w:spacing w:after="120"/>
        <w:rPr>
          <w:rFonts w:ascii="Arial" w:hAnsi="Arial" w:cs="Arial"/>
          <w:b w:val="0"/>
          <w:sz w:val="20"/>
          <w:szCs w:val="20"/>
        </w:rPr>
      </w:pPr>
      <w:r w:rsidRPr="00B77592">
        <w:rPr>
          <w:rFonts w:ascii="Arial" w:hAnsi="Arial" w:cs="Arial"/>
          <w:b w:val="0"/>
          <w:sz w:val="20"/>
          <w:szCs w:val="20"/>
        </w:rPr>
        <w:t>Le principali classificazioni utilizzate nella produzione delle statistiche del commercio con l’estero sono definite a partire dall</w:t>
      </w:r>
      <w:r w:rsidR="002925B2">
        <w:rPr>
          <w:rFonts w:ascii="Arial" w:hAnsi="Arial" w:cs="Arial"/>
          <w:b w:val="0"/>
          <w:sz w:val="20"/>
          <w:szCs w:val="20"/>
        </w:rPr>
        <w:t>e</w:t>
      </w:r>
      <w:r w:rsidRPr="00B77592">
        <w:rPr>
          <w:rFonts w:ascii="Arial" w:hAnsi="Arial" w:cs="Arial"/>
          <w:b w:val="0"/>
          <w:sz w:val="20"/>
          <w:szCs w:val="20"/>
        </w:rPr>
        <w:t xml:space="preserve"> informazioni elementari riguardanti la tipologia delle merci, il paese statistico e la provincia di provenienza o destinazione delle merci. La Nomenclatura Combinata è la classificazione utilizzata per l’indagine dei prodotti a livello comunitario. Definita e aggiornata annualmente dall’Unione Europea, desume la sua codifica dal Sistema Armonizzato (SA). </w:t>
      </w:r>
    </w:p>
    <w:p w:rsidR="00A651E1" w:rsidRPr="00B77592" w:rsidRDefault="00E777A0">
      <w:pPr>
        <w:pStyle w:val="A"/>
        <w:spacing w:after="120"/>
        <w:rPr>
          <w:rFonts w:ascii="Arial" w:hAnsi="Arial" w:cs="Arial"/>
          <w:b w:val="0"/>
          <w:sz w:val="20"/>
          <w:szCs w:val="20"/>
        </w:rPr>
      </w:pPr>
      <w:r w:rsidRPr="00B77592">
        <w:rPr>
          <w:rFonts w:ascii="Arial" w:hAnsi="Arial" w:cs="Arial"/>
          <w:b w:val="0"/>
          <w:sz w:val="20"/>
          <w:szCs w:val="20"/>
        </w:rPr>
        <w:t>La classificazione utilizzata per definire le aree geografiche e le aree geoeconomiche di appartenenza dei paesi è la Geonomenclatura dei paesi e territori per le statistiche del commercio estero dell’Unione e del commercio tra i suoi Stati membri, stabilita da Eurostat.</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A partire da gennaio 2009 i raggruppamenti di merci dell’interscambio commerciale sono definiti sulla base della classificazione delle attività economiche Ateco 2007 opportunamente adattata alle statistiche sul commercio estero. L’Ateco 2007, infatti, costituisce la versione nazionale della nomenclatura europea Nace rev. 2, pubblicata sull’Official Journal il 2 dicembre 2006 (Regolamento (CE) n.1893/2006 del P</w:t>
      </w:r>
      <w:r w:rsidR="000F72C6">
        <w:rPr>
          <w:rFonts w:ascii="Arial" w:hAnsi="Arial" w:cs="Arial"/>
          <w:sz w:val="20"/>
          <w:szCs w:val="20"/>
        </w:rPr>
        <w:t>arlamento europeo</w:t>
      </w:r>
      <w:r w:rsidRPr="00B77592">
        <w:rPr>
          <w:rFonts w:ascii="Arial" w:hAnsi="Arial" w:cs="Arial"/>
          <w:sz w:val="20"/>
          <w:szCs w:val="20"/>
        </w:rPr>
        <w:t xml:space="preserve"> e del Consiglio del 20/12/2006), con la quale coincide fino alla quarta cifra.</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Ai fini di fornire le informazioni a un livello di dettaglio idoneo ad analizzare l’interscambio commerciale italiano, i dati sono rilasciati secondo un’opportuna disaggregazione intermedia delle sezioni.</w:t>
      </w:r>
    </w:p>
    <w:p w:rsidR="00A651E1" w:rsidRPr="00B77592" w:rsidRDefault="00E777A0">
      <w:pPr>
        <w:pStyle w:val="A"/>
        <w:spacing w:after="120"/>
        <w:rPr>
          <w:rFonts w:ascii="Arial" w:hAnsi="Arial" w:cs="Arial"/>
          <w:b w:val="0"/>
          <w:sz w:val="20"/>
          <w:szCs w:val="20"/>
        </w:rPr>
      </w:pPr>
      <w:r w:rsidRPr="00B77592">
        <w:rPr>
          <w:rFonts w:ascii="Arial" w:hAnsi="Arial" w:cs="Arial"/>
          <w:b w:val="0"/>
          <w:sz w:val="20"/>
          <w:szCs w:val="20"/>
        </w:rPr>
        <w:t>Nel corso dell’anno 2003, l’Istat ha modificato, per i dati di commercio estero così come per tutti gli indicatori congiunturali dell’industria, la classificazione delle aggregazioni per destinazione economica dei prodotti “Raggruppamenti Principali di Industrie (RPI)”, definiti dal Regolamento della Commissione n.586/2001 (G.U. delle Comunità europee del 27/03/2001). A seguito dell'entrata in vigore della Nace rev. 2 tale Regolamento è stato modificato dal Regolamento (CE) n.656/2007 del 14/06/2007.</w:t>
      </w:r>
    </w:p>
    <w:p w:rsidR="00A651E1" w:rsidRPr="00B77592" w:rsidRDefault="00E777A0">
      <w:pPr>
        <w:pStyle w:val="A"/>
        <w:spacing w:after="120"/>
        <w:rPr>
          <w:rFonts w:ascii="Arial" w:hAnsi="Arial" w:cs="Arial"/>
          <w:b w:val="0"/>
          <w:sz w:val="20"/>
          <w:szCs w:val="20"/>
        </w:rPr>
      </w:pPr>
      <w:r w:rsidRPr="00B77592">
        <w:rPr>
          <w:rFonts w:ascii="Arial" w:hAnsi="Arial" w:cs="Arial"/>
          <w:b w:val="0"/>
          <w:sz w:val="20"/>
          <w:szCs w:val="20"/>
        </w:rPr>
        <w:t>I Raggruppamenti Principali di Industrie sono:</w:t>
      </w:r>
    </w:p>
    <w:p w:rsidR="00A651E1" w:rsidRPr="00B77592" w:rsidRDefault="00E777A0">
      <w:pPr>
        <w:pStyle w:val="A"/>
        <w:numPr>
          <w:ilvl w:val="0"/>
          <w:numId w:val="21"/>
        </w:numPr>
        <w:tabs>
          <w:tab w:val="clear" w:pos="2534"/>
          <w:tab w:val="num" w:pos="567"/>
        </w:tabs>
        <w:ind w:left="567" w:hanging="567"/>
        <w:rPr>
          <w:rFonts w:ascii="Arial" w:hAnsi="Arial" w:cs="Arial"/>
          <w:b w:val="0"/>
          <w:sz w:val="20"/>
          <w:szCs w:val="20"/>
        </w:rPr>
      </w:pPr>
      <w:r w:rsidRPr="00B77592">
        <w:rPr>
          <w:rFonts w:ascii="Arial" w:hAnsi="Arial" w:cs="Arial"/>
          <w:b w:val="0"/>
          <w:sz w:val="20"/>
          <w:szCs w:val="20"/>
        </w:rPr>
        <w:t>Beni di consumo durevoli;</w:t>
      </w:r>
    </w:p>
    <w:p w:rsidR="00A651E1" w:rsidRPr="00B77592" w:rsidRDefault="00E777A0">
      <w:pPr>
        <w:pStyle w:val="A"/>
        <w:numPr>
          <w:ilvl w:val="0"/>
          <w:numId w:val="21"/>
        </w:numPr>
        <w:tabs>
          <w:tab w:val="clear" w:pos="2534"/>
          <w:tab w:val="num" w:pos="567"/>
        </w:tabs>
        <w:ind w:left="567" w:hanging="567"/>
        <w:rPr>
          <w:rFonts w:ascii="Arial" w:hAnsi="Arial" w:cs="Arial"/>
          <w:b w:val="0"/>
          <w:sz w:val="20"/>
          <w:szCs w:val="20"/>
        </w:rPr>
      </w:pPr>
      <w:r w:rsidRPr="00B77592">
        <w:rPr>
          <w:rFonts w:ascii="Arial" w:hAnsi="Arial" w:cs="Arial"/>
          <w:b w:val="0"/>
          <w:sz w:val="20"/>
          <w:szCs w:val="20"/>
        </w:rPr>
        <w:t>Beni di consumo non durevoli;</w:t>
      </w:r>
    </w:p>
    <w:p w:rsidR="00A651E1" w:rsidRPr="00B77592" w:rsidRDefault="00E777A0">
      <w:pPr>
        <w:pStyle w:val="A"/>
        <w:numPr>
          <w:ilvl w:val="0"/>
          <w:numId w:val="21"/>
        </w:numPr>
        <w:tabs>
          <w:tab w:val="clear" w:pos="2534"/>
          <w:tab w:val="num" w:pos="567"/>
        </w:tabs>
        <w:ind w:left="567" w:hanging="567"/>
        <w:rPr>
          <w:rFonts w:ascii="Arial" w:hAnsi="Arial" w:cs="Arial"/>
          <w:b w:val="0"/>
          <w:sz w:val="20"/>
          <w:szCs w:val="20"/>
        </w:rPr>
      </w:pPr>
      <w:r w:rsidRPr="00B77592">
        <w:rPr>
          <w:rFonts w:ascii="Arial" w:hAnsi="Arial" w:cs="Arial"/>
          <w:b w:val="0"/>
          <w:sz w:val="20"/>
          <w:szCs w:val="20"/>
        </w:rPr>
        <w:t>Beni strumentali;</w:t>
      </w:r>
    </w:p>
    <w:p w:rsidR="00A651E1" w:rsidRPr="00B77592" w:rsidRDefault="00E777A0">
      <w:pPr>
        <w:pStyle w:val="A"/>
        <w:numPr>
          <w:ilvl w:val="0"/>
          <w:numId w:val="21"/>
        </w:numPr>
        <w:tabs>
          <w:tab w:val="clear" w:pos="2534"/>
          <w:tab w:val="num" w:pos="567"/>
        </w:tabs>
        <w:ind w:left="567" w:hanging="567"/>
        <w:rPr>
          <w:rFonts w:ascii="Arial" w:hAnsi="Arial" w:cs="Arial"/>
          <w:b w:val="0"/>
          <w:sz w:val="20"/>
          <w:szCs w:val="20"/>
        </w:rPr>
      </w:pPr>
      <w:r w:rsidRPr="00B77592">
        <w:rPr>
          <w:rFonts w:ascii="Arial" w:hAnsi="Arial" w:cs="Arial"/>
          <w:b w:val="0"/>
          <w:sz w:val="20"/>
          <w:szCs w:val="20"/>
        </w:rPr>
        <w:t>Beni intermedi;</w:t>
      </w:r>
    </w:p>
    <w:p w:rsidR="00A651E1" w:rsidRPr="00B77592" w:rsidRDefault="00E777A0">
      <w:pPr>
        <w:pStyle w:val="A"/>
        <w:numPr>
          <w:ilvl w:val="0"/>
          <w:numId w:val="21"/>
        </w:numPr>
        <w:tabs>
          <w:tab w:val="clear" w:pos="2534"/>
          <w:tab w:val="num" w:pos="567"/>
        </w:tabs>
        <w:spacing w:after="120"/>
        <w:ind w:left="567" w:hanging="567"/>
        <w:rPr>
          <w:rFonts w:ascii="Arial" w:hAnsi="Arial" w:cs="Arial"/>
          <w:b w:val="0"/>
          <w:sz w:val="20"/>
          <w:szCs w:val="20"/>
        </w:rPr>
      </w:pPr>
      <w:r w:rsidRPr="00B77592">
        <w:rPr>
          <w:rFonts w:ascii="Arial" w:hAnsi="Arial" w:cs="Arial"/>
          <w:b w:val="0"/>
          <w:sz w:val="20"/>
          <w:szCs w:val="20"/>
        </w:rPr>
        <w:t>Energia.</w:t>
      </w:r>
    </w:p>
    <w:p w:rsidR="00A651E1" w:rsidRPr="00B77592" w:rsidRDefault="00E777A0" w:rsidP="00F211F7">
      <w:pPr>
        <w:pStyle w:val="Corpodeltesto"/>
        <w:spacing w:after="240"/>
        <w:rPr>
          <w:rFonts w:ascii="Arial" w:hAnsi="Arial" w:cs="Arial"/>
          <w:b/>
          <w:sz w:val="20"/>
          <w:szCs w:val="20"/>
        </w:rPr>
      </w:pPr>
      <w:r w:rsidRPr="00B77592">
        <w:rPr>
          <w:rFonts w:ascii="Arial" w:hAnsi="Arial" w:cs="Arial"/>
          <w:sz w:val="20"/>
          <w:szCs w:val="20"/>
        </w:rPr>
        <w:t xml:space="preserve">La classificazione RPI è stata adattata alle statistiche sul commercio con l’estero. </w:t>
      </w:r>
    </w:p>
    <w:p w:rsidR="00A651E1" w:rsidRPr="003F5831" w:rsidRDefault="00E777A0" w:rsidP="006018AD">
      <w:pPr>
        <w:spacing w:before="120" w:after="120"/>
        <w:jc w:val="both"/>
        <w:outlineLvl w:val="0"/>
        <w:rPr>
          <w:rFonts w:ascii="Arial" w:hAnsi="Arial" w:cs="Arial"/>
          <w:b/>
          <w:sz w:val="22"/>
          <w:szCs w:val="20"/>
        </w:rPr>
      </w:pPr>
      <w:r w:rsidRPr="003F5831">
        <w:rPr>
          <w:rFonts w:ascii="Arial" w:hAnsi="Arial" w:cs="Arial"/>
          <w:b/>
          <w:sz w:val="22"/>
          <w:szCs w:val="20"/>
        </w:rPr>
        <w:t>Strumenti di elaborazione dei dati</w:t>
      </w:r>
    </w:p>
    <w:p w:rsidR="009C2B9D" w:rsidRPr="00B77592" w:rsidRDefault="009C2B9D" w:rsidP="009C2B9D">
      <w:pPr>
        <w:pStyle w:val="A"/>
        <w:spacing w:after="120"/>
        <w:rPr>
          <w:rFonts w:ascii="Arial" w:hAnsi="Arial" w:cs="Arial"/>
          <w:b w:val="0"/>
          <w:sz w:val="20"/>
          <w:szCs w:val="20"/>
        </w:rPr>
      </w:pPr>
      <w:r w:rsidRPr="00B77592">
        <w:rPr>
          <w:rFonts w:ascii="Arial" w:hAnsi="Arial" w:cs="Arial"/>
          <w:b w:val="0"/>
          <w:sz w:val="20"/>
          <w:szCs w:val="20"/>
        </w:rPr>
        <w:t>Oltre ai dati grezzi, vengono pubblicati anche i dati depurati d</w:t>
      </w:r>
      <w:r>
        <w:rPr>
          <w:rFonts w:ascii="Arial" w:hAnsi="Arial" w:cs="Arial"/>
          <w:b w:val="0"/>
          <w:sz w:val="20"/>
          <w:szCs w:val="20"/>
        </w:rPr>
        <w:t>a</w:t>
      </w:r>
      <w:r w:rsidRPr="00B77592">
        <w:rPr>
          <w:rFonts w:ascii="Arial" w:hAnsi="Arial" w:cs="Arial"/>
          <w:b w:val="0"/>
          <w:sz w:val="20"/>
          <w:szCs w:val="20"/>
        </w:rPr>
        <w:t>lla componente stagionale e dagli effetti di calendario. Tali dati sono ottenuti attraverso la procedura TRAMO-SEATS per Linux (versione di febbraio 2010).</w:t>
      </w:r>
    </w:p>
    <w:p w:rsidR="009C2B9D" w:rsidRDefault="009C2B9D" w:rsidP="009C2B9D">
      <w:pPr>
        <w:pStyle w:val="A"/>
        <w:spacing w:after="120"/>
        <w:rPr>
          <w:rFonts w:ascii="Arial" w:hAnsi="Arial" w:cs="Arial"/>
          <w:b w:val="0"/>
          <w:sz w:val="20"/>
          <w:szCs w:val="20"/>
        </w:rPr>
      </w:pPr>
      <w:r w:rsidRPr="00B77592">
        <w:rPr>
          <w:rFonts w:ascii="Arial" w:hAnsi="Arial" w:cs="Arial"/>
          <w:b w:val="0"/>
          <w:sz w:val="20"/>
          <w:szCs w:val="20"/>
        </w:rPr>
        <w:t>A partire dai dati mensili del 2012 sono state introdotte alcune sostanziali innovazioni di processo e di prodotto nelle procedure di destagionalizzazione finalizzate a migliorare l’accuratezza delle stime prodotte e a fornire agli utenti un più ampio dettaglio degli indicatori statistici per l’analisi congiunturale del commercio con l’estero, rendendo disponibili nuove serie destagionalizzate a livello di raggruppamenti principali di industrie (RPI).</w:t>
      </w:r>
    </w:p>
    <w:p w:rsidR="009C2B9D" w:rsidRDefault="009C2B9D" w:rsidP="009C2B9D">
      <w:pPr>
        <w:pStyle w:val="A"/>
        <w:spacing w:after="120"/>
        <w:rPr>
          <w:rFonts w:ascii="Arial" w:hAnsi="Arial" w:cs="Arial"/>
          <w:b w:val="0"/>
          <w:sz w:val="20"/>
          <w:szCs w:val="20"/>
        </w:rPr>
      </w:pPr>
      <w:r w:rsidRPr="00B77592">
        <w:rPr>
          <w:rFonts w:ascii="Arial" w:hAnsi="Arial" w:cs="Arial"/>
          <w:b w:val="0"/>
          <w:sz w:val="20"/>
          <w:szCs w:val="20"/>
        </w:rPr>
        <w:t>I dati destagionalizzati sono soggetti a revisione ogni mese. I modelli utilizzati vengono verificati, in occasione delle revisioni delle serie grezze. Le specifiche utilizzate dall'Istat nell'ambito della procedura TRAMO-SEATS sono disponibili per gli utenti che ne facciano richiesta per proprie finalità di analisi.</w:t>
      </w:r>
    </w:p>
    <w:p w:rsidR="00594335" w:rsidRDefault="00594335" w:rsidP="005675A9">
      <w:pPr>
        <w:spacing w:after="60"/>
        <w:jc w:val="both"/>
        <w:outlineLvl w:val="0"/>
        <w:rPr>
          <w:rFonts w:ascii="Arial" w:hAnsi="Arial" w:cs="Arial"/>
          <w:sz w:val="20"/>
          <w:szCs w:val="20"/>
        </w:rPr>
      </w:pPr>
      <w:r>
        <w:rPr>
          <w:rFonts w:ascii="Arial" w:hAnsi="Arial" w:cs="Arial"/>
          <w:sz w:val="20"/>
          <w:szCs w:val="20"/>
        </w:rPr>
        <w:lastRenderedPageBreak/>
        <w:t xml:space="preserve">Con il consolidamento dei dati grezzi del 2022, in occasione del rilascio dei dati </w:t>
      </w:r>
      <w:r w:rsidR="001C26B8">
        <w:rPr>
          <w:rFonts w:ascii="Arial" w:hAnsi="Arial" w:cs="Arial"/>
          <w:sz w:val="20"/>
          <w:szCs w:val="20"/>
        </w:rPr>
        <w:t xml:space="preserve">definitivi </w:t>
      </w:r>
      <w:r>
        <w:rPr>
          <w:rFonts w:ascii="Arial" w:hAnsi="Arial" w:cs="Arial"/>
          <w:sz w:val="20"/>
          <w:szCs w:val="20"/>
        </w:rPr>
        <w:t>del mese di settembre 2023,</w:t>
      </w:r>
      <w:r w:rsidRPr="006636D8">
        <w:rPr>
          <w:rFonts w:ascii="Arial" w:hAnsi="Arial" w:cs="Arial"/>
          <w:sz w:val="20"/>
          <w:szCs w:val="20"/>
        </w:rPr>
        <w:t xml:space="preserve"> è stata operata la revisione dei modelli statistici di destagionalizzazione</w:t>
      </w:r>
      <w:r>
        <w:rPr>
          <w:rFonts w:ascii="Arial" w:hAnsi="Arial" w:cs="Arial"/>
          <w:sz w:val="20"/>
          <w:szCs w:val="20"/>
        </w:rPr>
        <w:t>.</w:t>
      </w:r>
    </w:p>
    <w:p w:rsidR="005675A9" w:rsidRDefault="005675A9" w:rsidP="005675A9">
      <w:pPr>
        <w:spacing w:after="60"/>
        <w:jc w:val="both"/>
        <w:outlineLvl w:val="0"/>
        <w:rPr>
          <w:rFonts w:ascii="Arial" w:hAnsi="Arial" w:cs="Arial"/>
          <w:sz w:val="20"/>
          <w:szCs w:val="20"/>
        </w:rPr>
      </w:pPr>
    </w:p>
    <w:p w:rsidR="00594335" w:rsidRDefault="00594335" w:rsidP="00091C8D">
      <w:pPr>
        <w:jc w:val="both"/>
        <w:outlineLvl w:val="0"/>
        <w:rPr>
          <w:rFonts w:ascii="Arial" w:hAnsi="Arial" w:cs="Arial"/>
          <w:b/>
          <w:sz w:val="8"/>
          <w:szCs w:val="20"/>
        </w:rPr>
      </w:pPr>
    </w:p>
    <w:p w:rsidR="00D2365A" w:rsidRDefault="00D2365A" w:rsidP="00D2365A">
      <w:pPr>
        <w:jc w:val="both"/>
        <w:outlineLvl w:val="0"/>
        <w:rPr>
          <w:rFonts w:ascii="Arial" w:hAnsi="Arial" w:cs="Arial"/>
          <w:b/>
          <w:sz w:val="22"/>
          <w:szCs w:val="20"/>
        </w:rPr>
      </w:pPr>
    </w:p>
    <w:p w:rsidR="00A651E1" w:rsidRPr="003F5831" w:rsidRDefault="00E777A0" w:rsidP="00BD1526">
      <w:pPr>
        <w:spacing w:after="120"/>
        <w:jc w:val="both"/>
        <w:outlineLvl w:val="0"/>
        <w:rPr>
          <w:rFonts w:ascii="Arial" w:hAnsi="Arial" w:cs="Arial"/>
          <w:b/>
          <w:sz w:val="22"/>
          <w:szCs w:val="20"/>
        </w:rPr>
      </w:pPr>
      <w:r w:rsidRPr="003F5831">
        <w:rPr>
          <w:rFonts w:ascii="Arial" w:hAnsi="Arial" w:cs="Arial"/>
          <w:b/>
          <w:sz w:val="22"/>
          <w:szCs w:val="20"/>
        </w:rPr>
        <w:t>Tempestività nel rilascio e revisione dei dati</w:t>
      </w:r>
    </w:p>
    <w:p w:rsidR="006B4B70" w:rsidRDefault="00E777A0" w:rsidP="009C2B9D">
      <w:pPr>
        <w:spacing w:after="120"/>
        <w:jc w:val="both"/>
        <w:rPr>
          <w:rFonts w:ascii="Arial" w:hAnsi="Arial" w:cs="Arial"/>
          <w:sz w:val="20"/>
          <w:szCs w:val="20"/>
        </w:rPr>
      </w:pPr>
      <w:r w:rsidRPr="00B77592">
        <w:rPr>
          <w:rFonts w:ascii="Arial" w:hAnsi="Arial" w:cs="Arial"/>
          <w:sz w:val="20"/>
          <w:szCs w:val="20"/>
        </w:rPr>
        <w:t>I dati sono diffusi a circa 25 giorni dal mese di riferimento.</w:t>
      </w:r>
    </w:p>
    <w:p w:rsidR="009C2B9D" w:rsidRDefault="00E777A0" w:rsidP="009C2B9D">
      <w:pPr>
        <w:spacing w:after="120"/>
        <w:jc w:val="both"/>
        <w:rPr>
          <w:rFonts w:ascii="Arial" w:hAnsi="Arial" w:cs="Arial"/>
          <w:sz w:val="20"/>
          <w:szCs w:val="20"/>
          <w:highlight w:val="yellow"/>
        </w:rPr>
      </w:pPr>
      <w:r w:rsidRPr="00B77592">
        <w:rPr>
          <w:rFonts w:ascii="Arial" w:hAnsi="Arial" w:cs="Arial"/>
          <w:sz w:val="20"/>
          <w:szCs w:val="20"/>
        </w:rPr>
        <w:t xml:space="preserve">Al momento della prima pubblicazione, i dati sono di natura provvisoria e sono soggetti a una prima revisione nel mese successivo, al fine di recepire ulteriori informazioni che si rendono disponibili successivamente alla loro diffusione, per </w:t>
      </w:r>
      <w:r w:rsidR="000F72C6">
        <w:rPr>
          <w:rFonts w:ascii="Arial" w:hAnsi="Arial" w:cs="Arial"/>
          <w:sz w:val="20"/>
          <w:szCs w:val="20"/>
        </w:rPr>
        <w:t xml:space="preserve">poi </w:t>
      </w:r>
      <w:r w:rsidRPr="00B77592">
        <w:rPr>
          <w:rFonts w:ascii="Arial" w:hAnsi="Arial" w:cs="Arial"/>
          <w:sz w:val="20"/>
          <w:szCs w:val="20"/>
        </w:rPr>
        <w:t xml:space="preserve">essere definitivamente consolidati nel mese di </w:t>
      </w:r>
      <w:r w:rsidR="002925B2">
        <w:rPr>
          <w:rFonts w:ascii="Arial" w:hAnsi="Arial" w:cs="Arial"/>
          <w:sz w:val="20"/>
          <w:szCs w:val="20"/>
        </w:rPr>
        <w:t>o</w:t>
      </w:r>
      <w:r w:rsidRPr="00B77592">
        <w:rPr>
          <w:rFonts w:ascii="Arial" w:hAnsi="Arial" w:cs="Arial"/>
          <w:sz w:val="20"/>
          <w:szCs w:val="20"/>
        </w:rPr>
        <w:t>ttobre dell’anno successivo.</w:t>
      </w:r>
    </w:p>
    <w:p w:rsidR="00635CD8" w:rsidRPr="00380D75" w:rsidRDefault="009C2B9D" w:rsidP="009C2B9D">
      <w:pPr>
        <w:spacing w:after="120"/>
        <w:jc w:val="both"/>
        <w:rPr>
          <w:rFonts w:ascii="Arial" w:hAnsi="Arial" w:cs="Arial"/>
          <w:sz w:val="20"/>
          <w:szCs w:val="20"/>
        </w:rPr>
      </w:pPr>
      <w:r w:rsidRPr="00380D75">
        <w:rPr>
          <w:rFonts w:ascii="Arial" w:hAnsi="Arial" w:cs="Arial"/>
          <w:sz w:val="20"/>
          <w:szCs w:val="20"/>
        </w:rPr>
        <w:t xml:space="preserve">Si ricorda che, al momento della prima pubblicazione, i dati del Regno Unito e quindi dell’area extra Ue27 non incorporano i dati </w:t>
      </w:r>
      <w:r w:rsidR="00635CD8" w:rsidRPr="00380D75">
        <w:rPr>
          <w:rFonts w:ascii="Arial" w:hAnsi="Arial" w:cs="Arial"/>
          <w:sz w:val="20"/>
          <w:szCs w:val="20"/>
        </w:rPr>
        <w:t xml:space="preserve">di interscambio con </w:t>
      </w:r>
      <w:r w:rsidRPr="00380D75">
        <w:rPr>
          <w:rFonts w:ascii="Arial" w:hAnsi="Arial" w:cs="Arial"/>
          <w:sz w:val="20"/>
          <w:szCs w:val="20"/>
        </w:rPr>
        <w:t>l’Irlanda del Nord.</w:t>
      </w:r>
      <w:r w:rsidR="00635CD8" w:rsidRPr="00380D75">
        <w:rPr>
          <w:rFonts w:ascii="Arial" w:hAnsi="Arial" w:cs="Arial"/>
          <w:sz w:val="20"/>
          <w:szCs w:val="20"/>
        </w:rPr>
        <w:t xml:space="preserve">Questi sono inclusi nei dati di commercio estero extra Ue in occasione della prima revisione nel mese successivo e </w:t>
      </w:r>
      <w:r w:rsidR="00380D75" w:rsidRPr="00380D75">
        <w:rPr>
          <w:rFonts w:ascii="Arial" w:hAnsi="Arial" w:cs="Arial"/>
          <w:sz w:val="20"/>
          <w:szCs w:val="20"/>
        </w:rPr>
        <w:t>sono diffusi</w:t>
      </w:r>
      <w:r w:rsidR="001A34E1" w:rsidRPr="00380D75">
        <w:rPr>
          <w:rFonts w:ascii="Arial" w:hAnsi="Arial" w:cs="Arial"/>
          <w:sz w:val="20"/>
          <w:szCs w:val="20"/>
        </w:rPr>
        <w:t>nel</w:t>
      </w:r>
      <w:r w:rsidR="00635CD8" w:rsidRPr="00380D75">
        <w:rPr>
          <w:rFonts w:ascii="Arial" w:hAnsi="Arial" w:cs="Arial"/>
          <w:sz w:val="20"/>
          <w:szCs w:val="20"/>
        </w:rPr>
        <w:t xml:space="preserve"> Comunicato Stampa Commercio con l’estero e prezzi all’import</w:t>
      </w:r>
      <w:r w:rsidR="00557121" w:rsidRPr="00380D75">
        <w:rPr>
          <w:rFonts w:ascii="Arial" w:hAnsi="Arial" w:cs="Arial"/>
          <w:sz w:val="20"/>
          <w:szCs w:val="20"/>
        </w:rPr>
        <w:t>.</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 xml:space="preserve">Per ulteriori informazioni sulle revisioni degli indicatori congiunturali, consultare la </w:t>
      </w:r>
      <w:hyperlink r:id="rId32" w:history="1">
        <w:r w:rsidRPr="00B77592">
          <w:rPr>
            <w:rStyle w:val="Collegamentoipertestuale"/>
            <w:rFonts w:ascii="Arial" w:hAnsi="Arial" w:cs="Arial"/>
            <w:sz w:val="20"/>
            <w:szCs w:val="20"/>
          </w:rPr>
          <w:t>sezione dedicata</w:t>
        </w:r>
      </w:hyperlink>
      <w:r w:rsidRPr="00B77592">
        <w:rPr>
          <w:rFonts w:ascii="Arial" w:hAnsi="Arial" w:cs="Arial"/>
          <w:sz w:val="20"/>
          <w:szCs w:val="20"/>
        </w:rPr>
        <w:t xml:space="preserve"> sul sito Istat. Fare riferimento, in particolare, alla </w:t>
      </w:r>
      <w:hyperlink r:id="rId33" w:history="1">
        <w:r w:rsidRPr="00B77592">
          <w:rPr>
            <w:rStyle w:val="Collegamentoipertestuale"/>
            <w:rFonts w:ascii="Arial" w:hAnsi="Arial" w:cs="Arial"/>
            <w:sz w:val="20"/>
            <w:szCs w:val="20"/>
          </w:rPr>
          <w:t>scheda</w:t>
        </w:r>
      </w:hyperlink>
      <w:r w:rsidRPr="00B77592">
        <w:rPr>
          <w:rFonts w:ascii="Arial" w:hAnsi="Arial" w:cs="Arial"/>
          <w:sz w:val="20"/>
          <w:szCs w:val="20"/>
        </w:rPr>
        <w:t xml:space="preserve"> relativa alle politiche di revisione degli indicatori del commercio estero extra UE.</w:t>
      </w:r>
    </w:p>
    <w:p w:rsidR="00A651E1" w:rsidRPr="00F03A59" w:rsidRDefault="00A651E1" w:rsidP="00091C8D">
      <w:pPr>
        <w:jc w:val="both"/>
        <w:rPr>
          <w:rFonts w:ascii="Arial" w:hAnsi="Arial" w:cs="Arial"/>
          <w:sz w:val="4"/>
          <w:szCs w:val="20"/>
        </w:rPr>
      </w:pPr>
    </w:p>
    <w:p w:rsidR="00A651E1" w:rsidRPr="003F5831" w:rsidRDefault="00E777A0" w:rsidP="00896581">
      <w:pPr>
        <w:spacing w:before="240" w:after="120"/>
        <w:jc w:val="both"/>
        <w:outlineLvl w:val="0"/>
        <w:rPr>
          <w:rFonts w:ascii="Arial" w:hAnsi="Arial" w:cs="Arial"/>
          <w:b/>
          <w:sz w:val="22"/>
          <w:szCs w:val="20"/>
        </w:rPr>
      </w:pPr>
      <w:r w:rsidRPr="003F5831">
        <w:rPr>
          <w:rFonts w:ascii="Arial" w:hAnsi="Arial" w:cs="Arial"/>
          <w:b/>
          <w:sz w:val="22"/>
          <w:szCs w:val="20"/>
        </w:rPr>
        <w:t>Riservatezza</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A partire dall'anno 2000, l'Istat ha definito nuove procedure per il trattamento e la diffusione dei dati personali relativi agli scambi di merci con l'estero e ai soggetti importatori ed esportatori, compatibili con l'attuale quadro normativo nazionale (</w:t>
      </w:r>
      <w:r w:rsidR="000F72C6">
        <w:rPr>
          <w:rFonts w:ascii="Arial" w:hAnsi="Arial" w:cs="Arial"/>
          <w:sz w:val="20"/>
          <w:szCs w:val="20"/>
        </w:rPr>
        <w:t>L</w:t>
      </w:r>
      <w:r w:rsidRPr="00B77592">
        <w:rPr>
          <w:rFonts w:ascii="Arial" w:hAnsi="Arial" w:cs="Arial"/>
          <w:sz w:val="20"/>
          <w:szCs w:val="20"/>
        </w:rPr>
        <w:t>egge 675/96, D.lgs.322/89, 281/99 e 196/03).</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 xml:space="preserve">Per quanto riguarda le statistiche relative alle merci, l'Istat, oltre a tutelare le informazioni riservate secondo il principio della riservatezza passiva, ha definito un </w:t>
      </w:r>
      <w:hyperlink r:id="rId34" w:history="1">
        <w:r w:rsidRPr="00B77592">
          <w:rPr>
            <w:rFonts w:ascii="Arial" w:hAnsi="Arial" w:cs="Arial"/>
            <w:sz w:val="20"/>
            <w:szCs w:val="20"/>
          </w:rPr>
          <w:t>piano per la diffusione</w:t>
        </w:r>
      </w:hyperlink>
      <w:r w:rsidRPr="00B77592">
        <w:rPr>
          <w:rFonts w:ascii="Arial" w:hAnsi="Arial" w:cs="Arial"/>
          <w:sz w:val="20"/>
          <w:szCs w:val="20"/>
        </w:rPr>
        <w:t xml:space="preserve"> delle statistiche del commercio con l'estero. Tale piano disciplina le possibilità di incrocio tra variabili in funzione di particolari livelli di dettaglio merceologico, goegrafico o territoriale riducendo entro soglie ragionevoli il rischio di identificazione dei soggetti indirettamente interessati.</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In particolare, le procedure consentono di ridurre fortemente il rischio di identificazione, indiretta e accidentale, di dati confidenziali e nel contempo di limitare la perdita di informazione fornita agli utenti esterni.</w:t>
      </w:r>
    </w:p>
    <w:p w:rsidR="00A651E1" w:rsidRPr="00B77592" w:rsidRDefault="00E777A0">
      <w:pPr>
        <w:spacing w:after="120"/>
        <w:jc w:val="both"/>
        <w:rPr>
          <w:rStyle w:val="Collegamentoipertestuale"/>
          <w:rFonts w:ascii="Arial" w:hAnsi="Arial" w:cs="Arial"/>
          <w:sz w:val="20"/>
          <w:szCs w:val="20"/>
        </w:rPr>
      </w:pPr>
      <w:r w:rsidRPr="00B77592">
        <w:rPr>
          <w:rFonts w:ascii="Arial" w:hAnsi="Arial" w:cs="Arial"/>
          <w:sz w:val="20"/>
          <w:szCs w:val="20"/>
        </w:rPr>
        <w:t xml:space="preserve">Ulteriori informazioni sulla tutela della riservatezza sono disponibili al seguente link </w:t>
      </w:r>
      <w:hyperlink r:id="rId35" w:history="1">
        <w:r w:rsidRPr="00B77592">
          <w:rPr>
            <w:rStyle w:val="Collegamentoipertestuale"/>
            <w:rFonts w:ascii="Arial" w:hAnsi="Arial" w:cs="Arial"/>
            <w:sz w:val="20"/>
            <w:szCs w:val="20"/>
          </w:rPr>
          <w:t>https://www.coeweb.istat.it/</w:t>
        </w:r>
      </w:hyperlink>
    </w:p>
    <w:p w:rsidR="00A651E1" w:rsidRPr="00F03A59" w:rsidRDefault="00A651E1" w:rsidP="00091C8D">
      <w:pPr>
        <w:jc w:val="both"/>
        <w:rPr>
          <w:rStyle w:val="Collegamentoipertestuale"/>
          <w:rFonts w:ascii="Arial" w:hAnsi="Arial" w:cs="Arial"/>
          <w:color w:val="auto"/>
          <w:sz w:val="2"/>
          <w:szCs w:val="20"/>
        </w:rPr>
      </w:pPr>
    </w:p>
    <w:p w:rsidR="00A651E1" w:rsidRPr="003F5831" w:rsidRDefault="00E777A0" w:rsidP="00896581">
      <w:pPr>
        <w:spacing w:before="240" w:after="120"/>
        <w:jc w:val="both"/>
        <w:outlineLvl w:val="0"/>
        <w:rPr>
          <w:rFonts w:ascii="Arial" w:hAnsi="Arial" w:cs="Arial"/>
          <w:b/>
          <w:sz w:val="22"/>
          <w:szCs w:val="20"/>
        </w:rPr>
      </w:pPr>
      <w:r w:rsidRPr="003F5831">
        <w:rPr>
          <w:rFonts w:ascii="Arial" w:hAnsi="Arial" w:cs="Arial"/>
          <w:b/>
          <w:sz w:val="22"/>
          <w:szCs w:val="20"/>
        </w:rPr>
        <w:t>Diffusione dei dati</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 xml:space="preserve">I dati sono disponibili su Coeweb, </w:t>
      </w:r>
      <w:hyperlink r:id="rId36" w:history="1">
        <w:r w:rsidRPr="00B77592">
          <w:rPr>
            <w:rStyle w:val="Collegamentoipertestuale"/>
            <w:rFonts w:ascii="Arial" w:hAnsi="Arial" w:cs="Arial"/>
            <w:sz w:val="20"/>
            <w:szCs w:val="20"/>
          </w:rPr>
          <w:t>https://www.coeweb.istat.it/</w:t>
        </w:r>
      </w:hyperlink>
      <w:r w:rsidRPr="00B77592">
        <w:rPr>
          <w:rFonts w:ascii="Arial" w:hAnsi="Arial" w:cs="Arial"/>
          <w:sz w:val="20"/>
          <w:szCs w:val="20"/>
        </w:rPr>
        <w:t>, il datawarehouse completamente dedicato alle statistiche del commercio con l'estero, nel mese successivo all’uscita del comunicato. La banca dati fornisce, con cadenza mensile, un ricco patrimonio informativo sui flussi commerciali dell'Italia con il resto del mondo e contiene informazioni e serie storiche dal 1991.</w:t>
      </w:r>
    </w:p>
    <w:p w:rsidR="00A651E1" w:rsidRPr="00B77592" w:rsidRDefault="00E777A0">
      <w:pPr>
        <w:spacing w:after="120"/>
        <w:jc w:val="both"/>
        <w:rPr>
          <w:rFonts w:ascii="Arial" w:hAnsi="Arial" w:cs="Arial"/>
          <w:sz w:val="20"/>
          <w:szCs w:val="20"/>
        </w:rPr>
      </w:pPr>
      <w:r w:rsidRPr="00B77592">
        <w:rPr>
          <w:rFonts w:ascii="Arial" w:hAnsi="Arial" w:cs="Arial"/>
          <w:sz w:val="20"/>
          <w:szCs w:val="20"/>
        </w:rPr>
        <w:t>Comunicati stampa commercio estero:</w:t>
      </w:r>
    </w:p>
    <w:p w:rsidR="00A651E1" w:rsidRPr="00B77592" w:rsidRDefault="00957E17">
      <w:pPr>
        <w:pStyle w:val="Paragrafoelenco"/>
        <w:numPr>
          <w:ilvl w:val="0"/>
          <w:numId w:val="24"/>
        </w:numPr>
        <w:spacing w:after="120"/>
        <w:ind w:left="426" w:hanging="426"/>
        <w:jc w:val="both"/>
        <w:rPr>
          <w:rFonts w:ascii="Arial" w:hAnsi="Arial" w:cs="Arial"/>
          <w:sz w:val="20"/>
          <w:szCs w:val="20"/>
        </w:rPr>
      </w:pPr>
      <w:hyperlink r:id="rId37" w:history="1">
        <w:r w:rsidR="00E777A0" w:rsidRPr="00B77592">
          <w:rPr>
            <w:rStyle w:val="Collegamentoipertestuale"/>
            <w:rFonts w:ascii="Arial" w:hAnsi="Arial" w:cs="Arial"/>
            <w:sz w:val="20"/>
            <w:szCs w:val="20"/>
          </w:rPr>
          <w:t>Commercio estero e prezzi all’import</w:t>
        </w:r>
      </w:hyperlink>
    </w:p>
    <w:p w:rsidR="00A651E1" w:rsidRPr="00B77592" w:rsidRDefault="00957E17">
      <w:pPr>
        <w:pStyle w:val="Paragrafoelenco"/>
        <w:numPr>
          <w:ilvl w:val="0"/>
          <w:numId w:val="24"/>
        </w:numPr>
        <w:spacing w:after="120"/>
        <w:ind w:left="426" w:hanging="426"/>
        <w:jc w:val="both"/>
        <w:rPr>
          <w:rFonts w:ascii="Arial" w:hAnsi="Arial" w:cs="Arial"/>
          <w:sz w:val="20"/>
          <w:szCs w:val="20"/>
        </w:rPr>
      </w:pPr>
      <w:hyperlink r:id="rId38" w:history="1">
        <w:r w:rsidR="00E777A0" w:rsidRPr="00B77592">
          <w:rPr>
            <w:rStyle w:val="Collegamentoipertestuale"/>
            <w:rFonts w:ascii="Arial" w:hAnsi="Arial" w:cs="Arial"/>
            <w:sz w:val="20"/>
            <w:szCs w:val="20"/>
          </w:rPr>
          <w:t>Commercio estero con i paesi extra UE</w:t>
        </w:r>
      </w:hyperlink>
    </w:p>
    <w:p w:rsidR="00A651E1" w:rsidRPr="00B77592" w:rsidRDefault="00957E17">
      <w:pPr>
        <w:pStyle w:val="Paragrafoelenco"/>
        <w:numPr>
          <w:ilvl w:val="0"/>
          <w:numId w:val="24"/>
        </w:numPr>
        <w:spacing w:after="120"/>
        <w:ind w:left="426" w:hanging="426"/>
        <w:jc w:val="both"/>
        <w:rPr>
          <w:rFonts w:ascii="Arial" w:hAnsi="Arial" w:cs="Arial"/>
          <w:sz w:val="20"/>
          <w:szCs w:val="20"/>
        </w:rPr>
      </w:pPr>
      <w:hyperlink r:id="rId39" w:history="1">
        <w:r w:rsidR="00E777A0" w:rsidRPr="00B77592">
          <w:rPr>
            <w:rStyle w:val="Collegamentoipertestuale"/>
            <w:rFonts w:ascii="Arial" w:hAnsi="Arial" w:cs="Arial"/>
            <w:sz w:val="20"/>
            <w:szCs w:val="20"/>
          </w:rPr>
          <w:t>Le esportazioni delle regioni italiane</w:t>
        </w:r>
      </w:hyperlink>
    </w:p>
    <w:p w:rsidR="009E5E77" w:rsidRPr="006E372E" w:rsidRDefault="009E5E77" w:rsidP="00FA1CF6">
      <w:pPr>
        <w:jc w:val="both"/>
        <w:rPr>
          <w:rFonts w:ascii="Arial" w:hAnsi="Arial" w:cs="Arial"/>
          <w:sz w:val="10"/>
          <w:szCs w:val="10"/>
        </w:rPr>
      </w:pPr>
    </w:p>
    <w:p w:rsidR="00A651E1" w:rsidRPr="00B77592" w:rsidRDefault="00E777A0" w:rsidP="005675A9">
      <w:pPr>
        <w:spacing w:after="60"/>
        <w:jc w:val="both"/>
        <w:rPr>
          <w:rFonts w:ascii="Arial" w:hAnsi="Arial" w:cs="Arial"/>
          <w:sz w:val="20"/>
          <w:szCs w:val="20"/>
        </w:rPr>
      </w:pPr>
      <w:r w:rsidRPr="00B77592">
        <w:rPr>
          <w:rFonts w:ascii="Arial" w:hAnsi="Arial" w:cs="Arial"/>
          <w:sz w:val="20"/>
          <w:szCs w:val="20"/>
        </w:rPr>
        <w:t>Altri link utili:</w:t>
      </w:r>
    </w:p>
    <w:p w:rsidR="00A651E1" w:rsidRDefault="00957E17">
      <w:pPr>
        <w:spacing w:after="120"/>
        <w:jc w:val="both"/>
        <w:rPr>
          <w:rFonts w:ascii="Arial" w:hAnsi="Arial" w:cs="Arial"/>
          <w:sz w:val="20"/>
          <w:szCs w:val="20"/>
        </w:rPr>
      </w:pPr>
      <w:hyperlink r:id="rId40" w:history="1">
        <w:r w:rsidR="00E777A0" w:rsidRPr="00B77592">
          <w:rPr>
            <w:rStyle w:val="Collegamentoipertestuale"/>
            <w:rFonts w:ascii="Arial" w:hAnsi="Arial" w:cs="Arial"/>
            <w:sz w:val="20"/>
            <w:szCs w:val="20"/>
          </w:rPr>
          <w:t>Nota informativa</w:t>
        </w:r>
      </w:hyperlink>
      <w:r w:rsidR="00E777A0" w:rsidRPr="00B77592">
        <w:rPr>
          <w:rFonts w:ascii="Arial" w:hAnsi="Arial" w:cs="Arial"/>
          <w:sz w:val="20"/>
          <w:szCs w:val="20"/>
        </w:rPr>
        <w:t xml:space="preserve"> sul nuovo sistema di produzione delle statistiche sugli scambi con l’estero di gas naturale ed energia elettrica del 15/11/2011.</w:t>
      </w:r>
    </w:p>
    <w:p w:rsidR="005675A9" w:rsidRDefault="005675A9">
      <w:pPr>
        <w:spacing w:after="120"/>
        <w:jc w:val="both"/>
        <w:rPr>
          <w:rFonts w:ascii="Arial" w:hAnsi="Arial" w:cs="Arial"/>
          <w:sz w:val="20"/>
          <w:szCs w:val="20"/>
        </w:rPr>
      </w:pPr>
    </w:p>
    <w:p w:rsidR="005675A9" w:rsidRDefault="005675A9">
      <w:pPr>
        <w:spacing w:after="120"/>
        <w:jc w:val="both"/>
        <w:rPr>
          <w:rFonts w:ascii="Arial" w:hAnsi="Arial" w:cs="Arial"/>
          <w:sz w:val="20"/>
          <w:szCs w:val="20"/>
        </w:rPr>
      </w:pPr>
    </w:p>
    <w:p w:rsidR="006B4B70" w:rsidRPr="00F03A59" w:rsidRDefault="006B4B70">
      <w:pPr>
        <w:spacing w:after="120"/>
        <w:jc w:val="both"/>
        <w:rPr>
          <w:rFonts w:ascii="Arial" w:hAnsi="Arial" w:cs="Arial"/>
          <w:sz w:val="2"/>
          <w:szCs w:val="10"/>
        </w:rPr>
      </w:pPr>
    </w:p>
    <w:p w:rsidR="00EF4437" w:rsidRPr="002300D8" w:rsidRDefault="00EF4437" w:rsidP="00EF4437">
      <w:pPr>
        <w:pStyle w:val="NormaleWeb"/>
        <w:spacing w:after="120"/>
        <w:rPr>
          <w:rFonts w:ascii="Arial" w:hAnsi="Arial" w:cs="Arial"/>
          <w:color w:val="CD242F"/>
          <w:sz w:val="36"/>
          <w:szCs w:val="36"/>
        </w:rPr>
      </w:pPr>
      <w:r w:rsidRPr="002300D8">
        <w:rPr>
          <w:rFonts w:ascii="Arial" w:hAnsi="Arial" w:cs="Arial"/>
          <w:bCs/>
          <w:color w:val="CD242F"/>
          <w:sz w:val="36"/>
          <w:szCs w:val="36"/>
        </w:rPr>
        <w:t>Per chiarimenti tecnici e metodologici</w:t>
      </w:r>
    </w:p>
    <w:tbl>
      <w:tblPr>
        <w:tblW w:w="9702" w:type="dxa"/>
        <w:tblBorders>
          <w:top w:val="dotted" w:sz="4" w:space="0" w:color="808080"/>
        </w:tblBorders>
        <w:tblLook w:val="04A0"/>
      </w:tblPr>
      <w:tblGrid>
        <w:gridCol w:w="4851"/>
        <w:gridCol w:w="4851"/>
      </w:tblGrid>
      <w:tr w:rsidR="00D2365A" w:rsidRPr="00E655EB" w:rsidTr="00D2365A">
        <w:trPr>
          <w:trHeight w:val="1134"/>
        </w:trPr>
        <w:tc>
          <w:tcPr>
            <w:tcW w:w="4851" w:type="dxa"/>
            <w:shd w:val="clear" w:color="auto" w:fill="auto"/>
            <w:tcMar>
              <w:top w:w="170" w:type="dxa"/>
              <w:left w:w="0" w:type="dxa"/>
              <w:right w:w="0" w:type="dxa"/>
            </w:tcMar>
          </w:tcPr>
          <w:p w:rsidR="00D2365A" w:rsidRPr="00E655EB" w:rsidRDefault="00D2365A" w:rsidP="0066317D">
            <w:pPr>
              <w:pStyle w:val="NormaleWeb"/>
              <w:spacing w:after="120"/>
              <w:rPr>
                <w:rFonts w:ascii="Arial" w:hAnsi="Arial" w:cs="Arial"/>
                <w:b/>
                <w:bCs/>
                <w:color w:val="CD242F"/>
                <w:sz w:val="22"/>
                <w:szCs w:val="22"/>
              </w:rPr>
            </w:pPr>
            <w:r>
              <w:rPr>
                <w:rFonts w:ascii="Arial" w:hAnsi="Arial" w:cs="Arial"/>
                <w:b/>
                <w:bCs/>
                <w:color w:val="CD242F"/>
                <w:sz w:val="22"/>
                <w:szCs w:val="22"/>
              </w:rPr>
              <w:lastRenderedPageBreak/>
              <w:t>Mirella Morrone</w:t>
            </w:r>
          </w:p>
          <w:p w:rsidR="00D2365A" w:rsidRPr="00E655EB" w:rsidRDefault="00D2365A" w:rsidP="0066317D">
            <w:pPr>
              <w:pStyle w:val="NormaleWeb"/>
              <w:rPr>
                <w:rFonts w:ascii="Arial" w:hAnsi="Arial" w:cs="Arial"/>
                <w:color w:val="000000"/>
              </w:rPr>
            </w:pPr>
            <w:r>
              <w:rPr>
                <w:rFonts w:ascii="Arial" w:hAnsi="Arial" w:cs="Arial"/>
                <w:color w:val="000000"/>
              </w:rPr>
              <w:t xml:space="preserve">tel. +39 </w:t>
            </w:r>
            <w:r w:rsidRPr="00E655EB">
              <w:rPr>
                <w:rFonts w:ascii="Arial" w:hAnsi="Arial" w:cs="Arial"/>
                <w:color w:val="000000"/>
              </w:rPr>
              <w:t>06 4673.</w:t>
            </w:r>
            <w:r>
              <w:rPr>
                <w:rFonts w:ascii="Arial" w:hAnsi="Arial" w:cs="Arial"/>
                <w:color w:val="000000"/>
              </w:rPr>
              <w:t>6353</w:t>
            </w:r>
          </w:p>
          <w:p w:rsidR="00D2365A" w:rsidRPr="00E655EB" w:rsidRDefault="00957E17" w:rsidP="0066317D">
            <w:pPr>
              <w:pStyle w:val="NormaleWeb"/>
              <w:spacing w:after="120"/>
              <w:rPr>
                <w:rFonts w:ascii="Arial" w:hAnsi="Arial" w:cs="Arial"/>
                <w:color w:val="000000"/>
              </w:rPr>
            </w:pPr>
            <w:hyperlink r:id="rId41" w:history="1">
              <w:r w:rsidR="00D2365A" w:rsidRPr="003E2D10">
                <w:rPr>
                  <w:rStyle w:val="Collegamentoipertestuale"/>
                  <w:rFonts w:ascii="Arial" w:hAnsi="Arial" w:cs="Arial"/>
                </w:rPr>
                <w:t>mimorron@istat.it</w:t>
              </w:r>
            </w:hyperlink>
          </w:p>
        </w:tc>
        <w:tc>
          <w:tcPr>
            <w:tcW w:w="4851" w:type="dxa"/>
          </w:tcPr>
          <w:p w:rsidR="00D2365A" w:rsidRPr="00E655EB" w:rsidRDefault="00D2365A" w:rsidP="00D2365A">
            <w:pPr>
              <w:pStyle w:val="NormaleWeb"/>
              <w:spacing w:after="120"/>
              <w:rPr>
                <w:rFonts w:ascii="Arial" w:hAnsi="Arial" w:cs="Arial"/>
                <w:b/>
                <w:bCs/>
                <w:color w:val="CD242F"/>
                <w:sz w:val="22"/>
                <w:szCs w:val="22"/>
              </w:rPr>
            </w:pPr>
            <w:r>
              <w:rPr>
                <w:rFonts w:ascii="Arial" w:hAnsi="Arial" w:cs="Arial"/>
                <w:b/>
                <w:bCs/>
                <w:color w:val="CD242F"/>
                <w:sz w:val="22"/>
                <w:szCs w:val="22"/>
              </w:rPr>
              <w:t>Lorenzo Soriani</w:t>
            </w:r>
          </w:p>
          <w:p w:rsidR="00D2365A" w:rsidRPr="00F03A59" w:rsidRDefault="00D2365A" w:rsidP="00D2365A">
            <w:pPr>
              <w:pStyle w:val="NormaleWeb"/>
              <w:rPr>
                <w:rFonts w:ascii="Arial" w:hAnsi="Arial" w:cs="Arial"/>
                <w:bCs/>
                <w:color w:val="000000" w:themeColor="text1"/>
                <w:szCs w:val="22"/>
              </w:rPr>
            </w:pPr>
            <w:r w:rsidRPr="00F03A59">
              <w:rPr>
                <w:rFonts w:ascii="Arial" w:hAnsi="Arial" w:cs="Arial"/>
                <w:bCs/>
                <w:color w:val="000000" w:themeColor="text1"/>
                <w:szCs w:val="22"/>
              </w:rPr>
              <w:t>tel. +39 06 4673.</w:t>
            </w:r>
            <w:r>
              <w:rPr>
                <w:rFonts w:ascii="Arial" w:hAnsi="Arial" w:cs="Arial"/>
                <w:bCs/>
                <w:color w:val="000000" w:themeColor="text1"/>
                <w:szCs w:val="22"/>
              </w:rPr>
              <w:t>6673</w:t>
            </w:r>
          </w:p>
          <w:p w:rsidR="00D2365A" w:rsidRDefault="00957E17" w:rsidP="00D2365A">
            <w:pPr>
              <w:pStyle w:val="NormaleWeb"/>
              <w:spacing w:after="120"/>
              <w:rPr>
                <w:rFonts w:ascii="Arial" w:hAnsi="Arial" w:cs="Arial"/>
                <w:b/>
                <w:bCs/>
                <w:color w:val="CD242F"/>
                <w:sz w:val="22"/>
                <w:szCs w:val="22"/>
              </w:rPr>
            </w:pPr>
            <w:hyperlink r:id="rId42" w:history="1">
              <w:r w:rsidR="00D2365A" w:rsidRPr="00AE2769">
                <w:rPr>
                  <w:rStyle w:val="Collegamentoipertestuale"/>
                  <w:rFonts w:ascii="Arial" w:hAnsi="Arial" w:cs="Arial"/>
                  <w:bCs/>
                  <w:szCs w:val="22"/>
                </w:rPr>
                <w:t>soriani@istat.it</w:t>
              </w:r>
            </w:hyperlink>
          </w:p>
        </w:tc>
      </w:tr>
    </w:tbl>
    <w:p w:rsidR="00EF4437" w:rsidRPr="00B77592" w:rsidRDefault="00EF4437">
      <w:pPr>
        <w:spacing w:after="120"/>
        <w:jc w:val="both"/>
        <w:rPr>
          <w:rFonts w:ascii="Arial" w:hAnsi="Arial" w:cs="Arial"/>
          <w:sz w:val="20"/>
          <w:szCs w:val="20"/>
        </w:rPr>
      </w:pPr>
    </w:p>
    <w:sectPr w:rsidR="00EF4437" w:rsidRPr="00B77592" w:rsidSect="007F0745">
      <w:headerReference w:type="default" r:id="rId43"/>
      <w:pgSz w:w="11907" w:h="16840"/>
      <w:pgMar w:top="567" w:right="851" w:bottom="680" w:left="851"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B05" w:rsidRDefault="00493B05">
      <w:r>
        <w:separator/>
      </w:r>
    </w:p>
  </w:endnote>
  <w:endnote w:type="continuationSeparator" w:id="1">
    <w:p w:rsidR="00493B05" w:rsidRDefault="00493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charset w:val="00"/>
    <w:family w:val="auto"/>
    <w:pitch w:val="variable"/>
    <w:sig w:usb0="00000001"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E41" w:rsidRDefault="00CF1E41">
    <w:pPr>
      <w:pStyle w:val="Pidipagina"/>
      <w:ind w:left="1560"/>
      <w:rPr>
        <w:rFonts w:ascii="Calibri" w:hAnsi="Calibri"/>
      </w:rPr>
    </w:pPr>
  </w:p>
  <w:p w:rsidR="00CF1E41" w:rsidRDefault="00CF1E41">
    <w:pPr>
      <w:pStyle w:val="Pidipagina"/>
      <w:ind w:left="1560"/>
    </w:pPr>
    <w:r w:rsidRPr="00826A5F">
      <w:rPr>
        <w:rFonts w:ascii="Calibri" w:hAnsi="Calibri"/>
        <w:b/>
        <w:noProof/>
        <w:color w:val="E42618"/>
        <w:szCs w:val="28"/>
      </w:rPr>
      <w:drawing>
        <wp:anchor distT="0" distB="0" distL="114300" distR="114300" simplePos="0" relativeHeight="251655680" behindDoc="0" locked="0" layoutInCell="1" allowOverlap="1">
          <wp:simplePos x="0" y="0"/>
          <wp:positionH relativeFrom="column">
            <wp:posOffset>13335</wp:posOffset>
          </wp:positionH>
          <wp:positionV relativeFrom="paragraph">
            <wp:posOffset>-107950</wp:posOffset>
          </wp:positionV>
          <wp:extent cx="943610" cy="390525"/>
          <wp:effectExtent l="0" t="0" r="8890" b="9525"/>
          <wp:wrapNone/>
          <wp:docPr id="27" name="Immagine 8" descr="Descrizione: Logo a 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Descrizione: Logo a color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3610" cy="390525"/>
                  </a:xfrm>
                  <a:prstGeom prst="rect">
                    <a:avLst/>
                  </a:prstGeom>
                  <a:noFill/>
                  <a:ln>
                    <a:noFill/>
                  </a:ln>
                </pic:spPr>
              </pic:pic>
            </a:graphicData>
          </a:graphic>
        </wp:anchor>
      </w:drawing>
    </w:r>
    <w:r w:rsidRPr="00826A5F">
      <w:rPr>
        <w:rStyle w:val="Numeropagina"/>
        <w:rFonts w:ascii="Calibri" w:hAnsi="Calibri"/>
        <w:b/>
        <w:color w:val="E42618"/>
        <w:szCs w:val="28"/>
      </w:rPr>
      <w:t>|</w:t>
    </w:r>
    <w:r w:rsidR="00957E17" w:rsidRPr="00826A5F">
      <w:rPr>
        <w:color w:val="5F5F5F"/>
      </w:rPr>
      <w:fldChar w:fldCharType="begin"/>
    </w:r>
    <w:r w:rsidRPr="00826A5F">
      <w:rPr>
        <w:color w:val="5F5F5F"/>
      </w:rPr>
      <w:instrText>PAGE   \* MERGEFORMAT</w:instrText>
    </w:r>
    <w:r w:rsidR="00957E17" w:rsidRPr="00826A5F">
      <w:rPr>
        <w:color w:val="5F5F5F"/>
      </w:rPr>
      <w:fldChar w:fldCharType="separate"/>
    </w:r>
    <w:r w:rsidR="00EE588B" w:rsidRPr="00EE588B">
      <w:rPr>
        <w:rFonts w:ascii="Calibri" w:hAnsi="Calibri"/>
        <w:noProof/>
        <w:color w:val="5F5F5F"/>
      </w:rPr>
      <w:t>11</w:t>
    </w:r>
    <w:r w:rsidR="00957E17" w:rsidRPr="00826A5F">
      <w:rPr>
        <w:color w:val="5F5F5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B05" w:rsidRDefault="00493B05">
      <w:r>
        <w:separator/>
      </w:r>
    </w:p>
  </w:footnote>
  <w:footnote w:type="continuationSeparator" w:id="1">
    <w:p w:rsidR="00493B05" w:rsidRDefault="00493B05">
      <w:r>
        <w:continuationSeparator/>
      </w:r>
    </w:p>
  </w:footnote>
  <w:footnote w:id="2">
    <w:p w:rsidR="00C80B3D" w:rsidRDefault="00C80B3D" w:rsidP="00C80B3D">
      <w:pPr>
        <w:pStyle w:val="Testonotaapidipagina"/>
        <w:jc w:val="both"/>
        <w:rPr>
          <w:rFonts w:ascii="Arial" w:hAnsi="Arial" w:cs="Arial"/>
          <w:sz w:val="16"/>
          <w:szCs w:val="16"/>
        </w:rPr>
      </w:pPr>
      <w:r>
        <w:rPr>
          <w:rStyle w:val="Rimandonotaapidipagina"/>
          <w:rFonts w:ascii="Arial" w:hAnsi="Arial" w:cs="Arial"/>
          <w:sz w:val="16"/>
          <w:szCs w:val="16"/>
        </w:rPr>
        <w:footnoteRef/>
      </w:r>
      <w:r>
        <w:rPr>
          <w:rFonts w:ascii="Arial" w:hAnsi="Arial" w:cs="Arial"/>
          <w:sz w:val="16"/>
          <w:szCs w:val="16"/>
        </w:rPr>
        <w:t xml:space="preserve"> Come spiegato nella Nota metodologica (pag. 7), i valori preliminari extra Ue27 incorporano i dati di interscambio del Regno Unito, relativi alla Gran Bretagna mentre non includono i dati dell’Irlanda del Nord. Questi saranno inclusi nei dati di commercio estero extra Ue27 in occasione della prima revisione effettuata nel mese successivo, con diffusione nel Comunicato Stampa Commercio con l’estero e prezzi all’import. </w:t>
      </w:r>
    </w:p>
  </w:footnote>
  <w:footnote w:id="3">
    <w:p w:rsidR="00CF1E41" w:rsidRDefault="00CF1E41" w:rsidP="00F211F7">
      <w:pPr>
        <w:pStyle w:val="Testonotaapidipagina"/>
        <w:rPr>
          <w:rFonts w:ascii="Arial" w:hAnsi="Arial" w:cs="Arial"/>
          <w:sz w:val="16"/>
        </w:rPr>
      </w:pPr>
      <w:r>
        <w:rPr>
          <w:rStyle w:val="Rimandonotaapidipagina"/>
          <w:rFonts w:ascii="Arial" w:hAnsi="Arial" w:cs="Arial"/>
          <w:sz w:val="16"/>
        </w:rPr>
        <w:footnoteRef/>
      </w:r>
      <w:r>
        <w:rPr>
          <w:rFonts w:ascii="Arial" w:hAnsi="Arial" w:cs="Arial"/>
          <w:sz w:val="16"/>
        </w:rPr>
        <w:t xml:space="preserve"> Le fonti utilizzate sono le seguenti: Terna S.p.a., Borse elettriche europee, Snam Rete Gas S.p.a., Ministero dello Sviluppo Economico.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E41" w:rsidRDefault="00957E17" w:rsidP="00962644">
    <w:pPr>
      <w:pStyle w:val="Intestazione"/>
      <w:rPr>
        <w:sz w:val="20"/>
        <w:szCs w:val="20"/>
      </w:rPr>
    </w:pPr>
    <w:r w:rsidRPr="00957E17">
      <w:rPr>
        <w:noProof/>
      </w:rPr>
      <w:pict>
        <v:shapetype id="_x0000_t202" coordsize="21600,21600" o:spt="202" path="m,l,21600r21600,l21600,xe">
          <v:stroke joinstyle="miter"/>
          <v:path gradientshapeok="t" o:connecttype="rect"/>
        </v:shapetype>
        <v:shape id="Text Box 4" o:spid="_x0000_s2053" type="#_x0000_t202" style="position:absolute;margin-left:313.1pt;margin-top:9.85pt;width:96.75pt;height:27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" strokecolor="white">
          <v:textbox>
            <w:txbxContent>
              <w:p w:rsidR="00CF1E41" w:rsidRPr="00F670B0" w:rsidRDefault="00425306" w:rsidP="00FF0333">
                <w:pPr>
                  <w:ind w:left="-142" w:right="-195"/>
                  <w:jc w:val="center"/>
                  <w:rPr>
                    <w:rFonts w:ascii="Arial Narrow" w:hAnsi="Arial Narrow"/>
                    <w:b/>
                    <w:color w:val="0D0D0D" w:themeColor="text1" w:themeTint="F2"/>
                    <w:sz w:val="26"/>
                    <w:szCs w:val="26"/>
                  </w:rPr>
                </w:pPr>
                <w:r>
                  <w:rPr>
                    <w:rFonts w:ascii="Arial Narrow" w:hAnsi="Arial Narrow"/>
                    <w:b/>
                    <w:color w:val="0D0D0D" w:themeColor="text1" w:themeTint="F2"/>
                    <w:sz w:val="26"/>
                    <w:szCs w:val="26"/>
                  </w:rPr>
                  <w:t>2</w:t>
                </w:r>
                <w:r w:rsidR="00A312F1">
                  <w:rPr>
                    <w:rFonts w:ascii="Arial Narrow" w:hAnsi="Arial Narrow"/>
                    <w:b/>
                    <w:color w:val="0D0D0D" w:themeColor="text1" w:themeTint="F2"/>
                    <w:sz w:val="26"/>
                    <w:szCs w:val="26"/>
                  </w:rPr>
                  <w:t>9aprile</w:t>
                </w:r>
                <w:r w:rsidR="00CF1E41" w:rsidRPr="00030F1C">
                  <w:rPr>
                    <w:rFonts w:ascii="Arial Narrow" w:hAnsi="Arial Narrow"/>
                    <w:b/>
                    <w:color w:val="0D0D0D" w:themeColor="text1" w:themeTint="F2"/>
                    <w:sz w:val="26"/>
                    <w:szCs w:val="26"/>
                  </w:rPr>
                  <w:t>202</w:t>
                </w:r>
                <w:r w:rsidR="00F858BD">
                  <w:rPr>
                    <w:rFonts w:ascii="Arial Narrow" w:hAnsi="Arial Narrow"/>
                    <w:b/>
                    <w:color w:val="0D0D0D" w:themeColor="text1" w:themeTint="F2"/>
                    <w:sz w:val="26"/>
                    <w:szCs w:val="26"/>
                  </w:rPr>
                  <w:t>4</w:t>
                </w:r>
              </w:p>
            </w:txbxContent>
          </v:textbox>
        </v:shape>
      </w:pict>
    </w:r>
    <w:r w:rsidR="00CF1E41">
      <w:rPr>
        <w:noProof/>
      </w:rPr>
      <w:drawing>
        <wp:anchor distT="0" distB="0" distL="114300" distR="114300" simplePos="0" relativeHeight="251664896" behindDoc="1" locked="0" layoutInCell="1" allowOverlap="1">
          <wp:simplePos x="0" y="0"/>
          <wp:positionH relativeFrom="column">
            <wp:posOffset>12065</wp:posOffset>
          </wp:positionH>
          <wp:positionV relativeFrom="paragraph">
            <wp:posOffset>-142240</wp:posOffset>
          </wp:positionV>
          <wp:extent cx="5343525" cy="1137920"/>
          <wp:effectExtent l="0" t="0" r="9525" b="5080"/>
          <wp:wrapNone/>
          <wp:docPr id="6" name="Immagine 6" descr="iconeComunicatiRosso-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6" descr="iconeComunicatiRosso-01"/>
                  <pic:cNvPicPr>
                    <a:picLocks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 t="-12706" r="16052" b="7286"/>
                  <a:stretch>
                    <a:fillRect/>
                  </a:stretch>
                </pic:blipFill>
                <pic:spPr bwMode="auto">
                  <a:xfrm>
                    <a:off x="0" y="0"/>
                    <a:ext cx="5343525" cy="1137920"/>
                  </a:xfrm>
                  <a:prstGeom prst="rect">
                    <a:avLst/>
                  </a:prstGeom>
                  <a:noFill/>
                </pic:spPr>
              </pic:pic>
            </a:graphicData>
          </a:graphic>
        </wp:anchor>
      </w:drawing>
    </w:r>
    <w:r w:rsidRPr="00957E17">
      <w:rPr>
        <w:noProof/>
      </w:rPr>
      <w:pict>
        <v:line id="Connettore diritto 37" o:spid="_x0000_s2052" style="position:absolute;z-index:251663872;visibility:visible;mso-wrap-distance-top:-3e-5mm;mso-wrap-distance-bottom:-3e-5mm;mso-position-horizontal-relative:text;mso-position-vertical-relative:text;mso-width-relative:margin" from="0,85.2pt" to="505.1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" strokecolor="#7f7f7f">
          <v:stroke joinstyle="miter"/>
          <o:lock v:ext="edit" shapetype="f"/>
        </v:line>
      </w:pict>
    </w:r>
  </w:p>
  <w:p w:rsidR="00CF1E41" w:rsidRDefault="00CF1E41" w:rsidP="00962644">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E41" w:rsidRDefault="00957E17">
    <w:pPr>
      <w:pStyle w:val="Intestazione"/>
    </w:pPr>
    <w:r>
      <w:rPr>
        <w:noProof/>
      </w:rPr>
      <w:pict>
        <v:shapetype id="_x0000_t202" coordsize="21600,21600" o:spt="202" path="m,l,21600r21600,l21600,xe">
          <v:stroke joinstyle="miter"/>
          <v:path gradientshapeok="t" o:connecttype="rect"/>
        </v:shapetype>
        <v:shape id="Text Box 3" o:spid="_x0000_s2051" type="#_x0000_t202" style="position:absolute;margin-left:43.25pt;margin-top:5pt;width:103.5pt;height:20.7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" strokecolor="white">
          <v:textbox style="mso-fit-shape-to-text:t" inset="0,0,0,0">
            <w:txbxContent>
              <w:p w:rsidR="00CF1E41" w:rsidRPr="00826A5F" w:rsidRDefault="00CF1E41">
                <w:pPr>
                  <w:pStyle w:val="Intestazione"/>
                  <w:spacing w:line="200" w:lineRule="exact"/>
                  <w:rPr>
                    <w:rFonts w:ascii="Arial Narrow" w:hAnsi="Arial Narrow"/>
                    <w:b/>
                    <w:color w:val="808080"/>
                    <w:sz w:val="20"/>
                  </w:rPr>
                </w:pPr>
                <w:r w:rsidRPr="00826A5F">
                  <w:rPr>
                    <w:rFonts w:ascii="Arial Narrow" w:hAnsi="Arial Narrow"/>
                    <w:b/>
                    <w:color w:val="808080"/>
                    <w:sz w:val="20"/>
                  </w:rPr>
                  <w:t>COMMERCIO ESTERO EXTRA UE</w:t>
                </w:r>
              </w:p>
            </w:txbxContent>
          </v:textbox>
        </v:shape>
      </w:pict>
    </w:r>
    <w:r w:rsidR="00CF1E41">
      <w:rPr>
        <w:noProof/>
      </w:rPr>
      <w:drawing>
        <wp:inline distT="0" distB="0" distL="0" distR="0">
          <wp:extent cx="6522720" cy="594360"/>
          <wp:effectExtent l="0" t="0" r="0" b="0"/>
          <wp:docPr id="26" name="Immagine 26" descr="iconeComunicati-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eComunicati-0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22720" cy="59436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E41" w:rsidRDefault="00957E17">
    <w:pPr>
      <w:pStyle w:val="Intestazione"/>
    </w:pPr>
    <w:r>
      <w:rPr>
        <w:noProof/>
      </w:rPr>
      <w:pict>
        <v:shapetype id="_x0000_t202" coordsize="21600,21600" o:spt="202" path="m,l,21600r21600,l21600,xe">
          <v:stroke joinstyle="miter"/>
          <v:path gradientshapeok="t" o:connecttype="rect"/>
        </v:shapetype>
        <v:shape id="Text Box 2" o:spid="_x0000_s2050" type="#_x0000_t202" style="position:absolute;margin-left:42.25pt;margin-top:3.3pt;width:101.75pt;height:30.7pt;z-index:2516597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" strokecolor="white">
          <v:textbox style="mso-fit-shape-to-text:t" inset="0,0,0,0">
            <w:txbxContent>
              <w:p w:rsidR="00CF1E41" w:rsidRPr="00B23A5A" w:rsidRDefault="00CF1E41">
                <w:pPr>
                  <w:pStyle w:val="Intestazione"/>
                  <w:spacing w:line="200" w:lineRule="exact"/>
                  <w:rPr>
                    <w:rFonts w:ascii="Arial Narrow" w:hAnsi="Arial Narrow"/>
                    <w:b/>
                    <w:color w:val="999999"/>
                    <w:sz w:val="20"/>
                  </w:rPr>
                </w:pPr>
                <w:r w:rsidRPr="00B23A5A">
                  <w:rPr>
                    <w:rFonts w:ascii="Arial Narrow" w:hAnsi="Arial Narrow"/>
                    <w:b/>
                    <w:color w:val="999999"/>
                    <w:sz w:val="20"/>
                  </w:rPr>
                  <w:t>COMMERCIO ESTERO EXTRA UE</w:t>
                </w:r>
              </w:p>
              <w:p w:rsidR="00CF1E41" w:rsidRDefault="00CF1E41">
                <w:pPr>
                  <w:pStyle w:val="Intestazione"/>
                  <w:spacing w:line="200" w:lineRule="exact"/>
                  <w:rPr>
                    <w:rFonts w:ascii="Arial Narrow" w:hAnsi="Arial Narrow"/>
                    <w:b/>
                    <w:color w:val="999999"/>
                  </w:rPr>
                </w:pPr>
              </w:p>
            </w:txbxContent>
          </v:textbox>
        </v:shape>
      </w:pict>
    </w:r>
    <w:r w:rsidR="00CF1E41">
      <w:rPr>
        <w:noProof/>
      </w:rPr>
      <w:drawing>
        <wp:inline distT="0" distB="0" distL="0" distR="0">
          <wp:extent cx="6484620" cy="586740"/>
          <wp:effectExtent l="0" t="0" r="0" b="3810"/>
          <wp:docPr id="8" name="Immagine 8" descr="iconeComunicati-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neComunicati-0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84620" cy="586740"/>
                  </a:xfrm>
                  <a:prstGeom prst="rect">
                    <a:avLst/>
                  </a:prstGeom>
                  <a:noFill/>
                  <a:ln>
                    <a:noFill/>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E41" w:rsidRDefault="00957E17">
    <w:pPr>
      <w:pStyle w:val="Intestazione"/>
    </w:pPr>
    <w:r>
      <w:rPr>
        <w:noProof/>
      </w:rPr>
      <w:pict>
        <v:shapetype id="_x0000_t202" coordsize="21600,21600" o:spt="202" path="m,l,21600r21600,l21600,xe">
          <v:stroke joinstyle="miter"/>
          <v:path gradientshapeok="t" o:connecttype="rect"/>
        </v:shapetype>
        <v:shape id="Text Box 1" o:spid="_x0000_s2049" type="#_x0000_t202" style="position:absolute;margin-left:41.75pt;margin-top:5.85pt;width:97.5pt;height:30.7pt;z-index:2516577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" strokecolor="white">
          <v:textbox style="mso-fit-shape-to-text:t" inset="0,0,0,0">
            <w:txbxContent>
              <w:p w:rsidR="00CF1E41" w:rsidRPr="00B23A5A" w:rsidRDefault="00CF1E41">
                <w:pPr>
                  <w:pStyle w:val="Intestazione"/>
                  <w:spacing w:line="200" w:lineRule="exact"/>
                  <w:rPr>
                    <w:rFonts w:ascii="Arial Narrow" w:hAnsi="Arial Narrow"/>
                    <w:b/>
                    <w:color w:val="808080"/>
                    <w:sz w:val="20"/>
                  </w:rPr>
                </w:pPr>
                <w:r w:rsidRPr="00B23A5A">
                  <w:rPr>
                    <w:rFonts w:ascii="Arial Narrow" w:hAnsi="Arial Narrow"/>
                    <w:b/>
                    <w:color w:val="808080"/>
                    <w:sz w:val="20"/>
                  </w:rPr>
                  <w:t>COMMERCIO ESTERO EXTRA UE</w:t>
                </w:r>
              </w:p>
              <w:p w:rsidR="00CF1E41" w:rsidRDefault="00CF1E41">
                <w:pPr>
                  <w:pStyle w:val="Intestazione"/>
                  <w:spacing w:line="200" w:lineRule="exact"/>
                  <w:rPr>
                    <w:rFonts w:ascii="Arial Narrow" w:hAnsi="Arial Narrow"/>
                    <w:b/>
                    <w:color w:val="999999"/>
                  </w:rPr>
                </w:pPr>
              </w:p>
            </w:txbxContent>
          </v:textbox>
        </v:shape>
      </w:pict>
    </w:r>
    <w:r w:rsidR="00CF1E41">
      <w:rPr>
        <w:noProof/>
      </w:rPr>
      <w:drawing>
        <wp:inline distT="0" distB="0" distL="0" distR="0">
          <wp:extent cx="6484620" cy="586740"/>
          <wp:effectExtent l="0" t="0" r="0" b="3810"/>
          <wp:docPr id="9" name="Immagine 9" descr="iconeComunicati-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eComunicati-0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84620" cy="58674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5pt;height:7.5pt" o:bullet="t">
        <v:imagedata r:id="rId1" o:title=""/>
      </v:shape>
    </w:pict>
  </w:numPicBullet>
  <w:numPicBullet w:numPicBulletId="1">
    <w:pict>
      <v:shape id="_x0000_i1031" type="#_x0000_t75" style="width:8.25pt;height:8.25pt" o:bullet="t">
        <v:imagedata r:id="rId2" o:title=""/>
      </v:shape>
    </w:pict>
  </w:numPicBullet>
  <w:abstractNum w:abstractNumId="0">
    <w:nsid w:val="00A61C4B"/>
    <w:multiLevelType w:val="hybridMultilevel"/>
    <w:tmpl w:val="E0ACEAB2"/>
    <w:lvl w:ilvl="0" w:tplc="55DC58FE">
      <w:start w:val="1"/>
      <w:numFmt w:val="lowerLetter"/>
      <w:lvlText w:val="(%1)"/>
      <w:lvlJc w:val="left"/>
      <w:pPr>
        <w:ind w:left="360" w:hanging="360"/>
      </w:pPr>
      <w:rPr>
        <w:rFonts w:cs="Times New Roman"/>
        <w:b w:val="0"/>
      </w:rPr>
    </w:lvl>
    <w:lvl w:ilvl="1" w:tplc="38B0214A">
      <w:start w:val="1"/>
      <w:numFmt w:val="lowerLetter"/>
      <w:lvlText w:val="%2."/>
      <w:lvlJc w:val="left"/>
      <w:pPr>
        <w:ind w:left="1080" w:hanging="360"/>
      </w:pPr>
      <w:rPr>
        <w:rFonts w:cs="Times New Roman"/>
      </w:rPr>
    </w:lvl>
    <w:lvl w:ilvl="2" w:tplc="68DE6A2A">
      <w:start w:val="1"/>
      <w:numFmt w:val="lowerRoman"/>
      <w:lvlText w:val="%3."/>
      <w:lvlJc w:val="right"/>
      <w:pPr>
        <w:ind w:left="1800" w:hanging="180"/>
      </w:pPr>
      <w:rPr>
        <w:rFonts w:cs="Times New Roman"/>
      </w:rPr>
    </w:lvl>
    <w:lvl w:ilvl="3" w:tplc="5906B76C">
      <w:start w:val="1"/>
      <w:numFmt w:val="decimal"/>
      <w:lvlText w:val="%4."/>
      <w:lvlJc w:val="left"/>
      <w:pPr>
        <w:ind w:left="2520" w:hanging="360"/>
      </w:pPr>
      <w:rPr>
        <w:rFonts w:cs="Times New Roman"/>
      </w:rPr>
    </w:lvl>
    <w:lvl w:ilvl="4" w:tplc="53205C18">
      <w:start w:val="1"/>
      <w:numFmt w:val="lowerLetter"/>
      <w:lvlText w:val="%5."/>
      <w:lvlJc w:val="left"/>
      <w:pPr>
        <w:ind w:left="3240" w:hanging="360"/>
      </w:pPr>
      <w:rPr>
        <w:rFonts w:cs="Times New Roman"/>
      </w:rPr>
    </w:lvl>
    <w:lvl w:ilvl="5" w:tplc="93A84296">
      <w:start w:val="1"/>
      <w:numFmt w:val="lowerRoman"/>
      <w:lvlText w:val="%6."/>
      <w:lvlJc w:val="right"/>
      <w:pPr>
        <w:ind w:left="3960" w:hanging="180"/>
      </w:pPr>
      <w:rPr>
        <w:rFonts w:cs="Times New Roman"/>
      </w:rPr>
    </w:lvl>
    <w:lvl w:ilvl="6" w:tplc="FFC6F268">
      <w:start w:val="1"/>
      <w:numFmt w:val="decimal"/>
      <w:lvlText w:val="%7."/>
      <w:lvlJc w:val="left"/>
      <w:pPr>
        <w:ind w:left="4680" w:hanging="360"/>
      </w:pPr>
      <w:rPr>
        <w:rFonts w:cs="Times New Roman"/>
      </w:rPr>
    </w:lvl>
    <w:lvl w:ilvl="7" w:tplc="45C271E2">
      <w:start w:val="1"/>
      <w:numFmt w:val="lowerLetter"/>
      <w:lvlText w:val="%8."/>
      <w:lvlJc w:val="left"/>
      <w:pPr>
        <w:ind w:left="5400" w:hanging="360"/>
      </w:pPr>
      <w:rPr>
        <w:rFonts w:cs="Times New Roman"/>
      </w:rPr>
    </w:lvl>
    <w:lvl w:ilvl="8" w:tplc="786643A4">
      <w:start w:val="1"/>
      <w:numFmt w:val="lowerRoman"/>
      <w:lvlText w:val="%9."/>
      <w:lvlJc w:val="right"/>
      <w:pPr>
        <w:ind w:left="6120" w:hanging="180"/>
      </w:pPr>
      <w:rPr>
        <w:rFonts w:cs="Times New Roman"/>
      </w:rPr>
    </w:lvl>
  </w:abstractNum>
  <w:abstractNum w:abstractNumId="1">
    <w:nsid w:val="05A70A2F"/>
    <w:multiLevelType w:val="hybridMultilevel"/>
    <w:tmpl w:val="C824C3CC"/>
    <w:lvl w:ilvl="0" w:tplc="84B80C2A">
      <w:start w:val="1"/>
      <w:numFmt w:val="lowerLetter"/>
      <w:lvlText w:val="(%1)"/>
      <w:lvlJc w:val="left"/>
      <w:pPr>
        <w:ind w:left="2174"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4D2104"/>
    <w:multiLevelType w:val="multilevel"/>
    <w:tmpl w:val="82F0A0DC"/>
    <w:lvl w:ilvl="0">
      <w:start w:val="1"/>
      <w:numFmt w:val="bullet"/>
      <w:lvlText w:val=""/>
      <w:lvlPicBulletId w:val="1"/>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left"/>
      <w:pPr>
        <w:tabs>
          <w:tab w:val="num" w:pos="4320"/>
        </w:tabs>
        <w:ind w:left="4320" w:hanging="36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left"/>
      <w:pPr>
        <w:tabs>
          <w:tab w:val="num" w:pos="6480"/>
        </w:tabs>
        <w:ind w:left="6480" w:hanging="360"/>
      </w:pPr>
      <w:rPr>
        <w:rFonts w:ascii="Symbol" w:hAnsi="Symbol"/>
      </w:rPr>
    </w:lvl>
  </w:abstractNum>
  <w:abstractNum w:abstractNumId="3">
    <w:nsid w:val="105D7034"/>
    <w:multiLevelType w:val="multilevel"/>
    <w:tmpl w:val="A102325C"/>
    <w:lvl w:ilvl="0">
      <w:start w:val="1"/>
      <w:numFmt w:val="bullet"/>
      <w:lvlText w:val=""/>
      <w:lvlPicBulletId w:val="1"/>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left"/>
      <w:pPr>
        <w:tabs>
          <w:tab w:val="num" w:pos="4320"/>
        </w:tabs>
        <w:ind w:left="4320" w:hanging="36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left"/>
      <w:pPr>
        <w:tabs>
          <w:tab w:val="num" w:pos="6480"/>
        </w:tabs>
        <w:ind w:left="6480" w:hanging="360"/>
      </w:pPr>
      <w:rPr>
        <w:rFonts w:ascii="Symbol" w:hAnsi="Symbol"/>
      </w:rPr>
    </w:lvl>
  </w:abstractNum>
  <w:abstractNum w:abstractNumId="4">
    <w:nsid w:val="154B18D6"/>
    <w:multiLevelType w:val="hybridMultilevel"/>
    <w:tmpl w:val="084A7D70"/>
    <w:lvl w:ilvl="0" w:tplc="96D60A54">
      <w:start w:val="1"/>
      <w:numFmt w:val="bullet"/>
      <w:lvlText w:val=""/>
      <w:lvlJc w:val="left"/>
      <w:pPr>
        <w:ind w:left="720" w:hanging="360"/>
      </w:pPr>
      <w:rPr>
        <w:rFonts w:ascii="Wingdings" w:hAnsi="Wingdings"/>
        <w:b/>
        <w:i w:val="0"/>
        <w:color w:val="FF0000"/>
        <w:sz w:val="18"/>
      </w:rPr>
    </w:lvl>
    <w:lvl w:ilvl="1" w:tplc="7610E30A">
      <w:start w:val="1"/>
      <w:numFmt w:val="bullet"/>
      <w:lvlText w:val="o"/>
      <w:lvlJc w:val="left"/>
      <w:pPr>
        <w:ind w:left="1440" w:hanging="360"/>
      </w:pPr>
      <w:rPr>
        <w:rFonts w:ascii="Courier New" w:hAnsi="Courier New" w:cs="Courier New"/>
      </w:rPr>
    </w:lvl>
    <w:lvl w:ilvl="2" w:tplc="7968F25E">
      <w:start w:val="1"/>
      <w:numFmt w:val="bullet"/>
      <w:lvlText w:val=""/>
      <w:lvlJc w:val="left"/>
      <w:pPr>
        <w:ind w:left="2160" w:hanging="360"/>
      </w:pPr>
      <w:rPr>
        <w:rFonts w:ascii="Wingdings" w:hAnsi="Wingdings"/>
      </w:rPr>
    </w:lvl>
    <w:lvl w:ilvl="3" w:tplc="7FA2ED40">
      <w:start w:val="1"/>
      <w:numFmt w:val="bullet"/>
      <w:lvlText w:val=""/>
      <w:lvlJc w:val="left"/>
      <w:pPr>
        <w:ind w:left="2880" w:hanging="360"/>
      </w:pPr>
      <w:rPr>
        <w:rFonts w:ascii="Symbol" w:hAnsi="Symbol"/>
      </w:rPr>
    </w:lvl>
    <w:lvl w:ilvl="4" w:tplc="6ABAC890">
      <w:start w:val="1"/>
      <w:numFmt w:val="bullet"/>
      <w:lvlText w:val="o"/>
      <w:lvlJc w:val="left"/>
      <w:pPr>
        <w:ind w:left="3600" w:hanging="360"/>
      </w:pPr>
      <w:rPr>
        <w:rFonts w:ascii="Courier New" w:hAnsi="Courier New" w:cs="Courier New"/>
      </w:rPr>
    </w:lvl>
    <w:lvl w:ilvl="5" w:tplc="B574BEF6">
      <w:start w:val="1"/>
      <w:numFmt w:val="bullet"/>
      <w:lvlText w:val=""/>
      <w:lvlJc w:val="left"/>
      <w:pPr>
        <w:ind w:left="4320" w:hanging="360"/>
      </w:pPr>
      <w:rPr>
        <w:rFonts w:ascii="Wingdings" w:hAnsi="Wingdings"/>
      </w:rPr>
    </w:lvl>
    <w:lvl w:ilvl="6" w:tplc="9AA2E1E2">
      <w:start w:val="1"/>
      <w:numFmt w:val="bullet"/>
      <w:lvlText w:val=""/>
      <w:lvlJc w:val="left"/>
      <w:pPr>
        <w:ind w:left="5040" w:hanging="360"/>
      </w:pPr>
      <w:rPr>
        <w:rFonts w:ascii="Symbol" w:hAnsi="Symbol"/>
      </w:rPr>
    </w:lvl>
    <w:lvl w:ilvl="7" w:tplc="1F98787E">
      <w:start w:val="1"/>
      <w:numFmt w:val="bullet"/>
      <w:lvlText w:val="o"/>
      <w:lvlJc w:val="left"/>
      <w:pPr>
        <w:ind w:left="5760" w:hanging="360"/>
      </w:pPr>
      <w:rPr>
        <w:rFonts w:ascii="Courier New" w:hAnsi="Courier New" w:cs="Courier New"/>
      </w:rPr>
    </w:lvl>
    <w:lvl w:ilvl="8" w:tplc="1680A77A">
      <w:start w:val="1"/>
      <w:numFmt w:val="bullet"/>
      <w:lvlText w:val=""/>
      <w:lvlJc w:val="left"/>
      <w:pPr>
        <w:ind w:left="6480" w:hanging="360"/>
      </w:pPr>
      <w:rPr>
        <w:rFonts w:ascii="Wingdings" w:hAnsi="Wingdings"/>
      </w:rPr>
    </w:lvl>
  </w:abstractNum>
  <w:abstractNum w:abstractNumId="5">
    <w:nsid w:val="156631CD"/>
    <w:multiLevelType w:val="hybridMultilevel"/>
    <w:tmpl w:val="9F308CDC"/>
    <w:lvl w:ilvl="0" w:tplc="4FA4B7CC">
      <w:start w:val="1"/>
      <w:numFmt w:val="bullet"/>
      <w:lvlText w:val=""/>
      <w:lvlJc w:val="left"/>
      <w:pPr>
        <w:tabs>
          <w:tab w:val="num" w:pos="340"/>
        </w:tabs>
        <w:ind w:left="0" w:firstLine="0"/>
      </w:pPr>
      <w:rPr>
        <w:rFonts w:ascii="Wingdings" w:hAnsi="Wingdings"/>
        <w:b w:val="0"/>
        <w:i w:val="0"/>
        <w:color w:val="FF0000"/>
        <w:spacing w:val="0"/>
        <w:sz w:val="24"/>
      </w:rPr>
    </w:lvl>
    <w:lvl w:ilvl="1" w:tplc="B192E29C">
      <w:start w:val="1"/>
      <w:numFmt w:val="bullet"/>
      <w:lvlText w:val="o"/>
      <w:lvlJc w:val="left"/>
      <w:pPr>
        <w:tabs>
          <w:tab w:val="num" w:pos="1440"/>
        </w:tabs>
        <w:ind w:left="1440" w:hanging="360"/>
      </w:pPr>
      <w:rPr>
        <w:rFonts w:ascii="Courier New" w:hAnsi="Courier New" w:cs="Courier New"/>
      </w:rPr>
    </w:lvl>
    <w:lvl w:ilvl="2" w:tplc="2C226184">
      <w:start w:val="1"/>
      <w:numFmt w:val="bullet"/>
      <w:lvlText w:val=""/>
      <w:lvlJc w:val="left"/>
      <w:pPr>
        <w:tabs>
          <w:tab w:val="num" w:pos="2160"/>
        </w:tabs>
        <w:ind w:left="2160" w:hanging="360"/>
      </w:pPr>
      <w:rPr>
        <w:rFonts w:ascii="Wingdings" w:hAnsi="Wingdings"/>
      </w:rPr>
    </w:lvl>
    <w:lvl w:ilvl="3" w:tplc="6B40F0A8">
      <w:start w:val="1"/>
      <w:numFmt w:val="bullet"/>
      <w:lvlText w:val=""/>
      <w:lvlJc w:val="left"/>
      <w:pPr>
        <w:tabs>
          <w:tab w:val="num" w:pos="2880"/>
        </w:tabs>
        <w:ind w:left="2880" w:hanging="360"/>
      </w:pPr>
      <w:rPr>
        <w:rFonts w:ascii="Symbol" w:hAnsi="Symbol"/>
      </w:rPr>
    </w:lvl>
    <w:lvl w:ilvl="4" w:tplc="08FAD4F6">
      <w:start w:val="1"/>
      <w:numFmt w:val="bullet"/>
      <w:lvlText w:val="o"/>
      <w:lvlJc w:val="left"/>
      <w:pPr>
        <w:tabs>
          <w:tab w:val="num" w:pos="3600"/>
        </w:tabs>
        <w:ind w:left="3600" w:hanging="360"/>
      </w:pPr>
      <w:rPr>
        <w:rFonts w:ascii="Courier New" w:hAnsi="Courier New" w:cs="Courier New"/>
      </w:rPr>
    </w:lvl>
    <w:lvl w:ilvl="5" w:tplc="6E74C1D4">
      <w:start w:val="1"/>
      <w:numFmt w:val="bullet"/>
      <w:lvlText w:val=""/>
      <w:lvlJc w:val="left"/>
      <w:pPr>
        <w:tabs>
          <w:tab w:val="num" w:pos="4320"/>
        </w:tabs>
        <w:ind w:left="4320" w:hanging="360"/>
      </w:pPr>
      <w:rPr>
        <w:rFonts w:ascii="Wingdings" w:hAnsi="Wingdings"/>
      </w:rPr>
    </w:lvl>
    <w:lvl w:ilvl="6" w:tplc="58FAFDA6">
      <w:start w:val="1"/>
      <w:numFmt w:val="bullet"/>
      <w:lvlText w:val=""/>
      <w:lvlJc w:val="left"/>
      <w:pPr>
        <w:tabs>
          <w:tab w:val="num" w:pos="5040"/>
        </w:tabs>
        <w:ind w:left="5040" w:hanging="360"/>
      </w:pPr>
      <w:rPr>
        <w:rFonts w:ascii="Symbol" w:hAnsi="Symbol"/>
      </w:rPr>
    </w:lvl>
    <w:lvl w:ilvl="7" w:tplc="87DC7F2C">
      <w:start w:val="1"/>
      <w:numFmt w:val="bullet"/>
      <w:lvlText w:val="o"/>
      <w:lvlJc w:val="left"/>
      <w:pPr>
        <w:tabs>
          <w:tab w:val="num" w:pos="5760"/>
        </w:tabs>
        <w:ind w:left="5760" w:hanging="360"/>
      </w:pPr>
      <w:rPr>
        <w:rFonts w:ascii="Courier New" w:hAnsi="Courier New" w:cs="Courier New"/>
      </w:rPr>
    </w:lvl>
    <w:lvl w:ilvl="8" w:tplc="38240A62">
      <w:start w:val="1"/>
      <w:numFmt w:val="bullet"/>
      <w:lvlText w:val=""/>
      <w:lvlJc w:val="left"/>
      <w:pPr>
        <w:tabs>
          <w:tab w:val="num" w:pos="6480"/>
        </w:tabs>
        <w:ind w:left="6480" w:hanging="360"/>
      </w:pPr>
      <w:rPr>
        <w:rFonts w:ascii="Wingdings" w:hAnsi="Wingdings"/>
      </w:rPr>
    </w:lvl>
  </w:abstractNum>
  <w:abstractNum w:abstractNumId="6">
    <w:nsid w:val="1697669E"/>
    <w:multiLevelType w:val="hybridMultilevel"/>
    <w:tmpl w:val="8C529EE4"/>
    <w:lvl w:ilvl="0" w:tplc="399EAD5E">
      <w:numFmt w:val="bullet"/>
      <w:pStyle w:val="Puntoelenco2"/>
      <w:lvlText w:val="—"/>
      <w:lvlJc w:val="left"/>
      <w:pPr>
        <w:ind w:left="1211" w:hanging="360"/>
      </w:pPr>
      <w:rPr>
        <w:rFonts w:ascii="Arial" w:eastAsia="Times New Roman" w:hAnsi="Arial" w:hint="default"/>
        <w:b w:val="0"/>
        <w:i w:val="0"/>
        <w:color w:val="4F81BD" w:themeColor="accent1"/>
        <w:sz w:val="20"/>
      </w:rPr>
    </w:lvl>
    <w:lvl w:ilvl="1" w:tplc="08090003">
      <w:start w:val="1"/>
      <w:numFmt w:val="bullet"/>
      <w:lvlText w:val="o"/>
      <w:lvlJc w:val="left"/>
      <w:pPr>
        <w:ind w:left="44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1888" w:hanging="360"/>
      </w:pPr>
      <w:rPr>
        <w:rFonts w:ascii="Symbol" w:hAnsi="Symbol" w:hint="default"/>
      </w:rPr>
    </w:lvl>
    <w:lvl w:ilvl="4" w:tplc="08090003" w:tentative="1">
      <w:start w:val="1"/>
      <w:numFmt w:val="bullet"/>
      <w:lvlText w:val="o"/>
      <w:lvlJc w:val="left"/>
      <w:pPr>
        <w:ind w:left="2608" w:hanging="360"/>
      </w:pPr>
      <w:rPr>
        <w:rFonts w:ascii="Courier New" w:hAnsi="Courier New" w:cs="Courier New" w:hint="default"/>
      </w:rPr>
    </w:lvl>
    <w:lvl w:ilvl="5" w:tplc="08090005" w:tentative="1">
      <w:start w:val="1"/>
      <w:numFmt w:val="bullet"/>
      <w:lvlText w:val=""/>
      <w:lvlJc w:val="left"/>
      <w:pPr>
        <w:ind w:left="3328" w:hanging="360"/>
      </w:pPr>
      <w:rPr>
        <w:rFonts w:ascii="Wingdings" w:hAnsi="Wingdings" w:hint="default"/>
      </w:rPr>
    </w:lvl>
    <w:lvl w:ilvl="6" w:tplc="08090001" w:tentative="1">
      <w:start w:val="1"/>
      <w:numFmt w:val="bullet"/>
      <w:lvlText w:val=""/>
      <w:lvlJc w:val="left"/>
      <w:pPr>
        <w:ind w:left="4048" w:hanging="360"/>
      </w:pPr>
      <w:rPr>
        <w:rFonts w:ascii="Symbol" w:hAnsi="Symbol" w:hint="default"/>
      </w:rPr>
    </w:lvl>
    <w:lvl w:ilvl="7" w:tplc="08090003" w:tentative="1">
      <w:start w:val="1"/>
      <w:numFmt w:val="bullet"/>
      <w:lvlText w:val="o"/>
      <w:lvlJc w:val="left"/>
      <w:pPr>
        <w:ind w:left="4768" w:hanging="360"/>
      </w:pPr>
      <w:rPr>
        <w:rFonts w:ascii="Courier New" w:hAnsi="Courier New" w:cs="Courier New" w:hint="default"/>
      </w:rPr>
    </w:lvl>
    <w:lvl w:ilvl="8" w:tplc="08090005" w:tentative="1">
      <w:start w:val="1"/>
      <w:numFmt w:val="bullet"/>
      <w:lvlText w:val=""/>
      <w:lvlJc w:val="left"/>
      <w:pPr>
        <w:ind w:left="5488" w:hanging="360"/>
      </w:pPr>
      <w:rPr>
        <w:rFonts w:ascii="Wingdings" w:hAnsi="Wingdings" w:hint="default"/>
      </w:rPr>
    </w:lvl>
  </w:abstractNum>
  <w:abstractNum w:abstractNumId="7">
    <w:nsid w:val="16B421E4"/>
    <w:multiLevelType w:val="hybridMultilevel"/>
    <w:tmpl w:val="C10466C8"/>
    <w:lvl w:ilvl="0" w:tplc="E77AB5FC">
      <w:start w:val="1"/>
      <w:numFmt w:val="lowerLetter"/>
      <w:lvlText w:val="(%1)"/>
      <w:lvlJc w:val="left"/>
      <w:pPr>
        <w:ind w:left="360" w:hanging="360"/>
      </w:pPr>
      <w:rPr>
        <w:rFonts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C220CBC"/>
    <w:multiLevelType w:val="hybridMultilevel"/>
    <w:tmpl w:val="8692084A"/>
    <w:lvl w:ilvl="0" w:tplc="50F40AD4">
      <w:start w:val="1"/>
      <w:numFmt w:val="bullet"/>
      <w:lvlText w:val=""/>
      <w:lvlPicBulletId w:val="0"/>
      <w:lvlJc w:val="left"/>
      <w:pPr>
        <w:tabs>
          <w:tab w:val="num" w:pos="2534"/>
        </w:tabs>
        <w:ind w:left="2534" w:hanging="360"/>
      </w:pPr>
      <w:rPr>
        <w:rFonts w:ascii="Symbol" w:hAnsi="Symbol"/>
        <w:color w:val="E42618"/>
      </w:rPr>
    </w:lvl>
    <w:lvl w:ilvl="1" w:tplc="A6EC593C">
      <w:start w:val="1"/>
      <w:numFmt w:val="bullet"/>
      <w:lvlText w:val="o"/>
      <w:lvlJc w:val="left"/>
      <w:pPr>
        <w:tabs>
          <w:tab w:val="num" w:pos="3254"/>
        </w:tabs>
        <w:ind w:left="3254" w:hanging="360"/>
      </w:pPr>
      <w:rPr>
        <w:rFonts w:ascii="Courier New" w:hAnsi="Courier New"/>
      </w:rPr>
    </w:lvl>
    <w:lvl w:ilvl="2" w:tplc="ECD6587A">
      <w:start w:val="1"/>
      <w:numFmt w:val="bullet"/>
      <w:lvlText w:val=""/>
      <w:lvlJc w:val="left"/>
      <w:pPr>
        <w:tabs>
          <w:tab w:val="num" w:pos="3974"/>
        </w:tabs>
        <w:ind w:left="3974" w:hanging="360"/>
      </w:pPr>
      <w:rPr>
        <w:rFonts w:ascii="Wingdings" w:hAnsi="Wingdings"/>
      </w:rPr>
    </w:lvl>
    <w:lvl w:ilvl="3" w:tplc="C53292A2">
      <w:start w:val="1"/>
      <w:numFmt w:val="bullet"/>
      <w:lvlText w:val=""/>
      <w:lvlJc w:val="left"/>
      <w:pPr>
        <w:tabs>
          <w:tab w:val="num" w:pos="4694"/>
        </w:tabs>
        <w:ind w:left="4694" w:hanging="360"/>
      </w:pPr>
      <w:rPr>
        <w:rFonts w:ascii="Symbol" w:hAnsi="Symbol"/>
      </w:rPr>
    </w:lvl>
    <w:lvl w:ilvl="4" w:tplc="B9B4DC82">
      <w:start w:val="1"/>
      <w:numFmt w:val="bullet"/>
      <w:lvlText w:val="o"/>
      <w:lvlJc w:val="left"/>
      <w:pPr>
        <w:tabs>
          <w:tab w:val="num" w:pos="5414"/>
        </w:tabs>
        <w:ind w:left="5414" w:hanging="360"/>
      </w:pPr>
      <w:rPr>
        <w:rFonts w:ascii="Courier New" w:hAnsi="Courier New"/>
      </w:rPr>
    </w:lvl>
    <w:lvl w:ilvl="5" w:tplc="17E04826">
      <w:start w:val="1"/>
      <w:numFmt w:val="bullet"/>
      <w:lvlText w:val=""/>
      <w:lvlJc w:val="left"/>
      <w:pPr>
        <w:tabs>
          <w:tab w:val="num" w:pos="6134"/>
        </w:tabs>
        <w:ind w:left="6134" w:hanging="360"/>
      </w:pPr>
      <w:rPr>
        <w:rFonts w:ascii="Wingdings" w:hAnsi="Wingdings"/>
      </w:rPr>
    </w:lvl>
    <w:lvl w:ilvl="6" w:tplc="272AC674">
      <w:start w:val="1"/>
      <w:numFmt w:val="bullet"/>
      <w:lvlText w:val=""/>
      <w:lvlJc w:val="left"/>
      <w:pPr>
        <w:tabs>
          <w:tab w:val="num" w:pos="6854"/>
        </w:tabs>
        <w:ind w:left="6854" w:hanging="360"/>
      </w:pPr>
      <w:rPr>
        <w:rFonts w:ascii="Symbol" w:hAnsi="Symbol"/>
      </w:rPr>
    </w:lvl>
    <w:lvl w:ilvl="7" w:tplc="EEC8FFCC">
      <w:start w:val="1"/>
      <w:numFmt w:val="bullet"/>
      <w:lvlText w:val="o"/>
      <w:lvlJc w:val="left"/>
      <w:pPr>
        <w:tabs>
          <w:tab w:val="num" w:pos="7574"/>
        </w:tabs>
        <w:ind w:left="7574" w:hanging="360"/>
      </w:pPr>
      <w:rPr>
        <w:rFonts w:ascii="Courier New" w:hAnsi="Courier New"/>
      </w:rPr>
    </w:lvl>
    <w:lvl w:ilvl="8" w:tplc="D6565836">
      <w:start w:val="1"/>
      <w:numFmt w:val="bullet"/>
      <w:lvlText w:val=""/>
      <w:lvlJc w:val="left"/>
      <w:pPr>
        <w:tabs>
          <w:tab w:val="num" w:pos="8294"/>
        </w:tabs>
        <w:ind w:left="8294" w:hanging="360"/>
      </w:pPr>
      <w:rPr>
        <w:rFonts w:ascii="Wingdings" w:hAnsi="Wingdings"/>
      </w:rPr>
    </w:lvl>
  </w:abstractNum>
  <w:abstractNum w:abstractNumId="9">
    <w:nsid w:val="1C24545E"/>
    <w:multiLevelType w:val="hybridMultilevel"/>
    <w:tmpl w:val="2BE66A3A"/>
    <w:lvl w:ilvl="0" w:tplc="6888BADE">
      <w:start w:val="1"/>
      <w:numFmt w:val="bullet"/>
      <w:lvlText w:val=""/>
      <w:lvlJc w:val="left"/>
      <w:pPr>
        <w:tabs>
          <w:tab w:val="num" w:pos="624"/>
        </w:tabs>
      </w:pPr>
      <w:rPr>
        <w:rFonts w:ascii="Webdings" w:hAnsi="Webdings" w:hint="default"/>
        <w:b w:val="0"/>
        <w:i w:val="0"/>
        <w:color w:val="E42618"/>
        <w:spacing w:val="0"/>
        <w:sz w:val="24"/>
        <w:szCs w:val="18"/>
      </w:rPr>
    </w:lvl>
    <w:lvl w:ilvl="1" w:tplc="E8FCC02E">
      <w:start w:val="1"/>
      <w:numFmt w:val="bullet"/>
      <w:lvlText w:val="o"/>
      <w:lvlJc w:val="left"/>
      <w:pPr>
        <w:tabs>
          <w:tab w:val="num" w:pos="1724"/>
        </w:tabs>
        <w:ind w:left="1724" w:hanging="360"/>
      </w:pPr>
      <w:rPr>
        <w:rFonts w:ascii="Courier New" w:hAnsi="Courier New"/>
      </w:rPr>
    </w:lvl>
    <w:lvl w:ilvl="2" w:tplc="57B2E412">
      <w:start w:val="1"/>
      <w:numFmt w:val="bullet"/>
      <w:lvlText w:val=""/>
      <w:lvlJc w:val="left"/>
      <w:pPr>
        <w:tabs>
          <w:tab w:val="num" w:pos="2444"/>
        </w:tabs>
        <w:ind w:left="2444" w:hanging="360"/>
      </w:pPr>
      <w:rPr>
        <w:rFonts w:ascii="Wingdings" w:hAnsi="Wingdings"/>
      </w:rPr>
    </w:lvl>
    <w:lvl w:ilvl="3" w:tplc="31BA2B30">
      <w:start w:val="1"/>
      <w:numFmt w:val="bullet"/>
      <w:lvlText w:val=""/>
      <w:lvlJc w:val="left"/>
      <w:pPr>
        <w:tabs>
          <w:tab w:val="num" w:pos="3164"/>
        </w:tabs>
        <w:ind w:left="3164" w:hanging="360"/>
      </w:pPr>
      <w:rPr>
        <w:rFonts w:ascii="Symbol" w:hAnsi="Symbol"/>
      </w:rPr>
    </w:lvl>
    <w:lvl w:ilvl="4" w:tplc="2C2276D6">
      <w:start w:val="1"/>
      <w:numFmt w:val="bullet"/>
      <w:lvlText w:val="o"/>
      <w:lvlJc w:val="left"/>
      <w:pPr>
        <w:tabs>
          <w:tab w:val="num" w:pos="3884"/>
        </w:tabs>
        <w:ind w:left="3884" w:hanging="360"/>
      </w:pPr>
      <w:rPr>
        <w:rFonts w:ascii="Courier New" w:hAnsi="Courier New"/>
      </w:rPr>
    </w:lvl>
    <w:lvl w:ilvl="5" w:tplc="85BACC6E">
      <w:start w:val="1"/>
      <w:numFmt w:val="bullet"/>
      <w:lvlText w:val=""/>
      <w:lvlJc w:val="left"/>
      <w:pPr>
        <w:tabs>
          <w:tab w:val="num" w:pos="4604"/>
        </w:tabs>
        <w:ind w:left="4604" w:hanging="360"/>
      </w:pPr>
      <w:rPr>
        <w:rFonts w:ascii="Wingdings" w:hAnsi="Wingdings"/>
      </w:rPr>
    </w:lvl>
    <w:lvl w:ilvl="6" w:tplc="1F3EF924">
      <w:start w:val="1"/>
      <w:numFmt w:val="bullet"/>
      <w:lvlText w:val=""/>
      <w:lvlJc w:val="left"/>
      <w:pPr>
        <w:tabs>
          <w:tab w:val="num" w:pos="5324"/>
        </w:tabs>
        <w:ind w:left="5324" w:hanging="360"/>
      </w:pPr>
      <w:rPr>
        <w:rFonts w:ascii="Symbol" w:hAnsi="Symbol"/>
      </w:rPr>
    </w:lvl>
    <w:lvl w:ilvl="7" w:tplc="6D82A608">
      <w:start w:val="1"/>
      <w:numFmt w:val="bullet"/>
      <w:lvlText w:val="o"/>
      <w:lvlJc w:val="left"/>
      <w:pPr>
        <w:tabs>
          <w:tab w:val="num" w:pos="6044"/>
        </w:tabs>
        <w:ind w:left="6044" w:hanging="360"/>
      </w:pPr>
      <w:rPr>
        <w:rFonts w:ascii="Courier New" w:hAnsi="Courier New"/>
      </w:rPr>
    </w:lvl>
    <w:lvl w:ilvl="8" w:tplc="11E84114">
      <w:start w:val="1"/>
      <w:numFmt w:val="bullet"/>
      <w:lvlText w:val=""/>
      <w:lvlJc w:val="left"/>
      <w:pPr>
        <w:tabs>
          <w:tab w:val="num" w:pos="6764"/>
        </w:tabs>
        <w:ind w:left="6764" w:hanging="360"/>
      </w:pPr>
      <w:rPr>
        <w:rFonts w:ascii="Wingdings" w:hAnsi="Wingdings"/>
      </w:rPr>
    </w:lvl>
  </w:abstractNum>
  <w:abstractNum w:abstractNumId="10">
    <w:nsid w:val="1E9E51FA"/>
    <w:multiLevelType w:val="hybridMultilevel"/>
    <w:tmpl w:val="5CE0707E"/>
    <w:lvl w:ilvl="0" w:tplc="FB4AE9E6">
      <w:start w:val="1"/>
      <w:numFmt w:val="bullet"/>
      <w:lvlText w:val=""/>
      <w:lvlPicBulletId w:val="0"/>
      <w:lvlJc w:val="left"/>
      <w:pPr>
        <w:tabs>
          <w:tab w:val="num" w:pos="720"/>
        </w:tabs>
        <w:ind w:left="720" w:hanging="360"/>
      </w:pPr>
      <w:rPr>
        <w:rFonts w:ascii="Symbol" w:hAnsi="Symbol"/>
      </w:rPr>
    </w:lvl>
    <w:lvl w:ilvl="1" w:tplc="9E9C2CD4">
      <w:start w:val="1"/>
      <w:numFmt w:val="bullet"/>
      <w:lvlText w:val=""/>
      <w:lvlJc w:val="left"/>
      <w:pPr>
        <w:tabs>
          <w:tab w:val="num" w:pos="1440"/>
        </w:tabs>
        <w:ind w:left="1440" w:hanging="360"/>
      </w:pPr>
      <w:rPr>
        <w:rFonts w:ascii="Symbol" w:hAnsi="Symbol"/>
      </w:rPr>
    </w:lvl>
    <w:lvl w:ilvl="2" w:tplc="296A2E42">
      <w:start w:val="1"/>
      <w:numFmt w:val="bullet"/>
      <w:lvlText w:val=""/>
      <w:lvlJc w:val="left"/>
      <w:pPr>
        <w:tabs>
          <w:tab w:val="num" w:pos="2160"/>
        </w:tabs>
        <w:ind w:left="2160" w:hanging="360"/>
      </w:pPr>
      <w:rPr>
        <w:rFonts w:ascii="Symbol" w:hAnsi="Symbol"/>
      </w:rPr>
    </w:lvl>
    <w:lvl w:ilvl="3" w:tplc="17DA73F2">
      <w:start w:val="1"/>
      <w:numFmt w:val="bullet"/>
      <w:lvlText w:val=""/>
      <w:lvlJc w:val="left"/>
      <w:pPr>
        <w:tabs>
          <w:tab w:val="num" w:pos="2880"/>
        </w:tabs>
        <w:ind w:left="2880" w:hanging="360"/>
      </w:pPr>
      <w:rPr>
        <w:rFonts w:ascii="Symbol" w:hAnsi="Symbol"/>
      </w:rPr>
    </w:lvl>
    <w:lvl w:ilvl="4" w:tplc="7BDAF212">
      <w:start w:val="1"/>
      <w:numFmt w:val="bullet"/>
      <w:lvlText w:val=""/>
      <w:lvlJc w:val="left"/>
      <w:pPr>
        <w:tabs>
          <w:tab w:val="num" w:pos="3600"/>
        </w:tabs>
        <w:ind w:left="3600" w:hanging="360"/>
      </w:pPr>
      <w:rPr>
        <w:rFonts w:ascii="Symbol" w:hAnsi="Symbol"/>
      </w:rPr>
    </w:lvl>
    <w:lvl w:ilvl="5" w:tplc="5E148CD4">
      <w:start w:val="1"/>
      <w:numFmt w:val="bullet"/>
      <w:lvlText w:val=""/>
      <w:lvlJc w:val="left"/>
      <w:pPr>
        <w:tabs>
          <w:tab w:val="num" w:pos="4320"/>
        </w:tabs>
        <w:ind w:left="4320" w:hanging="360"/>
      </w:pPr>
      <w:rPr>
        <w:rFonts w:ascii="Symbol" w:hAnsi="Symbol"/>
      </w:rPr>
    </w:lvl>
    <w:lvl w:ilvl="6" w:tplc="022E1762">
      <w:start w:val="1"/>
      <w:numFmt w:val="bullet"/>
      <w:lvlText w:val=""/>
      <w:lvlJc w:val="left"/>
      <w:pPr>
        <w:tabs>
          <w:tab w:val="num" w:pos="5040"/>
        </w:tabs>
        <w:ind w:left="5040" w:hanging="360"/>
      </w:pPr>
      <w:rPr>
        <w:rFonts w:ascii="Symbol" w:hAnsi="Symbol"/>
      </w:rPr>
    </w:lvl>
    <w:lvl w:ilvl="7" w:tplc="6B366274">
      <w:start w:val="1"/>
      <w:numFmt w:val="bullet"/>
      <w:lvlText w:val=""/>
      <w:lvlJc w:val="left"/>
      <w:pPr>
        <w:tabs>
          <w:tab w:val="num" w:pos="5760"/>
        </w:tabs>
        <w:ind w:left="5760" w:hanging="360"/>
      </w:pPr>
      <w:rPr>
        <w:rFonts w:ascii="Symbol" w:hAnsi="Symbol"/>
      </w:rPr>
    </w:lvl>
    <w:lvl w:ilvl="8" w:tplc="8D06C764">
      <w:start w:val="1"/>
      <w:numFmt w:val="bullet"/>
      <w:lvlText w:val=""/>
      <w:lvlJc w:val="left"/>
      <w:pPr>
        <w:tabs>
          <w:tab w:val="num" w:pos="6480"/>
        </w:tabs>
        <w:ind w:left="6480" w:hanging="360"/>
      </w:pPr>
      <w:rPr>
        <w:rFonts w:ascii="Symbol" w:hAnsi="Symbol"/>
      </w:rPr>
    </w:lvl>
  </w:abstractNum>
  <w:abstractNum w:abstractNumId="11">
    <w:nsid w:val="21892FCA"/>
    <w:multiLevelType w:val="hybridMultilevel"/>
    <w:tmpl w:val="19564044"/>
    <w:lvl w:ilvl="0" w:tplc="F5CE9E4A">
      <w:start w:val="1"/>
      <w:numFmt w:val="bullet"/>
      <w:lvlText w:val=""/>
      <w:lvlPicBulletId w:val="0"/>
      <w:lvlJc w:val="left"/>
      <w:pPr>
        <w:tabs>
          <w:tab w:val="num" w:pos="720"/>
        </w:tabs>
        <w:ind w:left="720" w:hanging="360"/>
      </w:pPr>
      <w:rPr>
        <w:rFonts w:ascii="Symbol" w:hAnsi="Symbol"/>
      </w:rPr>
    </w:lvl>
    <w:lvl w:ilvl="1" w:tplc="EEE2048A">
      <w:start w:val="1"/>
      <w:numFmt w:val="bullet"/>
      <w:lvlText w:val=""/>
      <w:lvlJc w:val="left"/>
      <w:pPr>
        <w:tabs>
          <w:tab w:val="num" w:pos="1440"/>
        </w:tabs>
        <w:ind w:left="1440" w:hanging="360"/>
      </w:pPr>
      <w:rPr>
        <w:rFonts w:ascii="Symbol" w:hAnsi="Symbol"/>
      </w:rPr>
    </w:lvl>
    <w:lvl w:ilvl="2" w:tplc="8A764058">
      <w:start w:val="1"/>
      <w:numFmt w:val="bullet"/>
      <w:lvlText w:val=""/>
      <w:lvlJc w:val="left"/>
      <w:pPr>
        <w:tabs>
          <w:tab w:val="num" w:pos="2160"/>
        </w:tabs>
        <w:ind w:left="2160" w:hanging="360"/>
      </w:pPr>
      <w:rPr>
        <w:rFonts w:ascii="Symbol" w:hAnsi="Symbol"/>
      </w:rPr>
    </w:lvl>
    <w:lvl w:ilvl="3" w:tplc="C49E8544">
      <w:start w:val="1"/>
      <w:numFmt w:val="bullet"/>
      <w:lvlText w:val=""/>
      <w:lvlJc w:val="left"/>
      <w:pPr>
        <w:tabs>
          <w:tab w:val="num" w:pos="2880"/>
        </w:tabs>
        <w:ind w:left="2880" w:hanging="360"/>
      </w:pPr>
      <w:rPr>
        <w:rFonts w:ascii="Symbol" w:hAnsi="Symbol"/>
      </w:rPr>
    </w:lvl>
    <w:lvl w:ilvl="4" w:tplc="216EFBF8">
      <w:start w:val="1"/>
      <w:numFmt w:val="bullet"/>
      <w:lvlText w:val=""/>
      <w:lvlJc w:val="left"/>
      <w:pPr>
        <w:tabs>
          <w:tab w:val="num" w:pos="3600"/>
        </w:tabs>
        <w:ind w:left="3600" w:hanging="360"/>
      </w:pPr>
      <w:rPr>
        <w:rFonts w:ascii="Symbol" w:hAnsi="Symbol"/>
      </w:rPr>
    </w:lvl>
    <w:lvl w:ilvl="5" w:tplc="DFD23F68">
      <w:start w:val="1"/>
      <w:numFmt w:val="bullet"/>
      <w:lvlText w:val=""/>
      <w:lvlJc w:val="left"/>
      <w:pPr>
        <w:tabs>
          <w:tab w:val="num" w:pos="4320"/>
        </w:tabs>
        <w:ind w:left="4320" w:hanging="360"/>
      </w:pPr>
      <w:rPr>
        <w:rFonts w:ascii="Symbol" w:hAnsi="Symbol"/>
      </w:rPr>
    </w:lvl>
    <w:lvl w:ilvl="6" w:tplc="D6E22452">
      <w:start w:val="1"/>
      <w:numFmt w:val="bullet"/>
      <w:lvlText w:val=""/>
      <w:lvlJc w:val="left"/>
      <w:pPr>
        <w:tabs>
          <w:tab w:val="num" w:pos="5040"/>
        </w:tabs>
        <w:ind w:left="5040" w:hanging="360"/>
      </w:pPr>
      <w:rPr>
        <w:rFonts w:ascii="Symbol" w:hAnsi="Symbol"/>
      </w:rPr>
    </w:lvl>
    <w:lvl w:ilvl="7" w:tplc="C740704A">
      <w:start w:val="1"/>
      <w:numFmt w:val="bullet"/>
      <w:lvlText w:val=""/>
      <w:lvlJc w:val="left"/>
      <w:pPr>
        <w:tabs>
          <w:tab w:val="num" w:pos="5760"/>
        </w:tabs>
        <w:ind w:left="5760" w:hanging="360"/>
      </w:pPr>
      <w:rPr>
        <w:rFonts w:ascii="Symbol" w:hAnsi="Symbol"/>
      </w:rPr>
    </w:lvl>
    <w:lvl w:ilvl="8" w:tplc="1EDAD48A">
      <w:start w:val="1"/>
      <w:numFmt w:val="bullet"/>
      <w:lvlText w:val=""/>
      <w:lvlJc w:val="left"/>
      <w:pPr>
        <w:tabs>
          <w:tab w:val="num" w:pos="6480"/>
        </w:tabs>
        <w:ind w:left="6480" w:hanging="360"/>
      </w:pPr>
      <w:rPr>
        <w:rFonts w:ascii="Symbol" w:hAnsi="Symbol"/>
      </w:rPr>
    </w:lvl>
  </w:abstractNum>
  <w:abstractNum w:abstractNumId="12">
    <w:nsid w:val="225D021C"/>
    <w:multiLevelType w:val="hybridMultilevel"/>
    <w:tmpl w:val="35321296"/>
    <w:lvl w:ilvl="0" w:tplc="7EFCE64A">
      <w:start w:val="1"/>
      <w:numFmt w:val="bullet"/>
      <w:lvlText w:val=""/>
      <w:lvlJc w:val="left"/>
      <w:pPr>
        <w:tabs>
          <w:tab w:val="num" w:pos="720"/>
        </w:tabs>
        <w:ind w:left="720" w:hanging="360"/>
      </w:pPr>
      <w:rPr>
        <w:rFonts w:ascii="Symbol" w:hAnsi="Symbol"/>
      </w:rPr>
    </w:lvl>
    <w:lvl w:ilvl="1" w:tplc="581225C4">
      <w:start w:val="1"/>
      <w:numFmt w:val="lowerLetter"/>
      <w:lvlText w:val="%2."/>
      <w:lvlJc w:val="left"/>
      <w:pPr>
        <w:tabs>
          <w:tab w:val="num" w:pos="1440"/>
        </w:tabs>
        <w:ind w:left="1440" w:hanging="360"/>
      </w:pPr>
    </w:lvl>
    <w:lvl w:ilvl="2" w:tplc="5E4E34D8">
      <w:start w:val="1"/>
      <w:numFmt w:val="lowerRoman"/>
      <w:lvlText w:val="%3."/>
      <w:lvlJc w:val="right"/>
      <w:pPr>
        <w:tabs>
          <w:tab w:val="num" w:pos="2160"/>
        </w:tabs>
        <w:ind w:left="2160" w:hanging="180"/>
      </w:pPr>
    </w:lvl>
    <w:lvl w:ilvl="3" w:tplc="89445CDC">
      <w:start w:val="1"/>
      <w:numFmt w:val="decimal"/>
      <w:lvlText w:val="%4."/>
      <w:lvlJc w:val="left"/>
      <w:pPr>
        <w:tabs>
          <w:tab w:val="num" w:pos="2880"/>
        </w:tabs>
        <w:ind w:left="2880" w:hanging="360"/>
      </w:pPr>
    </w:lvl>
    <w:lvl w:ilvl="4" w:tplc="E18A12BA">
      <w:start w:val="1"/>
      <w:numFmt w:val="lowerLetter"/>
      <w:lvlText w:val="%5."/>
      <w:lvlJc w:val="left"/>
      <w:pPr>
        <w:tabs>
          <w:tab w:val="num" w:pos="3600"/>
        </w:tabs>
        <w:ind w:left="3600" w:hanging="360"/>
      </w:pPr>
    </w:lvl>
    <w:lvl w:ilvl="5" w:tplc="E686378C">
      <w:start w:val="1"/>
      <w:numFmt w:val="lowerRoman"/>
      <w:lvlText w:val="%6."/>
      <w:lvlJc w:val="right"/>
      <w:pPr>
        <w:tabs>
          <w:tab w:val="num" w:pos="4320"/>
        </w:tabs>
        <w:ind w:left="4320" w:hanging="180"/>
      </w:pPr>
    </w:lvl>
    <w:lvl w:ilvl="6" w:tplc="6016AE32">
      <w:start w:val="1"/>
      <w:numFmt w:val="decimal"/>
      <w:lvlText w:val="%7."/>
      <w:lvlJc w:val="left"/>
      <w:pPr>
        <w:tabs>
          <w:tab w:val="num" w:pos="5040"/>
        </w:tabs>
        <w:ind w:left="5040" w:hanging="360"/>
      </w:pPr>
    </w:lvl>
    <w:lvl w:ilvl="7" w:tplc="3B9891C0">
      <w:start w:val="1"/>
      <w:numFmt w:val="lowerLetter"/>
      <w:lvlText w:val="%8."/>
      <w:lvlJc w:val="left"/>
      <w:pPr>
        <w:tabs>
          <w:tab w:val="num" w:pos="5760"/>
        </w:tabs>
        <w:ind w:left="5760" w:hanging="360"/>
      </w:pPr>
    </w:lvl>
    <w:lvl w:ilvl="8" w:tplc="EEA00058">
      <w:start w:val="1"/>
      <w:numFmt w:val="lowerRoman"/>
      <w:lvlText w:val="%9."/>
      <w:lvlJc w:val="right"/>
      <w:pPr>
        <w:tabs>
          <w:tab w:val="num" w:pos="6480"/>
        </w:tabs>
        <w:ind w:left="6480" w:hanging="180"/>
      </w:pPr>
    </w:lvl>
  </w:abstractNum>
  <w:abstractNum w:abstractNumId="13">
    <w:nsid w:val="28DE7CE3"/>
    <w:multiLevelType w:val="hybridMultilevel"/>
    <w:tmpl w:val="E28EFB74"/>
    <w:lvl w:ilvl="0" w:tplc="3F900930">
      <w:start w:val="1"/>
      <w:numFmt w:val="bullet"/>
      <w:lvlText w:val=""/>
      <w:lvlPicBulletId w:val="0"/>
      <w:lvlJc w:val="left"/>
      <w:pPr>
        <w:ind w:left="2534" w:hanging="360"/>
      </w:pPr>
      <w:rPr>
        <w:rFonts w:ascii="Symbol" w:hAnsi="Symbol"/>
      </w:rPr>
    </w:lvl>
    <w:lvl w:ilvl="1" w:tplc="BF50F02E">
      <w:start w:val="1"/>
      <w:numFmt w:val="bullet"/>
      <w:lvlText w:val="o"/>
      <w:lvlJc w:val="left"/>
      <w:pPr>
        <w:ind w:left="3254" w:hanging="360"/>
      </w:pPr>
      <w:rPr>
        <w:rFonts w:ascii="Courier New" w:hAnsi="Courier New" w:cs="Courier New"/>
      </w:rPr>
    </w:lvl>
    <w:lvl w:ilvl="2" w:tplc="DC44BFF2">
      <w:start w:val="1"/>
      <w:numFmt w:val="bullet"/>
      <w:lvlText w:val=""/>
      <w:lvlJc w:val="left"/>
      <w:pPr>
        <w:ind w:left="3974" w:hanging="360"/>
      </w:pPr>
      <w:rPr>
        <w:rFonts w:ascii="Wingdings" w:hAnsi="Wingdings"/>
      </w:rPr>
    </w:lvl>
    <w:lvl w:ilvl="3" w:tplc="394212DC">
      <w:start w:val="1"/>
      <w:numFmt w:val="bullet"/>
      <w:lvlText w:val=""/>
      <w:lvlJc w:val="left"/>
      <w:pPr>
        <w:ind w:left="4694" w:hanging="360"/>
      </w:pPr>
      <w:rPr>
        <w:rFonts w:ascii="Symbol" w:hAnsi="Symbol"/>
      </w:rPr>
    </w:lvl>
    <w:lvl w:ilvl="4" w:tplc="CC12554E">
      <w:start w:val="1"/>
      <w:numFmt w:val="bullet"/>
      <w:lvlText w:val="o"/>
      <w:lvlJc w:val="left"/>
      <w:pPr>
        <w:ind w:left="5414" w:hanging="360"/>
      </w:pPr>
      <w:rPr>
        <w:rFonts w:ascii="Courier New" w:hAnsi="Courier New" w:cs="Courier New"/>
      </w:rPr>
    </w:lvl>
    <w:lvl w:ilvl="5" w:tplc="F8DC90C6">
      <w:start w:val="1"/>
      <w:numFmt w:val="bullet"/>
      <w:lvlText w:val=""/>
      <w:lvlJc w:val="left"/>
      <w:pPr>
        <w:ind w:left="6134" w:hanging="360"/>
      </w:pPr>
      <w:rPr>
        <w:rFonts w:ascii="Wingdings" w:hAnsi="Wingdings"/>
      </w:rPr>
    </w:lvl>
    <w:lvl w:ilvl="6" w:tplc="6E3EC7FE">
      <w:start w:val="1"/>
      <w:numFmt w:val="bullet"/>
      <w:lvlText w:val=""/>
      <w:lvlJc w:val="left"/>
      <w:pPr>
        <w:ind w:left="6854" w:hanging="360"/>
      </w:pPr>
      <w:rPr>
        <w:rFonts w:ascii="Symbol" w:hAnsi="Symbol"/>
      </w:rPr>
    </w:lvl>
    <w:lvl w:ilvl="7" w:tplc="074072D0">
      <w:start w:val="1"/>
      <w:numFmt w:val="bullet"/>
      <w:lvlText w:val="o"/>
      <w:lvlJc w:val="left"/>
      <w:pPr>
        <w:ind w:left="7574" w:hanging="360"/>
      </w:pPr>
      <w:rPr>
        <w:rFonts w:ascii="Courier New" w:hAnsi="Courier New" w:cs="Courier New"/>
      </w:rPr>
    </w:lvl>
    <w:lvl w:ilvl="8" w:tplc="14902D3C">
      <w:start w:val="1"/>
      <w:numFmt w:val="bullet"/>
      <w:lvlText w:val=""/>
      <w:lvlJc w:val="left"/>
      <w:pPr>
        <w:ind w:left="8294" w:hanging="360"/>
      </w:pPr>
      <w:rPr>
        <w:rFonts w:ascii="Wingdings" w:hAnsi="Wingdings"/>
      </w:rPr>
    </w:lvl>
  </w:abstractNum>
  <w:abstractNum w:abstractNumId="14">
    <w:nsid w:val="306F5895"/>
    <w:multiLevelType w:val="multilevel"/>
    <w:tmpl w:val="08180012"/>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720"/>
        </w:tabs>
        <w:ind w:left="1080" w:hanging="360"/>
      </w:pPr>
      <w:rPr>
        <w:rFonts w:ascii="Symbol" w:hAnsi="Symbol"/>
      </w:rPr>
    </w:lvl>
    <w:lvl w:ilvl="2">
      <w:start w:val="1"/>
      <w:numFmt w:val="bullet"/>
      <w:lvlText w:val="o"/>
      <w:lvlJc w:val="left"/>
      <w:pPr>
        <w:tabs>
          <w:tab w:val="num" w:pos="1440"/>
        </w:tabs>
        <w:ind w:left="1800" w:hanging="360"/>
      </w:pPr>
      <w:rPr>
        <w:rFonts w:ascii="Courier New" w:hAnsi="Courier New" w:cs="Courier New"/>
      </w:rPr>
    </w:lvl>
    <w:lvl w:ilvl="3">
      <w:start w:val="1"/>
      <w:numFmt w:val="bullet"/>
      <w:lvlText w:val=""/>
      <w:lvlJc w:val="left"/>
      <w:pPr>
        <w:tabs>
          <w:tab w:val="num" w:pos="2160"/>
        </w:tabs>
        <w:ind w:left="2520" w:hanging="360"/>
      </w:pPr>
      <w:rPr>
        <w:rFonts w:ascii="Wingdings" w:hAnsi="Wingdings"/>
      </w:rPr>
    </w:lvl>
    <w:lvl w:ilvl="4">
      <w:start w:val="1"/>
      <w:numFmt w:val="bullet"/>
      <w:lvlText w:val=""/>
      <w:lvlJc w:val="left"/>
      <w:pPr>
        <w:tabs>
          <w:tab w:val="num" w:pos="2880"/>
        </w:tabs>
        <w:ind w:left="3240" w:hanging="360"/>
      </w:pPr>
      <w:rPr>
        <w:rFonts w:ascii="Wingdings" w:hAnsi="Wingdings"/>
      </w:rPr>
    </w:lvl>
    <w:lvl w:ilvl="5">
      <w:start w:val="1"/>
      <w:numFmt w:val="bullet"/>
      <w:lvlText w:val=""/>
      <w:lvlJc w:val="left"/>
      <w:pPr>
        <w:tabs>
          <w:tab w:val="num" w:pos="3600"/>
        </w:tabs>
        <w:ind w:left="3960" w:hanging="360"/>
      </w:pPr>
      <w:rPr>
        <w:rFonts w:ascii="Symbol" w:hAnsi="Symbol"/>
      </w:rPr>
    </w:lvl>
    <w:lvl w:ilvl="6">
      <w:start w:val="1"/>
      <w:numFmt w:val="bullet"/>
      <w:lvlText w:val="o"/>
      <w:lvlJc w:val="left"/>
      <w:pPr>
        <w:tabs>
          <w:tab w:val="num" w:pos="4320"/>
        </w:tabs>
        <w:ind w:left="4680" w:hanging="360"/>
      </w:pPr>
      <w:rPr>
        <w:rFonts w:ascii="Courier New" w:hAnsi="Courier New" w:cs="Courier New"/>
      </w:rPr>
    </w:lvl>
    <w:lvl w:ilvl="7">
      <w:start w:val="1"/>
      <w:numFmt w:val="bullet"/>
      <w:lvlText w:val=""/>
      <w:lvlJc w:val="left"/>
      <w:pPr>
        <w:tabs>
          <w:tab w:val="num" w:pos="5040"/>
        </w:tabs>
        <w:ind w:left="5400" w:hanging="360"/>
      </w:pPr>
      <w:rPr>
        <w:rFonts w:ascii="Wingdings" w:hAnsi="Wingdings"/>
      </w:rPr>
    </w:lvl>
    <w:lvl w:ilvl="8">
      <w:start w:val="1"/>
      <w:numFmt w:val="bullet"/>
      <w:lvlText w:val=""/>
      <w:lvlJc w:val="left"/>
      <w:pPr>
        <w:tabs>
          <w:tab w:val="num" w:pos="5760"/>
        </w:tabs>
        <w:ind w:left="6120" w:hanging="360"/>
      </w:pPr>
      <w:rPr>
        <w:rFonts w:ascii="Wingdings" w:hAnsi="Wingdings"/>
      </w:rPr>
    </w:lvl>
  </w:abstractNum>
  <w:abstractNum w:abstractNumId="15">
    <w:nsid w:val="32FE67FB"/>
    <w:multiLevelType w:val="hybridMultilevel"/>
    <w:tmpl w:val="AD92383E"/>
    <w:lvl w:ilvl="0" w:tplc="0AEC8420">
      <w:start w:val="1"/>
      <w:numFmt w:val="bullet"/>
      <w:lvlText w:val=""/>
      <w:lvlJc w:val="left"/>
      <w:pPr>
        <w:ind w:left="2534" w:hanging="360"/>
      </w:pPr>
      <w:rPr>
        <w:rFonts w:ascii="Symbol" w:hAnsi="Symbol"/>
      </w:rPr>
    </w:lvl>
    <w:lvl w:ilvl="1" w:tplc="57106E76">
      <w:start w:val="1"/>
      <w:numFmt w:val="bullet"/>
      <w:lvlText w:val="o"/>
      <w:lvlJc w:val="left"/>
      <w:pPr>
        <w:ind w:left="3254" w:hanging="360"/>
      </w:pPr>
      <w:rPr>
        <w:rFonts w:ascii="Courier New" w:hAnsi="Courier New" w:cs="Courier New"/>
      </w:rPr>
    </w:lvl>
    <w:lvl w:ilvl="2" w:tplc="3FAACDFE">
      <w:start w:val="1"/>
      <w:numFmt w:val="bullet"/>
      <w:lvlText w:val=""/>
      <w:lvlJc w:val="left"/>
      <w:pPr>
        <w:ind w:left="3974" w:hanging="360"/>
      </w:pPr>
      <w:rPr>
        <w:rFonts w:ascii="Wingdings" w:hAnsi="Wingdings"/>
      </w:rPr>
    </w:lvl>
    <w:lvl w:ilvl="3" w:tplc="49C43C24">
      <w:start w:val="1"/>
      <w:numFmt w:val="bullet"/>
      <w:lvlText w:val=""/>
      <w:lvlJc w:val="left"/>
      <w:pPr>
        <w:ind w:left="4694" w:hanging="360"/>
      </w:pPr>
      <w:rPr>
        <w:rFonts w:ascii="Symbol" w:hAnsi="Symbol"/>
      </w:rPr>
    </w:lvl>
    <w:lvl w:ilvl="4" w:tplc="C2E6756E">
      <w:start w:val="1"/>
      <w:numFmt w:val="bullet"/>
      <w:lvlText w:val="o"/>
      <w:lvlJc w:val="left"/>
      <w:pPr>
        <w:ind w:left="5414" w:hanging="360"/>
      </w:pPr>
      <w:rPr>
        <w:rFonts w:ascii="Courier New" w:hAnsi="Courier New" w:cs="Courier New"/>
      </w:rPr>
    </w:lvl>
    <w:lvl w:ilvl="5" w:tplc="83DC12A6">
      <w:start w:val="1"/>
      <w:numFmt w:val="bullet"/>
      <w:lvlText w:val=""/>
      <w:lvlJc w:val="left"/>
      <w:pPr>
        <w:ind w:left="6134" w:hanging="360"/>
      </w:pPr>
      <w:rPr>
        <w:rFonts w:ascii="Wingdings" w:hAnsi="Wingdings"/>
      </w:rPr>
    </w:lvl>
    <w:lvl w:ilvl="6" w:tplc="D9CAA386">
      <w:start w:val="1"/>
      <w:numFmt w:val="bullet"/>
      <w:lvlText w:val=""/>
      <w:lvlJc w:val="left"/>
      <w:pPr>
        <w:ind w:left="6854" w:hanging="360"/>
      </w:pPr>
      <w:rPr>
        <w:rFonts w:ascii="Symbol" w:hAnsi="Symbol"/>
      </w:rPr>
    </w:lvl>
    <w:lvl w:ilvl="7" w:tplc="DCA06648">
      <w:start w:val="1"/>
      <w:numFmt w:val="bullet"/>
      <w:lvlText w:val="o"/>
      <w:lvlJc w:val="left"/>
      <w:pPr>
        <w:ind w:left="7574" w:hanging="360"/>
      </w:pPr>
      <w:rPr>
        <w:rFonts w:ascii="Courier New" w:hAnsi="Courier New" w:cs="Courier New"/>
      </w:rPr>
    </w:lvl>
    <w:lvl w:ilvl="8" w:tplc="3A3EE25A">
      <w:start w:val="1"/>
      <w:numFmt w:val="bullet"/>
      <w:lvlText w:val=""/>
      <w:lvlJc w:val="left"/>
      <w:pPr>
        <w:ind w:left="8294" w:hanging="360"/>
      </w:pPr>
      <w:rPr>
        <w:rFonts w:ascii="Wingdings" w:hAnsi="Wingdings"/>
      </w:rPr>
    </w:lvl>
  </w:abstractNum>
  <w:abstractNum w:abstractNumId="16">
    <w:nsid w:val="3B876B76"/>
    <w:multiLevelType w:val="hybridMultilevel"/>
    <w:tmpl w:val="CA7EBB5E"/>
    <w:lvl w:ilvl="0" w:tplc="B762B160">
      <w:start w:val="1"/>
      <w:numFmt w:val="bullet"/>
      <w:lvlText w:val=""/>
      <w:lvlJc w:val="left"/>
      <w:pPr>
        <w:tabs>
          <w:tab w:val="num" w:pos="340"/>
        </w:tabs>
      </w:pPr>
      <w:rPr>
        <w:rFonts w:ascii="Webdings" w:hAnsi="Webdings"/>
        <w:b w:val="0"/>
        <w:i w:val="0"/>
        <w:color w:val="E42618"/>
        <w:spacing w:val="0"/>
        <w:sz w:val="24"/>
        <w:szCs w:val="18"/>
      </w:rPr>
    </w:lvl>
    <w:lvl w:ilvl="1" w:tplc="4C468400">
      <w:start w:val="1"/>
      <w:numFmt w:val="bullet"/>
      <w:lvlText w:val="o"/>
      <w:lvlJc w:val="left"/>
      <w:pPr>
        <w:tabs>
          <w:tab w:val="num" w:pos="1440"/>
        </w:tabs>
        <w:ind w:left="1440" w:hanging="360"/>
      </w:pPr>
      <w:rPr>
        <w:rFonts w:ascii="Courier New" w:hAnsi="Courier New"/>
      </w:rPr>
    </w:lvl>
    <w:lvl w:ilvl="2" w:tplc="6D3638B2">
      <w:start w:val="1"/>
      <w:numFmt w:val="bullet"/>
      <w:lvlText w:val=""/>
      <w:lvlJc w:val="left"/>
      <w:pPr>
        <w:tabs>
          <w:tab w:val="num" w:pos="2160"/>
        </w:tabs>
        <w:ind w:left="2160" w:hanging="360"/>
      </w:pPr>
      <w:rPr>
        <w:rFonts w:ascii="Wingdings" w:hAnsi="Wingdings"/>
      </w:rPr>
    </w:lvl>
    <w:lvl w:ilvl="3" w:tplc="7B829CBE">
      <w:start w:val="1"/>
      <w:numFmt w:val="bullet"/>
      <w:lvlText w:val=""/>
      <w:lvlJc w:val="left"/>
      <w:pPr>
        <w:tabs>
          <w:tab w:val="num" w:pos="2880"/>
        </w:tabs>
        <w:ind w:left="2880" w:hanging="360"/>
      </w:pPr>
      <w:rPr>
        <w:rFonts w:ascii="Symbol" w:hAnsi="Symbol"/>
      </w:rPr>
    </w:lvl>
    <w:lvl w:ilvl="4" w:tplc="AC1ADE14">
      <w:start w:val="1"/>
      <w:numFmt w:val="bullet"/>
      <w:lvlText w:val="o"/>
      <w:lvlJc w:val="left"/>
      <w:pPr>
        <w:tabs>
          <w:tab w:val="num" w:pos="3600"/>
        </w:tabs>
        <w:ind w:left="3600" w:hanging="360"/>
      </w:pPr>
      <w:rPr>
        <w:rFonts w:ascii="Courier New" w:hAnsi="Courier New"/>
      </w:rPr>
    </w:lvl>
    <w:lvl w:ilvl="5" w:tplc="24FE8DD6">
      <w:start w:val="1"/>
      <w:numFmt w:val="bullet"/>
      <w:lvlText w:val=""/>
      <w:lvlJc w:val="left"/>
      <w:pPr>
        <w:tabs>
          <w:tab w:val="num" w:pos="4320"/>
        </w:tabs>
        <w:ind w:left="4320" w:hanging="360"/>
      </w:pPr>
      <w:rPr>
        <w:rFonts w:ascii="Wingdings" w:hAnsi="Wingdings"/>
      </w:rPr>
    </w:lvl>
    <w:lvl w:ilvl="6" w:tplc="E4A2D630">
      <w:start w:val="1"/>
      <w:numFmt w:val="bullet"/>
      <w:lvlText w:val=""/>
      <w:lvlJc w:val="left"/>
      <w:pPr>
        <w:tabs>
          <w:tab w:val="num" w:pos="5040"/>
        </w:tabs>
        <w:ind w:left="5040" w:hanging="360"/>
      </w:pPr>
      <w:rPr>
        <w:rFonts w:ascii="Symbol" w:hAnsi="Symbol"/>
      </w:rPr>
    </w:lvl>
    <w:lvl w:ilvl="7" w:tplc="A0789C62">
      <w:start w:val="1"/>
      <w:numFmt w:val="bullet"/>
      <w:lvlText w:val="o"/>
      <w:lvlJc w:val="left"/>
      <w:pPr>
        <w:tabs>
          <w:tab w:val="num" w:pos="5760"/>
        </w:tabs>
        <w:ind w:left="5760" w:hanging="360"/>
      </w:pPr>
      <w:rPr>
        <w:rFonts w:ascii="Courier New" w:hAnsi="Courier New"/>
      </w:rPr>
    </w:lvl>
    <w:lvl w:ilvl="8" w:tplc="E9AABDDE">
      <w:start w:val="1"/>
      <w:numFmt w:val="bullet"/>
      <w:lvlText w:val=""/>
      <w:lvlJc w:val="left"/>
      <w:pPr>
        <w:tabs>
          <w:tab w:val="num" w:pos="6480"/>
        </w:tabs>
        <w:ind w:left="6480" w:hanging="360"/>
      </w:pPr>
      <w:rPr>
        <w:rFonts w:ascii="Wingdings" w:hAnsi="Wingdings"/>
      </w:rPr>
    </w:lvl>
  </w:abstractNum>
  <w:abstractNum w:abstractNumId="17">
    <w:nsid w:val="3DC55E25"/>
    <w:multiLevelType w:val="hybridMultilevel"/>
    <w:tmpl w:val="F37ED956"/>
    <w:lvl w:ilvl="0" w:tplc="5DC011F6">
      <w:start w:val="1"/>
      <w:numFmt w:val="bullet"/>
      <w:lvlText w:val=""/>
      <w:lvlPicBulletId w:val="0"/>
      <w:lvlJc w:val="left"/>
      <w:pPr>
        <w:ind w:left="2534" w:hanging="360"/>
      </w:pPr>
      <w:rPr>
        <w:rFonts w:ascii="Symbol" w:hAnsi="Symbol"/>
      </w:rPr>
    </w:lvl>
    <w:lvl w:ilvl="1" w:tplc="4EAEFCDA">
      <w:start w:val="1"/>
      <w:numFmt w:val="bullet"/>
      <w:lvlText w:val="o"/>
      <w:lvlJc w:val="left"/>
      <w:pPr>
        <w:ind w:left="3254" w:hanging="360"/>
      </w:pPr>
      <w:rPr>
        <w:rFonts w:ascii="Courier New" w:hAnsi="Courier New" w:cs="Courier New"/>
      </w:rPr>
    </w:lvl>
    <w:lvl w:ilvl="2" w:tplc="BDB20F20">
      <w:start w:val="1"/>
      <w:numFmt w:val="bullet"/>
      <w:lvlText w:val=""/>
      <w:lvlJc w:val="left"/>
      <w:pPr>
        <w:ind w:left="3974" w:hanging="360"/>
      </w:pPr>
      <w:rPr>
        <w:rFonts w:ascii="Wingdings" w:hAnsi="Wingdings"/>
      </w:rPr>
    </w:lvl>
    <w:lvl w:ilvl="3" w:tplc="8CE497C2">
      <w:start w:val="1"/>
      <w:numFmt w:val="bullet"/>
      <w:lvlText w:val=""/>
      <w:lvlJc w:val="left"/>
      <w:pPr>
        <w:ind w:left="4694" w:hanging="360"/>
      </w:pPr>
      <w:rPr>
        <w:rFonts w:ascii="Symbol" w:hAnsi="Symbol"/>
      </w:rPr>
    </w:lvl>
    <w:lvl w:ilvl="4" w:tplc="58982EC0">
      <w:start w:val="1"/>
      <w:numFmt w:val="bullet"/>
      <w:lvlText w:val="o"/>
      <w:lvlJc w:val="left"/>
      <w:pPr>
        <w:ind w:left="5414" w:hanging="360"/>
      </w:pPr>
      <w:rPr>
        <w:rFonts w:ascii="Courier New" w:hAnsi="Courier New" w:cs="Courier New"/>
      </w:rPr>
    </w:lvl>
    <w:lvl w:ilvl="5" w:tplc="059A3C98">
      <w:start w:val="1"/>
      <w:numFmt w:val="bullet"/>
      <w:lvlText w:val=""/>
      <w:lvlJc w:val="left"/>
      <w:pPr>
        <w:ind w:left="6134" w:hanging="360"/>
      </w:pPr>
      <w:rPr>
        <w:rFonts w:ascii="Wingdings" w:hAnsi="Wingdings"/>
      </w:rPr>
    </w:lvl>
    <w:lvl w:ilvl="6" w:tplc="E15C016E">
      <w:start w:val="1"/>
      <w:numFmt w:val="bullet"/>
      <w:lvlText w:val=""/>
      <w:lvlJc w:val="left"/>
      <w:pPr>
        <w:ind w:left="6854" w:hanging="360"/>
      </w:pPr>
      <w:rPr>
        <w:rFonts w:ascii="Symbol" w:hAnsi="Symbol"/>
      </w:rPr>
    </w:lvl>
    <w:lvl w:ilvl="7" w:tplc="19CE6106">
      <w:start w:val="1"/>
      <w:numFmt w:val="bullet"/>
      <w:lvlText w:val="o"/>
      <w:lvlJc w:val="left"/>
      <w:pPr>
        <w:ind w:left="7574" w:hanging="360"/>
      </w:pPr>
      <w:rPr>
        <w:rFonts w:ascii="Courier New" w:hAnsi="Courier New" w:cs="Courier New"/>
      </w:rPr>
    </w:lvl>
    <w:lvl w:ilvl="8" w:tplc="899EDE62">
      <w:start w:val="1"/>
      <w:numFmt w:val="bullet"/>
      <w:lvlText w:val=""/>
      <w:lvlJc w:val="left"/>
      <w:pPr>
        <w:ind w:left="8294" w:hanging="360"/>
      </w:pPr>
      <w:rPr>
        <w:rFonts w:ascii="Wingdings" w:hAnsi="Wingdings"/>
      </w:rPr>
    </w:lvl>
  </w:abstractNum>
  <w:abstractNum w:abstractNumId="18">
    <w:nsid w:val="4417743D"/>
    <w:multiLevelType w:val="hybridMultilevel"/>
    <w:tmpl w:val="28E6672C"/>
    <w:lvl w:ilvl="0" w:tplc="8BCEC550">
      <w:start w:val="1"/>
      <w:numFmt w:val="bullet"/>
      <w:lvlText w:val=""/>
      <w:lvlJc w:val="left"/>
      <w:pPr>
        <w:ind w:left="2534" w:hanging="360"/>
      </w:pPr>
      <w:rPr>
        <w:rFonts w:ascii="Wingdings" w:hAnsi="Wingdings"/>
        <w:b/>
        <w:i w:val="0"/>
        <w:color w:val="FF0000"/>
        <w:sz w:val="18"/>
      </w:rPr>
    </w:lvl>
    <w:lvl w:ilvl="1" w:tplc="3A34462A">
      <w:start w:val="1"/>
      <w:numFmt w:val="bullet"/>
      <w:lvlText w:val="o"/>
      <w:lvlJc w:val="left"/>
      <w:pPr>
        <w:ind w:left="3254" w:hanging="360"/>
      </w:pPr>
      <w:rPr>
        <w:rFonts w:ascii="Courier New" w:hAnsi="Courier New" w:cs="Courier New"/>
      </w:rPr>
    </w:lvl>
    <w:lvl w:ilvl="2" w:tplc="3DE00996">
      <w:start w:val="1"/>
      <w:numFmt w:val="bullet"/>
      <w:lvlText w:val=""/>
      <w:lvlJc w:val="left"/>
      <w:pPr>
        <w:ind w:left="3974" w:hanging="360"/>
      </w:pPr>
      <w:rPr>
        <w:rFonts w:ascii="Wingdings" w:hAnsi="Wingdings"/>
      </w:rPr>
    </w:lvl>
    <w:lvl w:ilvl="3" w:tplc="02A4A7C2">
      <w:start w:val="1"/>
      <w:numFmt w:val="bullet"/>
      <w:lvlText w:val=""/>
      <w:lvlJc w:val="left"/>
      <w:pPr>
        <w:ind w:left="4694" w:hanging="360"/>
      </w:pPr>
      <w:rPr>
        <w:rFonts w:ascii="Symbol" w:hAnsi="Symbol"/>
      </w:rPr>
    </w:lvl>
    <w:lvl w:ilvl="4" w:tplc="67BAAEFA">
      <w:start w:val="1"/>
      <w:numFmt w:val="bullet"/>
      <w:lvlText w:val="o"/>
      <w:lvlJc w:val="left"/>
      <w:pPr>
        <w:ind w:left="5414" w:hanging="360"/>
      </w:pPr>
      <w:rPr>
        <w:rFonts w:ascii="Courier New" w:hAnsi="Courier New" w:cs="Courier New"/>
      </w:rPr>
    </w:lvl>
    <w:lvl w:ilvl="5" w:tplc="38BCE722">
      <w:start w:val="1"/>
      <w:numFmt w:val="bullet"/>
      <w:lvlText w:val=""/>
      <w:lvlJc w:val="left"/>
      <w:pPr>
        <w:ind w:left="6134" w:hanging="360"/>
      </w:pPr>
      <w:rPr>
        <w:rFonts w:ascii="Wingdings" w:hAnsi="Wingdings"/>
      </w:rPr>
    </w:lvl>
    <w:lvl w:ilvl="6" w:tplc="9B2EB5C6">
      <w:start w:val="1"/>
      <w:numFmt w:val="bullet"/>
      <w:lvlText w:val=""/>
      <w:lvlJc w:val="left"/>
      <w:pPr>
        <w:ind w:left="6854" w:hanging="360"/>
      </w:pPr>
      <w:rPr>
        <w:rFonts w:ascii="Symbol" w:hAnsi="Symbol"/>
      </w:rPr>
    </w:lvl>
    <w:lvl w:ilvl="7" w:tplc="FD766590">
      <w:start w:val="1"/>
      <w:numFmt w:val="bullet"/>
      <w:lvlText w:val="o"/>
      <w:lvlJc w:val="left"/>
      <w:pPr>
        <w:ind w:left="7574" w:hanging="360"/>
      </w:pPr>
      <w:rPr>
        <w:rFonts w:ascii="Courier New" w:hAnsi="Courier New" w:cs="Courier New"/>
      </w:rPr>
    </w:lvl>
    <w:lvl w:ilvl="8" w:tplc="AFB8B9CA">
      <w:start w:val="1"/>
      <w:numFmt w:val="bullet"/>
      <w:lvlText w:val=""/>
      <w:lvlJc w:val="left"/>
      <w:pPr>
        <w:ind w:left="8294" w:hanging="360"/>
      </w:pPr>
      <w:rPr>
        <w:rFonts w:ascii="Wingdings" w:hAnsi="Wingdings"/>
      </w:rPr>
    </w:lvl>
  </w:abstractNum>
  <w:abstractNum w:abstractNumId="19">
    <w:nsid w:val="4EC80B4A"/>
    <w:multiLevelType w:val="hybridMultilevel"/>
    <w:tmpl w:val="7B3AC8D8"/>
    <w:lvl w:ilvl="0" w:tplc="B0F4FEC8">
      <w:start w:val="1"/>
      <w:numFmt w:val="bullet"/>
      <w:lvlText w:val=""/>
      <w:lvlPicBulletId w:val="0"/>
      <w:lvlJc w:val="left"/>
      <w:pPr>
        <w:ind w:left="2534" w:hanging="360"/>
      </w:pPr>
      <w:rPr>
        <w:rFonts w:ascii="Symbol" w:hAnsi="Symbol"/>
      </w:rPr>
    </w:lvl>
    <w:lvl w:ilvl="1" w:tplc="D1F67C3C">
      <w:start w:val="1"/>
      <w:numFmt w:val="bullet"/>
      <w:lvlText w:val="o"/>
      <w:lvlJc w:val="left"/>
      <w:pPr>
        <w:ind w:left="3254" w:hanging="360"/>
      </w:pPr>
      <w:rPr>
        <w:rFonts w:ascii="Courier New" w:hAnsi="Courier New" w:cs="Courier New"/>
      </w:rPr>
    </w:lvl>
    <w:lvl w:ilvl="2" w:tplc="7F94D0B4">
      <w:start w:val="1"/>
      <w:numFmt w:val="bullet"/>
      <w:lvlText w:val=""/>
      <w:lvlJc w:val="left"/>
      <w:pPr>
        <w:ind w:left="3974" w:hanging="360"/>
      </w:pPr>
      <w:rPr>
        <w:rFonts w:ascii="Wingdings" w:hAnsi="Wingdings"/>
      </w:rPr>
    </w:lvl>
    <w:lvl w:ilvl="3" w:tplc="0B5E604A">
      <w:start w:val="1"/>
      <w:numFmt w:val="bullet"/>
      <w:lvlText w:val=""/>
      <w:lvlJc w:val="left"/>
      <w:pPr>
        <w:ind w:left="4694" w:hanging="360"/>
      </w:pPr>
      <w:rPr>
        <w:rFonts w:ascii="Symbol" w:hAnsi="Symbol"/>
      </w:rPr>
    </w:lvl>
    <w:lvl w:ilvl="4" w:tplc="5EB24CFA">
      <w:start w:val="1"/>
      <w:numFmt w:val="bullet"/>
      <w:lvlText w:val="o"/>
      <w:lvlJc w:val="left"/>
      <w:pPr>
        <w:ind w:left="5414" w:hanging="360"/>
      </w:pPr>
      <w:rPr>
        <w:rFonts w:ascii="Courier New" w:hAnsi="Courier New" w:cs="Courier New"/>
      </w:rPr>
    </w:lvl>
    <w:lvl w:ilvl="5" w:tplc="7E40DFEA">
      <w:start w:val="1"/>
      <w:numFmt w:val="bullet"/>
      <w:lvlText w:val=""/>
      <w:lvlJc w:val="left"/>
      <w:pPr>
        <w:ind w:left="6134" w:hanging="360"/>
      </w:pPr>
      <w:rPr>
        <w:rFonts w:ascii="Wingdings" w:hAnsi="Wingdings"/>
      </w:rPr>
    </w:lvl>
    <w:lvl w:ilvl="6" w:tplc="A0240204">
      <w:start w:val="1"/>
      <w:numFmt w:val="bullet"/>
      <w:lvlText w:val=""/>
      <w:lvlJc w:val="left"/>
      <w:pPr>
        <w:ind w:left="6854" w:hanging="360"/>
      </w:pPr>
      <w:rPr>
        <w:rFonts w:ascii="Symbol" w:hAnsi="Symbol"/>
      </w:rPr>
    </w:lvl>
    <w:lvl w:ilvl="7" w:tplc="D512D4D6">
      <w:start w:val="1"/>
      <w:numFmt w:val="bullet"/>
      <w:lvlText w:val="o"/>
      <w:lvlJc w:val="left"/>
      <w:pPr>
        <w:ind w:left="7574" w:hanging="360"/>
      </w:pPr>
      <w:rPr>
        <w:rFonts w:ascii="Courier New" w:hAnsi="Courier New" w:cs="Courier New"/>
      </w:rPr>
    </w:lvl>
    <w:lvl w:ilvl="8" w:tplc="A2FACB1E">
      <w:start w:val="1"/>
      <w:numFmt w:val="bullet"/>
      <w:lvlText w:val=""/>
      <w:lvlJc w:val="left"/>
      <w:pPr>
        <w:ind w:left="8294" w:hanging="360"/>
      </w:pPr>
      <w:rPr>
        <w:rFonts w:ascii="Wingdings" w:hAnsi="Wingdings"/>
      </w:rPr>
    </w:lvl>
  </w:abstractNum>
  <w:abstractNum w:abstractNumId="20">
    <w:nsid w:val="51AB46AE"/>
    <w:multiLevelType w:val="hybridMultilevel"/>
    <w:tmpl w:val="962E00F6"/>
    <w:lvl w:ilvl="0" w:tplc="B9F6AF38">
      <w:start w:val="2"/>
      <w:numFmt w:val="lowerLetter"/>
      <w:lvlText w:val="(%1)"/>
      <w:lvlJc w:val="left"/>
      <w:pPr>
        <w:ind w:left="2174"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5CD5AF9"/>
    <w:multiLevelType w:val="hybridMultilevel"/>
    <w:tmpl w:val="B3347FD6"/>
    <w:lvl w:ilvl="0" w:tplc="B418AB66">
      <w:start w:val="1"/>
      <w:numFmt w:val="bullet"/>
      <w:lvlText w:val=""/>
      <w:lvlJc w:val="left"/>
      <w:pPr>
        <w:tabs>
          <w:tab w:val="num" w:pos="2534"/>
        </w:tabs>
        <w:ind w:left="2534" w:hanging="360"/>
      </w:pPr>
      <w:rPr>
        <w:rFonts w:ascii="Symbol" w:hAnsi="Symbol"/>
      </w:rPr>
    </w:lvl>
    <w:lvl w:ilvl="1" w:tplc="0ECCECF4">
      <w:start w:val="1"/>
      <w:numFmt w:val="bullet"/>
      <w:lvlText w:val="o"/>
      <w:lvlJc w:val="left"/>
      <w:pPr>
        <w:tabs>
          <w:tab w:val="num" w:pos="3254"/>
        </w:tabs>
        <w:ind w:left="3254" w:hanging="360"/>
      </w:pPr>
      <w:rPr>
        <w:rFonts w:ascii="Courier New" w:hAnsi="Courier New"/>
      </w:rPr>
    </w:lvl>
    <w:lvl w:ilvl="2" w:tplc="D97ACCE6">
      <w:start w:val="1"/>
      <w:numFmt w:val="bullet"/>
      <w:lvlText w:val=""/>
      <w:lvlJc w:val="left"/>
      <w:pPr>
        <w:tabs>
          <w:tab w:val="num" w:pos="3974"/>
        </w:tabs>
        <w:ind w:left="3974" w:hanging="360"/>
      </w:pPr>
      <w:rPr>
        <w:rFonts w:ascii="Wingdings" w:hAnsi="Wingdings"/>
      </w:rPr>
    </w:lvl>
    <w:lvl w:ilvl="3" w:tplc="0D34C114">
      <w:start w:val="1"/>
      <w:numFmt w:val="bullet"/>
      <w:lvlText w:val=""/>
      <w:lvlJc w:val="left"/>
      <w:pPr>
        <w:tabs>
          <w:tab w:val="num" w:pos="4694"/>
        </w:tabs>
        <w:ind w:left="4694" w:hanging="360"/>
      </w:pPr>
      <w:rPr>
        <w:rFonts w:ascii="Symbol" w:hAnsi="Symbol"/>
      </w:rPr>
    </w:lvl>
    <w:lvl w:ilvl="4" w:tplc="C5469EAE">
      <w:start w:val="1"/>
      <w:numFmt w:val="bullet"/>
      <w:lvlText w:val="o"/>
      <w:lvlJc w:val="left"/>
      <w:pPr>
        <w:tabs>
          <w:tab w:val="num" w:pos="5414"/>
        </w:tabs>
        <w:ind w:left="5414" w:hanging="360"/>
      </w:pPr>
      <w:rPr>
        <w:rFonts w:ascii="Courier New" w:hAnsi="Courier New"/>
      </w:rPr>
    </w:lvl>
    <w:lvl w:ilvl="5" w:tplc="1A64BCE8">
      <w:start w:val="1"/>
      <w:numFmt w:val="bullet"/>
      <w:lvlText w:val=""/>
      <w:lvlJc w:val="left"/>
      <w:pPr>
        <w:tabs>
          <w:tab w:val="num" w:pos="6134"/>
        </w:tabs>
        <w:ind w:left="6134" w:hanging="360"/>
      </w:pPr>
      <w:rPr>
        <w:rFonts w:ascii="Wingdings" w:hAnsi="Wingdings"/>
      </w:rPr>
    </w:lvl>
    <w:lvl w:ilvl="6" w:tplc="987EB73C">
      <w:start w:val="1"/>
      <w:numFmt w:val="bullet"/>
      <w:lvlText w:val=""/>
      <w:lvlJc w:val="left"/>
      <w:pPr>
        <w:tabs>
          <w:tab w:val="num" w:pos="6854"/>
        </w:tabs>
        <w:ind w:left="6854" w:hanging="360"/>
      </w:pPr>
      <w:rPr>
        <w:rFonts w:ascii="Symbol" w:hAnsi="Symbol"/>
      </w:rPr>
    </w:lvl>
    <w:lvl w:ilvl="7" w:tplc="14B23C3C">
      <w:start w:val="1"/>
      <w:numFmt w:val="bullet"/>
      <w:lvlText w:val="o"/>
      <w:lvlJc w:val="left"/>
      <w:pPr>
        <w:tabs>
          <w:tab w:val="num" w:pos="7574"/>
        </w:tabs>
        <w:ind w:left="7574" w:hanging="360"/>
      </w:pPr>
      <w:rPr>
        <w:rFonts w:ascii="Courier New" w:hAnsi="Courier New"/>
      </w:rPr>
    </w:lvl>
    <w:lvl w:ilvl="8" w:tplc="1F6CCE32">
      <w:start w:val="1"/>
      <w:numFmt w:val="bullet"/>
      <w:lvlText w:val=""/>
      <w:lvlJc w:val="left"/>
      <w:pPr>
        <w:tabs>
          <w:tab w:val="num" w:pos="8294"/>
        </w:tabs>
        <w:ind w:left="8294" w:hanging="360"/>
      </w:pPr>
      <w:rPr>
        <w:rFonts w:ascii="Wingdings" w:hAnsi="Wingdings"/>
      </w:rPr>
    </w:lvl>
  </w:abstractNum>
  <w:abstractNum w:abstractNumId="22">
    <w:nsid w:val="58CC5A71"/>
    <w:multiLevelType w:val="multilevel"/>
    <w:tmpl w:val="C28050EE"/>
    <w:lvl w:ilvl="0">
      <w:start w:val="1"/>
      <w:numFmt w:val="bullet"/>
      <w:lvlText w:val=""/>
      <w:lvlPicBulletId w:val="1"/>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left"/>
      <w:pPr>
        <w:tabs>
          <w:tab w:val="num" w:pos="4320"/>
        </w:tabs>
        <w:ind w:left="4320" w:hanging="36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left"/>
      <w:pPr>
        <w:tabs>
          <w:tab w:val="num" w:pos="6480"/>
        </w:tabs>
        <w:ind w:left="6480" w:hanging="360"/>
      </w:pPr>
      <w:rPr>
        <w:rFonts w:ascii="Symbol" w:hAnsi="Symbol"/>
      </w:rPr>
    </w:lvl>
  </w:abstractNum>
  <w:abstractNum w:abstractNumId="23">
    <w:nsid w:val="58DF1B38"/>
    <w:multiLevelType w:val="hybridMultilevel"/>
    <w:tmpl w:val="C8A84846"/>
    <w:lvl w:ilvl="0" w:tplc="FA1ED66E">
      <w:start w:val="1"/>
      <w:numFmt w:val="bullet"/>
      <w:lvlText w:val=""/>
      <w:lvlPicBulletId w:val="0"/>
      <w:lvlJc w:val="left"/>
      <w:pPr>
        <w:ind w:left="2563" w:hanging="360"/>
      </w:pPr>
      <w:rPr>
        <w:rFonts w:ascii="Symbol" w:hAnsi="Symbol"/>
      </w:rPr>
    </w:lvl>
    <w:lvl w:ilvl="1" w:tplc="B75A92AE">
      <w:start w:val="1"/>
      <w:numFmt w:val="bullet"/>
      <w:lvlText w:val="o"/>
      <w:lvlJc w:val="left"/>
      <w:pPr>
        <w:ind w:left="3283" w:hanging="360"/>
      </w:pPr>
      <w:rPr>
        <w:rFonts w:ascii="Courier New" w:hAnsi="Courier New" w:cs="Courier New"/>
      </w:rPr>
    </w:lvl>
    <w:lvl w:ilvl="2" w:tplc="8422A15A">
      <w:start w:val="1"/>
      <w:numFmt w:val="bullet"/>
      <w:lvlText w:val=""/>
      <w:lvlJc w:val="left"/>
      <w:pPr>
        <w:ind w:left="4003" w:hanging="360"/>
      </w:pPr>
      <w:rPr>
        <w:rFonts w:ascii="Wingdings" w:hAnsi="Wingdings"/>
      </w:rPr>
    </w:lvl>
    <w:lvl w:ilvl="3" w:tplc="71A40DA6">
      <w:start w:val="1"/>
      <w:numFmt w:val="bullet"/>
      <w:lvlText w:val=""/>
      <w:lvlJc w:val="left"/>
      <w:pPr>
        <w:ind w:left="4723" w:hanging="360"/>
      </w:pPr>
      <w:rPr>
        <w:rFonts w:ascii="Symbol" w:hAnsi="Symbol"/>
      </w:rPr>
    </w:lvl>
    <w:lvl w:ilvl="4" w:tplc="FA925F30">
      <w:start w:val="1"/>
      <w:numFmt w:val="bullet"/>
      <w:lvlText w:val="o"/>
      <w:lvlJc w:val="left"/>
      <w:pPr>
        <w:ind w:left="5443" w:hanging="360"/>
      </w:pPr>
      <w:rPr>
        <w:rFonts w:ascii="Courier New" w:hAnsi="Courier New" w:cs="Courier New"/>
      </w:rPr>
    </w:lvl>
    <w:lvl w:ilvl="5" w:tplc="0DB08B1E">
      <w:start w:val="1"/>
      <w:numFmt w:val="bullet"/>
      <w:lvlText w:val=""/>
      <w:lvlJc w:val="left"/>
      <w:pPr>
        <w:ind w:left="6163" w:hanging="360"/>
      </w:pPr>
      <w:rPr>
        <w:rFonts w:ascii="Wingdings" w:hAnsi="Wingdings"/>
      </w:rPr>
    </w:lvl>
    <w:lvl w:ilvl="6" w:tplc="9488C7D8">
      <w:start w:val="1"/>
      <w:numFmt w:val="bullet"/>
      <w:lvlText w:val=""/>
      <w:lvlJc w:val="left"/>
      <w:pPr>
        <w:ind w:left="6883" w:hanging="360"/>
      </w:pPr>
      <w:rPr>
        <w:rFonts w:ascii="Symbol" w:hAnsi="Symbol"/>
      </w:rPr>
    </w:lvl>
    <w:lvl w:ilvl="7" w:tplc="67F0D520">
      <w:start w:val="1"/>
      <w:numFmt w:val="bullet"/>
      <w:lvlText w:val="o"/>
      <w:lvlJc w:val="left"/>
      <w:pPr>
        <w:ind w:left="7603" w:hanging="360"/>
      </w:pPr>
      <w:rPr>
        <w:rFonts w:ascii="Courier New" w:hAnsi="Courier New" w:cs="Courier New"/>
      </w:rPr>
    </w:lvl>
    <w:lvl w:ilvl="8" w:tplc="E8AA7662">
      <w:start w:val="1"/>
      <w:numFmt w:val="bullet"/>
      <w:lvlText w:val=""/>
      <w:lvlJc w:val="left"/>
      <w:pPr>
        <w:ind w:left="8323" w:hanging="360"/>
      </w:pPr>
      <w:rPr>
        <w:rFonts w:ascii="Wingdings" w:hAnsi="Wingdings"/>
      </w:rPr>
    </w:lvl>
  </w:abstractNum>
  <w:abstractNum w:abstractNumId="24">
    <w:nsid w:val="62186C4E"/>
    <w:multiLevelType w:val="hybridMultilevel"/>
    <w:tmpl w:val="584A601E"/>
    <w:lvl w:ilvl="0" w:tplc="BC48B39E">
      <w:start w:val="1"/>
      <w:numFmt w:val="bullet"/>
      <w:lvlText w:val=""/>
      <w:lvlPicBulletId w:val="1"/>
      <w:lvlJc w:val="left"/>
      <w:pPr>
        <w:tabs>
          <w:tab w:val="num" w:pos="720"/>
        </w:tabs>
        <w:ind w:left="720" w:hanging="360"/>
      </w:pPr>
      <w:rPr>
        <w:rFonts w:ascii="Symbol" w:hAnsi="Symbol"/>
      </w:rPr>
    </w:lvl>
    <w:lvl w:ilvl="1" w:tplc="65E0ABD4">
      <w:start w:val="1"/>
      <w:numFmt w:val="bullet"/>
      <w:lvlText w:val=""/>
      <w:lvlJc w:val="left"/>
      <w:pPr>
        <w:tabs>
          <w:tab w:val="num" w:pos="1440"/>
        </w:tabs>
        <w:ind w:left="1440" w:hanging="360"/>
      </w:pPr>
      <w:rPr>
        <w:rFonts w:ascii="Symbol" w:hAnsi="Symbol"/>
      </w:rPr>
    </w:lvl>
    <w:lvl w:ilvl="2" w:tplc="60480BC6">
      <w:start w:val="1"/>
      <w:numFmt w:val="bullet"/>
      <w:lvlText w:val=""/>
      <w:lvlJc w:val="left"/>
      <w:pPr>
        <w:tabs>
          <w:tab w:val="num" w:pos="2160"/>
        </w:tabs>
        <w:ind w:left="2160" w:hanging="360"/>
      </w:pPr>
      <w:rPr>
        <w:rFonts w:ascii="Symbol" w:hAnsi="Symbol"/>
      </w:rPr>
    </w:lvl>
    <w:lvl w:ilvl="3" w:tplc="0EAC628A">
      <w:start w:val="1"/>
      <w:numFmt w:val="bullet"/>
      <w:lvlText w:val=""/>
      <w:lvlJc w:val="left"/>
      <w:pPr>
        <w:tabs>
          <w:tab w:val="num" w:pos="2880"/>
        </w:tabs>
        <w:ind w:left="2880" w:hanging="360"/>
      </w:pPr>
      <w:rPr>
        <w:rFonts w:ascii="Symbol" w:hAnsi="Symbol"/>
      </w:rPr>
    </w:lvl>
    <w:lvl w:ilvl="4" w:tplc="9ECECB06">
      <w:start w:val="1"/>
      <w:numFmt w:val="bullet"/>
      <w:lvlText w:val=""/>
      <w:lvlJc w:val="left"/>
      <w:pPr>
        <w:tabs>
          <w:tab w:val="num" w:pos="3600"/>
        </w:tabs>
        <w:ind w:left="3600" w:hanging="360"/>
      </w:pPr>
      <w:rPr>
        <w:rFonts w:ascii="Symbol" w:hAnsi="Symbol"/>
      </w:rPr>
    </w:lvl>
    <w:lvl w:ilvl="5" w:tplc="626EA3DE">
      <w:start w:val="1"/>
      <w:numFmt w:val="bullet"/>
      <w:lvlText w:val=""/>
      <w:lvlJc w:val="left"/>
      <w:pPr>
        <w:tabs>
          <w:tab w:val="num" w:pos="4320"/>
        </w:tabs>
        <w:ind w:left="4320" w:hanging="360"/>
      </w:pPr>
      <w:rPr>
        <w:rFonts w:ascii="Symbol" w:hAnsi="Symbol"/>
      </w:rPr>
    </w:lvl>
    <w:lvl w:ilvl="6" w:tplc="FFF6479E">
      <w:start w:val="1"/>
      <w:numFmt w:val="bullet"/>
      <w:lvlText w:val=""/>
      <w:lvlJc w:val="left"/>
      <w:pPr>
        <w:tabs>
          <w:tab w:val="num" w:pos="5040"/>
        </w:tabs>
        <w:ind w:left="5040" w:hanging="360"/>
      </w:pPr>
      <w:rPr>
        <w:rFonts w:ascii="Symbol" w:hAnsi="Symbol"/>
      </w:rPr>
    </w:lvl>
    <w:lvl w:ilvl="7" w:tplc="D76C00E0">
      <w:start w:val="1"/>
      <w:numFmt w:val="bullet"/>
      <w:lvlText w:val=""/>
      <w:lvlJc w:val="left"/>
      <w:pPr>
        <w:tabs>
          <w:tab w:val="num" w:pos="5760"/>
        </w:tabs>
        <w:ind w:left="5760" w:hanging="360"/>
      </w:pPr>
      <w:rPr>
        <w:rFonts w:ascii="Symbol" w:hAnsi="Symbol"/>
      </w:rPr>
    </w:lvl>
    <w:lvl w:ilvl="8" w:tplc="FDC41518">
      <w:start w:val="1"/>
      <w:numFmt w:val="bullet"/>
      <w:lvlText w:val=""/>
      <w:lvlJc w:val="left"/>
      <w:pPr>
        <w:tabs>
          <w:tab w:val="num" w:pos="6480"/>
        </w:tabs>
        <w:ind w:left="6480" w:hanging="360"/>
      </w:pPr>
      <w:rPr>
        <w:rFonts w:ascii="Symbol" w:hAnsi="Symbol"/>
      </w:rPr>
    </w:lvl>
  </w:abstractNum>
  <w:abstractNum w:abstractNumId="25">
    <w:nsid w:val="691C1B2F"/>
    <w:multiLevelType w:val="hybridMultilevel"/>
    <w:tmpl w:val="0A4E907A"/>
    <w:lvl w:ilvl="0" w:tplc="3202FF2A">
      <w:start w:val="1"/>
      <w:numFmt w:val="bullet"/>
      <w:lvlText w:val=""/>
      <w:lvlPicBulletId w:val="0"/>
      <w:lvlJc w:val="left"/>
      <w:pPr>
        <w:ind w:left="2534" w:hanging="360"/>
      </w:pPr>
      <w:rPr>
        <w:rFonts w:ascii="Symbol" w:hAnsi="Symbol"/>
      </w:rPr>
    </w:lvl>
    <w:lvl w:ilvl="1" w:tplc="B4107BD8">
      <w:start w:val="1"/>
      <w:numFmt w:val="bullet"/>
      <w:lvlText w:val="o"/>
      <w:lvlJc w:val="left"/>
      <w:pPr>
        <w:ind w:left="3254" w:hanging="360"/>
      </w:pPr>
      <w:rPr>
        <w:rFonts w:ascii="Courier New" w:hAnsi="Courier New" w:cs="Courier New"/>
      </w:rPr>
    </w:lvl>
    <w:lvl w:ilvl="2" w:tplc="8FB82A1E">
      <w:start w:val="1"/>
      <w:numFmt w:val="bullet"/>
      <w:lvlText w:val=""/>
      <w:lvlJc w:val="left"/>
      <w:pPr>
        <w:ind w:left="3974" w:hanging="360"/>
      </w:pPr>
      <w:rPr>
        <w:rFonts w:ascii="Wingdings" w:hAnsi="Wingdings"/>
      </w:rPr>
    </w:lvl>
    <w:lvl w:ilvl="3" w:tplc="1C10F192">
      <w:start w:val="1"/>
      <w:numFmt w:val="bullet"/>
      <w:lvlText w:val=""/>
      <w:lvlJc w:val="left"/>
      <w:pPr>
        <w:ind w:left="4694" w:hanging="360"/>
      </w:pPr>
      <w:rPr>
        <w:rFonts w:ascii="Symbol" w:hAnsi="Symbol"/>
      </w:rPr>
    </w:lvl>
    <w:lvl w:ilvl="4" w:tplc="381E489C">
      <w:start w:val="1"/>
      <w:numFmt w:val="bullet"/>
      <w:lvlText w:val="o"/>
      <w:lvlJc w:val="left"/>
      <w:pPr>
        <w:ind w:left="5414" w:hanging="360"/>
      </w:pPr>
      <w:rPr>
        <w:rFonts w:ascii="Courier New" w:hAnsi="Courier New" w:cs="Courier New"/>
      </w:rPr>
    </w:lvl>
    <w:lvl w:ilvl="5" w:tplc="D7546B46">
      <w:start w:val="1"/>
      <w:numFmt w:val="bullet"/>
      <w:lvlText w:val=""/>
      <w:lvlJc w:val="left"/>
      <w:pPr>
        <w:ind w:left="6134" w:hanging="360"/>
      </w:pPr>
      <w:rPr>
        <w:rFonts w:ascii="Wingdings" w:hAnsi="Wingdings"/>
      </w:rPr>
    </w:lvl>
    <w:lvl w:ilvl="6" w:tplc="B6CE8554">
      <w:start w:val="1"/>
      <w:numFmt w:val="bullet"/>
      <w:lvlText w:val=""/>
      <w:lvlJc w:val="left"/>
      <w:pPr>
        <w:ind w:left="6854" w:hanging="360"/>
      </w:pPr>
      <w:rPr>
        <w:rFonts w:ascii="Symbol" w:hAnsi="Symbol"/>
      </w:rPr>
    </w:lvl>
    <w:lvl w:ilvl="7" w:tplc="7AAEEBAE">
      <w:start w:val="1"/>
      <w:numFmt w:val="bullet"/>
      <w:lvlText w:val="o"/>
      <w:lvlJc w:val="left"/>
      <w:pPr>
        <w:ind w:left="7574" w:hanging="360"/>
      </w:pPr>
      <w:rPr>
        <w:rFonts w:ascii="Courier New" w:hAnsi="Courier New" w:cs="Courier New"/>
      </w:rPr>
    </w:lvl>
    <w:lvl w:ilvl="8" w:tplc="2E76E07C">
      <w:start w:val="1"/>
      <w:numFmt w:val="bullet"/>
      <w:lvlText w:val=""/>
      <w:lvlJc w:val="left"/>
      <w:pPr>
        <w:ind w:left="8294" w:hanging="360"/>
      </w:pPr>
      <w:rPr>
        <w:rFonts w:ascii="Wingdings" w:hAnsi="Wingdings"/>
      </w:rPr>
    </w:lvl>
  </w:abstractNum>
  <w:abstractNum w:abstractNumId="26">
    <w:nsid w:val="6FA6138A"/>
    <w:multiLevelType w:val="hybridMultilevel"/>
    <w:tmpl w:val="B29EDCDC"/>
    <w:lvl w:ilvl="0" w:tplc="4D309530">
      <w:start w:val="1"/>
      <w:numFmt w:val="lowerLetter"/>
      <w:lvlText w:val="(%1)"/>
      <w:lvlJc w:val="left"/>
      <w:pPr>
        <w:ind w:left="360" w:hanging="360"/>
      </w:pPr>
      <w:rPr>
        <w:rFonts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FB54722"/>
    <w:multiLevelType w:val="hybridMultilevel"/>
    <w:tmpl w:val="5CFA78DE"/>
    <w:lvl w:ilvl="0" w:tplc="5E2C12BE">
      <w:start w:val="1"/>
      <w:numFmt w:val="lowerLetter"/>
      <w:lvlText w:val="(%1)"/>
      <w:lvlJc w:val="left"/>
      <w:pPr>
        <w:ind w:left="2174" w:hanging="360"/>
      </w:pPr>
      <w:rPr>
        <w:rFonts w:cs="Times New Roman"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0180597"/>
    <w:multiLevelType w:val="hybridMultilevel"/>
    <w:tmpl w:val="211477FC"/>
    <w:lvl w:ilvl="0" w:tplc="7778D75A">
      <w:start w:val="1"/>
      <w:numFmt w:val="bullet"/>
      <w:lvlText w:val=""/>
      <w:lvlJc w:val="left"/>
      <w:pPr>
        <w:tabs>
          <w:tab w:val="num" w:pos="14374"/>
        </w:tabs>
      </w:pPr>
      <w:rPr>
        <w:rFonts w:ascii="Webdings" w:hAnsi="Webdings"/>
        <w:b w:val="0"/>
        <w:i w:val="0"/>
        <w:color w:val="E42618"/>
        <w:spacing w:val="0"/>
        <w:sz w:val="24"/>
        <w:szCs w:val="18"/>
      </w:rPr>
    </w:lvl>
    <w:lvl w:ilvl="1" w:tplc="42D446FA">
      <w:start w:val="1"/>
      <w:numFmt w:val="bullet"/>
      <w:lvlText w:val="o"/>
      <w:lvlJc w:val="left"/>
      <w:pPr>
        <w:tabs>
          <w:tab w:val="num" w:pos="1440"/>
        </w:tabs>
        <w:ind w:left="1440" w:hanging="360"/>
      </w:pPr>
      <w:rPr>
        <w:rFonts w:ascii="Courier New" w:hAnsi="Courier New"/>
      </w:rPr>
    </w:lvl>
    <w:lvl w:ilvl="2" w:tplc="5D0889FA">
      <w:start w:val="1"/>
      <w:numFmt w:val="bullet"/>
      <w:lvlText w:val=""/>
      <w:lvlJc w:val="left"/>
      <w:pPr>
        <w:tabs>
          <w:tab w:val="num" w:pos="2160"/>
        </w:tabs>
        <w:ind w:left="2160" w:hanging="360"/>
      </w:pPr>
      <w:rPr>
        <w:rFonts w:ascii="Wingdings" w:hAnsi="Wingdings"/>
      </w:rPr>
    </w:lvl>
    <w:lvl w:ilvl="3" w:tplc="B5EEF7EA">
      <w:start w:val="1"/>
      <w:numFmt w:val="bullet"/>
      <w:lvlText w:val=""/>
      <w:lvlJc w:val="left"/>
      <w:pPr>
        <w:tabs>
          <w:tab w:val="num" w:pos="2880"/>
        </w:tabs>
        <w:ind w:left="2880" w:hanging="360"/>
      </w:pPr>
      <w:rPr>
        <w:rFonts w:ascii="Symbol" w:hAnsi="Symbol"/>
      </w:rPr>
    </w:lvl>
    <w:lvl w:ilvl="4" w:tplc="6278F380">
      <w:start w:val="1"/>
      <w:numFmt w:val="bullet"/>
      <w:lvlText w:val="o"/>
      <w:lvlJc w:val="left"/>
      <w:pPr>
        <w:tabs>
          <w:tab w:val="num" w:pos="3600"/>
        </w:tabs>
        <w:ind w:left="3600" w:hanging="360"/>
      </w:pPr>
      <w:rPr>
        <w:rFonts w:ascii="Courier New" w:hAnsi="Courier New"/>
      </w:rPr>
    </w:lvl>
    <w:lvl w:ilvl="5" w:tplc="184A15FE">
      <w:start w:val="1"/>
      <w:numFmt w:val="bullet"/>
      <w:lvlText w:val=""/>
      <w:lvlJc w:val="left"/>
      <w:pPr>
        <w:tabs>
          <w:tab w:val="num" w:pos="4320"/>
        </w:tabs>
        <w:ind w:left="4320" w:hanging="360"/>
      </w:pPr>
      <w:rPr>
        <w:rFonts w:ascii="Wingdings" w:hAnsi="Wingdings"/>
      </w:rPr>
    </w:lvl>
    <w:lvl w:ilvl="6" w:tplc="2570810A">
      <w:start w:val="1"/>
      <w:numFmt w:val="bullet"/>
      <w:lvlText w:val=""/>
      <w:lvlJc w:val="left"/>
      <w:pPr>
        <w:tabs>
          <w:tab w:val="num" w:pos="5040"/>
        </w:tabs>
        <w:ind w:left="5040" w:hanging="360"/>
      </w:pPr>
      <w:rPr>
        <w:rFonts w:ascii="Symbol" w:hAnsi="Symbol"/>
      </w:rPr>
    </w:lvl>
    <w:lvl w:ilvl="7" w:tplc="E2BE1ADA">
      <w:start w:val="1"/>
      <w:numFmt w:val="bullet"/>
      <w:lvlText w:val="o"/>
      <w:lvlJc w:val="left"/>
      <w:pPr>
        <w:tabs>
          <w:tab w:val="num" w:pos="5760"/>
        </w:tabs>
        <w:ind w:left="5760" w:hanging="360"/>
      </w:pPr>
      <w:rPr>
        <w:rFonts w:ascii="Courier New" w:hAnsi="Courier New"/>
      </w:rPr>
    </w:lvl>
    <w:lvl w:ilvl="8" w:tplc="8B6634F0">
      <w:start w:val="1"/>
      <w:numFmt w:val="bullet"/>
      <w:lvlText w:val=""/>
      <w:lvlJc w:val="left"/>
      <w:pPr>
        <w:tabs>
          <w:tab w:val="num" w:pos="6480"/>
        </w:tabs>
        <w:ind w:left="6480" w:hanging="360"/>
      </w:pPr>
      <w:rPr>
        <w:rFonts w:ascii="Wingdings" w:hAnsi="Wingdings"/>
      </w:rPr>
    </w:lvl>
  </w:abstractNum>
  <w:abstractNum w:abstractNumId="29">
    <w:nsid w:val="72D5313B"/>
    <w:multiLevelType w:val="hybridMultilevel"/>
    <w:tmpl w:val="DA265EFA"/>
    <w:lvl w:ilvl="0" w:tplc="1D280DB6">
      <w:start w:val="1"/>
      <w:numFmt w:val="bullet"/>
      <w:lvlText w:val=""/>
      <w:lvlPicBulletId w:val="0"/>
      <w:lvlJc w:val="left"/>
      <w:pPr>
        <w:ind w:left="2534" w:hanging="360"/>
      </w:pPr>
      <w:rPr>
        <w:rFonts w:ascii="Symbol" w:hAnsi="Symbol"/>
      </w:rPr>
    </w:lvl>
    <w:lvl w:ilvl="1" w:tplc="7A90541A">
      <w:start w:val="1"/>
      <w:numFmt w:val="bullet"/>
      <w:lvlText w:val="o"/>
      <w:lvlJc w:val="left"/>
      <w:pPr>
        <w:ind w:left="3254" w:hanging="360"/>
      </w:pPr>
      <w:rPr>
        <w:rFonts w:ascii="Courier New" w:hAnsi="Courier New" w:cs="Courier New"/>
      </w:rPr>
    </w:lvl>
    <w:lvl w:ilvl="2" w:tplc="D360AD78">
      <w:start w:val="1"/>
      <w:numFmt w:val="bullet"/>
      <w:lvlText w:val=""/>
      <w:lvlJc w:val="left"/>
      <w:pPr>
        <w:ind w:left="3974" w:hanging="360"/>
      </w:pPr>
      <w:rPr>
        <w:rFonts w:ascii="Wingdings" w:hAnsi="Wingdings"/>
      </w:rPr>
    </w:lvl>
    <w:lvl w:ilvl="3" w:tplc="4F7E0D4C">
      <w:start w:val="1"/>
      <w:numFmt w:val="bullet"/>
      <w:lvlText w:val=""/>
      <w:lvlJc w:val="left"/>
      <w:pPr>
        <w:ind w:left="4694" w:hanging="360"/>
      </w:pPr>
      <w:rPr>
        <w:rFonts w:ascii="Symbol" w:hAnsi="Symbol"/>
      </w:rPr>
    </w:lvl>
    <w:lvl w:ilvl="4" w:tplc="8C8A2206">
      <w:start w:val="1"/>
      <w:numFmt w:val="bullet"/>
      <w:lvlText w:val="o"/>
      <w:lvlJc w:val="left"/>
      <w:pPr>
        <w:ind w:left="5414" w:hanging="360"/>
      </w:pPr>
      <w:rPr>
        <w:rFonts w:ascii="Courier New" w:hAnsi="Courier New" w:cs="Courier New"/>
      </w:rPr>
    </w:lvl>
    <w:lvl w:ilvl="5" w:tplc="CA54A694">
      <w:start w:val="1"/>
      <w:numFmt w:val="bullet"/>
      <w:lvlText w:val=""/>
      <w:lvlJc w:val="left"/>
      <w:pPr>
        <w:ind w:left="6134" w:hanging="360"/>
      </w:pPr>
      <w:rPr>
        <w:rFonts w:ascii="Wingdings" w:hAnsi="Wingdings"/>
      </w:rPr>
    </w:lvl>
    <w:lvl w:ilvl="6" w:tplc="F76A34AC">
      <w:start w:val="1"/>
      <w:numFmt w:val="bullet"/>
      <w:lvlText w:val=""/>
      <w:lvlJc w:val="left"/>
      <w:pPr>
        <w:ind w:left="6854" w:hanging="360"/>
      </w:pPr>
      <w:rPr>
        <w:rFonts w:ascii="Symbol" w:hAnsi="Symbol"/>
      </w:rPr>
    </w:lvl>
    <w:lvl w:ilvl="7" w:tplc="10142460">
      <w:start w:val="1"/>
      <w:numFmt w:val="bullet"/>
      <w:lvlText w:val="o"/>
      <w:lvlJc w:val="left"/>
      <w:pPr>
        <w:ind w:left="7574" w:hanging="360"/>
      </w:pPr>
      <w:rPr>
        <w:rFonts w:ascii="Courier New" w:hAnsi="Courier New" w:cs="Courier New"/>
      </w:rPr>
    </w:lvl>
    <w:lvl w:ilvl="8" w:tplc="00948126">
      <w:start w:val="1"/>
      <w:numFmt w:val="bullet"/>
      <w:lvlText w:val=""/>
      <w:lvlJc w:val="left"/>
      <w:pPr>
        <w:ind w:left="8294" w:hanging="360"/>
      </w:pPr>
      <w:rPr>
        <w:rFonts w:ascii="Wingdings" w:hAnsi="Wingdings"/>
      </w:rPr>
    </w:lvl>
  </w:abstractNum>
  <w:abstractNum w:abstractNumId="30">
    <w:nsid w:val="750924CB"/>
    <w:multiLevelType w:val="hybridMultilevel"/>
    <w:tmpl w:val="60228588"/>
    <w:lvl w:ilvl="0" w:tplc="1744D462">
      <w:start w:val="1"/>
      <w:numFmt w:val="bullet"/>
      <w:lvlText w:val=""/>
      <w:lvlPicBulletId w:val="0"/>
      <w:lvlJc w:val="left"/>
      <w:pPr>
        <w:tabs>
          <w:tab w:val="num" w:pos="720"/>
        </w:tabs>
        <w:ind w:left="720" w:hanging="360"/>
      </w:pPr>
      <w:rPr>
        <w:rFonts w:ascii="Symbol" w:hAnsi="Symbol"/>
      </w:rPr>
    </w:lvl>
    <w:lvl w:ilvl="1" w:tplc="2BE69FA6">
      <w:start w:val="1"/>
      <w:numFmt w:val="bullet"/>
      <w:lvlText w:val=""/>
      <w:lvlJc w:val="left"/>
      <w:pPr>
        <w:tabs>
          <w:tab w:val="num" w:pos="1440"/>
        </w:tabs>
        <w:ind w:left="1440" w:hanging="360"/>
      </w:pPr>
      <w:rPr>
        <w:rFonts w:ascii="Symbol" w:hAnsi="Symbol"/>
      </w:rPr>
    </w:lvl>
    <w:lvl w:ilvl="2" w:tplc="1D7EEA5C">
      <w:start w:val="1"/>
      <w:numFmt w:val="bullet"/>
      <w:lvlText w:val=""/>
      <w:lvlJc w:val="left"/>
      <w:pPr>
        <w:tabs>
          <w:tab w:val="num" w:pos="2160"/>
        </w:tabs>
        <w:ind w:left="2160" w:hanging="360"/>
      </w:pPr>
      <w:rPr>
        <w:rFonts w:ascii="Symbol" w:hAnsi="Symbol"/>
      </w:rPr>
    </w:lvl>
    <w:lvl w:ilvl="3" w:tplc="5A8E6AFE">
      <w:start w:val="1"/>
      <w:numFmt w:val="bullet"/>
      <w:lvlText w:val=""/>
      <w:lvlJc w:val="left"/>
      <w:pPr>
        <w:tabs>
          <w:tab w:val="num" w:pos="2880"/>
        </w:tabs>
        <w:ind w:left="2880" w:hanging="360"/>
      </w:pPr>
      <w:rPr>
        <w:rFonts w:ascii="Symbol" w:hAnsi="Symbol"/>
      </w:rPr>
    </w:lvl>
    <w:lvl w:ilvl="4" w:tplc="088AFD40">
      <w:start w:val="1"/>
      <w:numFmt w:val="bullet"/>
      <w:lvlText w:val=""/>
      <w:lvlJc w:val="left"/>
      <w:pPr>
        <w:tabs>
          <w:tab w:val="num" w:pos="3600"/>
        </w:tabs>
        <w:ind w:left="3600" w:hanging="360"/>
      </w:pPr>
      <w:rPr>
        <w:rFonts w:ascii="Symbol" w:hAnsi="Symbol"/>
      </w:rPr>
    </w:lvl>
    <w:lvl w:ilvl="5" w:tplc="05CEF3CE">
      <w:start w:val="1"/>
      <w:numFmt w:val="bullet"/>
      <w:lvlText w:val=""/>
      <w:lvlJc w:val="left"/>
      <w:pPr>
        <w:tabs>
          <w:tab w:val="num" w:pos="4320"/>
        </w:tabs>
        <w:ind w:left="4320" w:hanging="360"/>
      </w:pPr>
      <w:rPr>
        <w:rFonts w:ascii="Symbol" w:hAnsi="Symbol"/>
      </w:rPr>
    </w:lvl>
    <w:lvl w:ilvl="6" w:tplc="E6481CE0">
      <w:start w:val="1"/>
      <w:numFmt w:val="bullet"/>
      <w:lvlText w:val=""/>
      <w:lvlJc w:val="left"/>
      <w:pPr>
        <w:tabs>
          <w:tab w:val="num" w:pos="5040"/>
        </w:tabs>
        <w:ind w:left="5040" w:hanging="360"/>
      </w:pPr>
      <w:rPr>
        <w:rFonts w:ascii="Symbol" w:hAnsi="Symbol"/>
      </w:rPr>
    </w:lvl>
    <w:lvl w:ilvl="7" w:tplc="026AF7A0">
      <w:start w:val="1"/>
      <w:numFmt w:val="bullet"/>
      <w:lvlText w:val=""/>
      <w:lvlJc w:val="left"/>
      <w:pPr>
        <w:tabs>
          <w:tab w:val="num" w:pos="5760"/>
        </w:tabs>
        <w:ind w:left="5760" w:hanging="360"/>
      </w:pPr>
      <w:rPr>
        <w:rFonts w:ascii="Symbol" w:hAnsi="Symbol"/>
      </w:rPr>
    </w:lvl>
    <w:lvl w:ilvl="8" w:tplc="58B461BE">
      <w:start w:val="1"/>
      <w:numFmt w:val="bullet"/>
      <w:lvlText w:val=""/>
      <w:lvlJc w:val="left"/>
      <w:pPr>
        <w:tabs>
          <w:tab w:val="num" w:pos="6480"/>
        </w:tabs>
        <w:ind w:left="6480" w:hanging="360"/>
      </w:pPr>
      <w:rPr>
        <w:rFonts w:ascii="Symbol" w:hAnsi="Symbol"/>
      </w:rPr>
    </w:lvl>
  </w:abstractNum>
  <w:abstractNum w:abstractNumId="31">
    <w:nsid w:val="7DAA4176"/>
    <w:multiLevelType w:val="hybridMultilevel"/>
    <w:tmpl w:val="2F3C664A"/>
    <w:lvl w:ilvl="0" w:tplc="55087B62">
      <w:start w:val="1"/>
      <w:numFmt w:val="lowerLetter"/>
      <w:lvlText w:val="(%1)"/>
      <w:lvlJc w:val="left"/>
      <w:pPr>
        <w:ind w:left="360" w:hanging="360"/>
      </w:pPr>
      <w:rPr>
        <w:rFonts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4"/>
  </w:num>
  <w:num w:numId="2">
    <w:abstractNumId w:val="30"/>
  </w:num>
  <w:num w:numId="3">
    <w:abstractNumId w:val="23"/>
  </w:num>
  <w:num w:numId="4">
    <w:abstractNumId w:val="11"/>
  </w:num>
  <w:num w:numId="5">
    <w:abstractNumId w:val="18"/>
  </w:num>
  <w:num w:numId="6">
    <w:abstractNumId w:val="22"/>
  </w:num>
  <w:num w:numId="7">
    <w:abstractNumId w:val="14"/>
  </w:num>
  <w:num w:numId="8">
    <w:abstractNumId w:val="3"/>
  </w:num>
  <w:num w:numId="9">
    <w:abstractNumId w:val="2"/>
  </w:num>
  <w:num w:numId="10">
    <w:abstractNumId w:val="29"/>
  </w:num>
  <w:num w:numId="11">
    <w:abstractNumId w:val="17"/>
  </w:num>
  <w:num w:numId="12">
    <w:abstractNumId w:val="19"/>
  </w:num>
  <w:num w:numId="13">
    <w:abstractNumId w:val="10"/>
  </w:num>
  <w:num w:numId="14">
    <w:abstractNumId w:val="13"/>
  </w:num>
  <w:num w:numId="15">
    <w:abstractNumId w:val="25"/>
  </w:num>
  <w:num w:numId="16">
    <w:abstractNumId w:val="5"/>
  </w:num>
  <w:num w:numId="17">
    <w:abstractNumId w:val="12"/>
  </w:num>
  <w:num w:numId="18">
    <w:abstractNumId w:val="4"/>
  </w:num>
  <w:num w:numId="19">
    <w:abstractNumId w:val="16"/>
  </w:num>
  <w:num w:numId="20">
    <w:abstractNumId w:val="28"/>
  </w:num>
  <w:num w:numId="21">
    <w:abstractNumId w:val="21"/>
  </w:num>
  <w:num w:numId="22">
    <w:abstractNumId w:val="8"/>
  </w:num>
  <w:num w:numId="23">
    <w:abstractNumId w:val="0"/>
  </w:num>
  <w:num w:numId="24">
    <w:abstractNumId w:val="15"/>
  </w:num>
  <w:num w:numId="25">
    <w:abstractNumId w:val="9"/>
  </w:num>
  <w:num w:numId="26">
    <w:abstractNumId w:val="1"/>
  </w:num>
  <w:num w:numId="27">
    <w:abstractNumId w:val="27"/>
  </w:num>
  <w:num w:numId="28">
    <w:abstractNumId w:val="20"/>
  </w:num>
  <w:num w:numId="29">
    <w:abstractNumId w:val="26"/>
  </w:num>
  <w:num w:numId="30">
    <w:abstractNumId w:val="7"/>
  </w:num>
  <w:num w:numId="31">
    <w:abstractNumId w:val="31"/>
  </w:num>
  <w:num w:numId="32">
    <w:abstractNumId w:val="6"/>
  </w:num>
  <w:num w:numId="33">
    <w:abstractNumId w:val="6"/>
  </w:num>
  <w:num w:numId="34">
    <w:abstractNumId w:val="6"/>
  </w:num>
  <w:num w:numId="3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hideSpellingErrors/>
  <w:hideGrammaticalErrors/>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activeWritingStyle w:appName="MSWord" w:lang="en-US" w:vendorID="64" w:dllVersion="6" w:nlCheck="1" w:checkStyle="0"/>
  <w:activeWritingStyle w:appName="MSWord" w:lang="fi-FI" w:vendorID="64" w:dllVersion="6" w:nlCheck="1" w:checkStyle="0"/>
  <w:activeWritingStyle w:appName="MSWord" w:lang="de-DE" w:vendorID="64" w:dllVersion="6" w:nlCheck="1" w:checkStyle="0"/>
  <w:activeWritingStyle w:appName="MSWord" w:lang="en-GB" w:vendorID="64" w:dllVersion="6" w:nlCheck="1" w:checkStyle="0"/>
  <w:activeWritingStyle w:appName="MSWord" w:lang="it-IT"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nl-NL" w:vendorID="64" w:dllVersion="6" w:nlCheck="1" w:checkStyle="0"/>
  <w:activeWritingStyle w:appName="MSWord" w:lang="it-IT" w:vendorID="64" w:dllVersion="131078" w:nlCheck="1" w:checkStyle="0"/>
  <w:activeWritingStyle w:appName="MSWord" w:lang="en-US" w:vendorID="64" w:dllVersion="131078" w:nlCheck="1" w:checkStyle="0"/>
  <w:stylePaneFormatFilter w:val="3F01"/>
  <w:defaultTabStop w:val="624"/>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3074" style="mso-position-horizontal:center;mso-width-percent:400;mso-height-percent:200;mso-width-relative:margin;mso-height-relative:margin" fillcolor="white">
      <v:fill color="white"/>
      <v:textbox style="mso-fit-shape-to-text:t"/>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70C7E"/>
    <w:rsid w:val="00000148"/>
    <w:rsid w:val="00000352"/>
    <w:rsid w:val="000004DF"/>
    <w:rsid w:val="000006C7"/>
    <w:rsid w:val="0000081F"/>
    <w:rsid w:val="0000099F"/>
    <w:rsid w:val="00001234"/>
    <w:rsid w:val="000013FF"/>
    <w:rsid w:val="00001929"/>
    <w:rsid w:val="00001C85"/>
    <w:rsid w:val="000020B7"/>
    <w:rsid w:val="000020DF"/>
    <w:rsid w:val="0000242C"/>
    <w:rsid w:val="00002572"/>
    <w:rsid w:val="00002655"/>
    <w:rsid w:val="000026DF"/>
    <w:rsid w:val="000026F5"/>
    <w:rsid w:val="00002F2D"/>
    <w:rsid w:val="00003345"/>
    <w:rsid w:val="000034C8"/>
    <w:rsid w:val="00003834"/>
    <w:rsid w:val="00003AAA"/>
    <w:rsid w:val="00003AB5"/>
    <w:rsid w:val="00003AD9"/>
    <w:rsid w:val="00003EE3"/>
    <w:rsid w:val="00003F46"/>
    <w:rsid w:val="00004188"/>
    <w:rsid w:val="000041BD"/>
    <w:rsid w:val="000043D5"/>
    <w:rsid w:val="00004794"/>
    <w:rsid w:val="000049DD"/>
    <w:rsid w:val="00004B05"/>
    <w:rsid w:val="00004DDD"/>
    <w:rsid w:val="00004DF3"/>
    <w:rsid w:val="00004E38"/>
    <w:rsid w:val="00005A6B"/>
    <w:rsid w:val="000067EB"/>
    <w:rsid w:val="0000683C"/>
    <w:rsid w:val="0000688C"/>
    <w:rsid w:val="00006DB7"/>
    <w:rsid w:val="00007042"/>
    <w:rsid w:val="000070BF"/>
    <w:rsid w:val="000072F0"/>
    <w:rsid w:val="0000740E"/>
    <w:rsid w:val="0000797C"/>
    <w:rsid w:val="00010041"/>
    <w:rsid w:val="000100DA"/>
    <w:rsid w:val="000101B6"/>
    <w:rsid w:val="00010211"/>
    <w:rsid w:val="000102D5"/>
    <w:rsid w:val="0001046E"/>
    <w:rsid w:val="00010573"/>
    <w:rsid w:val="00010822"/>
    <w:rsid w:val="0001089C"/>
    <w:rsid w:val="000108ED"/>
    <w:rsid w:val="00010957"/>
    <w:rsid w:val="000109E3"/>
    <w:rsid w:val="00010A46"/>
    <w:rsid w:val="00010B15"/>
    <w:rsid w:val="00010B3C"/>
    <w:rsid w:val="000110CB"/>
    <w:rsid w:val="000113F8"/>
    <w:rsid w:val="00011610"/>
    <w:rsid w:val="000119A0"/>
    <w:rsid w:val="000119DB"/>
    <w:rsid w:val="00011A51"/>
    <w:rsid w:val="00011DBB"/>
    <w:rsid w:val="00011F76"/>
    <w:rsid w:val="00012364"/>
    <w:rsid w:val="00012457"/>
    <w:rsid w:val="000126A9"/>
    <w:rsid w:val="0001283C"/>
    <w:rsid w:val="00012A11"/>
    <w:rsid w:val="00012F51"/>
    <w:rsid w:val="000134A3"/>
    <w:rsid w:val="000135AB"/>
    <w:rsid w:val="00013751"/>
    <w:rsid w:val="00013995"/>
    <w:rsid w:val="00013A1E"/>
    <w:rsid w:val="00013B9E"/>
    <w:rsid w:val="00013F41"/>
    <w:rsid w:val="000143F0"/>
    <w:rsid w:val="00014927"/>
    <w:rsid w:val="00014AF6"/>
    <w:rsid w:val="00015266"/>
    <w:rsid w:val="00015423"/>
    <w:rsid w:val="00015D22"/>
    <w:rsid w:val="00015EAD"/>
    <w:rsid w:val="0001639C"/>
    <w:rsid w:val="000164F8"/>
    <w:rsid w:val="000168D3"/>
    <w:rsid w:val="00016B13"/>
    <w:rsid w:val="00017353"/>
    <w:rsid w:val="00017646"/>
    <w:rsid w:val="00017E2C"/>
    <w:rsid w:val="000205CA"/>
    <w:rsid w:val="0002065A"/>
    <w:rsid w:val="00020BAC"/>
    <w:rsid w:val="000211AD"/>
    <w:rsid w:val="000213E2"/>
    <w:rsid w:val="00021652"/>
    <w:rsid w:val="0002181D"/>
    <w:rsid w:val="000219E8"/>
    <w:rsid w:val="00021B34"/>
    <w:rsid w:val="00021CE9"/>
    <w:rsid w:val="00021F66"/>
    <w:rsid w:val="00022197"/>
    <w:rsid w:val="00022763"/>
    <w:rsid w:val="000228CB"/>
    <w:rsid w:val="00022EA6"/>
    <w:rsid w:val="00023385"/>
    <w:rsid w:val="00023C19"/>
    <w:rsid w:val="000241B7"/>
    <w:rsid w:val="0002466F"/>
    <w:rsid w:val="00024BDA"/>
    <w:rsid w:val="00025203"/>
    <w:rsid w:val="00025294"/>
    <w:rsid w:val="000254AC"/>
    <w:rsid w:val="000255D0"/>
    <w:rsid w:val="0002574E"/>
    <w:rsid w:val="000257C6"/>
    <w:rsid w:val="00025822"/>
    <w:rsid w:val="00025AA7"/>
    <w:rsid w:val="00025D71"/>
    <w:rsid w:val="00025E23"/>
    <w:rsid w:val="00026337"/>
    <w:rsid w:val="00026388"/>
    <w:rsid w:val="00026544"/>
    <w:rsid w:val="0002663A"/>
    <w:rsid w:val="000266A7"/>
    <w:rsid w:val="00026CE1"/>
    <w:rsid w:val="00027728"/>
    <w:rsid w:val="00027BB0"/>
    <w:rsid w:val="00027BCF"/>
    <w:rsid w:val="00027C10"/>
    <w:rsid w:val="00027FBC"/>
    <w:rsid w:val="0003046A"/>
    <w:rsid w:val="000304B3"/>
    <w:rsid w:val="00030747"/>
    <w:rsid w:val="00030BEE"/>
    <w:rsid w:val="00030F1C"/>
    <w:rsid w:val="0003114F"/>
    <w:rsid w:val="00031258"/>
    <w:rsid w:val="0003135F"/>
    <w:rsid w:val="00031698"/>
    <w:rsid w:val="000317B8"/>
    <w:rsid w:val="00031864"/>
    <w:rsid w:val="00031934"/>
    <w:rsid w:val="00031B77"/>
    <w:rsid w:val="00031C2E"/>
    <w:rsid w:val="00031CA1"/>
    <w:rsid w:val="00031CE8"/>
    <w:rsid w:val="000320B7"/>
    <w:rsid w:val="000329A9"/>
    <w:rsid w:val="00032A4E"/>
    <w:rsid w:val="00033432"/>
    <w:rsid w:val="00033BEE"/>
    <w:rsid w:val="00033F27"/>
    <w:rsid w:val="00033F4F"/>
    <w:rsid w:val="00033F5C"/>
    <w:rsid w:val="00034068"/>
    <w:rsid w:val="00034365"/>
    <w:rsid w:val="000345C7"/>
    <w:rsid w:val="00034970"/>
    <w:rsid w:val="000349CE"/>
    <w:rsid w:val="000349D0"/>
    <w:rsid w:val="00034B21"/>
    <w:rsid w:val="00034E6E"/>
    <w:rsid w:val="000350E3"/>
    <w:rsid w:val="00035164"/>
    <w:rsid w:val="00035837"/>
    <w:rsid w:val="00035DF0"/>
    <w:rsid w:val="00035E4D"/>
    <w:rsid w:val="0003629C"/>
    <w:rsid w:val="00036321"/>
    <w:rsid w:val="000363D3"/>
    <w:rsid w:val="00036DBD"/>
    <w:rsid w:val="0003704B"/>
    <w:rsid w:val="000374B2"/>
    <w:rsid w:val="0004002D"/>
    <w:rsid w:val="00040033"/>
    <w:rsid w:val="00040065"/>
    <w:rsid w:val="000402DE"/>
    <w:rsid w:val="000409A2"/>
    <w:rsid w:val="00040FDE"/>
    <w:rsid w:val="00041081"/>
    <w:rsid w:val="000419DB"/>
    <w:rsid w:val="00041A5D"/>
    <w:rsid w:val="00041DD2"/>
    <w:rsid w:val="00041DDD"/>
    <w:rsid w:val="00041DEF"/>
    <w:rsid w:val="00041DF5"/>
    <w:rsid w:val="000420D4"/>
    <w:rsid w:val="0004257E"/>
    <w:rsid w:val="00042B16"/>
    <w:rsid w:val="00042D21"/>
    <w:rsid w:val="00042EB1"/>
    <w:rsid w:val="00042F77"/>
    <w:rsid w:val="000431E9"/>
    <w:rsid w:val="000433C2"/>
    <w:rsid w:val="0004346C"/>
    <w:rsid w:val="0004365B"/>
    <w:rsid w:val="00043835"/>
    <w:rsid w:val="00043C67"/>
    <w:rsid w:val="00044602"/>
    <w:rsid w:val="000446DC"/>
    <w:rsid w:val="00044806"/>
    <w:rsid w:val="00044863"/>
    <w:rsid w:val="00044BA2"/>
    <w:rsid w:val="00044EC7"/>
    <w:rsid w:val="00044EE3"/>
    <w:rsid w:val="00044EE4"/>
    <w:rsid w:val="000455A6"/>
    <w:rsid w:val="000456A7"/>
    <w:rsid w:val="000457A7"/>
    <w:rsid w:val="00045935"/>
    <w:rsid w:val="000459F1"/>
    <w:rsid w:val="00045B40"/>
    <w:rsid w:val="00045BC9"/>
    <w:rsid w:val="00045CC8"/>
    <w:rsid w:val="000462ED"/>
    <w:rsid w:val="00046668"/>
    <w:rsid w:val="00046881"/>
    <w:rsid w:val="00046950"/>
    <w:rsid w:val="000469E5"/>
    <w:rsid w:val="00046AF5"/>
    <w:rsid w:val="000471EF"/>
    <w:rsid w:val="00047304"/>
    <w:rsid w:val="00047435"/>
    <w:rsid w:val="000474A3"/>
    <w:rsid w:val="000477B2"/>
    <w:rsid w:val="000478E6"/>
    <w:rsid w:val="000479D4"/>
    <w:rsid w:val="00047CCE"/>
    <w:rsid w:val="00047E42"/>
    <w:rsid w:val="00050117"/>
    <w:rsid w:val="00050441"/>
    <w:rsid w:val="00050489"/>
    <w:rsid w:val="00050496"/>
    <w:rsid w:val="000504B8"/>
    <w:rsid w:val="000508D1"/>
    <w:rsid w:val="00050CFD"/>
    <w:rsid w:val="000512D1"/>
    <w:rsid w:val="0005182E"/>
    <w:rsid w:val="00051D92"/>
    <w:rsid w:val="00051E6A"/>
    <w:rsid w:val="00051FC2"/>
    <w:rsid w:val="000522BB"/>
    <w:rsid w:val="0005241D"/>
    <w:rsid w:val="00053235"/>
    <w:rsid w:val="000533C7"/>
    <w:rsid w:val="000533DF"/>
    <w:rsid w:val="00053471"/>
    <w:rsid w:val="000537BB"/>
    <w:rsid w:val="000538A1"/>
    <w:rsid w:val="00053987"/>
    <w:rsid w:val="000541C7"/>
    <w:rsid w:val="000542AF"/>
    <w:rsid w:val="000543E8"/>
    <w:rsid w:val="00054645"/>
    <w:rsid w:val="00054745"/>
    <w:rsid w:val="00054D1B"/>
    <w:rsid w:val="00055283"/>
    <w:rsid w:val="000552B2"/>
    <w:rsid w:val="0005548D"/>
    <w:rsid w:val="0005558F"/>
    <w:rsid w:val="000557ED"/>
    <w:rsid w:val="00055E26"/>
    <w:rsid w:val="00055F99"/>
    <w:rsid w:val="0005652D"/>
    <w:rsid w:val="000565A3"/>
    <w:rsid w:val="00056612"/>
    <w:rsid w:val="00056635"/>
    <w:rsid w:val="000567BC"/>
    <w:rsid w:val="000569E0"/>
    <w:rsid w:val="00056ACB"/>
    <w:rsid w:val="00057588"/>
    <w:rsid w:val="00057640"/>
    <w:rsid w:val="000578A2"/>
    <w:rsid w:val="00057B81"/>
    <w:rsid w:val="00057F2C"/>
    <w:rsid w:val="00060194"/>
    <w:rsid w:val="000604F0"/>
    <w:rsid w:val="00060563"/>
    <w:rsid w:val="00060769"/>
    <w:rsid w:val="000607A6"/>
    <w:rsid w:val="000607BF"/>
    <w:rsid w:val="000607C8"/>
    <w:rsid w:val="0006148E"/>
    <w:rsid w:val="000617FF"/>
    <w:rsid w:val="00061A08"/>
    <w:rsid w:val="00061A6E"/>
    <w:rsid w:val="00061BEA"/>
    <w:rsid w:val="00061DC7"/>
    <w:rsid w:val="00061E24"/>
    <w:rsid w:val="00061E48"/>
    <w:rsid w:val="00061E67"/>
    <w:rsid w:val="00061E6C"/>
    <w:rsid w:val="000620FB"/>
    <w:rsid w:val="000621DF"/>
    <w:rsid w:val="00062437"/>
    <w:rsid w:val="000624F5"/>
    <w:rsid w:val="000629AB"/>
    <w:rsid w:val="00062C7C"/>
    <w:rsid w:val="00062D5C"/>
    <w:rsid w:val="00062E45"/>
    <w:rsid w:val="00063156"/>
    <w:rsid w:val="00063405"/>
    <w:rsid w:val="000635CC"/>
    <w:rsid w:val="000635F7"/>
    <w:rsid w:val="000637A8"/>
    <w:rsid w:val="000639B9"/>
    <w:rsid w:val="00063D28"/>
    <w:rsid w:val="000640D5"/>
    <w:rsid w:val="000643E1"/>
    <w:rsid w:val="000643F7"/>
    <w:rsid w:val="00064404"/>
    <w:rsid w:val="00064DBF"/>
    <w:rsid w:val="00064E2A"/>
    <w:rsid w:val="000650D8"/>
    <w:rsid w:val="0006537C"/>
    <w:rsid w:val="00065467"/>
    <w:rsid w:val="000657E2"/>
    <w:rsid w:val="00065E24"/>
    <w:rsid w:val="000662FB"/>
    <w:rsid w:val="0006665B"/>
    <w:rsid w:val="00066831"/>
    <w:rsid w:val="00066B28"/>
    <w:rsid w:val="00067259"/>
    <w:rsid w:val="00067485"/>
    <w:rsid w:val="000677B5"/>
    <w:rsid w:val="00067AB5"/>
    <w:rsid w:val="00067F81"/>
    <w:rsid w:val="000705C2"/>
    <w:rsid w:val="0007066C"/>
    <w:rsid w:val="00070718"/>
    <w:rsid w:val="0007076D"/>
    <w:rsid w:val="000708D3"/>
    <w:rsid w:val="00070DC4"/>
    <w:rsid w:val="00071170"/>
    <w:rsid w:val="0007153E"/>
    <w:rsid w:val="00071857"/>
    <w:rsid w:val="00071B43"/>
    <w:rsid w:val="00071EFA"/>
    <w:rsid w:val="0007204A"/>
    <w:rsid w:val="000720F5"/>
    <w:rsid w:val="000720F8"/>
    <w:rsid w:val="00072142"/>
    <w:rsid w:val="00072398"/>
    <w:rsid w:val="00072711"/>
    <w:rsid w:val="00072728"/>
    <w:rsid w:val="00072B3F"/>
    <w:rsid w:val="00072BE2"/>
    <w:rsid w:val="000732DF"/>
    <w:rsid w:val="0007330F"/>
    <w:rsid w:val="0007358E"/>
    <w:rsid w:val="000736E3"/>
    <w:rsid w:val="000737C9"/>
    <w:rsid w:val="00073872"/>
    <w:rsid w:val="000738CF"/>
    <w:rsid w:val="00073E58"/>
    <w:rsid w:val="00073F42"/>
    <w:rsid w:val="00074665"/>
    <w:rsid w:val="000746D5"/>
    <w:rsid w:val="00074709"/>
    <w:rsid w:val="000749B9"/>
    <w:rsid w:val="00074CE9"/>
    <w:rsid w:val="000755F9"/>
    <w:rsid w:val="000757EE"/>
    <w:rsid w:val="00075941"/>
    <w:rsid w:val="00075CC6"/>
    <w:rsid w:val="00075DB3"/>
    <w:rsid w:val="0007633E"/>
    <w:rsid w:val="0007650D"/>
    <w:rsid w:val="00076A61"/>
    <w:rsid w:val="00076BAA"/>
    <w:rsid w:val="00076C27"/>
    <w:rsid w:val="00076E1F"/>
    <w:rsid w:val="00077520"/>
    <w:rsid w:val="00077534"/>
    <w:rsid w:val="0007754A"/>
    <w:rsid w:val="00077592"/>
    <w:rsid w:val="00077E7D"/>
    <w:rsid w:val="00080209"/>
    <w:rsid w:val="00080263"/>
    <w:rsid w:val="000803AD"/>
    <w:rsid w:val="00080865"/>
    <w:rsid w:val="000809E8"/>
    <w:rsid w:val="00080C19"/>
    <w:rsid w:val="00080F62"/>
    <w:rsid w:val="000811D8"/>
    <w:rsid w:val="0008146C"/>
    <w:rsid w:val="000817F5"/>
    <w:rsid w:val="000818DD"/>
    <w:rsid w:val="000819D4"/>
    <w:rsid w:val="0008231C"/>
    <w:rsid w:val="000828E6"/>
    <w:rsid w:val="000829B6"/>
    <w:rsid w:val="00082A62"/>
    <w:rsid w:val="00082DF0"/>
    <w:rsid w:val="00082E1E"/>
    <w:rsid w:val="00082EA3"/>
    <w:rsid w:val="00083173"/>
    <w:rsid w:val="00083429"/>
    <w:rsid w:val="0008362B"/>
    <w:rsid w:val="00083FE3"/>
    <w:rsid w:val="00084387"/>
    <w:rsid w:val="00084761"/>
    <w:rsid w:val="00084AF6"/>
    <w:rsid w:val="00084CF2"/>
    <w:rsid w:val="00084E02"/>
    <w:rsid w:val="00084EE6"/>
    <w:rsid w:val="00084F18"/>
    <w:rsid w:val="0008506C"/>
    <w:rsid w:val="00085197"/>
    <w:rsid w:val="0008519C"/>
    <w:rsid w:val="0008527C"/>
    <w:rsid w:val="0008545A"/>
    <w:rsid w:val="000858AC"/>
    <w:rsid w:val="00085926"/>
    <w:rsid w:val="00085AC2"/>
    <w:rsid w:val="00085AEB"/>
    <w:rsid w:val="00085AFD"/>
    <w:rsid w:val="00085BC7"/>
    <w:rsid w:val="00085C51"/>
    <w:rsid w:val="00085E26"/>
    <w:rsid w:val="0008600B"/>
    <w:rsid w:val="00086154"/>
    <w:rsid w:val="000867A4"/>
    <w:rsid w:val="000868F4"/>
    <w:rsid w:val="000868F5"/>
    <w:rsid w:val="00086AE6"/>
    <w:rsid w:val="00086C83"/>
    <w:rsid w:val="000873CD"/>
    <w:rsid w:val="000876F1"/>
    <w:rsid w:val="000876FA"/>
    <w:rsid w:val="00087774"/>
    <w:rsid w:val="00087BB3"/>
    <w:rsid w:val="0009016A"/>
    <w:rsid w:val="00090558"/>
    <w:rsid w:val="00090660"/>
    <w:rsid w:val="000909B9"/>
    <w:rsid w:val="00090A07"/>
    <w:rsid w:val="00090B9F"/>
    <w:rsid w:val="00090D41"/>
    <w:rsid w:val="00090DE6"/>
    <w:rsid w:val="0009127D"/>
    <w:rsid w:val="00091965"/>
    <w:rsid w:val="00091C8D"/>
    <w:rsid w:val="00092439"/>
    <w:rsid w:val="000924D4"/>
    <w:rsid w:val="00092C29"/>
    <w:rsid w:val="00092C8C"/>
    <w:rsid w:val="00092F0E"/>
    <w:rsid w:val="00094A57"/>
    <w:rsid w:val="00094B3C"/>
    <w:rsid w:val="00094CB4"/>
    <w:rsid w:val="00094D9A"/>
    <w:rsid w:val="00095213"/>
    <w:rsid w:val="00095728"/>
    <w:rsid w:val="00095898"/>
    <w:rsid w:val="00095A1A"/>
    <w:rsid w:val="00095ABF"/>
    <w:rsid w:val="00096313"/>
    <w:rsid w:val="00096371"/>
    <w:rsid w:val="0009657B"/>
    <w:rsid w:val="000965C3"/>
    <w:rsid w:val="000966A1"/>
    <w:rsid w:val="00096954"/>
    <w:rsid w:val="00096C13"/>
    <w:rsid w:val="00096DB8"/>
    <w:rsid w:val="00096F61"/>
    <w:rsid w:val="000970D5"/>
    <w:rsid w:val="000972EF"/>
    <w:rsid w:val="000977C6"/>
    <w:rsid w:val="00097929"/>
    <w:rsid w:val="000A03D5"/>
    <w:rsid w:val="000A0936"/>
    <w:rsid w:val="000A09E7"/>
    <w:rsid w:val="000A0AC7"/>
    <w:rsid w:val="000A0D76"/>
    <w:rsid w:val="000A1070"/>
    <w:rsid w:val="000A123E"/>
    <w:rsid w:val="000A169F"/>
    <w:rsid w:val="000A1A26"/>
    <w:rsid w:val="000A2006"/>
    <w:rsid w:val="000A2640"/>
    <w:rsid w:val="000A27BB"/>
    <w:rsid w:val="000A2D99"/>
    <w:rsid w:val="000A2E1E"/>
    <w:rsid w:val="000A2F1D"/>
    <w:rsid w:val="000A2F3E"/>
    <w:rsid w:val="000A3127"/>
    <w:rsid w:val="000A32BD"/>
    <w:rsid w:val="000A3E31"/>
    <w:rsid w:val="000A3EBA"/>
    <w:rsid w:val="000A4087"/>
    <w:rsid w:val="000A40FD"/>
    <w:rsid w:val="000A47E4"/>
    <w:rsid w:val="000A4E9A"/>
    <w:rsid w:val="000A5058"/>
    <w:rsid w:val="000A5314"/>
    <w:rsid w:val="000A5980"/>
    <w:rsid w:val="000A5CC1"/>
    <w:rsid w:val="000A5D8F"/>
    <w:rsid w:val="000A5D99"/>
    <w:rsid w:val="000A6119"/>
    <w:rsid w:val="000A63AD"/>
    <w:rsid w:val="000A643E"/>
    <w:rsid w:val="000A6591"/>
    <w:rsid w:val="000A677A"/>
    <w:rsid w:val="000A67F1"/>
    <w:rsid w:val="000A68C0"/>
    <w:rsid w:val="000A69D2"/>
    <w:rsid w:val="000A6A6F"/>
    <w:rsid w:val="000A77D6"/>
    <w:rsid w:val="000A78EC"/>
    <w:rsid w:val="000A7B77"/>
    <w:rsid w:val="000A7B7D"/>
    <w:rsid w:val="000A7C1E"/>
    <w:rsid w:val="000A7CF9"/>
    <w:rsid w:val="000B01FA"/>
    <w:rsid w:val="000B022B"/>
    <w:rsid w:val="000B02ED"/>
    <w:rsid w:val="000B05D6"/>
    <w:rsid w:val="000B05E7"/>
    <w:rsid w:val="000B0DCE"/>
    <w:rsid w:val="000B10EC"/>
    <w:rsid w:val="000B15F6"/>
    <w:rsid w:val="000B1BA4"/>
    <w:rsid w:val="000B1C7A"/>
    <w:rsid w:val="000B1F20"/>
    <w:rsid w:val="000B1F2B"/>
    <w:rsid w:val="000B27E0"/>
    <w:rsid w:val="000B2A66"/>
    <w:rsid w:val="000B2A82"/>
    <w:rsid w:val="000B2AAC"/>
    <w:rsid w:val="000B2B36"/>
    <w:rsid w:val="000B2FB6"/>
    <w:rsid w:val="000B32C5"/>
    <w:rsid w:val="000B32E4"/>
    <w:rsid w:val="000B3304"/>
    <w:rsid w:val="000B38EA"/>
    <w:rsid w:val="000B3F89"/>
    <w:rsid w:val="000B44FF"/>
    <w:rsid w:val="000B4547"/>
    <w:rsid w:val="000B51E7"/>
    <w:rsid w:val="000B56C0"/>
    <w:rsid w:val="000B5A90"/>
    <w:rsid w:val="000B5B83"/>
    <w:rsid w:val="000B5C9D"/>
    <w:rsid w:val="000B5DC1"/>
    <w:rsid w:val="000B5DFE"/>
    <w:rsid w:val="000B5FC0"/>
    <w:rsid w:val="000B6312"/>
    <w:rsid w:val="000B6575"/>
    <w:rsid w:val="000B6A87"/>
    <w:rsid w:val="000B6AA4"/>
    <w:rsid w:val="000B6C6C"/>
    <w:rsid w:val="000B6D0F"/>
    <w:rsid w:val="000B6E6D"/>
    <w:rsid w:val="000B72CE"/>
    <w:rsid w:val="000B72E0"/>
    <w:rsid w:val="000B7988"/>
    <w:rsid w:val="000B7989"/>
    <w:rsid w:val="000B7C20"/>
    <w:rsid w:val="000B7C2A"/>
    <w:rsid w:val="000B7E5B"/>
    <w:rsid w:val="000C0226"/>
    <w:rsid w:val="000C022D"/>
    <w:rsid w:val="000C03AD"/>
    <w:rsid w:val="000C076E"/>
    <w:rsid w:val="000C099C"/>
    <w:rsid w:val="000C0C4E"/>
    <w:rsid w:val="000C0F55"/>
    <w:rsid w:val="000C1097"/>
    <w:rsid w:val="000C1526"/>
    <w:rsid w:val="000C1C3E"/>
    <w:rsid w:val="000C1E95"/>
    <w:rsid w:val="000C233C"/>
    <w:rsid w:val="000C25D8"/>
    <w:rsid w:val="000C267B"/>
    <w:rsid w:val="000C295A"/>
    <w:rsid w:val="000C2980"/>
    <w:rsid w:val="000C2FB7"/>
    <w:rsid w:val="000C35FB"/>
    <w:rsid w:val="000C3630"/>
    <w:rsid w:val="000C3699"/>
    <w:rsid w:val="000C3830"/>
    <w:rsid w:val="000C38FA"/>
    <w:rsid w:val="000C39B4"/>
    <w:rsid w:val="000C3DA5"/>
    <w:rsid w:val="000C4457"/>
    <w:rsid w:val="000C4689"/>
    <w:rsid w:val="000C482B"/>
    <w:rsid w:val="000C4B44"/>
    <w:rsid w:val="000C4BA2"/>
    <w:rsid w:val="000C4D5C"/>
    <w:rsid w:val="000C4DAF"/>
    <w:rsid w:val="000C5202"/>
    <w:rsid w:val="000C52BE"/>
    <w:rsid w:val="000C53F5"/>
    <w:rsid w:val="000C5564"/>
    <w:rsid w:val="000C5602"/>
    <w:rsid w:val="000C5647"/>
    <w:rsid w:val="000C56C5"/>
    <w:rsid w:val="000C5738"/>
    <w:rsid w:val="000C5812"/>
    <w:rsid w:val="000C59C4"/>
    <w:rsid w:val="000C5B36"/>
    <w:rsid w:val="000C627A"/>
    <w:rsid w:val="000C66BD"/>
    <w:rsid w:val="000C680B"/>
    <w:rsid w:val="000C6991"/>
    <w:rsid w:val="000C6F05"/>
    <w:rsid w:val="000C71A0"/>
    <w:rsid w:val="000C71C5"/>
    <w:rsid w:val="000C727A"/>
    <w:rsid w:val="000C7697"/>
    <w:rsid w:val="000C789E"/>
    <w:rsid w:val="000C7902"/>
    <w:rsid w:val="000C7B4C"/>
    <w:rsid w:val="000C7B88"/>
    <w:rsid w:val="000C7EF4"/>
    <w:rsid w:val="000D072A"/>
    <w:rsid w:val="000D0F51"/>
    <w:rsid w:val="000D1006"/>
    <w:rsid w:val="000D1221"/>
    <w:rsid w:val="000D1546"/>
    <w:rsid w:val="000D1B06"/>
    <w:rsid w:val="000D1E54"/>
    <w:rsid w:val="000D23E6"/>
    <w:rsid w:val="000D24E2"/>
    <w:rsid w:val="000D280E"/>
    <w:rsid w:val="000D2BA7"/>
    <w:rsid w:val="000D2F8F"/>
    <w:rsid w:val="000D366B"/>
    <w:rsid w:val="000D3A7C"/>
    <w:rsid w:val="000D3CAE"/>
    <w:rsid w:val="000D425B"/>
    <w:rsid w:val="000D4568"/>
    <w:rsid w:val="000D4740"/>
    <w:rsid w:val="000D4EE8"/>
    <w:rsid w:val="000D4FE9"/>
    <w:rsid w:val="000D5383"/>
    <w:rsid w:val="000D53B8"/>
    <w:rsid w:val="000D58A4"/>
    <w:rsid w:val="000D593A"/>
    <w:rsid w:val="000D5990"/>
    <w:rsid w:val="000D5AED"/>
    <w:rsid w:val="000D61D8"/>
    <w:rsid w:val="000D6516"/>
    <w:rsid w:val="000D68E4"/>
    <w:rsid w:val="000D70FA"/>
    <w:rsid w:val="000D7279"/>
    <w:rsid w:val="000D7516"/>
    <w:rsid w:val="000D7679"/>
    <w:rsid w:val="000D7BF5"/>
    <w:rsid w:val="000D7EF6"/>
    <w:rsid w:val="000E0A99"/>
    <w:rsid w:val="000E0B26"/>
    <w:rsid w:val="000E0D71"/>
    <w:rsid w:val="000E0FC9"/>
    <w:rsid w:val="000E1054"/>
    <w:rsid w:val="000E10C4"/>
    <w:rsid w:val="000E11B2"/>
    <w:rsid w:val="000E1473"/>
    <w:rsid w:val="000E15DD"/>
    <w:rsid w:val="000E162A"/>
    <w:rsid w:val="000E177D"/>
    <w:rsid w:val="000E19F0"/>
    <w:rsid w:val="000E1A5F"/>
    <w:rsid w:val="000E1E6F"/>
    <w:rsid w:val="000E2098"/>
    <w:rsid w:val="000E20BE"/>
    <w:rsid w:val="000E237E"/>
    <w:rsid w:val="000E23BF"/>
    <w:rsid w:val="000E23EF"/>
    <w:rsid w:val="000E2403"/>
    <w:rsid w:val="000E2BE0"/>
    <w:rsid w:val="000E2E1B"/>
    <w:rsid w:val="000E327D"/>
    <w:rsid w:val="000E32BE"/>
    <w:rsid w:val="000E32CD"/>
    <w:rsid w:val="000E336B"/>
    <w:rsid w:val="000E33E6"/>
    <w:rsid w:val="000E3886"/>
    <w:rsid w:val="000E39C8"/>
    <w:rsid w:val="000E3CFC"/>
    <w:rsid w:val="000E3D7A"/>
    <w:rsid w:val="000E40CB"/>
    <w:rsid w:val="000E420F"/>
    <w:rsid w:val="000E44A9"/>
    <w:rsid w:val="000E4A6D"/>
    <w:rsid w:val="000E4C04"/>
    <w:rsid w:val="000E5429"/>
    <w:rsid w:val="000E5434"/>
    <w:rsid w:val="000E5C39"/>
    <w:rsid w:val="000E60A1"/>
    <w:rsid w:val="000E61AA"/>
    <w:rsid w:val="000E62CE"/>
    <w:rsid w:val="000E63BC"/>
    <w:rsid w:val="000E63CB"/>
    <w:rsid w:val="000E649F"/>
    <w:rsid w:val="000E66DF"/>
    <w:rsid w:val="000E6B08"/>
    <w:rsid w:val="000E6B15"/>
    <w:rsid w:val="000E6D39"/>
    <w:rsid w:val="000E70A5"/>
    <w:rsid w:val="000E7523"/>
    <w:rsid w:val="000E78BC"/>
    <w:rsid w:val="000E7C65"/>
    <w:rsid w:val="000E7F42"/>
    <w:rsid w:val="000F039B"/>
    <w:rsid w:val="000F0888"/>
    <w:rsid w:val="000F0B91"/>
    <w:rsid w:val="000F0DEA"/>
    <w:rsid w:val="000F0DFE"/>
    <w:rsid w:val="000F0F04"/>
    <w:rsid w:val="000F106A"/>
    <w:rsid w:val="000F1394"/>
    <w:rsid w:val="000F1519"/>
    <w:rsid w:val="000F1643"/>
    <w:rsid w:val="000F18A3"/>
    <w:rsid w:val="000F1921"/>
    <w:rsid w:val="000F19CA"/>
    <w:rsid w:val="000F1A51"/>
    <w:rsid w:val="000F1CEF"/>
    <w:rsid w:val="000F1D54"/>
    <w:rsid w:val="000F2058"/>
    <w:rsid w:val="000F2511"/>
    <w:rsid w:val="000F25EE"/>
    <w:rsid w:val="000F269A"/>
    <w:rsid w:val="000F26C0"/>
    <w:rsid w:val="000F2873"/>
    <w:rsid w:val="000F2BE7"/>
    <w:rsid w:val="000F2D75"/>
    <w:rsid w:val="000F2F43"/>
    <w:rsid w:val="000F2FB2"/>
    <w:rsid w:val="000F32AC"/>
    <w:rsid w:val="000F370D"/>
    <w:rsid w:val="000F3A1E"/>
    <w:rsid w:val="000F3A7C"/>
    <w:rsid w:val="000F3E1E"/>
    <w:rsid w:val="000F4259"/>
    <w:rsid w:val="000F4698"/>
    <w:rsid w:val="000F4792"/>
    <w:rsid w:val="000F47A7"/>
    <w:rsid w:val="000F4973"/>
    <w:rsid w:val="000F4BD9"/>
    <w:rsid w:val="000F4D00"/>
    <w:rsid w:val="000F4FE7"/>
    <w:rsid w:val="000F565B"/>
    <w:rsid w:val="000F5C7B"/>
    <w:rsid w:val="000F5E0E"/>
    <w:rsid w:val="000F5E41"/>
    <w:rsid w:val="000F5EC4"/>
    <w:rsid w:val="000F6161"/>
    <w:rsid w:val="000F686A"/>
    <w:rsid w:val="000F708E"/>
    <w:rsid w:val="000F72C6"/>
    <w:rsid w:val="000F7AD5"/>
    <w:rsid w:val="000F7CB4"/>
    <w:rsid w:val="000F7DA4"/>
    <w:rsid w:val="000F7DC2"/>
    <w:rsid w:val="000F7E1E"/>
    <w:rsid w:val="000F7E21"/>
    <w:rsid w:val="000F7F1D"/>
    <w:rsid w:val="000F7F64"/>
    <w:rsid w:val="000F7FAE"/>
    <w:rsid w:val="00100058"/>
    <w:rsid w:val="00100268"/>
    <w:rsid w:val="001003E1"/>
    <w:rsid w:val="00100472"/>
    <w:rsid w:val="001006B5"/>
    <w:rsid w:val="00100814"/>
    <w:rsid w:val="00100B0C"/>
    <w:rsid w:val="00100B6B"/>
    <w:rsid w:val="001010FA"/>
    <w:rsid w:val="001014D0"/>
    <w:rsid w:val="00101916"/>
    <w:rsid w:val="00101976"/>
    <w:rsid w:val="00101A55"/>
    <w:rsid w:val="00101E0C"/>
    <w:rsid w:val="00101F21"/>
    <w:rsid w:val="00101F33"/>
    <w:rsid w:val="0010203F"/>
    <w:rsid w:val="00102371"/>
    <w:rsid w:val="00102818"/>
    <w:rsid w:val="00102B06"/>
    <w:rsid w:val="00102B37"/>
    <w:rsid w:val="00102BDB"/>
    <w:rsid w:val="00102E12"/>
    <w:rsid w:val="00102E73"/>
    <w:rsid w:val="001030AE"/>
    <w:rsid w:val="0010327A"/>
    <w:rsid w:val="00103356"/>
    <w:rsid w:val="00103433"/>
    <w:rsid w:val="001035FC"/>
    <w:rsid w:val="00103A48"/>
    <w:rsid w:val="00103AEA"/>
    <w:rsid w:val="00103ECF"/>
    <w:rsid w:val="00104168"/>
    <w:rsid w:val="0010442D"/>
    <w:rsid w:val="00104CC6"/>
    <w:rsid w:val="00104E68"/>
    <w:rsid w:val="00104EC6"/>
    <w:rsid w:val="00104F5D"/>
    <w:rsid w:val="0010507C"/>
    <w:rsid w:val="001053BE"/>
    <w:rsid w:val="00105405"/>
    <w:rsid w:val="00105637"/>
    <w:rsid w:val="00105774"/>
    <w:rsid w:val="001059D3"/>
    <w:rsid w:val="00105B08"/>
    <w:rsid w:val="0010607E"/>
    <w:rsid w:val="001061DE"/>
    <w:rsid w:val="0010642A"/>
    <w:rsid w:val="0010687A"/>
    <w:rsid w:val="00106AA3"/>
    <w:rsid w:val="00106B50"/>
    <w:rsid w:val="00106D57"/>
    <w:rsid w:val="00107126"/>
    <w:rsid w:val="00107184"/>
    <w:rsid w:val="00107499"/>
    <w:rsid w:val="001075A8"/>
    <w:rsid w:val="0010788D"/>
    <w:rsid w:val="00107900"/>
    <w:rsid w:val="001079C3"/>
    <w:rsid w:val="001079F9"/>
    <w:rsid w:val="00107B24"/>
    <w:rsid w:val="00110856"/>
    <w:rsid w:val="00110F2E"/>
    <w:rsid w:val="001112CB"/>
    <w:rsid w:val="00111347"/>
    <w:rsid w:val="00111823"/>
    <w:rsid w:val="00111A6A"/>
    <w:rsid w:val="00111D49"/>
    <w:rsid w:val="0011204E"/>
    <w:rsid w:val="001124E6"/>
    <w:rsid w:val="00112A83"/>
    <w:rsid w:val="00112FD6"/>
    <w:rsid w:val="00113BDB"/>
    <w:rsid w:val="00113CAB"/>
    <w:rsid w:val="00113E20"/>
    <w:rsid w:val="00113E61"/>
    <w:rsid w:val="00113F0D"/>
    <w:rsid w:val="00114045"/>
    <w:rsid w:val="00114204"/>
    <w:rsid w:val="001143AE"/>
    <w:rsid w:val="001143D0"/>
    <w:rsid w:val="00114470"/>
    <w:rsid w:val="001144C3"/>
    <w:rsid w:val="001145E7"/>
    <w:rsid w:val="001146BF"/>
    <w:rsid w:val="001146F4"/>
    <w:rsid w:val="001148A7"/>
    <w:rsid w:val="001148C3"/>
    <w:rsid w:val="001148FD"/>
    <w:rsid w:val="0011499F"/>
    <w:rsid w:val="00114E77"/>
    <w:rsid w:val="001151F5"/>
    <w:rsid w:val="0011562D"/>
    <w:rsid w:val="001156D5"/>
    <w:rsid w:val="00115EE6"/>
    <w:rsid w:val="00116113"/>
    <w:rsid w:val="001167F5"/>
    <w:rsid w:val="00116AF1"/>
    <w:rsid w:val="00116C1C"/>
    <w:rsid w:val="00116C75"/>
    <w:rsid w:val="00116DD5"/>
    <w:rsid w:val="001172B7"/>
    <w:rsid w:val="00117309"/>
    <w:rsid w:val="001174E2"/>
    <w:rsid w:val="00117927"/>
    <w:rsid w:val="00117AF1"/>
    <w:rsid w:val="00117BB0"/>
    <w:rsid w:val="00120030"/>
    <w:rsid w:val="0012011D"/>
    <w:rsid w:val="00120457"/>
    <w:rsid w:val="00120623"/>
    <w:rsid w:val="00120D11"/>
    <w:rsid w:val="00120D7F"/>
    <w:rsid w:val="00120F89"/>
    <w:rsid w:val="00121177"/>
    <w:rsid w:val="001216C6"/>
    <w:rsid w:val="001216FA"/>
    <w:rsid w:val="001218FF"/>
    <w:rsid w:val="00121D1D"/>
    <w:rsid w:val="00121EAE"/>
    <w:rsid w:val="00121F1E"/>
    <w:rsid w:val="00122847"/>
    <w:rsid w:val="00122912"/>
    <w:rsid w:val="00122976"/>
    <w:rsid w:val="00122A9B"/>
    <w:rsid w:val="00123354"/>
    <w:rsid w:val="0012380F"/>
    <w:rsid w:val="00123A77"/>
    <w:rsid w:val="001248B9"/>
    <w:rsid w:val="001249B2"/>
    <w:rsid w:val="00124FBE"/>
    <w:rsid w:val="00124FD0"/>
    <w:rsid w:val="001252BA"/>
    <w:rsid w:val="001254C6"/>
    <w:rsid w:val="00125651"/>
    <w:rsid w:val="00125958"/>
    <w:rsid w:val="00125AC1"/>
    <w:rsid w:val="00125C51"/>
    <w:rsid w:val="00125D56"/>
    <w:rsid w:val="00125FC1"/>
    <w:rsid w:val="001261E2"/>
    <w:rsid w:val="00126235"/>
    <w:rsid w:val="00126421"/>
    <w:rsid w:val="001267F9"/>
    <w:rsid w:val="00126876"/>
    <w:rsid w:val="00126980"/>
    <w:rsid w:val="00126FCA"/>
    <w:rsid w:val="001273DA"/>
    <w:rsid w:val="00127771"/>
    <w:rsid w:val="00127C10"/>
    <w:rsid w:val="00127CCE"/>
    <w:rsid w:val="00127F8B"/>
    <w:rsid w:val="0013060B"/>
    <w:rsid w:val="001306A7"/>
    <w:rsid w:val="001308AD"/>
    <w:rsid w:val="00131047"/>
    <w:rsid w:val="00131084"/>
    <w:rsid w:val="0013114E"/>
    <w:rsid w:val="001315D4"/>
    <w:rsid w:val="001315EA"/>
    <w:rsid w:val="0013171C"/>
    <w:rsid w:val="001319AE"/>
    <w:rsid w:val="00131A4B"/>
    <w:rsid w:val="00132098"/>
    <w:rsid w:val="001321E2"/>
    <w:rsid w:val="0013239A"/>
    <w:rsid w:val="00132674"/>
    <w:rsid w:val="00132857"/>
    <w:rsid w:val="001329D5"/>
    <w:rsid w:val="00132A09"/>
    <w:rsid w:val="00132D0E"/>
    <w:rsid w:val="00132F27"/>
    <w:rsid w:val="00133323"/>
    <w:rsid w:val="001334D9"/>
    <w:rsid w:val="00133558"/>
    <w:rsid w:val="001335FA"/>
    <w:rsid w:val="0013399B"/>
    <w:rsid w:val="00133B6D"/>
    <w:rsid w:val="0013455F"/>
    <w:rsid w:val="00134BB2"/>
    <w:rsid w:val="00134D35"/>
    <w:rsid w:val="00135207"/>
    <w:rsid w:val="0013523C"/>
    <w:rsid w:val="001353CC"/>
    <w:rsid w:val="001353DB"/>
    <w:rsid w:val="00135886"/>
    <w:rsid w:val="001358CD"/>
    <w:rsid w:val="00135B41"/>
    <w:rsid w:val="00135CEF"/>
    <w:rsid w:val="00135D93"/>
    <w:rsid w:val="00135EC9"/>
    <w:rsid w:val="00136284"/>
    <w:rsid w:val="00136CB5"/>
    <w:rsid w:val="00136DCE"/>
    <w:rsid w:val="0013714A"/>
    <w:rsid w:val="00137191"/>
    <w:rsid w:val="001373C3"/>
    <w:rsid w:val="001376AE"/>
    <w:rsid w:val="001378BD"/>
    <w:rsid w:val="00137940"/>
    <w:rsid w:val="00137B50"/>
    <w:rsid w:val="00137C78"/>
    <w:rsid w:val="00137D03"/>
    <w:rsid w:val="00137FEB"/>
    <w:rsid w:val="0014041C"/>
    <w:rsid w:val="00140BAF"/>
    <w:rsid w:val="00140C00"/>
    <w:rsid w:val="00140EB2"/>
    <w:rsid w:val="0014104F"/>
    <w:rsid w:val="001418A2"/>
    <w:rsid w:val="001419EF"/>
    <w:rsid w:val="001419FF"/>
    <w:rsid w:val="00141A37"/>
    <w:rsid w:val="00141B4A"/>
    <w:rsid w:val="00141C42"/>
    <w:rsid w:val="001421E4"/>
    <w:rsid w:val="0014267D"/>
    <w:rsid w:val="00142963"/>
    <w:rsid w:val="00142F44"/>
    <w:rsid w:val="00143151"/>
    <w:rsid w:val="001431DB"/>
    <w:rsid w:val="00143799"/>
    <w:rsid w:val="00143A49"/>
    <w:rsid w:val="00143C18"/>
    <w:rsid w:val="00143CB4"/>
    <w:rsid w:val="001440DD"/>
    <w:rsid w:val="00144245"/>
    <w:rsid w:val="00144529"/>
    <w:rsid w:val="00144917"/>
    <w:rsid w:val="00144DF8"/>
    <w:rsid w:val="001450F7"/>
    <w:rsid w:val="00145580"/>
    <w:rsid w:val="00145738"/>
    <w:rsid w:val="00145A1D"/>
    <w:rsid w:val="00145EB5"/>
    <w:rsid w:val="00145FB7"/>
    <w:rsid w:val="00146243"/>
    <w:rsid w:val="001463B3"/>
    <w:rsid w:val="00146767"/>
    <w:rsid w:val="00146E07"/>
    <w:rsid w:val="00147253"/>
    <w:rsid w:val="0014748A"/>
    <w:rsid w:val="00147559"/>
    <w:rsid w:val="0014774B"/>
    <w:rsid w:val="001478BA"/>
    <w:rsid w:val="00147A1C"/>
    <w:rsid w:val="00147CF6"/>
    <w:rsid w:val="00150945"/>
    <w:rsid w:val="001511A4"/>
    <w:rsid w:val="0015128D"/>
    <w:rsid w:val="00151343"/>
    <w:rsid w:val="00151539"/>
    <w:rsid w:val="001515F2"/>
    <w:rsid w:val="001516DB"/>
    <w:rsid w:val="00151BB3"/>
    <w:rsid w:val="00151CAF"/>
    <w:rsid w:val="00151E34"/>
    <w:rsid w:val="00151E44"/>
    <w:rsid w:val="00152902"/>
    <w:rsid w:val="001529BB"/>
    <w:rsid w:val="00152E56"/>
    <w:rsid w:val="001531EB"/>
    <w:rsid w:val="001532E5"/>
    <w:rsid w:val="001538D3"/>
    <w:rsid w:val="00153A3C"/>
    <w:rsid w:val="00153C7B"/>
    <w:rsid w:val="00153CB5"/>
    <w:rsid w:val="00153E1B"/>
    <w:rsid w:val="00154850"/>
    <w:rsid w:val="0015485C"/>
    <w:rsid w:val="001549DF"/>
    <w:rsid w:val="00154B63"/>
    <w:rsid w:val="00154CB3"/>
    <w:rsid w:val="00155117"/>
    <w:rsid w:val="001555D0"/>
    <w:rsid w:val="00155620"/>
    <w:rsid w:val="00155774"/>
    <w:rsid w:val="001559AA"/>
    <w:rsid w:val="00155DF1"/>
    <w:rsid w:val="0015602C"/>
    <w:rsid w:val="001566B3"/>
    <w:rsid w:val="00156B69"/>
    <w:rsid w:val="00156C7D"/>
    <w:rsid w:val="00156D13"/>
    <w:rsid w:val="00157260"/>
    <w:rsid w:val="001575D8"/>
    <w:rsid w:val="00157664"/>
    <w:rsid w:val="00157EBF"/>
    <w:rsid w:val="001600DF"/>
    <w:rsid w:val="00160180"/>
    <w:rsid w:val="001601F4"/>
    <w:rsid w:val="00160503"/>
    <w:rsid w:val="00161148"/>
    <w:rsid w:val="001611C8"/>
    <w:rsid w:val="00161230"/>
    <w:rsid w:val="00161444"/>
    <w:rsid w:val="0016149C"/>
    <w:rsid w:val="001614D8"/>
    <w:rsid w:val="00161A69"/>
    <w:rsid w:val="00161AEE"/>
    <w:rsid w:val="00161BFF"/>
    <w:rsid w:val="00162056"/>
    <w:rsid w:val="001622A4"/>
    <w:rsid w:val="001622D3"/>
    <w:rsid w:val="001625AE"/>
    <w:rsid w:val="0016293F"/>
    <w:rsid w:val="00162C0B"/>
    <w:rsid w:val="00162C1E"/>
    <w:rsid w:val="00162E48"/>
    <w:rsid w:val="00162F6A"/>
    <w:rsid w:val="0016323D"/>
    <w:rsid w:val="001632FB"/>
    <w:rsid w:val="0016343C"/>
    <w:rsid w:val="00163540"/>
    <w:rsid w:val="00163872"/>
    <w:rsid w:val="00163D7B"/>
    <w:rsid w:val="001645B6"/>
    <w:rsid w:val="0016485B"/>
    <w:rsid w:val="00164938"/>
    <w:rsid w:val="00164DAA"/>
    <w:rsid w:val="001652DE"/>
    <w:rsid w:val="0016539E"/>
    <w:rsid w:val="001655DC"/>
    <w:rsid w:val="00165947"/>
    <w:rsid w:val="00165C76"/>
    <w:rsid w:val="00165E0A"/>
    <w:rsid w:val="00166045"/>
    <w:rsid w:val="001661D3"/>
    <w:rsid w:val="00166288"/>
    <w:rsid w:val="00166316"/>
    <w:rsid w:val="00166319"/>
    <w:rsid w:val="001664CA"/>
    <w:rsid w:val="00166525"/>
    <w:rsid w:val="00166889"/>
    <w:rsid w:val="00166F92"/>
    <w:rsid w:val="00166FD0"/>
    <w:rsid w:val="001671CF"/>
    <w:rsid w:val="00167687"/>
    <w:rsid w:val="00167757"/>
    <w:rsid w:val="00167891"/>
    <w:rsid w:val="00167A99"/>
    <w:rsid w:val="00167E14"/>
    <w:rsid w:val="00167FAA"/>
    <w:rsid w:val="00167FBE"/>
    <w:rsid w:val="00167FDD"/>
    <w:rsid w:val="001703A0"/>
    <w:rsid w:val="00170636"/>
    <w:rsid w:val="00170967"/>
    <w:rsid w:val="00170991"/>
    <w:rsid w:val="00170A4B"/>
    <w:rsid w:val="00170C4B"/>
    <w:rsid w:val="00170E15"/>
    <w:rsid w:val="00170E70"/>
    <w:rsid w:val="001714BE"/>
    <w:rsid w:val="0017188E"/>
    <w:rsid w:val="00172B5C"/>
    <w:rsid w:val="00172E48"/>
    <w:rsid w:val="00172EC1"/>
    <w:rsid w:val="00173151"/>
    <w:rsid w:val="001731B5"/>
    <w:rsid w:val="00173AA4"/>
    <w:rsid w:val="001741AA"/>
    <w:rsid w:val="00174659"/>
    <w:rsid w:val="0017468B"/>
    <w:rsid w:val="001747FB"/>
    <w:rsid w:val="00174879"/>
    <w:rsid w:val="0017489B"/>
    <w:rsid w:val="00174B36"/>
    <w:rsid w:val="00174D35"/>
    <w:rsid w:val="0017508C"/>
    <w:rsid w:val="00175120"/>
    <w:rsid w:val="00175364"/>
    <w:rsid w:val="00175805"/>
    <w:rsid w:val="00175897"/>
    <w:rsid w:val="00175ABF"/>
    <w:rsid w:val="00175B59"/>
    <w:rsid w:val="00175DBA"/>
    <w:rsid w:val="00175FBA"/>
    <w:rsid w:val="0017600F"/>
    <w:rsid w:val="00176AEB"/>
    <w:rsid w:val="00176C6D"/>
    <w:rsid w:val="00176F23"/>
    <w:rsid w:val="00176F52"/>
    <w:rsid w:val="001770F1"/>
    <w:rsid w:val="001772A7"/>
    <w:rsid w:val="001772ED"/>
    <w:rsid w:val="001774BC"/>
    <w:rsid w:val="00177771"/>
    <w:rsid w:val="0018016F"/>
    <w:rsid w:val="00180192"/>
    <w:rsid w:val="00180464"/>
    <w:rsid w:val="00180934"/>
    <w:rsid w:val="00180A46"/>
    <w:rsid w:val="00180B19"/>
    <w:rsid w:val="00180B4B"/>
    <w:rsid w:val="00180F58"/>
    <w:rsid w:val="00181180"/>
    <w:rsid w:val="00181555"/>
    <w:rsid w:val="00181A1C"/>
    <w:rsid w:val="00182103"/>
    <w:rsid w:val="00182252"/>
    <w:rsid w:val="00182278"/>
    <w:rsid w:val="0018239D"/>
    <w:rsid w:val="001823B9"/>
    <w:rsid w:val="00182A18"/>
    <w:rsid w:val="00182B9D"/>
    <w:rsid w:val="0018350C"/>
    <w:rsid w:val="001835AA"/>
    <w:rsid w:val="001836BE"/>
    <w:rsid w:val="00183ACA"/>
    <w:rsid w:val="00183E53"/>
    <w:rsid w:val="00184420"/>
    <w:rsid w:val="00184632"/>
    <w:rsid w:val="00184694"/>
    <w:rsid w:val="001846E4"/>
    <w:rsid w:val="00184CF3"/>
    <w:rsid w:val="00184EBC"/>
    <w:rsid w:val="00184ED8"/>
    <w:rsid w:val="00185048"/>
    <w:rsid w:val="001850DC"/>
    <w:rsid w:val="001857BC"/>
    <w:rsid w:val="00185A57"/>
    <w:rsid w:val="00185DEC"/>
    <w:rsid w:val="00185F1A"/>
    <w:rsid w:val="00186029"/>
    <w:rsid w:val="00186163"/>
    <w:rsid w:val="001865C8"/>
    <w:rsid w:val="0018668E"/>
    <w:rsid w:val="00186FBF"/>
    <w:rsid w:val="001871F1"/>
    <w:rsid w:val="001872AF"/>
    <w:rsid w:val="0018754B"/>
    <w:rsid w:val="00187799"/>
    <w:rsid w:val="00187BC3"/>
    <w:rsid w:val="00187D5A"/>
    <w:rsid w:val="00187FD8"/>
    <w:rsid w:val="00190007"/>
    <w:rsid w:val="00190077"/>
    <w:rsid w:val="00190122"/>
    <w:rsid w:val="00190333"/>
    <w:rsid w:val="001906DB"/>
    <w:rsid w:val="0019079B"/>
    <w:rsid w:val="00190B27"/>
    <w:rsid w:val="001910F4"/>
    <w:rsid w:val="00191101"/>
    <w:rsid w:val="00191237"/>
    <w:rsid w:val="0019150C"/>
    <w:rsid w:val="00191515"/>
    <w:rsid w:val="00191A4B"/>
    <w:rsid w:val="0019207F"/>
    <w:rsid w:val="00192220"/>
    <w:rsid w:val="00192293"/>
    <w:rsid w:val="00192578"/>
    <w:rsid w:val="001927F0"/>
    <w:rsid w:val="00192880"/>
    <w:rsid w:val="00192953"/>
    <w:rsid w:val="00192E96"/>
    <w:rsid w:val="00192F98"/>
    <w:rsid w:val="00193846"/>
    <w:rsid w:val="0019395E"/>
    <w:rsid w:val="00193A14"/>
    <w:rsid w:val="00193A4B"/>
    <w:rsid w:val="00193CF7"/>
    <w:rsid w:val="00193D54"/>
    <w:rsid w:val="00194384"/>
    <w:rsid w:val="0019478E"/>
    <w:rsid w:val="00194DAF"/>
    <w:rsid w:val="001952AD"/>
    <w:rsid w:val="00195425"/>
    <w:rsid w:val="001957DF"/>
    <w:rsid w:val="00195940"/>
    <w:rsid w:val="001959E9"/>
    <w:rsid w:val="00196194"/>
    <w:rsid w:val="00196468"/>
    <w:rsid w:val="00196693"/>
    <w:rsid w:val="0019672E"/>
    <w:rsid w:val="001967B2"/>
    <w:rsid w:val="00196AB3"/>
    <w:rsid w:val="00196C94"/>
    <w:rsid w:val="00196D70"/>
    <w:rsid w:val="001971CB"/>
    <w:rsid w:val="0019720C"/>
    <w:rsid w:val="001977AD"/>
    <w:rsid w:val="001977EB"/>
    <w:rsid w:val="00197974"/>
    <w:rsid w:val="00197AB3"/>
    <w:rsid w:val="00197AD3"/>
    <w:rsid w:val="00197D65"/>
    <w:rsid w:val="001A009D"/>
    <w:rsid w:val="001A047F"/>
    <w:rsid w:val="001A0668"/>
    <w:rsid w:val="001A081D"/>
    <w:rsid w:val="001A0B49"/>
    <w:rsid w:val="001A0D3B"/>
    <w:rsid w:val="001A0DEB"/>
    <w:rsid w:val="001A11E5"/>
    <w:rsid w:val="001A13B6"/>
    <w:rsid w:val="001A14D5"/>
    <w:rsid w:val="001A176F"/>
    <w:rsid w:val="001A19E6"/>
    <w:rsid w:val="001A1B79"/>
    <w:rsid w:val="001A2017"/>
    <w:rsid w:val="001A20C6"/>
    <w:rsid w:val="001A22C1"/>
    <w:rsid w:val="001A2616"/>
    <w:rsid w:val="001A28FB"/>
    <w:rsid w:val="001A2902"/>
    <w:rsid w:val="001A2E37"/>
    <w:rsid w:val="001A302B"/>
    <w:rsid w:val="001A3039"/>
    <w:rsid w:val="001A332E"/>
    <w:rsid w:val="001A34D7"/>
    <w:rsid w:val="001A34E1"/>
    <w:rsid w:val="001A35D8"/>
    <w:rsid w:val="001A3A0A"/>
    <w:rsid w:val="001A3E2B"/>
    <w:rsid w:val="001A3F3F"/>
    <w:rsid w:val="001A41BF"/>
    <w:rsid w:val="001A457C"/>
    <w:rsid w:val="001A477A"/>
    <w:rsid w:val="001A4955"/>
    <w:rsid w:val="001A4AAD"/>
    <w:rsid w:val="001A4C85"/>
    <w:rsid w:val="001A4D76"/>
    <w:rsid w:val="001A5199"/>
    <w:rsid w:val="001A57C1"/>
    <w:rsid w:val="001A59C2"/>
    <w:rsid w:val="001A5AFA"/>
    <w:rsid w:val="001A5E2F"/>
    <w:rsid w:val="001A67D1"/>
    <w:rsid w:val="001A702E"/>
    <w:rsid w:val="001A7295"/>
    <w:rsid w:val="001A749C"/>
    <w:rsid w:val="001A7AAD"/>
    <w:rsid w:val="001B000F"/>
    <w:rsid w:val="001B01CB"/>
    <w:rsid w:val="001B07B9"/>
    <w:rsid w:val="001B0ADE"/>
    <w:rsid w:val="001B10B4"/>
    <w:rsid w:val="001B1426"/>
    <w:rsid w:val="001B15BA"/>
    <w:rsid w:val="001B16A1"/>
    <w:rsid w:val="001B1A43"/>
    <w:rsid w:val="001B1C0F"/>
    <w:rsid w:val="001B20F5"/>
    <w:rsid w:val="001B28C7"/>
    <w:rsid w:val="001B29BC"/>
    <w:rsid w:val="001B2A8B"/>
    <w:rsid w:val="001B3221"/>
    <w:rsid w:val="001B374A"/>
    <w:rsid w:val="001B3775"/>
    <w:rsid w:val="001B3AD8"/>
    <w:rsid w:val="001B3C04"/>
    <w:rsid w:val="001B3DFA"/>
    <w:rsid w:val="001B43F9"/>
    <w:rsid w:val="001B4695"/>
    <w:rsid w:val="001B472B"/>
    <w:rsid w:val="001B4B8C"/>
    <w:rsid w:val="001B4C0B"/>
    <w:rsid w:val="001B5070"/>
    <w:rsid w:val="001B52C9"/>
    <w:rsid w:val="001B5337"/>
    <w:rsid w:val="001B53BC"/>
    <w:rsid w:val="001B57BC"/>
    <w:rsid w:val="001B599E"/>
    <w:rsid w:val="001B5A78"/>
    <w:rsid w:val="001B5BC6"/>
    <w:rsid w:val="001B5C3F"/>
    <w:rsid w:val="001B5CAF"/>
    <w:rsid w:val="001B5D80"/>
    <w:rsid w:val="001B68EE"/>
    <w:rsid w:val="001B6B0B"/>
    <w:rsid w:val="001B7735"/>
    <w:rsid w:val="001B775D"/>
    <w:rsid w:val="001B7B68"/>
    <w:rsid w:val="001C01C8"/>
    <w:rsid w:val="001C061E"/>
    <w:rsid w:val="001C093D"/>
    <w:rsid w:val="001C0A40"/>
    <w:rsid w:val="001C0F4B"/>
    <w:rsid w:val="001C0FBC"/>
    <w:rsid w:val="001C129F"/>
    <w:rsid w:val="001C14A7"/>
    <w:rsid w:val="001C164B"/>
    <w:rsid w:val="001C1A81"/>
    <w:rsid w:val="001C1BB0"/>
    <w:rsid w:val="001C1F72"/>
    <w:rsid w:val="001C218A"/>
    <w:rsid w:val="001C2213"/>
    <w:rsid w:val="001C22EF"/>
    <w:rsid w:val="001C26B8"/>
    <w:rsid w:val="001C2A4B"/>
    <w:rsid w:val="001C2C8A"/>
    <w:rsid w:val="001C2E71"/>
    <w:rsid w:val="001C395B"/>
    <w:rsid w:val="001C3C2C"/>
    <w:rsid w:val="001C3EAB"/>
    <w:rsid w:val="001C3F7C"/>
    <w:rsid w:val="001C51E1"/>
    <w:rsid w:val="001C5236"/>
    <w:rsid w:val="001C5EF4"/>
    <w:rsid w:val="001C5F64"/>
    <w:rsid w:val="001C6181"/>
    <w:rsid w:val="001C6347"/>
    <w:rsid w:val="001C6CA2"/>
    <w:rsid w:val="001C736C"/>
    <w:rsid w:val="001C76F8"/>
    <w:rsid w:val="001C78BB"/>
    <w:rsid w:val="001C7A5F"/>
    <w:rsid w:val="001C7B4E"/>
    <w:rsid w:val="001D0426"/>
    <w:rsid w:val="001D07C1"/>
    <w:rsid w:val="001D0D4A"/>
    <w:rsid w:val="001D0DC3"/>
    <w:rsid w:val="001D1045"/>
    <w:rsid w:val="001D1158"/>
    <w:rsid w:val="001D169B"/>
    <w:rsid w:val="001D169D"/>
    <w:rsid w:val="001D2416"/>
    <w:rsid w:val="001D2568"/>
    <w:rsid w:val="001D2588"/>
    <w:rsid w:val="001D2592"/>
    <w:rsid w:val="001D2613"/>
    <w:rsid w:val="001D26FF"/>
    <w:rsid w:val="001D2AA4"/>
    <w:rsid w:val="001D2C5F"/>
    <w:rsid w:val="001D2F3F"/>
    <w:rsid w:val="001D3155"/>
    <w:rsid w:val="001D35C0"/>
    <w:rsid w:val="001D3A04"/>
    <w:rsid w:val="001D3A08"/>
    <w:rsid w:val="001D3C3A"/>
    <w:rsid w:val="001D4112"/>
    <w:rsid w:val="001D4279"/>
    <w:rsid w:val="001D436A"/>
    <w:rsid w:val="001D447C"/>
    <w:rsid w:val="001D4832"/>
    <w:rsid w:val="001D4AD4"/>
    <w:rsid w:val="001D4E3C"/>
    <w:rsid w:val="001D5006"/>
    <w:rsid w:val="001D5683"/>
    <w:rsid w:val="001D58AB"/>
    <w:rsid w:val="001D5C63"/>
    <w:rsid w:val="001D5CF9"/>
    <w:rsid w:val="001D5E51"/>
    <w:rsid w:val="001D67A1"/>
    <w:rsid w:val="001D6B45"/>
    <w:rsid w:val="001D6D6E"/>
    <w:rsid w:val="001D744B"/>
    <w:rsid w:val="001D7AFE"/>
    <w:rsid w:val="001E0000"/>
    <w:rsid w:val="001E03DC"/>
    <w:rsid w:val="001E079A"/>
    <w:rsid w:val="001E081F"/>
    <w:rsid w:val="001E08DA"/>
    <w:rsid w:val="001E0C86"/>
    <w:rsid w:val="001E0EDB"/>
    <w:rsid w:val="001E158F"/>
    <w:rsid w:val="001E15E8"/>
    <w:rsid w:val="001E16E4"/>
    <w:rsid w:val="001E16FF"/>
    <w:rsid w:val="001E1B40"/>
    <w:rsid w:val="001E1D16"/>
    <w:rsid w:val="001E1F17"/>
    <w:rsid w:val="001E24EA"/>
    <w:rsid w:val="001E2626"/>
    <w:rsid w:val="001E2EF1"/>
    <w:rsid w:val="001E2F57"/>
    <w:rsid w:val="001E3923"/>
    <w:rsid w:val="001E398F"/>
    <w:rsid w:val="001E414B"/>
    <w:rsid w:val="001E41FD"/>
    <w:rsid w:val="001E4295"/>
    <w:rsid w:val="001E46EB"/>
    <w:rsid w:val="001E4755"/>
    <w:rsid w:val="001E4804"/>
    <w:rsid w:val="001E4A77"/>
    <w:rsid w:val="001E4BE4"/>
    <w:rsid w:val="001E4C5D"/>
    <w:rsid w:val="001E4E6B"/>
    <w:rsid w:val="001E4ECD"/>
    <w:rsid w:val="001E4F73"/>
    <w:rsid w:val="001E51F7"/>
    <w:rsid w:val="001E531B"/>
    <w:rsid w:val="001E54C0"/>
    <w:rsid w:val="001E551F"/>
    <w:rsid w:val="001E5D07"/>
    <w:rsid w:val="001E5DAC"/>
    <w:rsid w:val="001E5EE0"/>
    <w:rsid w:val="001E6089"/>
    <w:rsid w:val="001E6682"/>
    <w:rsid w:val="001E67C4"/>
    <w:rsid w:val="001E6CB1"/>
    <w:rsid w:val="001E6DBB"/>
    <w:rsid w:val="001E6ED8"/>
    <w:rsid w:val="001E7779"/>
    <w:rsid w:val="001E779F"/>
    <w:rsid w:val="001E79F6"/>
    <w:rsid w:val="001E7A0A"/>
    <w:rsid w:val="001E7B66"/>
    <w:rsid w:val="001E7BB8"/>
    <w:rsid w:val="001E7D97"/>
    <w:rsid w:val="001E7DDE"/>
    <w:rsid w:val="001E7FE4"/>
    <w:rsid w:val="001F0235"/>
    <w:rsid w:val="001F0698"/>
    <w:rsid w:val="001F0F79"/>
    <w:rsid w:val="001F1597"/>
    <w:rsid w:val="001F173C"/>
    <w:rsid w:val="001F196B"/>
    <w:rsid w:val="001F19CD"/>
    <w:rsid w:val="001F1ABC"/>
    <w:rsid w:val="001F1ABF"/>
    <w:rsid w:val="001F1DAA"/>
    <w:rsid w:val="001F1EBF"/>
    <w:rsid w:val="001F1F6F"/>
    <w:rsid w:val="001F21EC"/>
    <w:rsid w:val="001F263A"/>
    <w:rsid w:val="001F3366"/>
    <w:rsid w:val="001F352E"/>
    <w:rsid w:val="001F38D3"/>
    <w:rsid w:val="001F3908"/>
    <w:rsid w:val="001F39AA"/>
    <w:rsid w:val="001F39B8"/>
    <w:rsid w:val="001F3BD1"/>
    <w:rsid w:val="001F3E60"/>
    <w:rsid w:val="001F3E90"/>
    <w:rsid w:val="001F3EF9"/>
    <w:rsid w:val="001F4907"/>
    <w:rsid w:val="001F5063"/>
    <w:rsid w:val="001F51B8"/>
    <w:rsid w:val="001F5233"/>
    <w:rsid w:val="001F53EF"/>
    <w:rsid w:val="001F573B"/>
    <w:rsid w:val="001F5C30"/>
    <w:rsid w:val="001F5C37"/>
    <w:rsid w:val="001F5EA0"/>
    <w:rsid w:val="001F60A2"/>
    <w:rsid w:val="001F6211"/>
    <w:rsid w:val="001F6302"/>
    <w:rsid w:val="001F64D7"/>
    <w:rsid w:val="001F6630"/>
    <w:rsid w:val="001F66D3"/>
    <w:rsid w:val="001F6C99"/>
    <w:rsid w:val="001F6D61"/>
    <w:rsid w:val="001F7077"/>
    <w:rsid w:val="001F70B7"/>
    <w:rsid w:val="001F7282"/>
    <w:rsid w:val="001F7366"/>
    <w:rsid w:val="001F7498"/>
    <w:rsid w:val="001F7A25"/>
    <w:rsid w:val="001F7A72"/>
    <w:rsid w:val="001F7D1B"/>
    <w:rsid w:val="001F7D81"/>
    <w:rsid w:val="001F7DD3"/>
    <w:rsid w:val="002000EB"/>
    <w:rsid w:val="00200482"/>
    <w:rsid w:val="002005F7"/>
    <w:rsid w:val="00200A45"/>
    <w:rsid w:val="00200C03"/>
    <w:rsid w:val="00200EAC"/>
    <w:rsid w:val="00201193"/>
    <w:rsid w:val="0020164F"/>
    <w:rsid w:val="0020169C"/>
    <w:rsid w:val="00201D2E"/>
    <w:rsid w:val="002023EE"/>
    <w:rsid w:val="00202764"/>
    <w:rsid w:val="002027D0"/>
    <w:rsid w:val="00202FBE"/>
    <w:rsid w:val="00203061"/>
    <w:rsid w:val="002032D4"/>
    <w:rsid w:val="002033E6"/>
    <w:rsid w:val="002034BA"/>
    <w:rsid w:val="0020368C"/>
    <w:rsid w:val="002039D7"/>
    <w:rsid w:val="00203A47"/>
    <w:rsid w:val="00203B8B"/>
    <w:rsid w:val="00203C61"/>
    <w:rsid w:val="00204147"/>
    <w:rsid w:val="00204871"/>
    <w:rsid w:val="00204B6E"/>
    <w:rsid w:val="00204C24"/>
    <w:rsid w:val="00204C6A"/>
    <w:rsid w:val="002057AA"/>
    <w:rsid w:val="00205B5A"/>
    <w:rsid w:val="00205C76"/>
    <w:rsid w:val="002067D3"/>
    <w:rsid w:val="002068C9"/>
    <w:rsid w:val="00206BBF"/>
    <w:rsid w:val="00206E6F"/>
    <w:rsid w:val="00206E71"/>
    <w:rsid w:val="00207188"/>
    <w:rsid w:val="002073C2"/>
    <w:rsid w:val="0020766F"/>
    <w:rsid w:val="00207BC7"/>
    <w:rsid w:val="00207D65"/>
    <w:rsid w:val="00207E3F"/>
    <w:rsid w:val="00207EF4"/>
    <w:rsid w:val="002102EE"/>
    <w:rsid w:val="00210529"/>
    <w:rsid w:val="0021061A"/>
    <w:rsid w:val="00210DD3"/>
    <w:rsid w:val="00211045"/>
    <w:rsid w:val="00211046"/>
    <w:rsid w:val="0021106E"/>
    <w:rsid w:val="002110AB"/>
    <w:rsid w:val="00211448"/>
    <w:rsid w:val="00211886"/>
    <w:rsid w:val="00211BB7"/>
    <w:rsid w:val="00211DD6"/>
    <w:rsid w:val="00211EC0"/>
    <w:rsid w:val="00211EF1"/>
    <w:rsid w:val="00212367"/>
    <w:rsid w:val="00212661"/>
    <w:rsid w:val="00212680"/>
    <w:rsid w:val="00212843"/>
    <w:rsid w:val="00212C22"/>
    <w:rsid w:val="00212E55"/>
    <w:rsid w:val="00213575"/>
    <w:rsid w:val="0021357B"/>
    <w:rsid w:val="002142A5"/>
    <w:rsid w:val="0021442F"/>
    <w:rsid w:val="00214777"/>
    <w:rsid w:val="0021532E"/>
    <w:rsid w:val="00215554"/>
    <w:rsid w:val="00215733"/>
    <w:rsid w:val="0021587E"/>
    <w:rsid w:val="0021595C"/>
    <w:rsid w:val="00215F92"/>
    <w:rsid w:val="00215FC4"/>
    <w:rsid w:val="002161F6"/>
    <w:rsid w:val="002162AA"/>
    <w:rsid w:val="002164A9"/>
    <w:rsid w:val="002165F4"/>
    <w:rsid w:val="00216B91"/>
    <w:rsid w:val="00216FD0"/>
    <w:rsid w:val="0021710A"/>
    <w:rsid w:val="002171A4"/>
    <w:rsid w:val="00217739"/>
    <w:rsid w:val="00217777"/>
    <w:rsid w:val="00217AEE"/>
    <w:rsid w:val="00217C10"/>
    <w:rsid w:val="00217C8B"/>
    <w:rsid w:val="00217CFF"/>
    <w:rsid w:val="00217D70"/>
    <w:rsid w:val="00217F9A"/>
    <w:rsid w:val="002210D5"/>
    <w:rsid w:val="00221BAA"/>
    <w:rsid w:val="00221EF9"/>
    <w:rsid w:val="002222B9"/>
    <w:rsid w:val="002222D0"/>
    <w:rsid w:val="0022261E"/>
    <w:rsid w:val="002227FF"/>
    <w:rsid w:val="0022293C"/>
    <w:rsid w:val="00222B53"/>
    <w:rsid w:val="00223A96"/>
    <w:rsid w:val="00223EEC"/>
    <w:rsid w:val="00223F3A"/>
    <w:rsid w:val="002244F6"/>
    <w:rsid w:val="002244FD"/>
    <w:rsid w:val="0022476B"/>
    <w:rsid w:val="0022497A"/>
    <w:rsid w:val="00224A5E"/>
    <w:rsid w:val="00224BE7"/>
    <w:rsid w:val="00224C9A"/>
    <w:rsid w:val="00224DAB"/>
    <w:rsid w:val="00224DC1"/>
    <w:rsid w:val="00224E8B"/>
    <w:rsid w:val="00225129"/>
    <w:rsid w:val="00225162"/>
    <w:rsid w:val="0022535F"/>
    <w:rsid w:val="002255D9"/>
    <w:rsid w:val="002257B0"/>
    <w:rsid w:val="00225A63"/>
    <w:rsid w:val="00225B5B"/>
    <w:rsid w:val="00226403"/>
    <w:rsid w:val="00226461"/>
    <w:rsid w:val="00226679"/>
    <w:rsid w:val="00226782"/>
    <w:rsid w:val="0022681D"/>
    <w:rsid w:val="00226932"/>
    <w:rsid w:val="002269AE"/>
    <w:rsid w:val="00226C3E"/>
    <w:rsid w:val="00226F42"/>
    <w:rsid w:val="002272AB"/>
    <w:rsid w:val="002273A6"/>
    <w:rsid w:val="002273C1"/>
    <w:rsid w:val="002274CB"/>
    <w:rsid w:val="00227555"/>
    <w:rsid w:val="00227C0D"/>
    <w:rsid w:val="002300AE"/>
    <w:rsid w:val="00230515"/>
    <w:rsid w:val="00230ABF"/>
    <w:rsid w:val="00230D87"/>
    <w:rsid w:val="00230E55"/>
    <w:rsid w:val="002311C5"/>
    <w:rsid w:val="00231348"/>
    <w:rsid w:val="0023160E"/>
    <w:rsid w:val="002316C6"/>
    <w:rsid w:val="00231891"/>
    <w:rsid w:val="00231899"/>
    <w:rsid w:val="00231D89"/>
    <w:rsid w:val="00231DBD"/>
    <w:rsid w:val="00231F09"/>
    <w:rsid w:val="002320ED"/>
    <w:rsid w:val="0023242B"/>
    <w:rsid w:val="002328F7"/>
    <w:rsid w:val="00232989"/>
    <w:rsid w:val="00232A0F"/>
    <w:rsid w:val="00232A4E"/>
    <w:rsid w:val="00232B44"/>
    <w:rsid w:val="00232E01"/>
    <w:rsid w:val="002333FA"/>
    <w:rsid w:val="0023361F"/>
    <w:rsid w:val="00233786"/>
    <w:rsid w:val="002338C4"/>
    <w:rsid w:val="00233973"/>
    <w:rsid w:val="00233A50"/>
    <w:rsid w:val="00233B11"/>
    <w:rsid w:val="00233CB0"/>
    <w:rsid w:val="002344A7"/>
    <w:rsid w:val="002345A6"/>
    <w:rsid w:val="0023484E"/>
    <w:rsid w:val="00234B37"/>
    <w:rsid w:val="00234D9F"/>
    <w:rsid w:val="00234E78"/>
    <w:rsid w:val="00234E90"/>
    <w:rsid w:val="00234F0F"/>
    <w:rsid w:val="00235347"/>
    <w:rsid w:val="00235386"/>
    <w:rsid w:val="00235A66"/>
    <w:rsid w:val="00235E3D"/>
    <w:rsid w:val="00235EFE"/>
    <w:rsid w:val="0023612D"/>
    <w:rsid w:val="002361C6"/>
    <w:rsid w:val="0023622A"/>
    <w:rsid w:val="002363B1"/>
    <w:rsid w:val="00236C97"/>
    <w:rsid w:val="0023707F"/>
    <w:rsid w:val="00237263"/>
    <w:rsid w:val="0023747B"/>
    <w:rsid w:val="00237562"/>
    <w:rsid w:val="00237750"/>
    <w:rsid w:val="00237837"/>
    <w:rsid w:val="002378A6"/>
    <w:rsid w:val="00237F56"/>
    <w:rsid w:val="00240822"/>
    <w:rsid w:val="00240C21"/>
    <w:rsid w:val="00240CFE"/>
    <w:rsid w:val="002417D6"/>
    <w:rsid w:val="002417F9"/>
    <w:rsid w:val="00241BE0"/>
    <w:rsid w:val="00242210"/>
    <w:rsid w:val="00242821"/>
    <w:rsid w:val="00242B28"/>
    <w:rsid w:val="00242CF9"/>
    <w:rsid w:val="00242DBF"/>
    <w:rsid w:val="00243133"/>
    <w:rsid w:val="00243660"/>
    <w:rsid w:val="00243845"/>
    <w:rsid w:val="00243A79"/>
    <w:rsid w:val="00243B1E"/>
    <w:rsid w:val="00243FEA"/>
    <w:rsid w:val="002440C5"/>
    <w:rsid w:val="00244133"/>
    <w:rsid w:val="002443A9"/>
    <w:rsid w:val="00244441"/>
    <w:rsid w:val="002447BE"/>
    <w:rsid w:val="0024490E"/>
    <w:rsid w:val="00244B76"/>
    <w:rsid w:val="00244C69"/>
    <w:rsid w:val="002450DB"/>
    <w:rsid w:val="00245E94"/>
    <w:rsid w:val="00245ECC"/>
    <w:rsid w:val="0024644B"/>
    <w:rsid w:val="002464F7"/>
    <w:rsid w:val="00246755"/>
    <w:rsid w:val="00246AB1"/>
    <w:rsid w:val="00246CF4"/>
    <w:rsid w:val="002471C5"/>
    <w:rsid w:val="002472BB"/>
    <w:rsid w:val="002473BB"/>
    <w:rsid w:val="0024768D"/>
    <w:rsid w:val="00247972"/>
    <w:rsid w:val="00247D0F"/>
    <w:rsid w:val="002500FB"/>
    <w:rsid w:val="0025011B"/>
    <w:rsid w:val="00250697"/>
    <w:rsid w:val="00250829"/>
    <w:rsid w:val="00250956"/>
    <w:rsid w:val="00250E8C"/>
    <w:rsid w:val="0025170A"/>
    <w:rsid w:val="00251722"/>
    <w:rsid w:val="00251995"/>
    <w:rsid w:val="00251B16"/>
    <w:rsid w:val="00251C42"/>
    <w:rsid w:val="0025247C"/>
    <w:rsid w:val="0025254B"/>
    <w:rsid w:val="00252594"/>
    <w:rsid w:val="00252F1D"/>
    <w:rsid w:val="002534FD"/>
    <w:rsid w:val="002538CC"/>
    <w:rsid w:val="00253E7F"/>
    <w:rsid w:val="002544E4"/>
    <w:rsid w:val="002546FF"/>
    <w:rsid w:val="00254781"/>
    <w:rsid w:val="002548DD"/>
    <w:rsid w:val="002552A6"/>
    <w:rsid w:val="00255637"/>
    <w:rsid w:val="00255B2E"/>
    <w:rsid w:val="00255F2B"/>
    <w:rsid w:val="00256025"/>
    <w:rsid w:val="0025636A"/>
    <w:rsid w:val="00256443"/>
    <w:rsid w:val="002564F9"/>
    <w:rsid w:val="00256A69"/>
    <w:rsid w:val="00256B46"/>
    <w:rsid w:val="00256C8A"/>
    <w:rsid w:val="00256CE8"/>
    <w:rsid w:val="00256D35"/>
    <w:rsid w:val="00256E1E"/>
    <w:rsid w:val="002575E0"/>
    <w:rsid w:val="002576EC"/>
    <w:rsid w:val="002576F9"/>
    <w:rsid w:val="0025771E"/>
    <w:rsid w:val="00257872"/>
    <w:rsid w:val="0025788D"/>
    <w:rsid w:val="00257E93"/>
    <w:rsid w:val="00257EA6"/>
    <w:rsid w:val="00257F9D"/>
    <w:rsid w:val="0026018C"/>
    <w:rsid w:val="002603B8"/>
    <w:rsid w:val="00260508"/>
    <w:rsid w:val="00260A10"/>
    <w:rsid w:val="00260A19"/>
    <w:rsid w:val="00260B0F"/>
    <w:rsid w:val="00260C44"/>
    <w:rsid w:val="00260D83"/>
    <w:rsid w:val="00261067"/>
    <w:rsid w:val="002610AB"/>
    <w:rsid w:val="002613A5"/>
    <w:rsid w:val="00261535"/>
    <w:rsid w:val="0026158D"/>
    <w:rsid w:val="00261836"/>
    <w:rsid w:val="00261967"/>
    <w:rsid w:val="0026196A"/>
    <w:rsid w:val="002619F6"/>
    <w:rsid w:val="00261BB8"/>
    <w:rsid w:val="002621B0"/>
    <w:rsid w:val="0026234A"/>
    <w:rsid w:val="0026240F"/>
    <w:rsid w:val="00262636"/>
    <w:rsid w:val="00262C3B"/>
    <w:rsid w:val="00262CF1"/>
    <w:rsid w:val="002630D5"/>
    <w:rsid w:val="0026356A"/>
    <w:rsid w:val="00263658"/>
    <w:rsid w:val="0026394E"/>
    <w:rsid w:val="002639B6"/>
    <w:rsid w:val="00263B7D"/>
    <w:rsid w:val="00263B9E"/>
    <w:rsid w:val="00263FA7"/>
    <w:rsid w:val="0026417C"/>
    <w:rsid w:val="002641E5"/>
    <w:rsid w:val="002645E0"/>
    <w:rsid w:val="0026467D"/>
    <w:rsid w:val="002646BC"/>
    <w:rsid w:val="002646FF"/>
    <w:rsid w:val="00264C37"/>
    <w:rsid w:val="00264C3C"/>
    <w:rsid w:val="00264CEF"/>
    <w:rsid w:val="00264D1C"/>
    <w:rsid w:val="00264E53"/>
    <w:rsid w:val="002651C4"/>
    <w:rsid w:val="002652E2"/>
    <w:rsid w:val="0026533A"/>
    <w:rsid w:val="00265594"/>
    <w:rsid w:val="002656E7"/>
    <w:rsid w:val="00265A7E"/>
    <w:rsid w:val="00265EA9"/>
    <w:rsid w:val="002660E7"/>
    <w:rsid w:val="00266427"/>
    <w:rsid w:val="00266896"/>
    <w:rsid w:val="0026698A"/>
    <w:rsid w:val="00266A37"/>
    <w:rsid w:val="00266A4E"/>
    <w:rsid w:val="0026729C"/>
    <w:rsid w:val="00267403"/>
    <w:rsid w:val="00267745"/>
    <w:rsid w:val="0026788C"/>
    <w:rsid w:val="00267F05"/>
    <w:rsid w:val="00267F3A"/>
    <w:rsid w:val="002700CC"/>
    <w:rsid w:val="002703EE"/>
    <w:rsid w:val="00270486"/>
    <w:rsid w:val="002706CB"/>
    <w:rsid w:val="00270B1C"/>
    <w:rsid w:val="00270BA6"/>
    <w:rsid w:val="00270C84"/>
    <w:rsid w:val="00271495"/>
    <w:rsid w:val="00271BB0"/>
    <w:rsid w:val="00272239"/>
    <w:rsid w:val="0027254B"/>
    <w:rsid w:val="0027257D"/>
    <w:rsid w:val="0027272C"/>
    <w:rsid w:val="0027278D"/>
    <w:rsid w:val="002727F1"/>
    <w:rsid w:val="0027284A"/>
    <w:rsid w:val="002730D6"/>
    <w:rsid w:val="002732ED"/>
    <w:rsid w:val="002733D4"/>
    <w:rsid w:val="00273455"/>
    <w:rsid w:val="0027349E"/>
    <w:rsid w:val="00273798"/>
    <w:rsid w:val="0027381D"/>
    <w:rsid w:val="0027386A"/>
    <w:rsid w:val="00273BEF"/>
    <w:rsid w:val="00273E63"/>
    <w:rsid w:val="002741FE"/>
    <w:rsid w:val="002743FA"/>
    <w:rsid w:val="0027447F"/>
    <w:rsid w:val="00274620"/>
    <w:rsid w:val="00274BBB"/>
    <w:rsid w:val="00274EB7"/>
    <w:rsid w:val="0027566E"/>
    <w:rsid w:val="00275A35"/>
    <w:rsid w:val="00275D3C"/>
    <w:rsid w:val="00275D68"/>
    <w:rsid w:val="00276171"/>
    <w:rsid w:val="0027636B"/>
    <w:rsid w:val="00276900"/>
    <w:rsid w:val="00276C62"/>
    <w:rsid w:val="0027710B"/>
    <w:rsid w:val="0027728D"/>
    <w:rsid w:val="00277339"/>
    <w:rsid w:val="0027752A"/>
    <w:rsid w:val="002776BD"/>
    <w:rsid w:val="00277C1C"/>
    <w:rsid w:val="00277D4A"/>
    <w:rsid w:val="00277E37"/>
    <w:rsid w:val="00277E82"/>
    <w:rsid w:val="00277F14"/>
    <w:rsid w:val="00280061"/>
    <w:rsid w:val="00280377"/>
    <w:rsid w:val="002804AC"/>
    <w:rsid w:val="002804DC"/>
    <w:rsid w:val="002804EB"/>
    <w:rsid w:val="00280777"/>
    <w:rsid w:val="00280956"/>
    <w:rsid w:val="00281059"/>
    <w:rsid w:val="00281554"/>
    <w:rsid w:val="00281A05"/>
    <w:rsid w:val="00281B16"/>
    <w:rsid w:val="00281C4A"/>
    <w:rsid w:val="00282045"/>
    <w:rsid w:val="00282236"/>
    <w:rsid w:val="002825F3"/>
    <w:rsid w:val="002828FD"/>
    <w:rsid w:val="00282B71"/>
    <w:rsid w:val="00283377"/>
    <w:rsid w:val="00283881"/>
    <w:rsid w:val="00283AE9"/>
    <w:rsid w:val="002840A3"/>
    <w:rsid w:val="00284AB7"/>
    <w:rsid w:val="00284D53"/>
    <w:rsid w:val="00284FBC"/>
    <w:rsid w:val="002850DB"/>
    <w:rsid w:val="00285848"/>
    <w:rsid w:val="00285BF0"/>
    <w:rsid w:val="00285D73"/>
    <w:rsid w:val="00285F5C"/>
    <w:rsid w:val="002862AB"/>
    <w:rsid w:val="002862DE"/>
    <w:rsid w:val="0028646A"/>
    <w:rsid w:val="002864C7"/>
    <w:rsid w:val="002865EA"/>
    <w:rsid w:val="002869BD"/>
    <w:rsid w:val="00286A21"/>
    <w:rsid w:val="00286CAA"/>
    <w:rsid w:val="00286CFA"/>
    <w:rsid w:val="00286DC8"/>
    <w:rsid w:val="00287290"/>
    <w:rsid w:val="00287435"/>
    <w:rsid w:val="0028777D"/>
    <w:rsid w:val="002879FC"/>
    <w:rsid w:val="00287C9D"/>
    <w:rsid w:val="00290025"/>
    <w:rsid w:val="00290211"/>
    <w:rsid w:val="00290289"/>
    <w:rsid w:val="00290DD8"/>
    <w:rsid w:val="00291024"/>
    <w:rsid w:val="002916B9"/>
    <w:rsid w:val="00291C9A"/>
    <w:rsid w:val="00291DFA"/>
    <w:rsid w:val="0029200F"/>
    <w:rsid w:val="00292244"/>
    <w:rsid w:val="002925B2"/>
    <w:rsid w:val="00292686"/>
    <w:rsid w:val="00292729"/>
    <w:rsid w:val="00292A04"/>
    <w:rsid w:val="00292E42"/>
    <w:rsid w:val="002930F0"/>
    <w:rsid w:val="0029317C"/>
    <w:rsid w:val="00293561"/>
    <w:rsid w:val="00293791"/>
    <w:rsid w:val="00293972"/>
    <w:rsid w:val="002939A1"/>
    <w:rsid w:val="00293E11"/>
    <w:rsid w:val="00293F69"/>
    <w:rsid w:val="00293FE1"/>
    <w:rsid w:val="00294271"/>
    <w:rsid w:val="0029428F"/>
    <w:rsid w:val="002943C8"/>
    <w:rsid w:val="002943D6"/>
    <w:rsid w:val="00294A67"/>
    <w:rsid w:val="00294CC4"/>
    <w:rsid w:val="00294DB4"/>
    <w:rsid w:val="00294E55"/>
    <w:rsid w:val="00294E58"/>
    <w:rsid w:val="00294EAB"/>
    <w:rsid w:val="002957D8"/>
    <w:rsid w:val="0029581D"/>
    <w:rsid w:val="00295CEA"/>
    <w:rsid w:val="0029661E"/>
    <w:rsid w:val="002967B4"/>
    <w:rsid w:val="002968B2"/>
    <w:rsid w:val="00296AA9"/>
    <w:rsid w:val="00296BFD"/>
    <w:rsid w:val="00296CA0"/>
    <w:rsid w:val="00296DA2"/>
    <w:rsid w:val="00296E94"/>
    <w:rsid w:val="0029700A"/>
    <w:rsid w:val="00297699"/>
    <w:rsid w:val="00297761"/>
    <w:rsid w:val="00297796"/>
    <w:rsid w:val="002978BE"/>
    <w:rsid w:val="00297B9F"/>
    <w:rsid w:val="002A0086"/>
    <w:rsid w:val="002A0242"/>
    <w:rsid w:val="002A0333"/>
    <w:rsid w:val="002A0347"/>
    <w:rsid w:val="002A05DD"/>
    <w:rsid w:val="002A0A1D"/>
    <w:rsid w:val="002A3035"/>
    <w:rsid w:val="002A373D"/>
    <w:rsid w:val="002A3B3A"/>
    <w:rsid w:val="002A3DE5"/>
    <w:rsid w:val="002A3E42"/>
    <w:rsid w:val="002A3E54"/>
    <w:rsid w:val="002A3E7C"/>
    <w:rsid w:val="002A3EE0"/>
    <w:rsid w:val="002A44A4"/>
    <w:rsid w:val="002A4657"/>
    <w:rsid w:val="002A484E"/>
    <w:rsid w:val="002A4A7F"/>
    <w:rsid w:val="002A5365"/>
    <w:rsid w:val="002A55BA"/>
    <w:rsid w:val="002A582E"/>
    <w:rsid w:val="002A5EB4"/>
    <w:rsid w:val="002A5EDB"/>
    <w:rsid w:val="002A5F55"/>
    <w:rsid w:val="002A629A"/>
    <w:rsid w:val="002A670F"/>
    <w:rsid w:val="002A6718"/>
    <w:rsid w:val="002A6EF8"/>
    <w:rsid w:val="002A71D5"/>
    <w:rsid w:val="002A73AA"/>
    <w:rsid w:val="002A7690"/>
    <w:rsid w:val="002A77F6"/>
    <w:rsid w:val="002A794C"/>
    <w:rsid w:val="002A7D91"/>
    <w:rsid w:val="002A7EC9"/>
    <w:rsid w:val="002B0249"/>
    <w:rsid w:val="002B03F7"/>
    <w:rsid w:val="002B042A"/>
    <w:rsid w:val="002B0804"/>
    <w:rsid w:val="002B0CB4"/>
    <w:rsid w:val="002B113A"/>
    <w:rsid w:val="002B1243"/>
    <w:rsid w:val="002B130B"/>
    <w:rsid w:val="002B1735"/>
    <w:rsid w:val="002B1812"/>
    <w:rsid w:val="002B189F"/>
    <w:rsid w:val="002B19E9"/>
    <w:rsid w:val="002B1B82"/>
    <w:rsid w:val="002B1BC2"/>
    <w:rsid w:val="002B25FB"/>
    <w:rsid w:val="002B2BBB"/>
    <w:rsid w:val="002B2E17"/>
    <w:rsid w:val="002B2EEA"/>
    <w:rsid w:val="002B3064"/>
    <w:rsid w:val="002B323E"/>
    <w:rsid w:val="002B326E"/>
    <w:rsid w:val="002B3352"/>
    <w:rsid w:val="002B34FF"/>
    <w:rsid w:val="002B36A3"/>
    <w:rsid w:val="002B36D2"/>
    <w:rsid w:val="002B3890"/>
    <w:rsid w:val="002B3B93"/>
    <w:rsid w:val="002B3C30"/>
    <w:rsid w:val="002B3EB9"/>
    <w:rsid w:val="002B3F0F"/>
    <w:rsid w:val="002B4365"/>
    <w:rsid w:val="002B487A"/>
    <w:rsid w:val="002B4B55"/>
    <w:rsid w:val="002B4B86"/>
    <w:rsid w:val="002B4EA8"/>
    <w:rsid w:val="002B5075"/>
    <w:rsid w:val="002B5082"/>
    <w:rsid w:val="002B596F"/>
    <w:rsid w:val="002B5A11"/>
    <w:rsid w:val="002B5AE7"/>
    <w:rsid w:val="002B5B1A"/>
    <w:rsid w:val="002B5BCB"/>
    <w:rsid w:val="002B5D56"/>
    <w:rsid w:val="002B5E8B"/>
    <w:rsid w:val="002B5EAA"/>
    <w:rsid w:val="002B63AB"/>
    <w:rsid w:val="002B645E"/>
    <w:rsid w:val="002B658D"/>
    <w:rsid w:val="002B670D"/>
    <w:rsid w:val="002B67BE"/>
    <w:rsid w:val="002B67E5"/>
    <w:rsid w:val="002B6831"/>
    <w:rsid w:val="002B69BC"/>
    <w:rsid w:val="002B6F48"/>
    <w:rsid w:val="002B6F8C"/>
    <w:rsid w:val="002B706E"/>
    <w:rsid w:val="002B745C"/>
    <w:rsid w:val="002B7529"/>
    <w:rsid w:val="002B75CB"/>
    <w:rsid w:val="002B75EA"/>
    <w:rsid w:val="002B7983"/>
    <w:rsid w:val="002B7EBD"/>
    <w:rsid w:val="002B7F9C"/>
    <w:rsid w:val="002C0029"/>
    <w:rsid w:val="002C0080"/>
    <w:rsid w:val="002C0219"/>
    <w:rsid w:val="002C03CE"/>
    <w:rsid w:val="002C0E2C"/>
    <w:rsid w:val="002C0ECE"/>
    <w:rsid w:val="002C112A"/>
    <w:rsid w:val="002C13AE"/>
    <w:rsid w:val="002C17A3"/>
    <w:rsid w:val="002C1BD4"/>
    <w:rsid w:val="002C1C92"/>
    <w:rsid w:val="002C1FF9"/>
    <w:rsid w:val="002C2097"/>
    <w:rsid w:val="002C2730"/>
    <w:rsid w:val="002C28CD"/>
    <w:rsid w:val="002C28FB"/>
    <w:rsid w:val="002C29DD"/>
    <w:rsid w:val="002C2A92"/>
    <w:rsid w:val="002C2BAC"/>
    <w:rsid w:val="002C2FD9"/>
    <w:rsid w:val="002C3122"/>
    <w:rsid w:val="002C362C"/>
    <w:rsid w:val="002C3714"/>
    <w:rsid w:val="002C384C"/>
    <w:rsid w:val="002C421F"/>
    <w:rsid w:val="002C44A8"/>
    <w:rsid w:val="002C4BCB"/>
    <w:rsid w:val="002C4D2C"/>
    <w:rsid w:val="002C4F15"/>
    <w:rsid w:val="002C56AF"/>
    <w:rsid w:val="002C56CB"/>
    <w:rsid w:val="002C58F6"/>
    <w:rsid w:val="002C5BCB"/>
    <w:rsid w:val="002C5DBF"/>
    <w:rsid w:val="002C60B4"/>
    <w:rsid w:val="002C63C4"/>
    <w:rsid w:val="002C64C2"/>
    <w:rsid w:val="002C6517"/>
    <w:rsid w:val="002C6A7C"/>
    <w:rsid w:val="002C6AB6"/>
    <w:rsid w:val="002C6C39"/>
    <w:rsid w:val="002C6FAA"/>
    <w:rsid w:val="002C702C"/>
    <w:rsid w:val="002C71BF"/>
    <w:rsid w:val="002C77D8"/>
    <w:rsid w:val="002C7905"/>
    <w:rsid w:val="002C7A4F"/>
    <w:rsid w:val="002D0179"/>
    <w:rsid w:val="002D07EA"/>
    <w:rsid w:val="002D16D9"/>
    <w:rsid w:val="002D1ED1"/>
    <w:rsid w:val="002D1FE2"/>
    <w:rsid w:val="002D210C"/>
    <w:rsid w:val="002D23BF"/>
    <w:rsid w:val="002D2743"/>
    <w:rsid w:val="002D293F"/>
    <w:rsid w:val="002D2978"/>
    <w:rsid w:val="002D2D74"/>
    <w:rsid w:val="002D3487"/>
    <w:rsid w:val="002D377F"/>
    <w:rsid w:val="002D37B7"/>
    <w:rsid w:val="002D3D34"/>
    <w:rsid w:val="002D4006"/>
    <w:rsid w:val="002D40B9"/>
    <w:rsid w:val="002D4247"/>
    <w:rsid w:val="002D44D5"/>
    <w:rsid w:val="002D44FD"/>
    <w:rsid w:val="002D45C1"/>
    <w:rsid w:val="002D45DD"/>
    <w:rsid w:val="002D4D00"/>
    <w:rsid w:val="002D5472"/>
    <w:rsid w:val="002D6009"/>
    <w:rsid w:val="002D6341"/>
    <w:rsid w:val="002D639A"/>
    <w:rsid w:val="002D66F4"/>
    <w:rsid w:val="002D7C26"/>
    <w:rsid w:val="002E0461"/>
    <w:rsid w:val="002E0647"/>
    <w:rsid w:val="002E093F"/>
    <w:rsid w:val="002E09D6"/>
    <w:rsid w:val="002E0A08"/>
    <w:rsid w:val="002E0A17"/>
    <w:rsid w:val="002E0BFA"/>
    <w:rsid w:val="002E0E0F"/>
    <w:rsid w:val="002E167C"/>
    <w:rsid w:val="002E19CD"/>
    <w:rsid w:val="002E1E79"/>
    <w:rsid w:val="002E223A"/>
    <w:rsid w:val="002E225A"/>
    <w:rsid w:val="002E22F9"/>
    <w:rsid w:val="002E25EC"/>
    <w:rsid w:val="002E27E0"/>
    <w:rsid w:val="002E2DE9"/>
    <w:rsid w:val="002E31DA"/>
    <w:rsid w:val="002E35E0"/>
    <w:rsid w:val="002E39D2"/>
    <w:rsid w:val="002E3EB2"/>
    <w:rsid w:val="002E4450"/>
    <w:rsid w:val="002E478E"/>
    <w:rsid w:val="002E4DA4"/>
    <w:rsid w:val="002E525F"/>
    <w:rsid w:val="002E52A5"/>
    <w:rsid w:val="002E5442"/>
    <w:rsid w:val="002E54A7"/>
    <w:rsid w:val="002E5B42"/>
    <w:rsid w:val="002E5B75"/>
    <w:rsid w:val="002E5E0C"/>
    <w:rsid w:val="002E60B7"/>
    <w:rsid w:val="002E61C5"/>
    <w:rsid w:val="002E62E9"/>
    <w:rsid w:val="002E6345"/>
    <w:rsid w:val="002E6375"/>
    <w:rsid w:val="002E6590"/>
    <w:rsid w:val="002E663C"/>
    <w:rsid w:val="002E6B6F"/>
    <w:rsid w:val="002E73CC"/>
    <w:rsid w:val="002E7CF9"/>
    <w:rsid w:val="002F0113"/>
    <w:rsid w:val="002F0262"/>
    <w:rsid w:val="002F03F0"/>
    <w:rsid w:val="002F0420"/>
    <w:rsid w:val="002F06CA"/>
    <w:rsid w:val="002F0D34"/>
    <w:rsid w:val="002F0F72"/>
    <w:rsid w:val="002F1260"/>
    <w:rsid w:val="002F15C9"/>
    <w:rsid w:val="002F1774"/>
    <w:rsid w:val="002F17CD"/>
    <w:rsid w:val="002F1A01"/>
    <w:rsid w:val="002F1DAD"/>
    <w:rsid w:val="002F1EC3"/>
    <w:rsid w:val="002F1F01"/>
    <w:rsid w:val="002F204E"/>
    <w:rsid w:val="002F2062"/>
    <w:rsid w:val="002F2157"/>
    <w:rsid w:val="002F2215"/>
    <w:rsid w:val="002F2678"/>
    <w:rsid w:val="002F2796"/>
    <w:rsid w:val="002F27B8"/>
    <w:rsid w:val="002F28B7"/>
    <w:rsid w:val="002F2916"/>
    <w:rsid w:val="002F29DF"/>
    <w:rsid w:val="002F2A75"/>
    <w:rsid w:val="002F2C72"/>
    <w:rsid w:val="002F2D20"/>
    <w:rsid w:val="002F2DB7"/>
    <w:rsid w:val="002F2F67"/>
    <w:rsid w:val="002F31DC"/>
    <w:rsid w:val="002F3222"/>
    <w:rsid w:val="002F33E3"/>
    <w:rsid w:val="002F37DE"/>
    <w:rsid w:val="002F3B21"/>
    <w:rsid w:val="002F3D50"/>
    <w:rsid w:val="002F3DA7"/>
    <w:rsid w:val="002F4141"/>
    <w:rsid w:val="002F498C"/>
    <w:rsid w:val="002F4B13"/>
    <w:rsid w:val="002F4CF8"/>
    <w:rsid w:val="002F53DF"/>
    <w:rsid w:val="002F5748"/>
    <w:rsid w:val="002F57F2"/>
    <w:rsid w:val="002F5C44"/>
    <w:rsid w:val="002F5CD6"/>
    <w:rsid w:val="002F5E1F"/>
    <w:rsid w:val="002F5F9B"/>
    <w:rsid w:val="002F65D8"/>
    <w:rsid w:val="002F6827"/>
    <w:rsid w:val="002F68A4"/>
    <w:rsid w:val="002F7122"/>
    <w:rsid w:val="002F72FC"/>
    <w:rsid w:val="002F7538"/>
    <w:rsid w:val="002F7D08"/>
    <w:rsid w:val="002F7D8B"/>
    <w:rsid w:val="002F7ED7"/>
    <w:rsid w:val="0030043E"/>
    <w:rsid w:val="0030088A"/>
    <w:rsid w:val="0030190B"/>
    <w:rsid w:val="00301B1B"/>
    <w:rsid w:val="00301BFD"/>
    <w:rsid w:val="00301DD8"/>
    <w:rsid w:val="00301FF5"/>
    <w:rsid w:val="0030212F"/>
    <w:rsid w:val="0030234B"/>
    <w:rsid w:val="003026B2"/>
    <w:rsid w:val="00302A3F"/>
    <w:rsid w:val="00302AB6"/>
    <w:rsid w:val="00302FF0"/>
    <w:rsid w:val="0030302D"/>
    <w:rsid w:val="00303345"/>
    <w:rsid w:val="00303350"/>
    <w:rsid w:val="00303393"/>
    <w:rsid w:val="003033F3"/>
    <w:rsid w:val="003034EF"/>
    <w:rsid w:val="003037E8"/>
    <w:rsid w:val="003038BE"/>
    <w:rsid w:val="00303AD6"/>
    <w:rsid w:val="00303B74"/>
    <w:rsid w:val="003048AB"/>
    <w:rsid w:val="00304B86"/>
    <w:rsid w:val="00304E33"/>
    <w:rsid w:val="00304EC3"/>
    <w:rsid w:val="003051F6"/>
    <w:rsid w:val="0030522F"/>
    <w:rsid w:val="00305533"/>
    <w:rsid w:val="003055A0"/>
    <w:rsid w:val="003057A5"/>
    <w:rsid w:val="00305987"/>
    <w:rsid w:val="003059DE"/>
    <w:rsid w:val="00305B0B"/>
    <w:rsid w:val="00305F64"/>
    <w:rsid w:val="003061B5"/>
    <w:rsid w:val="0030648A"/>
    <w:rsid w:val="003072BE"/>
    <w:rsid w:val="00307485"/>
    <w:rsid w:val="003075F3"/>
    <w:rsid w:val="00307B6D"/>
    <w:rsid w:val="00307D3C"/>
    <w:rsid w:val="00307EA9"/>
    <w:rsid w:val="00307F9B"/>
    <w:rsid w:val="00310271"/>
    <w:rsid w:val="00310829"/>
    <w:rsid w:val="0031082C"/>
    <w:rsid w:val="003108B0"/>
    <w:rsid w:val="0031090A"/>
    <w:rsid w:val="00310C18"/>
    <w:rsid w:val="00311741"/>
    <w:rsid w:val="00311FF1"/>
    <w:rsid w:val="003122C6"/>
    <w:rsid w:val="00312636"/>
    <w:rsid w:val="0031271D"/>
    <w:rsid w:val="003128E3"/>
    <w:rsid w:val="00312A54"/>
    <w:rsid w:val="00313604"/>
    <w:rsid w:val="00313660"/>
    <w:rsid w:val="0031379D"/>
    <w:rsid w:val="003137B8"/>
    <w:rsid w:val="003138A5"/>
    <w:rsid w:val="00313A64"/>
    <w:rsid w:val="00313B75"/>
    <w:rsid w:val="00313B76"/>
    <w:rsid w:val="00313E32"/>
    <w:rsid w:val="003140F0"/>
    <w:rsid w:val="003143E5"/>
    <w:rsid w:val="00314DE9"/>
    <w:rsid w:val="00314E9E"/>
    <w:rsid w:val="00314F90"/>
    <w:rsid w:val="003154AB"/>
    <w:rsid w:val="00315554"/>
    <w:rsid w:val="003155AC"/>
    <w:rsid w:val="00315C41"/>
    <w:rsid w:val="00315EBD"/>
    <w:rsid w:val="00316068"/>
    <w:rsid w:val="00316E09"/>
    <w:rsid w:val="0031766A"/>
    <w:rsid w:val="003201D6"/>
    <w:rsid w:val="003202A8"/>
    <w:rsid w:val="003204A0"/>
    <w:rsid w:val="00320550"/>
    <w:rsid w:val="00320DF2"/>
    <w:rsid w:val="00320E3E"/>
    <w:rsid w:val="00320E8D"/>
    <w:rsid w:val="00321335"/>
    <w:rsid w:val="003213E1"/>
    <w:rsid w:val="00321E0F"/>
    <w:rsid w:val="00322154"/>
    <w:rsid w:val="003223E5"/>
    <w:rsid w:val="003227AE"/>
    <w:rsid w:val="003229E3"/>
    <w:rsid w:val="00322CF8"/>
    <w:rsid w:val="00322DFE"/>
    <w:rsid w:val="0032303F"/>
    <w:rsid w:val="003230EF"/>
    <w:rsid w:val="00323185"/>
    <w:rsid w:val="00323712"/>
    <w:rsid w:val="00323F4C"/>
    <w:rsid w:val="0032400C"/>
    <w:rsid w:val="00324153"/>
    <w:rsid w:val="003241B5"/>
    <w:rsid w:val="0032430C"/>
    <w:rsid w:val="00324B8F"/>
    <w:rsid w:val="00324BFC"/>
    <w:rsid w:val="00324E0A"/>
    <w:rsid w:val="0032537A"/>
    <w:rsid w:val="003253C1"/>
    <w:rsid w:val="00325B73"/>
    <w:rsid w:val="00325E76"/>
    <w:rsid w:val="00326311"/>
    <w:rsid w:val="003266E3"/>
    <w:rsid w:val="003267AB"/>
    <w:rsid w:val="003267AE"/>
    <w:rsid w:val="00326ED5"/>
    <w:rsid w:val="00326F49"/>
    <w:rsid w:val="003270DB"/>
    <w:rsid w:val="003273F1"/>
    <w:rsid w:val="003274D1"/>
    <w:rsid w:val="0032779B"/>
    <w:rsid w:val="003277C6"/>
    <w:rsid w:val="0032797F"/>
    <w:rsid w:val="003279B1"/>
    <w:rsid w:val="003300F5"/>
    <w:rsid w:val="0033016D"/>
    <w:rsid w:val="0033036E"/>
    <w:rsid w:val="003309BE"/>
    <w:rsid w:val="003309C0"/>
    <w:rsid w:val="00330CD1"/>
    <w:rsid w:val="00330F96"/>
    <w:rsid w:val="00331402"/>
    <w:rsid w:val="00331564"/>
    <w:rsid w:val="00331882"/>
    <w:rsid w:val="00331C83"/>
    <w:rsid w:val="00331CA7"/>
    <w:rsid w:val="00331F43"/>
    <w:rsid w:val="00332085"/>
    <w:rsid w:val="003321E6"/>
    <w:rsid w:val="00332258"/>
    <w:rsid w:val="00332475"/>
    <w:rsid w:val="00332551"/>
    <w:rsid w:val="00332651"/>
    <w:rsid w:val="003328F0"/>
    <w:rsid w:val="00332AC0"/>
    <w:rsid w:val="00332C71"/>
    <w:rsid w:val="00332E1C"/>
    <w:rsid w:val="00332FE7"/>
    <w:rsid w:val="0033326F"/>
    <w:rsid w:val="003336E6"/>
    <w:rsid w:val="00333759"/>
    <w:rsid w:val="00333A24"/>
    <w:rsid w:val="00334216"/>
    <w:rsid w:val="00334619"/>
    <w:rsid w:val="00334FEC"/>
    <w:rsid w:val="0033508B"/>
    <w:rsid w:val="00335234"/>
    <w:rsid w:val="00335389"/>
    <w:rsid w:val="003357A5"/>
    <w:rsid w:val="003358AC"/>
    <w:rsid w:val="00335917"/>
    <w:rsid w:val="00335A67"/>
    <w:rsid w:val="00335ACF"/>
    <w:rsid w:val="00335DFC"/>
    <w:rsid w:val="00335ED4"/>
    <w:rsid w:val="00336098"/>
    <w:rsid w:val="00336536"/>
    <w:rsid w:val="003369E9"/>
    <w:rsid w:val="00336AF8"/>
    <w:rsid w:val="00336D82"/>
    <w:rsid w:val="00336E00"/>
    <w:rsid w:val="00336FCE"/>
    <w:rsid w:val="003372D4"/>
    <w:rsid w:val="00337A10"/>
    <w:rsid w:val="00340316"/>
    <w:rsid w:val="00340943"/>
    <w:rsid w:val="00340D6C"/>
    <w:rsid w:val="00341201"/>
    <w:rsid w:val="00341342"/>
    <w:rsid w:val="0034151E"/>
    <w:rsid w:val="00341652"/>
    <w:rsid w:val="003417A1"/>
    <w:rsid w:val="0034196B"/>
    <w:rsid w:val="00341D1E"/>
    <w:rsid w:val="00341EDA"/>
    <w:rsid w:val="00341F7B"/>
    <w:rsid w:val="0034221D"/>
    <w:rsid w:val="0034222A"/>
    <w:rsid w:val="00342475"/>
    <w:rsid w:val="003428A8"/>
    <w:rsid w:val="00342971"/>
    <w:rsid w:val="00342CDD"/>
    <w:rsid w:val="00342DCB"/>
    <w:rsid w:val="003433E1"/>
    <w:rsid w:val="0034376C"/>
    <w:rsid w:val="0034376F"/>
    <w:rsid w:val="0034379A"/>
    <w:rsid w:val="00343BB5"/>
    <w:rsid w:val="00343C4C"/>
    <w:rsid w:val="00343CDF"/>
    <w:rsid w:val="00343FF2"/>
    <w:rsid w:val="003444EA"/>
    <w:rsid w:val="0034460A"/>
    <w:rsid w:val="00344820"/>
    <w:rsid w:val="00345420"/>
    <w:rsid w:val="003457E9"/>
    <w:rsid w:val="00345883"/>
    <w:rsid w:val="00345963"/>
    <w:rsid w:val="00345BFD"/>
    <w:rsid w:val="00345DA7"/>
    <w:rsid w:val="00345DEE"/>
    <w:rsid w:val="00345E28"/>
    <w:rsid w:val="00345F3F"/>
    <w:rsid w:val="003460E9"/>
    <w:rsid w:val="003466C2"/>
    <w:rsid w:val="00346AE9"/>
    <w:rsid w:val="00346CD9"/>
    <w:rsid w:val="0034718C"/>
    <w:rsid w:val="0034755D"/>
    <w:rsid w:val="0034781D"/>
    <w:rsid w:val="00347A7B"/>
    <w:rsid w:val="00347C78"/>
    <w:rsid w:val="003501EB"/>
    <w:rsid w:val="00350215"/>
    <w:rsid w:val="0035032B"/>
    <w:rsid w:val="003506A3"/>
    <w:rsid w:val="0035073E"/>
    <w:rsid w:val="0035075B"/>
    <w:rsid w:val="003507BB"/>
    <w:rsid w:val="003508F5"/>
    <w:rsid w:val="00350968"/>
    <w:rsid w:val="00350C54"/>
    <w:rsid w:val="00350ED6"/>
    <w:rsid w:val="00350F39"/>
    <w:rsid w:val="00351508"/>
    <w:rsid w:val="003516AB"/>
    <w:rsid w:val="003520F2"/>
    <w:rsid w:val="00352463"/>
    <w:rsid w:val="00352478"/>
    <w:rsid w:val="00352729"/>
    <w:rsid w:val="00352844"/>
    <w:rsid w:val="00352BB7"/>
    <w:rsid w:val="00352DD2"/>
    <w:rsid w:val="00352F42"/>
    <w:rsid w:val="00353066"/>
    <w:rsid w:val="003530D0"/>
    <w:rsid w:val="003534F2"/>
    <w:rsid w:val="00353A33"/>
    <w:rsid w:val="00353E53"/>
    <w:rsid w:val="00354081"/>
    <w:rsid w:val="00354271"/>
    <w:rsid w:val="00354282"/>
    <w:rsid w:val="003543BC"/>
    <w:rsid w:val="00354501"/>
    <w:rsid w:val="003546D7"/>
    <w:rsid w:val="00354DF9"/>
    <w:rsid w:val="00355001"/>
    <w:rsid w:val="003552DE"/>
    <w:rsid w:val="003552EC"/>
    <w:rsid w:val="00355346"/>
    <w:rsid w:val="0035570E"/>
    <w:rsid w:val="0035597C"/>
    <w:rsid w:val="00355DE1"/>
    <w:rsid w:val="0035650F"/>
    <w:rsid w:val="00356BE2"/>
    <w:rsid w:val="0035733C"/>
    <w:rsid w:val="00357450"/>
    <w:rsid w:val="00357726"/>
    <w:rsid w:val="00357DB0"/>
    <w:rsid w:val="0036024D"/>
    <w:rsid w:val="003602E7"/>
    <w:rsid w:val="00360878"/>
    <w:rsid w:val="00360B72"/>
    <w:rsid w:val="0036109F"/>
    <w:rsid w:val="00361487"/>
    <w:rsid w:val="0036170C"/>
    <w:rsid w:val="00361797"/>
    <w:rsid w:val="003617E9"/>
    <w:rsid w:val="00361AD2"/>
    <w:rsid w:val="00361D18"/>
    <w:rsid w:val="00362655"/>
    <w:rsid w:val="00362B31"/>
    <w:rsid w:val="00362FBF"/>
    <w:rsid w:val="003631FB"/>
    <w:rsid w:val="00363320"/>
    <w:rsid w:val="00363362"/>
    <w:rsid w:val="0036364D"/>
    <w:rsid w:val="00363738"/>
    <w:rsid w:val="00363751"/>
    <w:rsid w:val="00363892"/>
    <w:rsid w:val="003638FD"/>
    <w:rsid w:val="00363BA9"/>
    <w:rsid w:val="0036407B"/>
    <w:rsid w:val="003645AF"/>
    <w:rsid w:val="003646B0"/>
    <w:rsid w:val="003648BE"/>
    <w:rsid w:val="00364B65"/>
    <w:rsid w:val="00364C49"/>
    <w:rsid w:val="00364C67"/>
    <w:rsid w:val="00364E5D"/>
    <w:rsid w:val="003652E0"/>
    <w:rsid w:val="003656F1"/>
    <w:rsid w:val="00365B4D"/>
    <w:rsid w:val="00366024"/>
    <w:rsid w:val="00366107"/>
    <w:rsid w:val="0036628F"/>
    <w:rsid w:val="003662D4"/>
    <w:rsid w:val="0036650E"/>
    <w:rsid w:val="0036682B"/>
    <w:rsid w:val="0036699E"/>
    <w:rsid w:val="00366B93"/>
    <w:rsid w:val="00366BE0"/>
    <w:rsid w:val="00366D2A"/>
    <w:rsid w:val="00366D35"/>
    <w:rsid w:val="003670E5"/>
    <w:rsid w:val="003672B7"/>
    <w:rsid w:val="0036767E"/>
    <w:rsid w:val="00367842"/>
    <w:rsid w:val="00367D65"/>
    <w:rsid w:val="00367EA0"/>
    <w:rsid w:val="00370778"/>
    <w:rsid w:val="00370950"/>
    <w:rsid w:val="00370DCA"/>
    <w:rsid w:val="00371107"/>
    <w:rsid w:val="003712E7"/>
    <w:rsid w:val="003714D1"/>
    <w:rsid w:val="003715A2"/>
    <w:rsid w:val="0037169A"/>
    <w:rsid w:val="00371754"/>
    <w:rsid w:val="00372319"/>
    <w:rsid w:val="00372368"/>
    <w:rsid w:val="003724B5"/>
    <w:rsid w:val="00372F92"/>
    <w:rsid w:val="00373112"/>
    <w:rsid w:val="003737C7"/>
    <w:rsid w:val="0037390A"/>
    <w:rsid w:val="003739FC"/>
    <w:rsid w:val="00373ED7"/>
    <w:rsid w:val="00374193"/>
    <w:rsid w:val="003741F1"/>
    <w:rsid w:val="003742E8"/>
    <w:rsid w:val="00374454"/>
    <w:rsid w:val="0037489B"/>
    <w:rsid w:val="003748F2"/>
    <w:rsid w:val="003749B0"/>
    <w:rsid w:val="00374C56"/>
    <w:rsid w:val="00374CBB"/>
    <w:rsid w:val="00375811"/>
    <w:rsid w:val="0037587C"/>
    <w:rsid w:val="00375F14"/>
    <w:rsid w:val="0037600D"/>
    <w:rsid w:val="003760B4"/>
    <w:rsid w:val="0037618B"/>
    <w:rsid w:val="00376661"/>
    <w:rsid w:val="0037683B"/>
    <w:rsid w:val="0037686F"/>
    <w:rsid w:val="00376C06"/>
    <w:rsid w:val="00377031"/>
    <w:rsid w:val="003771AD"/>
    <w:rsid w:val="00377691"/>
    <w:rsid w:val="003779B7"/>
    <w:rsid w:val="00377A9C"/>
    <w:rsid w:val="00377ACB"/>
    <w:rsid w:val="00377BBF"/>
    <w:rsid w:val="00377D23"/>
    <w:rsid w:val="00377EB4"/>
    <w:rsid w:val="0038003F"/>
    <w:rsid w:val="00380240"/>
    <w:rsid w:val="003802CD"/>
    <w:rsid w:val="00380621"/>
    <w:rsid w:val="00380684"/>
    <w:rsid w:val="00380D75"/>
    <w:rsid w:val="0038101B"/>
    <w:rsid w:val="003812C2"/>
    <w:rsid w:val="0038131C"/>
    <w:rsid w:val="00381419"/>
    <w:rsid w:val="00381429"/>
    <w:rsid w:val="00381751"/>
    <w:rsid w:val="003817BC"/>
    <w:rsid w:val="00381FDD"/>
    <w:rsid w:val="003821AE"/>
    <w:rsid w:val="003825B1"/>
    <w:rsid w:val="00382C4F"/>
    <w:rsid w:val="00382C67"/>
    <w:rsid w:val="00382DFD"/>
    <w:rsid w:val="0038303E"/>
    <w:rsid w:val="003830F2"/>
    <w:rsid w:val="003831BB"/>
    <w:rsid w:val="00383416"/>
    <w:rsid w:val="0038342A"/>
    <w:rsid w:val="003837C5"/>
    <w:rsid w:val="0038386C"/>
    <w:rsid w:val="00383A84"/>
    <w:rsid w:val="00383AEB"/>
    <w:rsid w:val="00383F44"/>
    <w:rsid w:val="003847D3"/>
    <w:rsid w:val="003847DB"/>
    <w:rsid w:val="003847F8"/>
    <w:rsid w:val="00384DCF"/>
    <w:rsid w:val="003852D5"/>
    <w:rsid w:val="0038543F"/>
    <w:rsid w:val="003856D2"/>
    <w:rsid w:val="0038587C"/>
    <w:rsid w:val="003858E3"/>
    <w:rsid w:val="00385B90"/>
    <w:rsid w:val="00385D38"/>
    <w:rsid w:val="00385DB5"/>
    <w:rsid w:val="00385F43"/>
    <w:rsid w:val="0038614D"/>
    <w:rsid w:val="00386C51"/>
    <w:rsid w:val="00386DEB"/>
    <w:rsid w:val="003870C7"/>
    <w:rsid w:val="00387279"/>
    <w:rsid w:val="003873EC"/>
    <w:rsid w:val="0038758C"/>
    <w:rsid w:val="003877FA"/>
    <w:rsid w:val="00387B14"/>
    <w:rsid w:val="00387B38"/>
    <w:rsid w:val="0039039B"/>
    <w:rsid w:val="0039050A"/>
    <w:rsid w:val="003909AF"/>
    <w:rsid w:val="00390BBB"/>
    <w:rsid w:val="00391051"/>
    <w:rsid w:val="003914FC"/>
    <w:rsid w:val="00391621"/>
    <w:rsid w:val="0039165B"/>
    <w:rsid w:val="00391722"/>
    <w:rsid w:val="003918C2"/>
    <w:rsid w:val="00391A52"/>
    <w:rsid w:val="00391F8F"/>
    <w:rsid w:val="003920AA"/>
    <w:rsid w:val="003923C9"/>
    <w:rsid w:val="003927A0"/>
    <w:rsid w:val="003929B9"/>
    <w:rsid w:val="0039302C"/>
    <w:rsid w:val="003930E4"/>
    <w:rsid w:val="0039340A"/>
    <w:rsid w:val="00393555"/>
    <w:rsid w:val="003937B2"/>
    <w:rsid w:val="00393B51"/>
    <w:rsid w:val="00393D4D"/>
    <w:rsid w:val="003944F3"/>
    <w:rsid w:val="0039486E"/>
    <w:rsid w:val="00394C5B"/>
    <w:rsid w:val="00395087"/>
    <w:rsid w:val="00395136"/>
    <w:rsid w:val="0039583B"/>
    <w:rsid w:val="00395A04"/>
    <w:rsid w:val="00395A35"/>
    <w:rsid w:val="00395D05"/>
    <w:rsid w:val="00395D07"/>
    <w:rsid w:val="003960B2"/>
    <w:rsid w:val="0039625A"/>
    <w:rsid w:val="00396492"/>
    <w:rsid w:val="00396637"/>
    <w:rsid w:val="00396DE8"/>
    <w:rsid w:val="00396E03"/>
    <w:rsid w:val="003970A3"/>
    <w:rsid w:val="00397213"/>
    <w:rsid w:val="003973EE"/>
    <w:rsid w:val="003974F3"/>
    <w:rsid w:val="003977A3"/>
    <w:rsid w:val="00397B3F"/>
    <w:rsid w:val="00397E52"/>
    <w:rsid w:val="00397E5D"/>
    <w:rsid w:val="003A03CC"/>
    <w:rsid w:val="003A050D"/>
    <w:rsid w:val="003A05D5"/>
    <w:rsid w:val="003A08B3"/>
    <w:rsid w:val="003A08DB"/>
    <w:rsid w:val="003A08E2"/>
    <w:rsid w:val="003A093F"/>
    <w:rsid w:val="003A0C00"/>
    <w:rsid w:val="003A0E36"/>
    <w:rsid w:val="003A0EE9"/>
    <w:rsid w:val="003A0F50"/>
    <w:rsid w:val="003A1006"/>
    <w:rsid w:val="003A117A"/>
    <w:rsid w:val="003A117C"/>
    <w:rsid w:val="003A13A2"/>
    <w:rsid w:val="003A1870"/>
    <w:rsid w:val="003A1A60"/>
    <w:rsid w:val="003A2214"/>
    <w:rsid w:val="003A2282"/>
    <w:rsid w:val="003A2290"/>
    <w:rsid w:val="003A2350"/>
    <w:rsid w:val="003A2465"/>
    <w:rsid w:val="003A265D"/>
    <w:rsid w:val="003A26C0"/>
    <w:rsid w:val="003A36FC"/>
    <w:rsid w:val="003A3841"/>
    <w:rsid w:val="003A3CB1"/>
    <w:rsid w:val="003A3D7E"/>
    <w:rsid w:val="003A3DF1"/>
    <w:rsid w:val="003A3F86"/>
    <w:rsid w:val="003A3FE5"/>
    <w:rsid w:val="003A407B"/>
    <w:rsid w:val="003A4575"/>
    <w:rsid w:val="003A47AD"/>
    <w:rsid w:val="003A518A"/>
    <w:rsid w:val="003A53BA"/>
    <w:rsid w:val="003A5428"/>
    <w:rsid w:val="003A577F"/>
    <w:rsid w:val="003A5977"/>
    <w:rsid w:val="003A5A80"/>
    <w:rsid w:val="003A5E76"/>
    <w:rsid w:val="003A61A8"/>
    <w:rsid w:val="003A65D9"/>
    <w:rsid w:val="003A67B9"/>
    <w:rsid w:val="003A6985"/>
    <w:rsid w:val="003A6B57"/>
    <w:rsid w:val="003A6CD3"/>
    <w:rsid w:val="003A6EC4"/>
    <w:rsid w:val="003A71CF"/>
    <w:rsid w:val="003A7231"/>
    <w:rsid w:val="003A77DF"/>
    <w:rsid w:val="003A7A42"/>
    <w:rsid w:val="003A7FE6"/>
    <w:rsid w:val="003B030F"/>
    <w:rsid w:val="003B0761"/>
    <w:rsid w:val="003B076F"/>
    <w:rsid w:val="003B0A22"/>
    <w:rsid w:val="003B0AB5"/>
    <w:rsid w:val="003B0C3B"/>
    <w:rsid w:val="003B0D51"/>
    <w:rsid w:val="003B0E7D"/>
    <w:rsid w:val="003B12E7"/>
    <w:rsid w:val="003B1525"/>
    <w:rsid w:val="003B15A9"/>
    <w:rsid w:val="003B176D"/>
    <w:rsid w:val="003B1CD3"/>
    <w:rsid w:val="003B1D7D"/>
    <w:rsid w:val="003B1EF7"/>
    <w:rsid w:val="003B220C"/>
    <w:rsid w:val="003B2492"/>
    <w:rsid w:val="003B2805"/>
    <w:rsid w:val="003B2C01"/>
    <w:rsid w:val="003B2C2C"/>
    <w:rsid w:val="003B2F20"/>
    <w:rsid w:val="003B2F26"/>
    <w:rsid w:val="003B36CB"/>
    <w:rsid w:val="003B384A"/>
    <w:rsid w:val="003B40B4"/>
    <w:rsid w:val="003B4338"/>
    <w:rsid w:val="003B44C9"/>
    <w:rsid w:val="003B4529"/>
    <w:rsid w:val="003B4643"/>
    <w:rsid w:val="003B4B11"/>
    <w:rsid w:val="003B4BB4"/>
    <w:rsid w:val="003B4C8E"/>
    <w:rsid w:val="003B52A6"/>
    <w:rsid w:val="003B53D3"/>
    <w:rsid w:val="003B552D"/>
    <w:rsid w:val="003B5563"/>
    <w:rsid w:val="003B570C"/>
    <w:rsid w:val="003B573B"/>
    <w:rsid w:val="003B574D"/>
    <w:rsid w:val="003B57EB"/>
    <w:rsid w:val="003B5B18"/>
    <w:rsid w:val="003B5E91"/>
    <w:rsid w:val="003B5ED9"/>
    <w:rsid w:val="003B6009"/>
    <w:rsid w:val="003B635A"/>
    <w:rsid w:val="003B654A"/>
    <w:rsid w:val="003B6752"/>
    <w:rsid w:val="003B6BED"/>
    <w:rsid w:val="003B6C70"/>
    <w:rsid w:val="003B6E58"/>
    <w:rsid w:val="003B6EA9"/>
    <w:rsid w:val="003B7026"/>
    <w:rsid w:val="003B7336"/>
    <w:rsid w:val="003B779A"/>
    <w:rsid w:val="003B7C67"/>
    <w:rsid w:val="003B7D50"/>
    <w:rsid w:val="003B7E52"/>
    <w:rsid w:val="003C017E"/>
    <w:rsid w:val="003C06C4"/>
    <w:rsid w:val="003C07E0"/>
    <w:rsid w:val="003C07F4"/>
    <w:rsid w:val="003C0D14"/>
    <w:rsid w:val="003C1208"/>
    <w:rsid w:val="003C1441"/>
    <w:rsid w:val="003C14F9"/>
    <w:rsid w:val="003C1B9D"/>
    <w:rsid w:val="003C1BBD"/>
    <w:rsid w:val="003C24A1"/>
    <w:rsid w:val="003C256B"/>
    <w:rsid w:val="003C25CD"/>
    <w:rsid w:val="003C292B"/>
    <w:rsid w:val="003C293E"/>
    <w:rsid w:val="003C2B39"/>
    <w:rsid w:val="003C34A7"/>
    <w:rsid w:val="003C3836"/>
    <w:rsid w:val="003C39CA"/>
    <w:rsid w:val="003C3B3F"/>
    <w:rsid w:val="003C3ED5"/>
    <w:rsid w:val="003C44CC"/>
    <w:rsid w:val="003C47CE"/>
    <w:rsid w:val="003C48A9"/>
    <w:rsid w:val="003C48AB"/>
    <w:rsid w:val="003C4BDA"/>
    <w:rsid w:val="003C4DED"/>
    <w:rsid w:val="003C4EEE"/>
    <w:rsid w:val="003C56AF"/>
    <w:rsid w:val="003C5803"/>
    <w:rsid w:val="003C5BDF"/>
    <w:rsid w:val="003C5CB4"/>
    <w:rsid w:val="003C5CB5"/>
    <w:rsid w:val="003C626A"/>
    <w:rsid w:val="003C64E5"/>
    <w:rsid w:val="003C663B"/>
    <w:rsid w:val="003C6B1B"/>
    <w:rsid w:val="003C6D66"/>
    <w:rsid w:val="003C74CD"/>
    <w:rsid w:val="003C7D1B"/>
    <w:rsid w:val="003D0A4D"/>
    <w:rsid w:val="003D0B1B"/>
    <w:rsid w:val="003D11F0"/>
    <w:rsid w:val="003D17D8"/>
    <w:rsid w:val="003D1848"/>
    <w:rsid w:val="003D1C2B"/>
    <w:rsid w:val="003D21BE"/>
    <w:rsid w:val="003D25ED"/>
    <w:rsid w:val="003D2B95"/>
    <w:rsid w:val="003D2CD5"/>
    <w:rsid w:val="003D2D9F"/>
    <w:rsid w:val="003D30AC"/>
    <w:rsid w:val="003D32C7"/>
    <w:rsid w:val="003D33F5"/>
    <w:rsid w:val="003D39EC"/>
    <w:rsid w:val="003D3F6E"/>
    <w:rsid w:val="003D4770"/>
    <w:rsid w:val="003D4BC9"/>
    <w:rsid w:val="003D50E2"/>
    <w:rsid w:val="003D5279"/>
    <w:rsid w:val="003D52BE"/>
    <w:rsid w:val="003D560D"/>
    <w:rsid w:val="003D5928"/>
    <w:rsid w:val="003D5CA0"/>
    <w:rsid w:val="003D5DF2"/>
    <w:rsid w:val="003D615C"/>
    <w:rsid w:val="003D6228"/>
    <w:rsid w:val="003D64AC"/>
    <w:rsid w:val="003D6539"/>
    <w:rsid w:val="003D6F1B"/>
    <w:rsid w:val="003D71EC"/>
    <w:rsid w:val="003D7233"/>
    <w:rsid w:val="003D7783"/>
    <w:rsid w:val="003D77A5"/>
    <w:rsid w:val="003D78BB"/>
    <w:rsid w:val="003E05F3"/>
    <w:rsid w:val="003E065F"/>
    <w:rsid w:val="003E06FC"/>
    <w:rsid w:val="003E0B75"/>
    <w:rsid w:val="003E0D77"/>
    <w:rsid w:val="003E0E49"/>
    <w:rsid w:val="003E134F"/>
    <w:rsid w:val="003E14E7"/>
    <w:rsid w:val="003E1542"/>
    <w:rsid w:val="003E16C4"/>
    <w:rsid w:val="003E17C2"/>
    <w:rsid w:val="003E18FD"/>
    <w:rsid w:val="003E1B0D"/>
    <w:rsid w:val="003E2081"/>
    <w:rsid w:val="003E2087"/>
    <w:rsid w:val="003E22BD"/>
    <w:rsid w:val="003E257A"/>
    <w:rsid w:val="003E281F"/>
    <w:rsid w:val="003E2B95"/>
    <w:rsid w:val="003E2BD1"/>
    <w:rsid w:val="003E2C52"/>
    <w:rsid w:val="003E3178"/>
    <w:rsid w:val="003E3633"/>
    <w:rsid w:val="003E399B"/>
    <w:rsid w:val="003E3B7C"/>
    <w:rsid w:val="003E3B8B"/>
    <w:rsid w:val="003E3BA4"/>
    <w:rsid w:val="003E40C2"/>
    <w:rsid w:val="003E42DF"/>
    <w:rsid w:val="003E457C"/>
    <w:rsid w:val="003E477B"/>
    <w:rsid w:val="003E50B6"/>
    <w:rsid w:val="003E5238"/>
    <w:rsid w:val="003E544D"/>
    <w:rsid w:val="003E54CF"/>
    <w:rsid w:val="003E5560"/>
    <w:rsid w:val="003E5676"/>
    <w:rsid w:val="003E5695"/>
    <w:rsid w:val="003E584F"/>
    <w:rsid w:val="003E5B51"/>
    <w:rsid w:val="003E5D2A"/>
    <w:rsid w:val="003E5D92"/>
    <w:rsid w:val="003E5E29"/>
    <w:rsid w:val="003E6417"/>
    <w:rsid w:val="003E6717"/>
    <w:rsid w:val="003E6E80"/>
    <w:rsid w:val="003E7764"/>
    <w:rsid w:val="003E77D8"/>
    <w:rsid w:val="003E7B25"/>
    <w:rsid w:val="003E7D1C"/>
    <w:rsid w:val="003E7F5A"/>
    <w:rsid w:val="003F061C"/>
    <w:rsid w:val="003F0B3C"/>
    <w:rsid w:val="003F0C5A"/>
    <w:rsid w:val="003F0DBC"/>
    <w:rsid w:val="003F0EB3"/>
    <w:rsid w:val="003F14CC"/>
    <w:rsid w:val="003F1510"/>
    <w:rsid w:val="003F1B38"/>
    <w:rsid w:val="003F1DD9"/>
    <w:rsid w:val="003F213C"/>
    <w:rsid w:val="003F223B"/>
    <w:rsid w:val="003F22A7"/>
    <w:rsid w:val="003F285E"/>
    <w:rsid w:val="003F2A98"/>
    <w:rsid w:val="003F32C9"/>
    <w:rsid w:val="003F3557"/>
    <w:rsid w:val="003F361C"/>
    <w:rsid w:val="003F3C58"/>
    <w:rsid w:val="003F3CEC"/>
    <w:rsid w:val="003F3D11"/>
    <w:rsid w:val="003F3D79"/>
    <w:rsid w:val="003F3F99"/>
    <w:rsid w:val="003F4132"/>
    <w:rsid w:val="003F4863"/>
    <w:rsid w:val="003F4893"/>
    <w:rsid w:val="003F494F"/>
    <w:rsid w:val="003F49EB"/>
    <w:rsid w:val="003F4E7B"/>
    <w:rsid w:val="003F5022"/>
    <w:rsid w:val="003F528B"/>
    <w:rsid w:val="003F5639"/>
    <w:rsid w:val="003F56A8"/>
    <w:rsid w:val="003F5831"/>
    <w:rsid w:val="003F5E6C"/>
    <w:rsid w:val="003F60D5"/>
    <w:rsid w:val="003F614A"/>
    <w:rsid w:val="003F6511"/>
    <w:rsid w:val="003F6BDC"/>
    <w:rsid w:val="003F6CD8"/>
    <w:rsid w:val="003F6D10"/>
    <w:rsid w:val="003F734A"/>
    <w:rsid w:val="003F7809"/>
    <w:rsid w:val="003F7C84"/>
    <w:rsid w:val="00400D4D"/>
    <w:rsid w:val="00400F9C"/>
    <w:rsid w:val="004013BB"/>
    <w:rsid w:val="00401933"/>
    <w:rsid w:val="00401A73"/>
    <w:rsid w:val="00401D27"/>
    <w:rsid w:val="00401ED6"/>
    <w:rsid w:val="00402141"/>
    <w:rsid w:val="00402170"/>
    <w:rsid w:val="00402420"/>
    <w:rsid w:val="004025BF"/>
    <w:rsid w:val="004025FA"/>
    <w:rsid w:val="004027F3"/>
    <w:rsid w:val="00402B31"/>
    <w:rsid w:val="00402C58"/>
    <w:rsid w:val="00402F66"/>
    <w:rsid w:val="0040359C"/>
    <w:rsid w:val="00403783"/>
    <w:rsid w:val="004039D9"/>
    <w:rsid w:val="00404B2C"/>
    <w:rsid w:val="00404BA0"/>
    <w:rsid w:val="004050D2"/>
    <w:rsid w:val="0040523B"/>
    <w:rsid w:val="004057A2"/>
    <w:rsid w:val="00405905"/>
    <w:rsid w:val="00405963"/>
    <w:rsid w:val="004059A9"/>
    <w:rsid w:val="00405A4B"/>
    <w:rsid w:val="00405D4C"/>
    <w:rsid w:val="00405F99"/>
    <w:rsid w:val="004065D7"/>
    <w:rsid w:val="0040672B"/>
    <w:rsid w:val="00406E02"/>
    <w:rsid w:val="00406F3C"/>
    <w:rsid w:val="00407019"/>
    <w:rsid w:val="004070CC"/>
    <w:rsid w:val="00407773"/>
    <w:rsid w:val="004077BD"/>
    <w:rsid w:val="004077F8"/>
    <w:rsid w:val="00407978"/>
    <w:rsid w:val="00407A14"/>
    <w:rsid w:val="00407AB9"/>
    <w:rsid w:val="00407BC3"/>
    <w:rsid w:val="00407D29"/>
    <w:rsid w:val="004106AC"/>
    <w:rsid w:val="004106D2"/>
    <w:rsid w:val="004106ED"/>
    <w:rsid w:val="00410977"/>
    <w:rsid w:val="00410B07"/>
    <w:rsid w:val="00410BEC"/>
    <w:rsid w:val="0041103D"/>
    <w:rsid w:val="00411142"/>
    <w:rsid w:val="00411276"/>
    <w:rsid w:val="0041201D"/>
    <w:rsid w:val="004120EB"/>
    <w:rsid w:val="0041241F"/>
    <w:rsid w:val="00412449"/>
    <w:rsid w:val="004124B7"/>
    <w:rsid w:val="00412A73"/>
    <w:rsid w:val="004130AF"/>
    <w:rsid w:val="00413355"/>
    <w:rsid w:val="004135B3"/>
    <w:rsid w:val="004138B6"/>
    <w:rsid w:val="00413EF7"/>
    <w:rsid w:val="00413F0B"/>
    <w:rsid w:val="00414329"/>
    <w:rsid w:val="00415555"/>
    <w:rsid w:val="004156FA"/>
    <w:rsid w:val="004158A8"/>
    <w:rsid w:val="00415C52"/>
    <w:rsid w:val="00415CF5"/>
    <w:rsid w:val="00415DE2"/>
    <w:rsid w:val="0041602E"/>
    <w:rsid w:val="0041679A"/>
    <w:rsid w:val="00416911"/>
    <w:rsid w:val="004169B9"/>
    <w:rsid w:val="00416A32"/>
    <w:rsid w:val="004175B6"/>
    <w:rsid w:val="00417714"/>
    <w:rsid w:val="00417BB4"/>
    <w:rsid w:val="00417C33"/>
    <w:rsid w:val="00417D16"/>
    <w:rsid w:val="00417E1D"/>
    <w:rsid w:val="00417ECD"/>
    <w:rsid w:val="00417F0D"/>
    <w:rsid w:val="0042005D"/>
    <w:rsid w:val="0042015C"/>
    <w:rsid w:val="00420545"/>
    <w:rsid w:val="00420620"/>
    <w:rsid w:val="00420AA9"/>
    <w:rsid w:val="00420CB5"/>
    <w:rsid w:val="00420F56"/>
    <w:rsid w:val="00421675"/>
    <w:rsid w:val="004218D7"/>
    <w:rsid w:val="00421A7F"/>
    <w:rsid w:val="00421ED1"/>
    <w:rsid w:val="00422146"/>
    <w:rsid w:val="0042226B"/>
    <w:rsid w:val="0042229E"/>
    <w:rsid w:val="004224DC"/>
    <w:rsid w:val="00422C8D"/>
    <w:rsid w:val="00422ED6"/>
    <w:rsid w:val="00423422"/>
    <w:rsid w:val="004239FF"/>
    <w:rsid w:val="00423A39"/>
    <w:rsid w:val="00423BE2"/>
    <w:rsid w:val="00423C08"/>
    <w:rsid w:val="00423EFB"/>
    <w:rsid w:val="00424358"/>
    <w:rsid w:val="004243F9"/>
    <w:rsid w:val="004244D4"/>
    <w:rsid w:val="00424647"/>
    <w:rsid w:val="00424662"/>
    <w:rsid w:val="00425306"/>
    <w:rsid w:val="00425437"/>
    <w:rsid w:val="004254E5"/>
    <w:rsid w:val="00425724"/>
    <w:rsid w:val="00425AC0"/>
    <w:rsid w:val="00425AED"/>
    <w:rsid w:val="00425DA0"/>
    <w:rsid w:val="00425DD9"/>
    <w:rsid w:val="00425E97"/>
    <w:rsid w:val="00425FC1"/>
    <w:rsid w:val="0042609B"/>
    <w:rsid w:val="00426210"/>
    <w:rsid w:val="00426B1C"/>
    <w:rsid w:val="00426B82"/>
    <w:rsid w:val="00426F10"/>
    <w:rsid w:val="0042704B"/>
    <w:rsid w:val="00427156"/>
    <w:rsid w:val="004279EA"/>
    <w:rsid w:val="00427E8D"/>
    <w:rsid w:val="00427ED8"/>
    <w:rsid w:val="00427FF2"/>
    <w:rsid w:val="00430489"/>
    <w:rsid w:val="004305F6"/>
    <w:rsid w:val="004309C8"/>
    <w:rsid w:val="00430B6C"/>
    <w:rsid w:val="00430B7F"/>
    <w:rsid w:val="00430EA4"/>
    <w:rsid w:val="00430F36"/>
    <w:rsid w:val="00431975"/>
    <w:rsid w:val="004319AD"/>
    <w:rsid w:val="00431E54"/>
    <w:rsid w:val="004323D0"/>
    <w:rsid w:val="00432932"/>
    <w:rsid w:val="00432A85"/>
    <w:rsid w:val="00432A8E"/>
    <w:rsid w:val="00432AC2"/>
    <w:rsid w:val="00432B6E"/>
    <w:rsid w:val="00432CDF"/>
    <w:rsid w:val="00432E67"/>
    <w:rsid w:val="00432E68"/>
    <w:rsid w:val="0043330A"/>
    <w:rsid w:val="00433404"/>
    <w:rsid w:val="0043349D"/>
    <w:rsid w:val="00433B94"/>
    <w:rsid w:val="00434015"/>
    <w:rsid w:val="00434325"/>
    <w:rsid w:val="0043456C"/>
    <w:rsid w:val="0043457D"/>
    <w:rsid w:val="00434932"/>
    <w:rsid w:val="004349F7"/>
    <w:rsid w:val="00434ACE"/>
    <w:rsid w:val="00434D0D"/>
    <w:rsid w:val="004350BA"/>
    <w:rsid w:val="00435705"/>
    <w:rsid w:val="00435802"/>
    <w:rsid w:val="004358FA"/>
    <w:rsid w:val="00435A1B"/>
    <w:rsid w:val="00435D51"/>
    <w:rsid w:val="00436000"/>
    <w:rsid w:val="00436314"/>
    <w:rsid w:val="004363B1"/>
    <w:rsid w:val="00436758"/>
    <w:rsid w:val="00436860"/>
    <w:rsid w:val="00436B4E"/>
    <w:rsid w:val="00436BBA"/>
    <w:rsid w:val="00436D25"/>
    <w:rsid w:val="00436D74"/>
    <w:rsid w:val="00436E83"/>
    <w:rsid w:val="00437253"/>
    <w:rsid w:val="0043726A"/>
    <w:rsid w:val="0043732F"/>
    <w:rsid w:val="004375A1"/>
    <w:rsid w:val="00440294"/>
    <w:rsid w:val="004404A2"/>
    <w:rsid w:val="0044068C"/>
    <w:rsid w:val="00440EC4"/>
    <w:rsid w:val="00440F41"/>
    <w:rsid w:val="00440F98"/>
    <w:rsid w:val="00441155"/>
    <w:rsid w:val="004416A0"/>
    <w:rsid w:val="00441AF8"/>
    <w:rsid w:val="00441B06"/>
    <w:rsid w:val="004421DA"/>
    <w:rsid w:val="004423DE"/>
    <w:rsid w:val="0044241C"/>
    <w:rsid w:val="004427E7"/>
    <w:rsid w:val="004429A2"/>
    <w:rsid w:val="00442A1A"/>
    <w:rsid w:val="00442C1F"/>
    <w:rsid w:val="00442DCC"/>
    <w:rsid w:val="004431AE"/>
    <w:rsid w:val="0044340E"/>
    <w:rsid w:val="00443741"/>
    <w:rsid w:val="004437E0"/>
    <w:rsid w:val="00443AEA"/>
    <w:rsid w:val="00443E37"/>
    <w:rsid w:val="0044408A"/>
    <w:rsid w:val="00444495"/>
    <w:rsid w:val="00444508"/>
    <w:rsid w:val="00444509"/>
    <w:rsid w:val="00444F93"/>
    <w:rsid w:val="00445025"/>
    <w:rsid w:val="00445096"/>
    <w:rsid w:val="004450F2"/>
    <w:rsid w:val="0044536C"/>
    <w:rsid w:val="00445512"/>
    <w:rsid w:val="00445DEB"/>
    <w:rsid w:val="00445F0A"/>
    <w:rsid w:val="00445F9C"/>
    <w:rsid w:val="00445FBF"/>
    <w:rsid w:val="0044611E"/>
    <w:rsid w:val="004461DD"/>
    <w:rsid w:val="0044646B"/>
    <w:rsid w:val="00446589"/>
    <w:rsid w:val="0044666B"/>
    <w:rsid w:val="0044694C"/>
    <w:rsid w:val="00446A13"/>
    <w:rsid w:val="00446AD8"/>
    <w:rsid w:val="00447038"/>
    <w:rsid w:val="00447239"/>
    <w:rsid w:val="004474D4"/>
    <w:rsid w:val="00447576"/>
    <w:rsid w:val="00447A29"/>
    <w:rsid w:val="00447CA4"/>
    <w:rsid w:val="00447EA3"/>
    <w:rsid w:val="004500EC"/>
    <w:rsid w:val="00450DD9"/>
    <w:rsid w:val="00450FD5"/>
    <w:rsid w:val="00451137"/>
    <w:rsid w:val="0045113B"/>
    <w:rsid w:val="00451459"/>
    <w:rsid w:val="004514A2"/>
    <w:rsid w:val="004517DA"/>
    <w:rsid w:val="00451FAA"/>
    <w:rsid w:val="00452566"/>
    <w:rsid w:val="00452A24"/>
    <w:rsid w:val="00452F7A"/>
    <w:rsid w:val="00452FF4"/>
    <w:rsid w:val="004535F3"/>
    <w:rsid w:val="0045388F"/>
    <w:rsid w:val="00453AA8"/>
    <w:rsid w:val="004541FD"/>
    <w:rsid w:val="00454479"/>
    <w:rsid w:val="00454869"/>
    <w:rsid w:val="0045489F"/>
    <w:rsid w:val="004549A2"/>
    <w:rsid w:val="00454AF8"/>
    <w:rsid w:val="00454B49"/>
    <w:rsid w:val="00454BC1"/>
    <w:rsid w:val="00454D1F"/>
    <w:rsid w:val="00454DC9"/>
    <w:rsid w:val="00455204"/>
    <w:rsid w:val="0045527B"/>
    <w:rsid w:val="0045558E"/>
    <w:rsid w:val="0045580C"/>
    <w:rsid w:val="00455831"/>
    <w:rsid w:val="004559EF"/>
    <w:rsid w:val="00455B62"/>
    <w:rsid w:val="00455BA5"/>
    <w:rsid w:val="00455E44"/>
    <w:rsid w:val="0045674E"/>
    <w:rsid w:val="00456788"/>
    <w:rsid w:val="004567AC"/>
    <w:rsid w:val="00457730"/>
    <w:rsid w:val="00457A44"/>
    <w:rsid w:val="00457ACC"/>
    <w:rsid w:val="00457E9A"/>
    <w:rsid w:val="00457F5D"/>
    <w:rsid w:val="004600DF"/>
    <w:rsid w:val="004600F6"/>
    <w:rsid w:val="0046035F"/>
    <w:rsid w:val="00460457"/>
    <w:rsid w:val="004604C4"/>
    <w:rsid w:val="004604E1"/>
    <w:rsid w:val="004606BA"/>
    <w:rsid w:val="00460734"/>
    <w:rsid w:val="0046088D"/>
    <w:rsid w:val="00460B08"/>
    <w:rsid w:val="00460D19"/>
    <w:rsid w:val="00460F21"/>
    <w:rsid w:val="004611D8"/>
    <w:rsid w:val="00461349"/>
    <w:rsid w:val="00461421"/>
    <w:rsid w:val="0046176E"/>
    <w:rsid w:val="004617BA"/>
    <w:rsid w:val="00461B60"/>
    <w:rsid w:val="00461E39"/>
    <w:rsid w:val="0046299E"/>
    <w:rsid w:val="00462C08"/>
    <w:rsid w:val="00462F63"/>
    <w:rsid w:val="0046396C"/>
    <w:rsid w:val="004639FB"/>
    <w:rsid w:val="00463A4F"/>
    <w:rsid w:val="00463B08"/>
    <w:rsid w:val="00464124"/>
    <w:rsid w:val="004643BC"/>
    <w:rsid w:val="0046482D"/>
    <w:rsid w:val="00464D45"/>
    <w:rsid w:val="00464EF5"/>
    <w:rsid w:val="00464F2E"/>
    <w:rsid w:val="00464F80"/>
    <w:rsid w:val="00464FF5"/>
    <w:rsid w:val="00464FFD"/>
    <w:rsid w:val="00465047"/>
    <w:rsid w:val="00465164"/>
    <w:rsid w:val="004651F3"/>
    <w:rsid w:val="0046544F"/>
    <w:rsid w:val="004655CA"/>
    <w:rsid w:val="004656C0"/>
    <w:rsid w:val="00465A88"/>
    <w:rsid w:val="00465E50"/>
    <w:rsid w:val="00465FB8"/>
    <w:rsid w:val="00465FDA"/>
    <w:rsid w:val="0046601D"/>
    <w:rsid w:val="00466BAA"/>
    <w:rsid w:val="00466BDF"/>
    <w:rsid w:val="00467309"/>
    <w:rsid w:val="0046747E"/>
    <w:rsid w:val="004676F6"/>
    <w:rsid w:val="00467A80"/>
    <w:rsid w:val="00467BFB"/>
    <w:rsid w:val="00467C99"/>
    <w:rsid w:val="0047004B"/>
    <w:rsid w:val="0047006B"/>
    <w:rsid w:val="004701C7"/>
    <w:rsid w:val="0047052B"/>
    <w:rsid w:val="0047078F"/>
    <w:rsid w:val="004707E2"/>
    <w:rsid w:val="00470865"/>
    <w:rsid w:val="00470A44"/>
    <w:rsid w:val="00470C4D"/>
    <w:rsid w:val="00470E31"/>
    <w:rsid w:val="00470EB6"/>
    <w:rsid w:val="0047136E"/>
    <w:rsid w:val="004713E7"/>
    <w:rsid w:val="004714B4"/>
    <w:rsid w:val="00471561"/>
    <w:rsid w:val="00471613"/>
    <w:rsid w:val="004718B5"/>
    <w:rsid w:val="00471A4D"/>
    <w:rsid w:val="00471AB2"/>
    <w:rsid w:val="00471E45"/>
    <w:rsid w:val="00471E6F"/>
    <w:rsid w:val="00472254"/>
    <w:rsid w:val="004723FC"/>
    <w:rsid w:val="004725FB"/>
    <w:rsid w:val="00472862"/>
    <w:rsid w:val="00472930"/>
    <w:rsid w:val="0047293D"/>
    <w:rsid w:val="004730F6"/>
    <w:rsid w:val="004732E0"/>
    <w:rsid w:val="00473874"/>
    <w:rsid w:val="00473E59"/>
    <w:rsid w:val="00474027"/>
    <w:rsid w:val="004740CE"/>
    <w:rsid w:val="004742D9"/>
    <w:rsid w:val="00474822"/>
    <w:rsid w:val="004748AB"/>
    <w:rsid w:val="00474C60"/>
    <w:rsid w:val="00474E36"/>
    <w:rsid w:val="004756C6"/>
    <w:rsid w:val="00475753"/>
    <w:rsid w:val="00475B31"/>
    <w:rsid w:val="00475B88"/>
    <w:rsid w:val="00476048"/>
    <w:rsid w:val="0047614F"/>
    <w:rsid w:val="00476711"/>
    <w:rsid w:val="004769E4"/>
    <w:rsid w:val="00476A79"/>
    <w:rsid w:val="00477A5B"/>
    <w:rsid w:val="0048020F"/>
    <w:rsid w:val="0048052F"/>
    <w:rsid w:val="00480A69"/>
    <w:rsid w:val="00480FF9"/>
    <w:rsid w:val="004810CF"/>
    <w:rsid w:val="00481340"/>
    <w:rsid w:val="004814B3"/>
    <w:rsid w:val="00481504"/>
    <w:rsid w:val="00481561"/>
    <w:rsid w:val="004818A1"/>
    <w:rsid w:val="004818D5"/>
    <w:rsid w:val="00482062"/>
    <w:rsid w:val="004820AD"/>
    <w:rsid w:val="00482465"/>
    <w:rsid w:val="004826CF"/>
    <w:rsid w:val="004828B2"/>
    <w:rsid w:val="00482BFF"/>
    <w:rsid w:val="00482C3D"/>
    <w:rsid w:val="00482DD6"/>
    <w:rsid w:val="00482DFE"/>
    <w:rsid w:val="00482F85"/>
    <w:rsid w:val="00482FFB"/>
    <w:rsid w:val="004830AA"/>
    <w:rsid w:val="004830BC"/>
    <w:rsid w:val="004834D9"/>
    <w:rsid w:val="004835A5"/>
    <w:rsid w:val="00483858"/>
    <w:rsid w:val="0048397C"/>
    <w:rsid w:val="00483993"/>
    <w:rsid w:val="00483AF3"/>
    <w:rsid w:val="00483B99"/>
    <w:rsid w:val="00483E9E"/>
    <w:rsid w:val="00484066"/>
    <w:rsid w:val="004842D3"/>
    <w:rsid w:val="00484340"/>
    <w:rsid w:val="00484532"/>
    <w:rsid w:val="00484724"/>
    <w:rsid w:val="00484A4E"/>
    <w:rsid w:val="00484ABB"/>
    <w:rsid w:val="00484ED5"/>
    <w:rsid w:val="00484F00"/>
    <w:rsid w:val="00485453"/>
    <w:rsid w:val="0048546D"/>
    <w:rsid w:val="00485A12"/>
    <w:rsid w:val="00485CF8"/>
    <w:rsid w:val="00486090"/>
    <w:rsid w:val="0048614A"/>
    <w:rsid w:val="00486649"/>
    <w:rsid w:val="0048683B"/>
    <w:rsid w:val="00486D0A"/>
    <w:rsid w:val="00486D0F"/>
    <w:rsid w:val="00486F36"/>
    <w:rsid w:val="004871D6"/>
    <w:rsid w:val="00490106"/>
    <w:rsid w:val="004903B1"/>
    <w:rsid w:val="00490905"/>
    <w:rsid w:val="00490A4A"/>
    <w:rsid w:val="00490BD2"/>
    <w:rsid w:val="0049102C"/>
    <w:rsid w:val="00491691"/>
    <w:rsid w:val="0049192C"/>
    <w:rsid w:val="00491B55"/>
    <w:rsid w:val="00491BE4"/>
    <w:rsid w:val="00491D4B"/>
    <w:rsid w:val="00491E6F"/>
    <w:rsid w:val="00491F82"/>
    <w:rsid w:val="0049220C"/>
    <w:rsid w:val="00492783"/>
    <w:rsid w:val="0049283C"/>
    <w:rsid w:val="00492960"/>
    <w:rsid w:val="004931D7"/>
    <w:rsid w:val="00493219"/>
    <w:rsid w:val="0049327D"/>
    <w:rsid w:val="00493428"/>
    <w:rsid w:val="0049357D"/>
    <w:rsid w:val="0049365E"/>
    <w:rsid w:val="00493983"/>
    <w:rsid w:val="00493B05"/>
    <w:rsid w:val="00493C5A"/>
    <w:rsid w:val="00493FBF"/>
    <w:rsid w:val="00494203"/>
    <w:rsid w:val="004942B5"/>
    <w:rsid w:val="00494CA1"/>
    <w:rsid w:val="00494DAD"/>
    <w:rsid w:val="00495472"/>
    <w:rsid w:val="0049572C"/>
    <w:rsid w:val="00495923"/>
    <w:rsid w:val="00495942"/>
    <w:rsid w:val="004959DC"/>
    <w:rsid w:val="00495A78"/>
    <w:rsid w:val="00495FFC"/>
    <w:rsid w:val="0049623F"/>
    <w:rsid w:val="00496353"/>
    <w:rsid w:val="004964F6"/>
    <w:rsid w:val="0049652D"/>
    <w:rsid w:val="004967C5"/>
    <w:rsid w:val="004970D5"/>
    <w:rsid w:val="004973CB"/>
    <w:rsid w:val="004974D3"/>
    <w:rsid w:val="004975D3"/>
    <w:rsid w:val="004977A1"/>
    <w:rsid w:val="00497E5B"/>
    <w:rsid w:val="00497FC7"/>
    <w:rsid w:val="004A05E7"/>
    <w:rsid w:val="004A0957"/>
    <w:rsid w:val="004A1234"/>
    <w:rsid w:val="004A130F"/>
    <w:rsid w:val="004A13A5"/>
    <w:rsid w:val="004A2072"/>
    <w:rsid w:val="004A211E"/>
    <w:rsid w:val="004A294B"/>
    <w:rsid w:val="004A2E90"/>
    <w:rsid w:val="004A31E0"/>
    <w:rsid w:val="004A3338"/>
    <w:rsid w:val="004A3801"/>
    <w:rsid w:val="004A39B1"/>
    <w:rsid w:val="004A3B43"/>
    <w:rsid w:val="004A3C2D"/>
    <w:rsid w:val="004A3E4C"/>
    <w:rsid w:val="004A414E"/>
    <w:rsid w:val="004A4195"/>
    <w:rsid w:val="004A41C3"/>
    <w:rsid w:val="004A41FB"/>
    <w:rsid w:val="004A4236"/>
    <w:rsid w:val="004A446A"/>
    <w:rsid w:val="004A4489"/>
    <w:rsid w:val="004A44D3"/>
    <w:rsid w:val="004A5261"/>
    <w:rsid w:val="004A52D6"/>
    <w:rsid w:val="004A5434"/>
    <w:rsid w:val="004A5525"/>
    <w:rsid w:val="004A55E8"/>
    <w:rsid w:val="004A5940"/>
    <w:rsid w:val="004A627E"/>
    <w:rsid w:val="004A6374"/>
    <w:rsid w:val="004A64A5"/>
    <w:rsid w:val="004A6591"/>
    <w:rsid w:val="004A6626"/>
    <w:rsid w:val="004A6663"/>
    <w:rsid w:val="004A66C1"/>
    <w:rsid w:val="004A6853"/>
    <w:rsid w:val="004A68A5"/>
    <w:rsid w:val="004A6982"/>
    <w:rsid w:val="004A6B89"/>
    <w:rsid w:val="004A6D0F"/>
    <w:rsid w:val="004A6FC8"/>
    <w:rsid w:val="004A72BE"/>
    <w:rsid w:val="004A7533"/>
    <w:rsid w:val="004A764F"/>
    <w:rsid w:val="004A7722"/>
    <w:rsid w:val="004A7AF5"/>
    <w:rsid w:val="004A7B47"/>
    <w:rsid w:val="004A7B4D"/>
    <w:rsid w:val="004A7B8D"/>
    <w:rsid w:val="004B022E"/>
    <w:rsid w:val="004B062D"/>
    <w:rsid w:val="004B07BF"/>
    <w:rsid w:val="004B07E8"/>
    <w:rsid w:val="004B0AEF"/>
    <w:rsid w:val="004B0CFF"/>
    <w:rsid w:val="004B0EA3"/>
    <w:rsid w:val="004B111F"/>
    <w:rsid w:val="004B1994"/>
    <w:rsid w:val="004B1FFD"/>
    <w:rsid w:val="004B29C7"/>
    <w:rsid w:val="004B2A77"/>
    <w:rsid w:val="004B2CA3"/>
    <w:rsid w:val="004B2CC2"/>
    <w:rsid w:val="004B301A"/>
    <w:rsid w:val="004B35E9"/>
    <w:rsid w:val="004B36DA"/>
    <w:rsid w:val="004B3A98"/>
    <w:rsid w:val="004B3BF8"/>
    <w:rsid w:val="004B4164"/>
    <w:rsid w:val="004B4635"/>
    <w:rsid w:val="004B49EC"/>
    <w:rsid w:val="004B4B75"/>
    <w:rsid w:val="004B4E64"/>
    <w:rsid w:val="004B5039"/>
    <w:rsid w:val="004B561B"/>
    <w:rsid w:val="004B5A8F"/>
    <w:rsid w:val="004B5B9E"/>
    <w:rsid w:val="004B5C7C"/>
    <w:rsid w:val="004B60B9"/>
    <w:rsid w:val="004B60F2"/>
    <w:rsid w:val="004B6C0F"/>
    <w:rsid w:val="004B6FB0"/>
    <w:rsid w:val="004B726D"/>
    <w:rsid w:val="004B72C1"/>
    <w:rsid w:val="004B7769"/>
    <w:rsid w:val="004C0362"/>
    <w:rsid w:val="004C05F7"/>
    <w:rsid w:val="004C0BCE"/>
    <w:rsid w:val="004C0C01"/>
    <w:rsid w:val="004C0C66"/>
    <w:rsid w:val="004C0D32"/>
    <w:rsid w:val="004C0F9B"/>
    <w:rsid w:val="004C120F"/>
    <w:rsid w:val="004C1282"/>
    <w:rsid w:val="004C14FB"/>
    <w:rsid w:val="004C1AC5"/>
    <w:rsid w:val="004C1E26"/>
    <w:rsid w:val="004C2078"/>
    <w:rsid w:val="004C213D"/>
    <w:rsid w:val="004C23A0"/>
    <w:rsid w:val="004C2608"/>
    <w:rsid w:val="004C2741"/>
    <w:rsid w:val="004C27F3"/>
    <w:rsid w:val="004C28FA"/>
    <w:rsid w:val="004C2B69"/>
    <w:rsid w:val="004C2C90"/>
    <w:rsid w:val="004C30CB"/>
    <w:rsid w:val="004C3488"/>
    <w:rsid w:val="004C36A8"/>
    <w:rsid w:val="004C3C33"/>
    <w:rsid w:val="004C3D63"/>
    <w:rsid w:val="004C3F49"/>
    <w:rsid w:val="004C401B"/>
    <w:rsid w:val="004C4060"/>
    <w:rsid w:val="004C411A"/>
    <w:rsid w:val="004C412C"/>
    <w:rsid w:val="004C4A53"/>
    <w:rsid w:val="004C4B14"/>
    <w:rsid w:val="004C4C21"/>
    <w:rsid w:val="004C5179"/>
    <w:rsid w:val="004C525C"/>
    <w:rsid w:val="004C54C4"/>
    <w:rsid w:val="004C5631"/>
    <w:rsid w:val="004C57E6"/>
    <w:rsid w:val="004C5984"/>
    <w:rsid w:val="004C5AC9"/>
    <w:rsid w:val="004C5B5A"/>
    <w:rsid w:val="004C5D96"/>
    <w:rsid w:val="004C5F8B"/>
    <w:rsid w:val="004C6122"/>
    <w:rsid w:val="004C615E"/>
    <w:rsid w:val="004C61A1"/>
    <w:rsid w:val="004C6290"/>
    <w:rsid w:val="004C66C7"/>
    <w:rsid w:val="004C66D2"/>
    <w:rsid w:val="004C6F2C"/>
    <w:rsid w:val="004C6FD6"/>
    <w:rsid w:val="004C6FF4"/>
    <w:rsid w:val="004C719D"/>
    <w:rsid w:val="004C75F5"/>
    <w:rsid w:val="004C77EE"/>
    <w:rsid w:val="004C7803"/>
    <w:rsid w:val="004D01F4"/>
    <w:rsid w:val="004D029B"/>
    <w:rsid w:val="004D07FA"/>
    <w:rsid w:val="004D0A7F"/>
    <w:rsid w:val="004D11BC"/>
    <w:rsid w:val="004D12EA"/>
    <w:rsid w:val="004D184D"/>
    <w:rsid w:val="004D1ED3"/>
    <w:rsid w:val="004D1F46"/>
    <w:rsid w:val="004D1FA3"/>
    <w:rsid w:val="004D222B"/>
    <w:rsid w:val="004D25BE"/>
    <w:rsid w:val="004D2648"/>
    <w:rsid w:val="004D273F"/>
    <w:rsid w:val="004D2814"/>
    <w:rsid w:val="004D291C"/>
    <w:rsid w:val="004D323D"/>
    <w:rsid w:val="004D34CA"/>
    <w:rsid w:val="004D3724"/>
    <w:rsid w:val="004D3F3F"/>
    <w:rsid w:val="004D4045"/>
    <w:rsid w:val="004D4106"/>
    <w:rsid w:val="004D41E8"/>
    <w:rsid w:val="004D43DB"/>
    <w:rsid w:val="004D4529"/>
    <w:rsid w:val="004D45A5"/>
    <w:rsid w:val="004D487E"/>
    <w:rsid w:val="004D4ACB"/>
    <w:rsid w:val="004D4B3D"/>
    <w:rsid w:val="004D4EA1"/>
    <w:rsid w:val="004D55F2"/>
    <w:rsid w:val="004D5867"/>
    <w:rsid w:val="004D587F"/>
    <w:rsid w:val="004D5A07"/>
    <w:rsid w:val="004D5BB2"/>
    <w:rsid w:val="004D5D1A"/>
    <w:rsid w:val="004D5D79"/>
    <w:rsid w:val="004D600D"/>
    <w:rsid w:val="004D6180"/>
    <w:rsid w:val="004D644A"/>
    <w:rsid w:val="004D6464"/>
    <w:rsid w:val="004D6A6F"/>
    <w:rsid w:val="004D6AEA"/>
    <w:rsid w:val="004D74F1"/>
    <w:rsid w:val="004D79B1"/>
    <w:rsid w:val="004D7A03"/>
    <w:rsid w:val="004D7C80"/>
    <w:rsid w:val="004D7D67"/>
    <w:rsid w:val="004E0357"/>
    <w:rsid w:val="004E0770"/>
    <w:rsid w:val="004E0951"/>
    <w:rsid w:val="004E0A8C"/>
    <w:rsid w:val="004E0C07"/>
    <w:rsid w:val="004E0DDB"/>
    <w:rsid w:val="004E0EA4"/>
    <w:rsid w:val="004E0F34"/>
    <w:rsid w:val="004E111C"/>
    <w:rsid w:val="004E18AB"/>
    <w:rsid w:val="004E1B4B"/>
    <w:rsid w:val="004E220C"/>
    <w:rsid w:val="004E276C"/>
    <w:rsid w:val="004E27A6"/>
    <w:rsid w:val="004E2B07"/>
    <w:rsid w:val="004E2C40"/>
    <w:rsid w:val="004E2CE1"/>
    <w:rsid w:val="004E2E3F"/>
    <w:rsid w:val="004E338F"/>
    <w:rsid w:val="004E3690"/>
    <w:rsid w:val="004E3B4F"/>
    <w:rsid w:val="004E427E"/>
    <w:rsid w:val="004E4301"/>
    <w:rsid w:val="004E4484"/>
    <w:rsid w:val="004E4626"/>
    <w:rsid w:val="004E46F6"/>
    <w:rsid w:val="004E4733"/>
    <w:rsid w:val="004E4787"/>
    <w:rsid w:val="004E4797"/>
    <w:rsid w:val="004E49C7"/>
    <w:rsid w:val="004E4AC6"/>
    <w:rsid w:val="004E4BCF"/>
    <w:rsid w:val="004E50E3"/>
    <w:rsid w:val="004E5438"/>
    <w:rsid w:val="004E5B05"/>
    <w:rsid w:val="004E5BE2"/>
    <w:rsid w:val="004E5CB5"/>
    <w:rsid w:val="004E5D97"/>
    <w:rsid w:val="004E6686"/>
    <w:rsid w:val="004E6C70"/>
    <w:rsid w:val="004E6F71"/>
    <w:rsid w:val="004E71BF"/>
    <w:rsid w:val="004E7DDD"/>
    <w:rsid w:val="004E7E80"/>
    <w:rsid w:val="004F0402"/>
    <w:rsid w:val="004F0475"/>
    <w:rsid w:val="004F05DD"/>
    <w:rsid w:val="004F0885"/>
    <w:rsid w:val="004F0EA3"/>
    <w:rsid w:val="004F0ED1"/>
    <w:rsid w:val="004F0F5F"/>
    <w:rsid w:val="004F1036"/>
    <w:rsid w:val="004F130D"/>
    <w:rsid w:val="004F1410"/>
    <w:rsid w:val="004F159A"/>
    <w:rsid w:val="004F1721"/>
    <w:rsid w:val="004F1952"/>
    <w:rsid w:val="004F1B8E"/>
    <w:rsid w:val="004F2160"/>
    <w:rsid w:val="004F2327"/>
    <w:rsid w:val="004F236E"/>
    <w:rsid w:val="004F26C9"/>
    <w:rsid w:val="004F275E"/>
    <w:rsid w:val="004F2EEE"/>
    <w:rsid w:val="004F3F4E"/>
    <w:rsid w:val="004F44F5"/>
    <w:rsid w:val="004F4635"/>
    <w:rsid w:val="004F466B"/>
    <w:rsid w:val="004F47B9"/>
    <w:rsid w:val="004F48D3"/>
    <w:rsid w:val="004F4C5B"/>
    <w:rsid w:val="004F4C8A"/>
    <w:rsid w:val="004F5239"/>
    <w:rsid w:val="004F52EC"/>
    <w:rsid w:val="004F5506"/>
    <w:rsid w:val="004F5AE9"/>
    <w:rsid w:val="004F5B9D"/>
    <w:rsid w:val="004F5F3C"/>
    <w:rsid w:val="004F61B7"/>
    <w:rsid w:val="004F6264"/>
    <w:rsid w:val="004F6307"/>
    <w:rsid w:val="004F6D60"/>
    <w:rsid w:val="004F6FE6"/>
    <w:rsid w:val="004F7054"/>
    <w:rsid w:val="004F7698"/>
    <w:rsid w:val="004F7981"/>
    <w:rsid w:val="004F7AF8"/>
    <w:rsid w:val="00500993"/>
    <w:rsid w:val="005009E7"/>
    <w:rsid w:val="00500A9D"/>
    <w:rsid w:val="00500AED"/>
    <w:rsid w:val="00500BCA"/>
    <w:rsid w:val="00500C0D"/>
    <w:rsid w:val="00500FC2"/>
    <w:rsid w:val="0050136F"/>
    <w:rsid w:val="005019C1"/>
    <w:rsid w:val="00501A5B"/>
    <w:rsid w:val="00501C42"/>
    <w:rsid w:val="00501FAE"/>
    <w:rsid w:val="005024AE"/>
    <w:rsid w:val="00502667"/>
    <w:rsid w:val="005029EA"/>
    <w:rsid w:val="00502B83"/>
    <w:rsid w:val="00502C39"/>
    <w:rsid w:val="0050352B"/>
    <w:rsid w:val="005036A5"/>
    <w:rsid w:val="00503FE9"/>
    <w:rsid w:val="00504384"/>
    <w:rsid w:val="00504639"/>
    <w:rsid w:val="00504854"/>
    <w:rsid w:val="00504CBF"/>
    <w:rsid w:val="005052E6"/>
    <w:rsid w:val="005054CE"/>
    <w:rsid w:val="00505513"/>
    <w:rsid w:val="005055AD"/>
    <w:rsid w:val="00505A02"/>
    <w:rsid w:val="00505A25"/>
    <w:rsid w:val="00505B5F"/>
    <w:rsid w:val="00505C93"/>
    <w:rsid w:val="00506850"/>
    <w:rsid w:val="00506BD7"/>
    <w:rsid w:val="00506C0D"/>
    <w:rsid w:val="00506DA3"/>
    <w:rsid w:val="00506E28"/>
    <w:rsid w:val="00507034"/>
    <w:rsid w:val="005071B5"/>
    <w:rsid w:val="005078A9"/>
    <w:rsid w:val="005079CF"/>
    <w:rsid w:val="00507ADD"/>
    <w:rsid w:val="00507D67"/>
    <w:rsid w:val="005100B9"/>
    <w:rsid w:val="005101AC"/>
    <w:rsid w:val="00510444"/>
    <w:rsid w:val="005104E5"/>
    <w:rsid w:val="005106FD"/>
    <w:rsid w:val="00510E9E"/>
    <w:rsid w:val="005113A2"/>
    <w:rsid w:val="00511695"/>
    <w:rsid w:val="00511D35"/>
    <w:rsid w:val="00511D69"/>
    <w:rsid w:val="00512064"/>
    <w:rsid w:val="0051213E"/>
    <w:rsid w:val="00512229"/>
    <w:rsid w:val="005123EF"/>
    <w:rsid w:val="00512731"/>
    <w:rsid w:val="00512C7E"/>
    <w:rsid w:val="00513258"/>
    <w:rsid w:val="00513571"/>
    <w:rsid w:val="005136EB"/>
    <w:rsid w:val="00513C3E"/>
    <w:rsid w:val="005144CB"/>
    <w:rsid w:val="005147EC"/>
    <w:rsid w:val="00514C4C"/>
    <w:rsid w:val="00514DE6"/>
    <w:rsid w:val="00515AA5"/>
    <w:rsid w:val="00515AFD"/>
    <w:rsid w:val="00516615"/>
    <w:rsid w:val="00516959"/>
    <w:rsid w:val="005169FE"/>
    <w:rsid w:val="00516A4D"/>
    <w:rsid w:val="00517372"/>
    <w:rsid w:val="0051748D"/>
    <w:rsid w:val="005177D9"/>
    <w:rsid w:val="005203BD"/>
    <w:rsid w:val="00520B0C"/>
    <w:rsid w:val="00520D81"/>
    <w:rsid w:val="00520EA3"/>
    <w:rsid w:val="00521000"/>
    <w:rsid w:val="00521384"/>
    <w:rsid w:val="00521472"/>
    <w:rsid w:val="00521864"/>
    <w:rsid w:val="00521AA6"/>
    <w:rsid w:val="00521B23"/>
    <w:rsid w:val="0052214D"/>
    <w:rsid w:val="005226FB"/>
    <w:rsid w:val="00522BD9"/>
    <w:rsid w:val="00522C59"/>
    <w:rsid w:val="00522E13"/>
    <w:rsid w:val="00522E3D"/>
    <w:rsid w:val="00523409"/>
    <w:rsid w:val="0052427A"/>
    <w:rsid w:val="00524318"/>
    <w:rsid w:val="0052432C"/>
    <w:rsid w:val="005243CA"/>
    <w:rsid w:val="00524881"/>
    <w:rsid w:val="00524EF6"/>
    <w:rsid w:val="00525BE0"/>
    <w:rsid w:val="00525D43"/>
    <w:rsid w:val="00525D80"/>
    <w:rsid w:val="005260C5"/>
    <w:rsid w:val="00526407"/>
    <w:rsid w:val="0052642A"/>
    <w:rsid w:val="005264A6"/>
    <w:rsid w:val="005266AC"/>
    <w:rsid w:val="00526ACD"/>
    <w:rsid w:val="00526B8E"/>
    <w:rsid w:val="00526DCA"/>
    <w:rsid w:val="00526FE8"/>
    <w:rsid w:val="005270C0"/>
    <w:rsid w:val="005271E8"/>
    <w:rsid w:val="00527594"/>
    <w:rsid w:val="0052763D"/>
    <w:rsid w:val="005276C1"/>
    <w:rsid w:val="00527ADA"/>
    <w:rsid w:val="0053046D"/>
    <w:rsid w:val="0053075E"/>
    <w:rsid w:val="0053081F"/>
    <w:rsid w:val="00530E63"/>
    <w:rsid w:val="005316C2"/>
    <w:rsid w:val="00531B2A"/>
    <w:rsid w:val="00531E8E"/>
    <w:rsid w:val="00531F40"/>
    <w:rsid w:val="0053221F"/>
    <w:rsid w:val="0053256F"/>
    <w:rsid w:val="00532679"/>
    <w:rsid w:val="0053297B"/>
    <w:rsid w:val="00532C0D"/>
    <w:rsid w:val="0053342A"/>
    <w:rsid w:val="005335A3"/>
    <w:rsid w:val="00533712"/>
    <w:rsid w:val="005337BB"/>
    <w:rsid w:val="005339F1"/>
    <w:rsid w:val="00533FC9"/>
    <w:rsid w:val="00534187"/>
    <w:rsid w:val="00534409"/>
    <w:rsid w:val="005346DF"/>
    <w:rsid w:val="0053473B"/>
    <w:rsid w:val="005347D1"/>
    <w:rsid w:val="00534DA0"/>
    <w:rsid w:val="005351BC"/>
    <w:rsid w:val="0053524F"/>
    <w:rsid w:val="005359C9"/>
    <w:rsid w:val="00535AE0"/>
    <w:rsid w:val="00535FA5"/>
    <w:rsid w:val="00536101"/>
    <w:rsid w:val="00536135"/>
    <w:rsid w:val="005362EC"/>
    <w:rsid w:val="00536389"/>
    <w:rsid w:val="00536602"/>
    <w:rsid w:val="00536978"/>
    <w:rsid w:val="00536D6E"/>
    <w:rsid w:val="00536E95"/>
    <w:rsid w:val="005370CE"/>
    <w:rsid w:val="0053731C"/>
    <w:rsid w:val="0053731D"/>
    <w:rsid w:val="00537340"/>
    <w:rsid w:val="00537574"/>
    <w:rsid w:val="00537588"/>
    <w:rsid w:val="0053785C"/>
    <w:rsid w:val="00537916"/>
    <w:rsid w:val="00537A57"/>
    <w:rsid w:val="00537AAE"/>
    <w:rsid w:val="005402C9"/>
    <w:rsid w:val="00540326"/>
    <w:rsid w:val="0054037E"/>
    <w:rsid w:val="00540397"/>
    <w:rsid w:val="00540572"/>
    <w:rsid w:val="00541120"/>
    <w:rsid w:val="005419AA"/>
    <w:rsid w:val="00541C8C"/>
    <w:rsid w:val="00541E8E"/>
    <w:rsid w:val="00541EE6"/>
    <w:rsid w:val="00542884"/>
    <w:rsid w:val="00542923"/>
    <w:rsid w:val="00542C96"/>
    <w:rsid w:val="00542D7D"/>
    <w:rsid w:val="005431CE"/>
    <w:rsid w:val="00543451"/>
    <w:rsid w:val="00543587"/>
    <w:rsid w:val="00543600"/>
    <w:rsid w:val="005436DD"/>
    <w:rsid w:val="00543732"/>
    <w:rsid w:val="00543A24"/>
    <w:rsid w:val="00543A6E"/>
    <w:rsid w:val="005445B1"/>
    <w:rsid w:val="005445FE"/>
    <w:rsid w:val="0054464D"/>
    <w:rsid w:val="00544853"/>
    <w:rsid w:val="00544B49"/>
    <w:rsid w:val="00544C51"/>
    <w:rsid w:val="005453D3"/>
    <w:rsid w:val="005455AE"/>
    <w:rsid w:val="00545DA7"/>
    <w:rsid w:val="00545DC1"/>
    <w:rsid w:val="00545FB1"/>
    <w:rsid w:val="005460F4"/>
    <w:rsid w:val="005462CD"/>
    <w:rsid w:val="00546304"/>
    <w:rsid w:val="005466E7"/>
    <w:rsid w:val="005468A8"/>
    <w:rsid w:val="00546C96"/>
    <w:rsid w:val="00546D8B"/>
    <w:rsid w:val="00546DDA"/>
    <w:rsid w:val="00547374"/>
    <w:rsid w:val="00547531"/>
    <w:rsid w:val="0054762D"/>
    <w:rsid w:val="00547BE3"/>
    <w:rsid w:val="00547CA8"/>
    <w:rsid w:val="00547CC6"/>
    <w:rsid w:val="00550236"/>
    <w:rsid w:val="0055059F"/>
    <w:rsid w:val="00550D42"/>
    <w:rsid w:val="00550DD9"/>
    <w:rsid w:val="005514CC"/>
    <w:rsid w:val="005516F8"/>
    <w:rsid w:val="005518A0"/>
    <w:rsid w:val="00551954"/>
    <w:rsid w:val="00551AAC"/>
    <w:rsid w:val="00551B57"/>
    <w:rsid w:val="00551FD3"/>
    <w:rsid w:val="0055204B"/>
    <w:rsid w:val="00552340"/>
    <w:rsid w:val="005523DC"/>
    <w:rsid w:val="0055270E"/>
    <w:rsid w:val="0055272B"/>
    <w:rsid w:val="00552FB7"/>
    <w:rsid w:val="005531E1"/>
    <w:rsid w:val="00553603"/>
    <w:rsid w:val="005537A8"/>
    <w:rsid w:val="005537B5"/>
    <w:rsid w:val="005539F0"/>
    <w:rsid w:val="00553A08"/>
    <w:rsid w:val="00553C86"/>
    <w:rsid w:val="00553DE8"/>
    <w:rsid w:val="00553F99"/>
    <w:rsid w:val="00553FFB"/>
    <w:rsid w:val="005544AA"/>
    <w:rsid w:val="00554C9E"/>
    <w:rsid w:val="00555021"/>
    <w:rsid w:val="00555142"/>
    <w:rsid w:val="00555635"/>
    <w:rsid w:val="005556C6"/>
    <w:rsid w:val="00555712"/>
    <w:rsid w:val="005558DA"/>
    <w:rsid w:val="00555EF9"/>
    <w:rsid w:val="005561B1"/>
    <w:rsid w:val="00556490"/>
    <w:rsid w:val="00556AF0"/>
    <w:rsid w:val="00556E69"/>
    <w:rsid w:val="00557121"/>
    <w:rsid w:val="0055714A"/>
    <w:rsid w:val="0055730B"/>
    <w:rsid w:val="00557469"/>
    <w:rsid w:val="005574A0"/>
    <w:rsid w:val="00557931"/>
    <w:rsid w:val="00557C08"/>
    <w:rsid w:val="00557C0C"/>
    <w:rsid w:val="00557CC0"/>
    <w:rsid w:val="00557CC8"/>
    <w:rsid w:val="005601CC"/>
    <w:rsid w:val="00560CE7"/>
    <w:rsid w:val="00561085"/>
    <w:rsid w:val="005614DB"/>
    <w:rsid w:val="00561B0C"/>
    <w:rsid w:val="00561B37"/>
    <w:rsid w:val="00561D46"/>
    <w:rsid w:val="00562072"/>
    <w:rsid w:val="005629BD"/>
    <w:rsid w:val="00562AFE"/>
    <w:rsid w:val="00563272"/>
    <w:rsid w:val="00563469"/>
    <w:rsid w:val="005637CE"/>
    <w:rsid w:val="005639EE"/>
    <w:rsid w:val="00563A79"/>
    <w:rsid w:val="00563C1C"/>
    <w:rsid w:val="00563D5A"/>
    <w:rsid w:val="00563D88"/>
    <w:rsid w:val="005643E8"/>
    <w:rsid w:val="0056464C"/>
    <w:rsid w:val="00564E0C"/>
    <w:rsid w:val="00564E6B"/>
    <w:rsid w:val="005654C9"/>
    <w:rsid w:val="0056555F"/>
    <w:rsid w:val="0056574F"/>
    <w:rsid w:val="00565EE7"/>
    <w:rsid w:val="005661E3"/>
    <w:rsid w:val="0056632A"/>
    <w:rsid w:val="0056649D"/>
    <w:rsid w:val="00566DFE"/>
    <w:rsid w:val="005675A6"/>
    <w:rsid w:val="005675A9"/>
    <w:rsid w:val="005675C6"/>
    <w:rsid w:val="0056782D"/>
    <w:rsid w:val="00567890"/>
    <w:rsid w:val="005679BA"/>
    <w:rsid w:val="00567A28"/>
    <w:rsid w:val="00567B68"/>
    <w:rsid w:val="00567BCC"/>
    <w:rsid w:val="00567D56"/>
    <w:rsid w:val="00567F2B"/>
    <w:rsid w:val="00567FA3"/>
    <w:rsid w:val="00570020"/>
    <w:rsid w:val="005701C2"/>
    <w:rsid w:val="005704F0"/>
    <w:rsid w:val="00570C7E"/>
    <w:rsid w:val="00571242"/>
    <w:rsid w:val="0057132A"/>
    <w:rsid w:val="0057162B"/>
    <w:rsid w:val="005716D4"/>
    <w:rsid w:val="00571CB2"/>
    <w:rsid w:val="00572550"/>
    <w:rsid w:val="0057292F"/>
    <w:rsid w:val="00572A47"/>
    <w:rsid w:val="00572B96"/>
    <w:rsid w:val="00572D27"/>
    <w:rsid w:val="00572D62"/>
    <w:rsid w:val="00572E69"/>
    <w:rsid w:val="00572EA3"/>
    <w:rsid w:val="00573016"/>
    <w:rsid w:val="00573051"/>
    <w:rsid w:val="00573544"/>
    <w:rsid w:val="00573880"/>
    <w:rsid w:val="00573BAC"/>
    <w:rsid w:val="00573CF3"/>
    <w:rsid w:val="00573DE8"/>
    <w:rsid w:val="00573E5F"/>
    <w:rsid w:val="00573F4E"/>
    <w:rsid w:val="00573F76"/>
    <w:rsid w:val="00573FDD"/>
    <w:rsid w:val="0057408A"/>
    <w:rsid w:val="00574441"/>
    <w:rsid w:val="0057454F"/>
    <w:rsid w:val="00574AB0"/>
    <w:rsid w:val="00574C3C"/>
    <w:rsid w:val="00575175"/>
    <w:rsid w:val="005758F8"/>
    <w:rsid w:val="00575956"/>
    <w:rsid w:val="0057595D"/>
    <w:rsid w:val="00575A62"/>
    <w:rsid w:val="00575DA1"/>
    <w:rsid w:val="0057609A"/>
    <w:rsid w:val="00576149"/>
    <w:rsid w:val="00576354"/>
    <w:rsid w:val="005763AD"/>
    <w:rsid w:val="005767EB"/>
    <w:rsid w:val="00576826"/>
    <w:rsid w:val="00576895"/>
    <w:rsid w:val="005771E7"/>
    <w:rsid w:val="005779B1"/>
    <w:rsid w:val="005800AF"/>
    <w:rsid w:val="005801FE"/>
    <w:rsid w:val="005805D9"/>
    <w:rsid w:val="00581337"/>
    <w:rsid w:val="0058162F"/>
    <w:rsid w:val="005816BC"/>
    <w:rsid w:val="00581858"/>
    <w:rsid w:val="0058195D"/>
    <w:rsid w:val="00581AF0"/>
    <w:rsid w:val="00581CB6"/>
    <w:rsid w:val="00581D4F"/>
    <w:rsid w:val="00581DB5"/>
    <w:rsid w:val="00581EF3"/>
    <w:rsid w:val="00581F34"/>
    <w:rsid w:val="0058213A"/>
    <w:rsid w:val="00582346"/>
    <w:rsid w:val="00582646"/>
    <w:rsid w:val="00582805"/>
    <w:rsid w:val="005830D0"/>
    <w:rsid w:val="00583169"/>
    <w:rsid w:val="00583190"/>
    <w:rsid w:val="005838F8"/>
    <w:rsid w:val="00583C20"/>
    <w:rsid w:val="00583C68"/>
    <w:rsid w:val="00583DA9"/>
    <w:rsid w:val="00583EED"/>
    <w:rsid w:val="00583F39"/>
    <w:rsid w:val="00584391"/>
    <w:rsid w:val="00584585"/>
    <w:rsid w:val="00584ABF"/>
    <w:rsid w:val="0058509F"/>
    <w:rsid w:val="005852A7"/>
    <w:rsid w:val="005853DA"/>
    <w:rsid w:val="0058559D"/>
    <w:rsid w:val="005856FB"/>
    <w:rsid w:val="00585B3C"/>
    <w:rsid w:val="00585FB4"/>
    <w:rsid w:val="0058655E"/>
    <w:rsid w:val="00586C8D"/>
    <w:rsid w:val="0058705F"/>
    <w:rsid w:val="00587264"/>
    <w:rsid w:val="005878DA"/>
    <w:rsid w:val="00587A4F"/>
    <w:rsid w:val="00587BB0"/>
    <w:rsid w:val="00587CCF"/>
    <w:rsid w:val="00587FAD"/>
    <w:rsid w:val="005902E8"/>
    <w:rsid w:val="0059033A"/>
    <w:rsid w:val="005905D1"/>
    <w:rsid w:val="005905E0"/>
    <w:rsid w:val="005908D7"/>
    <w:rsid w:val="005908DD"/>
    <w:rsid w:val="00591818"/>
    <w:rsid w:val="00591F9B"/>
    <w:rsid w:val="00592224"/>
    <w:rsid w:val="005923EC"/>
    <w:rsid w:val="00592801"/>
    <w:rsid w:val="005931BF"/>
    <w:rsid w:val="005933C1"/>
    <w:rsid w:val="00593712"/>
    <w:rsid w:val="00593E8F"/>
    <w:rsid w:val="00593F10"/>
    <w:rsid w:val="00594036"/>
    <w:rsid w:val="005941BE"/>
    <w:rsid w:val="005942FC"/>
    <w:rsid w:val="00594335"/>
    <w:rsid w:val="0059435E"/>
    <w:rsid w:val="00594888"/>
    <w:rsid w:val="00594AA5"/>
    <w:rsid w:val="00594B0B"/>
    <w:rsid w:val="005950A0"/>
    <w:rsid w:val="00595312"/>
    <w:rsid w:val="00595A23"/>
    <w:rsid w:val="00595C48"/>
    <w:rsid w:val="00595DEF"/>
    <w:rsid w:val="00596DC8"/>
    <w:rsid w:val="00596E06"/>
    <w:rsid w:val="00597620"/>
    <w:rsid w:val="005977EB"/>
    <w:rsid w:val="00597F7B"/>
    <w:rsid w:val="005A023F"/>
    <w:rsid w:val="005A0649"/>
    <w:rsid w:val="005A0677"/>
    <w:rsid w:val="005A08EA"/>
    <w:rsid w:val="005A0DEF"/>
    <w:rsid w:val="005A0F92"/>
    <w:rsid w:val="005A1099"/>
    <w:rsid w:val="005A11ED"/>
    <w:rsid w:val="005A1483"/>
    <w:rsid w:val="005A1A86"/>
    <w:rsid w:val="005A1C99"/>
    <w:rsid w:val="005A1DFE"/>
    <w:rsid w:val="005A2C49"/>
    <w:rsid w:val="005A2CBF"/>
    <w:rsid w:val="005A2D6F"/>
    <w:rsid w:val="005A2E12"/>
    <w:rsid w:val="005A3011"/>
    <w:rsid w:val="005A3318"/>
    <w:rsid w:val="005A3340"/>
    <w:rsid w:val="005A36A9"/>
    <w:rsid w:val="005A3B99"/>
    <w:rsid w:val="005A3C94"/>
    <w:rsid w:val="005A4044"/>
    <w:rsid w:val="005A4647"/>
    <w:rsid w:val="005A4D17"/>
    <w:rsid w:val="005A4D18"/>
    <w:rsid w:val="005A4EF0"/>
    <w:rsid w:val="005A536C"/>
    <w:rsid w:val="005A5553"/>
    <w:rsid w:val="005A5759"/>
    <w:rsid w:val="005A5B7F"/>
    <w:rsid w:val="005A5ECA"/>
    <w:rsid w:val="005A6164"/>
    <w:rsid w:val="005A6943"/>
    <w:rsid w:val="005A6A4A"/>
    <w:rsid w:val="005A6CB7"/>
    <w:rsid w:val="005A6F96"/>
    <w:rsid w:val="005A73AC"/>
    <w:rsid w:val="005A7610"/>
    <w:rsid w:val="005A766C"/>
    <w:rsid w:val="005A7678"/>
    <w:rsid w:val="005A77E4"/>
    <w:rsid w:val="005A7BFA"/>
    <w:rsid w:val="005A7FD1"/>
    <w:rsid w:val="005B02DC"/>
    <w:rsid w:val="005B0566"/>
    <w:rsid w:val="005B057D"/>
    <w:rsid w:val="005B09DA"/>
    <w:rsid w:val="005B0AED"/>
    <w:rsid w:val="005B0BCD"/>
    <w:rsid w:val="005B0E0C"/>
    <w:rsid w:val="005B0E13"/>
    <w:rsid w:val="005B1016"/>
    <w:rsid w:val="005B1EEB"/>
    <w:rsid w:val="005B25A9"/>
    <w:rsid w:val="005B26D6"/>
    <w:rsid w:val="005B2D55"/>
    <w:rsid w:val="005B2DE4"/>
    <w:rsid w:val="005B3189"/>
    <w:rsid w:val="005B31E3"/>
    <w:rsid w:val="005B372B"/>
    <w:rsid w:val="005B3C52"/>
    <w:rsid w:val="005B4515"/>
    <w:rsid w:val="005B49D0"/>
    <w:rsid w:val="005B4B35"/>
    <w:rsid w:val="005B4EBA"/>
    <w:rsid w:val="005B4EE2"/>
    <w:rsid w:val="005B5222"/>
    <w:rsid w:val="005B5375"/>
    <w:rsid w:val="005B548A"/>
    <w:rsid w:val="005B561D"/>
    <w:rsid w:val="005B5731"/>
    <w:rsid w:val="005B5A68"/>
    <w:rsid w:val="005B5E13"/>
    <w:rsid w:val="005B5E4E"/>
    <w:rsid w:val="005B62D5"/>
    <w:rsid w:val="005B717C"/>
    <w:rsid w:val="005B7489"/>
    <w:rsid w:val="005B7646"/>
    <w:rsid w:val="005B79E3"/>
    <w:rsid w:val="005B7DBB"/>
    <w:rsid w:val="005C00B5"/>
    <w:rsid w:val="005C032D"/>
    <w:rsid w:val="005C0587"/>
    <w:rsid w:val="005C07A8"/>
    <w:rsid w:val="005C0B25"/>
    <w:rsid w:val="005C0D15"/>
    <w:rsid w:val="005C0E01"/>
    <w:rsid w:val="005C101A"/>
    <w:rsid w:val="005C103B"/>
    <w:rsid w:val="005C11E4"/>
    <w:rsid w:val="005C136F"/>
    <w:rsid w:val="005C17BA"/>
    <w:rsid w:val="005C18BD"/>
    <w:rsid w:val="005C193F"/>
    <w:rsid w:val="005C1C27"/>
    <w:rsid w:val="005C1FB8"/>
    <w:rsid w:val="005C2014"/>
    <w:rsid w:val="005C2955"/>
    <w:rsid w:val="005C2A35"/>
    <w:rsid w:val="005C2CC3"/>
    <w:rsid w:val="005C2FDB"/>
    <w:rsid w:val="005C3863"/>
    <w:rsid w:val="005C396B"/>
    <w:rsid w:val="005C3C14"/>
    <w:rsid w:val="005C3FDB"/>
    <w:rsid w:val="005C419D"/>
    <w:rsid w:val="005C4688"/>
    <w:rsid w:val="005C46FB"/>
    <w:rsid w:val="005C4993"/>
    <w:rsid w:val="005C4BE6"/>
    <w:rsid w:val="005C4C4A"/>
    <w:rsid w:val="005C4DAB"/>
    <w:rsid w:val="005C4E67"/>
    <w:rsid w:val="005C5018"/>
    <w:rsid w:val="005C506B"/>
    <w:rsid w:val="005C53BC"/>
    <w:rsid w:val="005C54E7"/>
    <w:rsid w:val="005C55C4"/>
    <w:rsid w:val="005C5751"/>
    <w:rsid w:val="005C5C12"/>
    <w:rsid w:val="005C60B1"/>
    <w:rsid w:val="005C656B"/>
    <w:rsid w:val="005C6675"/>
    <w:rsid w:val="005C68D8"/>
    <w:rsid w:val="005C6DAD"/>
    <w:rsid w:val="005C71BC"/>
    <w:rsid w:val="005C72B4"/>
    <w:rsid w:val="005C75E1"/>
    <w:rsid w:val="005C7C1A"/>
    <w:rsid w:val="005D06C7"/>
    <w:rsid w:val="005D0970"/>
    <w:rsid w:val="005D1014"/>
    <w:rsid w:val="005D1077"/>
    <w:rsid w:val="005D1145"/>
    <w:rsid w:val="005D1252"/>
    <w:rsid w:val="005D1316"/>
    <w:rsid w:val="005D132E"/>
    <w:rsid w:val="005D1A79"/>
    <w:rsid w:val="005D1A98"/>
    <w:rsid w:val="005D1ACB"/>
    <w:rsid w:val="005D1B7A"/>
    <w:rsid w:val="005D1BFC"/>
    <w:rsid w:val="005D1FC3"/>
    <w:rsid w:val="005D2232"/>
    <w:rsid w:val="005D2496"/>
    <w:rsid w:val="005D2525"/>
    <w:rsid w:val="005D26B6"/>
    <w:rsid w:val="005D270B"/>
    <w:rsid w:val="005D2790"/>
    <w:rsid w:val="005D27EB"/>
    <w:rsid w:val="005D2A4D"/>
    <w:rsid w:val="005D2CC3"/>
    <w:rsid w:val="005D2F78"/>
    <w:rsid w:val="005D30AD"/>
    <w:rsid w:val="005D3301"/>
    <w:rsid w:val="005D38B3"/>
    <w:rsid w:val="005D3FD1"/>
    <w:rsid w:val="005D4422"/>
    <w:rsid w:val="005D4478"/>
    <w:rsid w:val="005D4893"/>
    <w:rsid w:val="005D48D7"/>
    <w:rsid w:val="005D4DDA"/>
    <w:rsid w:val="005D4F94"/>
    <w:rsid w:val="005D57C0"/>
    <w:rsid w:val="005D5828"/>
    <w:rsid w:val="005D5957"/>
    <w:rsid w:val="005D5B3C"/>
    <w:rsid w:val="005D5BCF"/>
    <w:rsid w:val="005D5D9F"/>
    <w:rsid w:val="005D6054"/>
    <w:rsid w:val="005D64E1"/>
    <w:rsid w:val="005D64F4"/>
    <w:rsid w:val="005D6BBA"/>
    <w:rsid w:val="005D6BCA"/>
    <w:rsid w:val="005D6DDF"/>
    <w:rsid w:val="005D712C"/>
    <w:rsid w:val="005D7168"/>
    <w:rsid w:val="005D73B5"/>
    <w:rsid w:val="005D7644"/>
    <w:rsid w:val="005D7699"/>
    <w:rsid w:val="005D7731"/>
    <w:rsid w:val="005D786C"/>
    <w:rsid w:val="005D7BC9"/>
    <w:rsid w:val="005D7C11"/>
    <w:rsid w:val="005D7DB8"/>
    <w:rsid w:val="005E0134"/>
    <w:rsid w:val="005E0350"/>
    <w:rsid w:val="005E04C3"/>
    <w:rsid w:val="005E0574"/>
    <w:rsid w:val="005E06D1"/>
    <w:rsid w:val="005E089B"/>
    <w:rsid w:val="005E09DC"/>
    <w:rsid w:val="005E0A3D"/>
    <w:rsid w:val="005E0B00"/>
    <w:rsid w:val="005E0E15"/>
    <w:rsid w:val="005E15F6"/>
    <w:rsid w:val="005E16DE"/>
    <w:rsid w:val="005E19AF"/>
    <w:rsid w:val="005E1A63"/>
    <w:rsid w:val="005E1B32"/>
    <w:rsid w:val="005E1D39"/>
    <w:rsid w:val="005E1F66"/>
    <w:rsid w:val="005E2863"/>
    <w:rsid w:val="005E2D34"/>
    <w:rsid w:val="005E2DD5"/>
    <w:rsid w:val="005E30AB"/>
    <w:rsid w:val="005E30F0"/>
    <w:rsid w:val="005E32A4"/>
    <w:rsid w:val="005E346E"/>
    <w:rsid w:val="005E34A5"/>
    <w:rsid w:val="005E3537"/>
    <w:rsid w:val="005E36E1"/>
    <w:rsid w:val="005E3787"/>
    <w:rsid w:val="005E3AE0"/>
    <w:rsid w:val="005E3B29"/>
    <w:rsid w:val="005E3C7D"/>
    <w:rsid w:val="005E44EF"/>
    <w:rsid w:val="005E45FC"/>
    <w:rsid w:val="005E46BE"/>
    <w:rsid w:val="005E4811"/>
    <w:rsid w:val="005E493E"/>
    <w:rsid w:val="005E4A8B"/>
    <w:rsid w:val="005E4E03"/>
    <w:rsid w:val="005E511F"/>
    <w:rsid w:val="005E51E7"/>
    <w:rsid w:val="005E5BC9"/>
    <w:rsid w:val="005E5E5D"/>
    <w:rsid w:val="005E601A"/>
    <w:rsid w:val="005E624B"/>
    <w:rsid w:val="005E634E"/>
    <w:rsid w:val="005E64A1"/>
    <w:rsid w:val="005E6699"/>
    <w:rsid w:val="005E675A"/>
    <w:rsid w:val="005E6A09"/>
    <w:rsid w:val="005E6BDE"/>
    <w:rsid w:val="005E7060"/>
    <w:rsid w:val="005E792E"/>
    <w:rsid w:val="005E7A42"/>
    <w:rsid w:val="005E7CFC"/>
    <w:rsid w:val="005E7DD7"/>
    <w:rsid w:val="005E7FC8"/>
    <w:rsid w:val="005F027E"/>
    <w:rsid w:val="005F053C"/>
    <w:rsid w:val="005F095B"/>
    <w:rsid w:val="005F0A50"/>
    <w:rsid w:val="005F0AB8"/>
    <w:rsid w:val="005F0B25"/>
    <w:rsid w:val="005F106A"/>
    <w:rsid w:val="005F1784"/>
    <w:rsid w:val="005F1862"/>
    <w:rsid w:val="005F191C"/>
    <w:rsid w:val="005F1A18"/>
    <w:rsid w:val="005F1D56"/>
    <w:rsid w:val="005F1FB2"/>
    <w:rsid w:val="005F24DF"/>
    <w:rsid w:val="005F29EE"/>
    <w:rsid w:val="005F2E4B"/>
    <w:rsid w:val="005F3044"/>
    <w:rsid w:val="005F3590"/>
    <w:rsid w:val="005F35D0"/>
    <w:rsid w:val="005F3636"/>
    <w:rsid w:val="005F4065"/>
    <w:rsid w:val="005F4487"/>
    <w:rsid w:val="005F44D0"/>
    <w:rsid w:val="005F4825"/>
    <w:rsid w:val="005F4C1D"/>
    <w:rsid w:val="005F4E3A"/>
    <w:rsid w:val="005F51CE"/>
    <w:rsid w:val="005F5450"/>
    <w:rsid w:val="005F5562"/>
    <w:rsid w:val="005F56CD"/>
    <w:rsid w:val="005F5915"/>
    <w:rsid w:val="005F595B"/>
    <w:rsid w:val="005F59C3"/>
    <w:rsid w:val="005F5D0B"/>
    <w:rsid w:val="005F5E88"/>
    <w:rsid w:val="005F5EA8"/>
    <w:rsid w:val="005F6205"/>
    <w:rsid w:val="005F62C8"/>
    <w:rsid w:val="005F690F"/>
    <w:rsid w:val="005F6B06"/>
    <w:rsid w:val="005F6DC4"/>
    <w:rsid w:val="005F6F0F"/>
    <w:rsid w:val="005F7175"/>
    <w:rsid w:val="005F7279"/>
    <w:rsid w:val="005F76B7"/>
    <w:rsid w:val="005F7A00"/>
    <w:rsid w:val="005F7C4B"/>
    <w:rsid w:val="005F7CCD"/>
    <w:rsid w:val="0060014F"/>
    <w:rsid w:val="00600636"/>
    <w:rsid w:val="00600686"/>
    <w:rsid w:val="006006FE"/>
    <w:rsid w:val="00600895"/>
    <w:rsid w:val="00600913"/>
    <w:rsid w:val="00600B6C"/>
    <w:rsid w:val="00600CDA"/>
    <w:rsid w:val="00600D05"/>
    <w:rsid w:val="00601018"/>
    <w:rsid w:val="006014B9"/>
    <w:rsid w:val="006017DC"/>
    <w:rsid w:val="006018AD"/>
    <w:rsid w:val="00601C56"/>
    <w:rsid w:val="00601E0F"/>
    <w:rsid w:val="00602564"/>
    <w:rsid w:val="0060265A"/>
    <w:rsid w:val="00602A02"/>
    <w:rsid w:val="00602BAC"/>
    <w:rsid w:val="00603078"/>
    <w:rsid w:val="006033D1"/>
    <w:rsid w:val="0060350B"/>
    <w:rsid w:val="00603622"/>
    <w:rsid w:val="0060363A"/>
    <w:rsid w:val="00603728"/>
    <w:rsid w:val="00603884"/>
    <w:rsid w:val="00603C58"/>
    <w:rsid w:val="00603CEC"/>
    <w:rsid w:val="00603D3A"/>
    <w:rsid w:val="00604016"/>
    <w:rsid w:val="0060451E"/>
    <w:rsid w:val="0060458B"/>
    <w:rsid w:val="0060485B"/>
    <w:rsid w:val="00604A07"/>
    <w:rsid w:val="00604AE2"/>
    <w:rsid w:val="00604B1B"/>
    <w:rsid w:val="00604B99"/>
    <w:rsid w:val="00604C2B"/>
    <w:rsid w:val="00605056"/>
    <w:rsid w:val="00606892"/>
    <w:rsid w:val="00606CC0"/>
    <w:rsid w:val="006072BC"/>
    <w:rsid w:val="006073F2"/>
    <w:rsid w:val="0060788F"/>
    <w:rsid w:val="00607A72"/>
    <w:rsid w:val="00607B4B"/>
    <w:rsid w:val="00607B86"/>
    <w:rsid w:val="00607EFD"/>
    <w:rsid w:val="00607FE3"/>
    <w:rsid w:val="0061043C"/>
    <w:rsid w:val="006108F3"/>
    <w:rsid w:val="00610C0E"/>
    <w:rsid w:val="00610D3C"/>
    <w:rsid w:val="00611920"/>
    <w:rsid w:val="00611E03"/>
    <w:rsid w:val="00611FCD"/>
    <w:rsid w:val="00612255"/>
    <w:rsid w:val="006123CF"/>
    <w:rsid w:val="006124DF"/>
    <w:rsid w:val="00612BC0"/>
    <w:rsid w:val="00612C49"/>
    <w:rsid w:val="00612C6B"/>
    <w:rsid w:val="006131C7"/>
    <w:rsid w:val="00613228"/>
    <w:rsid w:val="006132CD"/>
    <w:rsid w:val="0061375D"/>
    <w:rsid w:val="006137C7"/>
    <w:rsid w:val="00613926"/>
    <w:rsid w:val="00613B11"/>
    <w:rsid w:val="00613E8C"/>
    <w:rsid w:val="00613E8F"/>
    <w:rsid w:val="00614479"/>
    <w:rsid w:val="00614ABE"/>
    <w:rsid w:val="00614BDC"/>
    <w:rsid w:val="00614E13"/>
    <w:rsid w:val="00614E85"/>
    <w:rsid w:val="0061551E"/>
    <w:rsid w:val="0061640F"/>
    <w:rsid w:val="006166D3"/>
    <w:rsid w:val="006169B4"/>
    <w:rsid w:val="00616AEA"/>
    <w:rsid w:val="00616DB2"/>
    <w:rsid w:val="00617013"/>
    <w:rsid w:val="00617183"/>
    <w:rsid w:val="00617196"/>
    <w:rsid w:val="006174DB"/>
    <w:rsid w:val="00617671"/>
    <w:rsid w:val="006176BE"/>
    <w:rsid w:val="00617726"/>
    <w:rsid w:val="00617CE5"/>
    <w:rsid w:val="00617EFF"/>
    <w:rsid w:val="00620233"/>
    <w:rsid w:val="006202EF"/>
    <w:rsid w:val="006202FD"/>
    <w:rsid w:val="006203BA"/>
    <w:rsid w:val="00620BE8"/>
    <w:rsid w:val="00620E26"/>
    <w:rsid w:val="00620E54"/>
    <w:rsid w:val="00620EE5"/>
    <w:rsid w:val="00621257"/>
    <w:rsid w:val="0062130B"/>
    <w:rsid w:val="006217A7"/>
    <w:rsid w:val="00621A93"/>
    <w:rsid w:val="00621C3A"/>
    <w:rsid w:val="006222B6"/>
    <w:rsid w:val="00622700"/>
    <w:rsid w:val="00622D1B"/>
    <w:rsid w:val="0062300F"/>
    <w:rsid w:val="00623165"/>
    <w:rsid w:val="006235A3"/>
    <w:rsid w:val="00623676"/>
    <w:rsid w:val="006239FD"/>
    <w:rsid w:val="00623A05"/>
    <w:rsid w:val="00623B19"/>
    <w:rsid w:val="00623E20"/>
    <w:rsid w:val="006242DD"/>
    <w:rsid w:val="0062438B"/>
    <w:rsid w:val="00624394"/>
    <w:rsid w:val="0062452E"/>
    <w:rsid w:val="00624B0B"/>
    <w:rsid w:val="00624B3D"/>
    <w:rsid w:val="00625608"/>
    <w:rsid w:val="00625693"/>
    <w:rsid w:val="0062588E"/>
    <w:rsid w:val="00626B95"/>
    <w:rsid w:val="006272BF"/>
    <w:rsid w:val="00627403"/>
    <w:rsid w:val="0062784E"/>
    <w:rsid w:val="00627936"/>
    <w:rsid w:val="006279A8"/>
    <w:rsid w:val="00627DCC"/>
    <w:rsid w:val="00630042"/>
    <w:rsid w:val="00630122"/>
    <w:rsid w:val="00630242"/>
    <w:rsid w:val="00630400"/>
    <w:rsid w:val="00630ABA"/>
    <w:rsid w:val="0063100E"/>
    <w:rsid w:val="00631022"/>
    <w:rsid w:val="006312AC"/>
    <w:rsid w:val="00631521"/>
    <w:rsid w:val="006318DC"/>
    <w:rsid w:val="006321A3"/>
    <w:rsid w:val="00632261"/>
    <w:rsid w:val="006322DB"/>
    <w:rsid w:val="006325F8"/>
    <w:rsid w:val="00632785"/>
    <w:rsid w:val="00632A22"/>
    <w:rsid w:val="00632EB0"/>
    <w:rsid w:val="0063331B"/>
    <w:rsid w:val="00633463"/>
    <w:rsid w:val="00633742"/>
    <w:rsid w:val="0063391D"/>
    <w:rsid w:val="00633C81"/>
    <w:rsid w:val="0063418E"/>
    <w:rsid w:val="006344FA"/>
    <w:rsid w:val="00634D42"/>
    <w:rsid w:val="006356D6"/>
    <w:rsid w:val="00635ACA"/>
    <w:rsid w:val="00635B21"/>
    <w:rsid w:val="00635BC3"/>
    <w:rsid w:val="00635C6A"/>
    <w:rsid w:val="00635CD8"/>
    <w:rsid w:val="00635FC8"/>
    <w:rsid w:val="0063691E"/>
    <w:rsid w:val="00636B21"/>
    <w:rsid w:val="00636B8B"/>
    <w:rsid w:val="00636DBF"/>
    <w:rsid w:val="00637264"/>
    <w:rsid w:val="0063730B"/>
    <w:rsid w:val="006373F2"/>
    <w:rsid w:val="006377B6"/>
    <w:rsid w:val="00637997"/>
    <w:rsid w:val="006379AD"/>
    <w:rsid w:val="00637CAA"/>
    <w:rsid w:val="00637D45"/>
    <w:rsid w:val="00637F1F"/>
    <w:rsid w:val="00637FAC"/>
    <w:rsid w:val="006400ED"/>
    <w:rsid w:val="00640DAB"/>
    <w:rsid w:val="00640E8D"/>
    <w:rsid w:val="00640F9C"/>
    <w:rsid w:val="006417B1"/>
    <w:rsid w:val="00641817"/>
    <w:rsid w:val="00641C39"/>
    <w:rsid w:val="00641CF4"/>
    <w:rsid w:val="00641FBB"/>
    <w:rsid w:val="00642219"/>
    <w:rsid w:val="00642256"/>
    <w:rsid w:val="006423FD"/>
    <w:rsid w:val="00642721"/>
    <w:rsid w:val="00642D0C"/>
    <w:rsid w:val="006430A2"/>
    <w:rsid w:val="00643132"/>
    <w:rsid w:val="0064338C"/>
    <w:rsid w:val="00643520"/>
    <w:rsid w:val="0064357F"/>
    <w:rsid w:val="00643A67"/>
    <w:rsid w:val="0064437D"/>
    <w:rsid w:val="006446F6"/>
    <w:rsid w:val="006448B6"/>
    <w:rsid w:val="00644A1B"/>
    <w:rsid w:val="00644B3D"/>
    <w:rsid w:val="00644C21"/>
    <w:rsid w:val="00644CE0"/>
    <w:rsid w:val="00644E81"/>
    <w:rsid w:val="00644ECB"/>
    <w:rsid w:val="0064579C"/>
    <w:rsid w:val="00645811"/>
    <w:rsid w:val="00645BD1"/>
    <w:rsid w:val="00645C43"/>
    <w:rsid w:val="00646836"/>
    <w:rsid w:val="00646B03"/>
    <w:rsid w:val="00646FBB"/>
    <w:rsid w:val="00647448"/>
    <w:rsid w:val="00647497"/>
    <w:rsid w:val="00647558"/>
    <w:rsid w:val="0064782C"/>
    <w:rsid w:val="00647938"/>
    <w:rsid w:val="00647E17"/>
    <w:rsid w:val="00647ED2"/>
    <w:rsid w:val="0065006D"/>
    <w:rsid w:val="0065041A"/>
    <w:rsid w:val="0065090C"/>
    <w:rsid w:val="00650A10"/>
    <w:rsid w:val="00650AE3"/>
    <w:rsid w:val="00650C53"/>
    <w:rsid w:val="00650CB5"/>
    <w:rsid w:val="00650CC1"/>
    <w:rsid w:val="0065107D"/>
    <w:rsid w:val="00651564"/>
    <w:rsid w:val="0065175B"/>
    <w:rsid w:val="00651773"/>
    <w:rsid w:val="00651D79"/>
    <w:rsid w:val="00651EAF"/>
    <w:rsid w:val="00652056"/>
    <w:rsid w:val="00652520"/>
    <w:rsid w:val="00652B21"/>
    <w:rsid w:val="00652BCF"/>
    <w:rsid w:val="00652C6C"/>
    <w:rsid w:val="00652E43"/>
    <w:rsid w:val="00653158"/>
    <w:rsid w:val="00653BA1"/>
    <w:rsid w:val="00653F80"/>
    <w:rsid w:val="00653FA3"/>
    <w:rsid w:val="00654083"/>
    <w:rsid w:val="00654534"/>
    <w:rsid w:val="0065490D"/>
    <w:rsid w:val="00654AA3"/>
    <w:rsid w:val="00654B25"/>
    <w:rsid w:val="00654BC4"/>
    <w:rsid w:val="00654E13"/>
    <w:rsid w:val="00654EE1"/>
    <w:rsid w:val="006556B5"/>
    <w:rsid w:val="00655C54"/>
    <w:rsid w:val="00655CE8"/>
    <w:rsid w:val="00655DE7"/>
    <w:rsid w:val="00655E22"/>
    <w:rsid w:val="00655F70"/>
    <w:rsid w:val="006563EC"/>
    <w:rsid w:val="00656714"/>
    <w:rsid w:val="006569B7"/>
    <w:rsid w:val="00656D5C"/>
    <w:rsid w:val="00657861"/>
    <w:rsid w:val="0065794F"/>
    <w:rsid w:val="00657E14"/>
    <w:rsid w:val="00660280"/>
    <w:rsid w:val="00660477"/>
    <w:rsid w:val="00660522"/>
    <w:rsid w:val="0066069D"/>
    <w:rsid w:val="0066087F"/>
    <w:rsid w:val="00661005"/>
    <w:rsid w:val="006612EB"/>
    <w:rsid w:val="0066164E"/>
    <w:rsid w:val="0066198F"/>
    <w:rsid w:val="006619D1"/>
    <w:rsid w:val="00661DEF"/>
    <w:rsid w:val="00661FBD"/>
    <w:rsid w:val="0066200E"/>
    <w:rsid w:val="00662100"/>
    <w:rsid w:val="00662F6C"/>
    <w:rsid w:val="006630CF"/>
    <w:rsid w:val="0066317D"/>
    <w:rsid w:val="0066317F"/>
    <w:rsid w:val="006634A5"/>
    <w:rsid w:val="00663612"/>
    <w:rsid w:val="00663655"/>
    <w:rsid w:val="00663AA4"/>
    <w:rsid w:val="00663B59"/>
    <w:rsid w:val="00663C65"/>
    <w:rsid w:val="00663F13"/>
    <w:rsid w:val="00663FB4"/>
    <w:rsid w:val="00664035"/>
    <w:rsid w:val="006641F4"/>
    <w:rsid w:val="00664229"/>
    <w:rsid w:val="00664396"/>
    <w:rsid w:val="00664A6E"/>
    <w:rsid w:val="00664D05"/>
    <w:rsid w:val="00664F1A"/>
    <w:rsid w:val="006655F5"/>
    <w:rsid w:val="00665662"/>
    <w:rsid w:val="0066570F"/>
    <w:rsid w:val="00665995"/>
    <w:rsid w:val="00665A05"/>
    <w:rsid w:val="00665BAB"/>
    <w:rsid w:val="00665FBF"/>
    <w:rsid w:val="00666175"/>
    <w:rsid w:val="00666177"/>
    <w:rsid w:val="0066647E"/>
    <w:rsid w:val="00666490"/>
    <w:rsid w:val="00666771"/>
    <w:rsid w:val="0066677D"/>
    <w:rsid w:val="00666D8F"/>
    <w:rsid w:val="00666DAA"/>
    <w:rsid w:val="00666F0F"/>
    <w:rsid w:val="00667010"/>
    <w:rsid w:val="006670F1"/>
    <w:rsid w:val="006671D9"/>
    <w:rsid w:val="006675E5"/>
    <w:rsid w:val="00667837"/>
    <w:rsid w:val="00667B96"/>
    <w:rsid w:val="00667CC3"/>
    <w:rsid w:val="00667F15"/>
    <w:rsid w:val="00670787"/>
    <w:rsid w:val="0067093C"/>
    <w:rsid w:val="00670B97"/>
    <w:rsid w:val="00670CFF"/>
    <w:rsid w:val="00670D18"/>
    <w:rsid w:val="006710B7"/>
    <w:rsid w:val="00671281"/>
    <w:rsid w:val="00671A8E"/>
    <w:rsid w:val="00671CF1"/>
    <w:rsid w:val="0067254B"/>
    <w:rsid w:val="00672B02"/>
    <w:rsid w:val="00672B8F"/>
    <w:rsid w:val="00672C08"/>
    <w:rsid w:val="00672F76"/>
    <w:rsid w:val="00673203"/>
    <w:rsid w:val="00673AA4"/>
    <w:rsid w:val="00673C33"/>
    <w:rsid w:val="00673E27"/>
    <w:rsid w:val="00673E2D"/>
    <w:rsid w:val="00674272"/>
    <w:rsid w:val="006744F2"/>
    <w:rsid w:val="006748BB"/>
    <w:rsid w:val="00674AFD"/>
    <w:rsid w:val="00674C33"/>
    <w:rsid w:val="00674E3E"/>
    <w:rsid w:val="006751D8"/>
    <w:rsid w:val="00675570"/>
    <w:rsid w:val="006756C6"/>
    <w:rsid w:val="006757A0"/>
    <w:rsid w:val="006764DF"/>
    <w:rsid w:val="00676A30"/>
    <w:rsid w:val="00676ACF"/>
    <w:rsid w:val="00676B5B"/>
    <w:rsid w:val="00676B77"/>
    <w:rsid w:val="00676C1D"/>
    <w:rsid w:val="00676E00"/>
    <w:rsid w:val="00676F19"/>
    <w:rsid w:val="006770AC"/>
    <w:rsid w:val="00677116"/>
    <w:rsid w:val="006771E2"/>
    <w:rsid w:val="00677365"/>
    <w:rsid w:val="00677797"/>
    <w:rsid w:val="0067785A"/>
    <w:rsid w:val="00677E63"/>
    <w:rsid w:val="00677F4F"/>
    <w:rsid w:val="00680393"/>
    <w:rsid w:val="006805EB"/>
    <w:rsid w:val="00680770"/>
    <w:rsid w:val="00680774"/>
    <w:rsid w:val="006809DF"/>
    <w:rsid w:val="0068127E"/>
    <w:rsid w:val="006817BA"/>
    <w:rsid w:val="00681971"/>
    <w:rsid w:val="00681CD5"/>
    <w:rsid w:val="00681D05"/>
    <w:rsid w:val="00681EF8"/>
    <w:rsid w:val="00681F10"/>
    <w:rsid w:val="00681F35"/>
    <w:rsid w:val="00681F3F"/>
    <w:rsid w:val="00682035"/>
    <w:rsid w:val="006821DB"/>
    <w:rsid w:val="006822F1"/>
    <w:rsid w:val="00682BC6"/>
    <w:rsid w:val="00683452"/>
    <w:rsid w:val="00683482"/>
    <w:rsid w:val="00683837"/>
    <w:rsid w:val="006838BE"/>
    <w:rsid w:val="0068400B"/>
    <w:rsid w:val="0068411F"/>
    <w:rsid w:val="006842A8"/>
    <w:rsid w:val="006849BB"/>
    <w:rsid w:val="006851DD"/>
    <w:rsid w:val="00685288"/>
    <w:rsid w:val="00685305"/>
    <w:rsid w:val="00685677"/>
    <w:rsid w:val="00685950"/>
    <w:rsid w:val="0068599E"/>
    <w:rsid w:val="00685BF8"/>
    <w:rsid w:val="00685CC7"/>
    <w:rsid w:val="0068616E"/>
    <w:rsid w:val="006862A6"/>
    <w:rsid w:val="006865D3"/>
    <w:rsid w:val="00686A19"/>
    <w:rsid w:val="006871B1"/>
    <w:rsid w:val="0068724A"/>
    <w:rsid w:val="0068740C"/>
    <w:rsid w:val="006879C4"/>
    <w:rsid w:val="00690365"/>
    <w:rsid w:val="006903F1"/>
    <w:rsid w:val="00690755"/>
    <w:rsid w:val="00690829"/>
    <w:rsid w:val="00690DF3"/>
    <w:rsid w:val="00690F8F"/>
    <w:rsid w:val="00691126"/>
    <w:rsid w:val="006913AB"/>
    <w:rsid w:val="006914D2"/>
    <w:rsid w:val="00691523"/>
    <w:rsid w:val="00691973"/>
    <w:rsid w:val="00691A16"/>
    <w:rsid w:val="00691B02"/>
    <w:rsid w:val="00691D58"/>
    <w:rsid w:val="00691D7A"/>
    <w:rsid w:val="006920D7"/>
    <w:rsid w:val="00692183"/>
    <w:rsid w:val="00692286"/>
    <w:rsid w:val="00693405"/>
    <w:rsid w:val="006939EC"/>
    <w:rsid w:val="00693E1E"/>
    <w:rsid w:val="00694EC6"/>
    <w:rsid w:val="00694F75"/>
    <w:rsid w:val="00694F8F"/>
    <w:rsid w:val="00695937"/>
    <w:rsid w:val="0069597C"/>
    <w:rsid w:val="006959CD"/>
    <w:rsid w:val="00695D95"/>
    <w:rsid w:val="00695F86"/>
    <w:rsid w:val="006960B9"/>
    <w:rsid w:val="00696258"/>
    <w:rsid w:val="00696326"/>
    <w:rsid w:val="00696736"/>
    <w:rsid w:val="00696A71"/>
    <w:rsid w:val="00696D2A"/>
    <w:rsid w:val="00696EED"/>
    <w:rsid w:val="006970D5"/>
    <w:rsid w:val="00697118"/>
    <w:rsid w:val="0069739D"/>
    <w:rsid w:val="0069758F"/>
    <w:rsid w:val="00697CDE"/>
    <w:rsid w:val="00697D27"/>
    <w:rsid w:val="006A00E2"/>
    <w:rsid w:val="006A0293"/>
    <w:rsid w:val="006A03F4"/>
    <w:rsid w:val="006A08C1"/>
    <w:rsid w:val="006A0A02"/>
    <w:rsid w:val="006A0BE2"/>
    <w:rsid w:val="006A0D51"/>
    <w:rsid w:val="006A0DCB"/>
    <w:rsid w:val="006A1186"/>
    <w:rsid w:val="006A1AE6"/>
    <w:rsid w:val="006A1E83"/>
    <w:rsid w:val="006A1EE1"/>
    <w:rsid w:val="006A1F2C"/>
    <w:rsid w:val="006A2159"/>
    <w:rsid w:val="006A2215"/>
    <w:rsid w:val="006A249B"/>
    <w:rsid w:val="006A2D96"/>
    <w:rsid w:val="006A3897"/>
    <w:rsid w:val="006A38F6"/>
    <w:rsid w:val="006A3B24"/>
    <w:rsid w:val="006A4030"/>
    <w:rsid w:val="006A4211"/>
    <w:rsid w:val="006A4610"/>
    <w:rsid w:val="006A4AE2"/>
    <w:rsid w:val="006A4D8A"/>
    <w:rsid w:val="006A4F99"/>
    <w:rsid w:val="006A50C8"/>
    <w:rsid w:val="006A57BE"/>
    <w:rsid w:val="006A5EE5"/>
    <w:rsid w:val="006A6122"/>
    <w:rsid w:val="006A625E"/>
    <w:rsid w:val="006A64A9"/>
    <w:rsid w:val="006A661F"/>
    <w:rsid w:val="006A67B0"/>
    <w:rsid w:val="006A6AF9"/>
    <w:rsid w:val="006A6B52"/>
    <w:rsid w:val="006A6B5F"/>
    <w:rsid w:val="006A6C9A"/>
    <w:rsid w:val="006A6DA2"/>
    <w:rsid w:val="006A6E86"/>
    <w:rsid w:val="006A7AD0"/>
    <w:rsid w:val="006A7D66"/>
    <w:rsid w:val="006A7DC2"/>
    <w:rsid w:val="006A7DFF"/>
    <w:rsid w:val="006A7F4C"/>
    <w:rsid w:val="006B0469"/>
    <w:rsid w:val="006B0925"/>
    <w:rsid w:val="006B09FE"/>
    <w:rsid w:val="006B0B16"/>
    <w:rsid w:val="006B10FC"/>
    <w:rsid w:val="006B14AA"/>
    <w:rsid w:val="006B18CB"/>
    <w:rsid w:val="006B1C87"/>
    <w:rsid w:val="006B207B"/>
    <w:rsid w:val="006B21EE"/>
    <w:rsid w:val="006B24E1"/>
    <w:rsid w:val="006B2656"/>
    <w:rsid w:val="006B277A"/>
    <w:rsid w:val="006B29B5"/>
    <w:rsid w:val="006B2C28"/>
    <w:rsid w:val="006B2D7E"/>
    <w:rsid w:val="006B2E12"/>
    <w:rsid w:val="006B311C"/>
    <w:rsid w:val="006B38A8"/>
    <w:rsid w:val="006B3937"/>
    <w:rsid w:val="006B3ACD"/>
    <w:rsid w:val="006B3B09"/>
    <w:rsid w:val="006B3F25"/>
    <w:rsid w:val="006B40B1"/>
    <w:rsid w:val="006B46FA"/>
    <w:rsid w:val="006B46FF"/>
    <w:rsid w:val="006B4785"/>
    <w:rsid w:val="006B4949"/>
    <w:rsid w:val="006B4B70"/>
    <w:rsid w:val="006B4C57"/>
    <w:rsid w:val="006B52D9"/>
    <w:rsid w:val="006B556C"/>
    <w:rsid w:val="006B56EC"/>
    <w:rsid w:val="006B5A06"/>
    <w:rsid w:val="006B5ADB"/>
    <w:rsid w:val="006B5AE7"/>
    <w:rsid w:val="006B6065"/>
    <w:rsid w:val="006B61B8"/>
    <w:rsid w:val="006B682B"/>
    <w:rsid w:val="006B69D2"/>
    <w:rsid w:val="006B6B5B"/>
    <w:rsid w:val="006B6CB4"/>
    <w:rsid w:val="006B73B9"/>
    <w:rsid w:val="006B741B"/>
    <w:rsid w:val="006B7642"/>
    <w:rsid w:val="006B7EFE"/>
    <w:rsid w:val="006B7FEC"/>
    <w:rsid w:val="006C0522"/>
    <w:rsid w:val="006C06D7"/>
    <w:rsid w:val="006C0CF3"/>
    <w:rsid w:val="006C0DBD"/>
    <w:rsid w:val="006C0FFA"/>
    <w:rsid w:val="006C1021"/>
    <w:rsid w:val="006C13CB"/>
    <w:rsid w:val="006C145B"/>
    <w:rsid w:val="006C1469"/>
    <w:rsid w:val="006C1A1F"/>
    <w:rsid w:val="006C1A54"/>
    <w:rsid w:val="006C1E48"/>
    <w:rsid w:val="006C1F90"/>
    <w:rsid w:val="006C2201"/>
    <w:rsid w:val="006C223A"/>
    <w:rsid w:val="006C25F1"/>
    <w:rsid w:val="006C2626"/>
    <w:rsid w:val="006C2816"/>
    <w:rsid w:val="006C2966"/>
    <w:rsid w:val="006C2C29"/>
    <w:rsid w:val="006C2D72"/>
    <w:rsid w:val="006C2EF3"/>
    <w:rsid w:val="006C355C"/>
    <w:rsid w:val="006C3793"/>
    <w:rsid w:val="006C3B16"/>
    <w:rsid w:val="006C3C44"/>
    <w:rsid w:val="006C3E91"/>
    <w:rsid w:val="006C40A6"/>
    <w:rsid w:val="006C44CD"/>
    <w:rsid w:val="006C4B21"/>
    <w:rsid w:val="006C4FD2"/>
    <w:rsid w:val="006C5448"/>
    <w:rsid w:val="006C567D"/>
    <w:rsid w:val="006C56B8"/>
    <w:rsid w:val="006C5B52"/>
    <w:rsid w:val="006C5BC9"/>
    <w:rsid w:val="006C6259"/>
    <w:rsid w:val="006C6743"/>
    <w:rsid w:val="006C6DB8"/>
    <w:rsid w:val="006C6FE4"/>
    <w:rsid w:val="006C746C"/>
    <w:rsid w:val="006C758D"/>
    <w:rsid w:val="006C7693"/>
    <w:rsid w:val="006C7B47"/>
    <w:rsid w:val="006C7F0E"/>
    <w:rsid w:val="006D0007"/>
    <w:rsid w:val="006D0380"/>
    <w:rsid w:val="006D0B59"/>
    <w:rsid w:val="006D103A"/>
    <w:rsid w:val="006D191C"/>
    <w:rsid w:val="006D1C0B"/>
    <w:rsid w:val="006D1DE1"/>
    <w:rsid w:val="006D1F80"/>
    <w:rsid w:val="006D2317"/>
    <w:rsid w:val="006D23B8"/>
    <w:rsid w:val="006D266D"/>
    <w:rsid w:val="006D2A60"/>
    <w:rsid w:val="006D2C7E"/>
    <w:rsid w:val="006D2C9D"/>
    <w:rsid w:val="006D2D62"/>
    <w:rsid w:val="006D2F68"/>
    <w:rsid w:val="006D31EC"/>
    <w:rsid w:val="006D32CD"/>
    <w:rsid w:val="006D36DC"/>
    <w:rsid w:val="006D3749"/>
    <w:rsid w:val="006D37B0"/>
    <w:rsid w:val="006D39BA"/>
    <w:rsid w:val="006D3A92"/>
    <w:rsid w:val="006D4058"/>
    <w:rsid w:val="006D4472"/>
    <w:rsid w:val="006D489D"/>
    <w:rsid w:val="006D4D7F"/>
    <w:rsid w:val="006D4FD3"/>
    <w:rsid w:val="006D51B1"/>
    <w:rsid w:val="006D5A15"/>
    <w:rsid w:val="006D5BCB"/>
    <w:rsid w:val="006D5D7E"/>
    <w:rsid w:val="006D5FF2"/>
    <w:rsid w:val="006D6048"/>
    <w:rsid w:val="006D65CA"/>
    <w:rsid w:val="006D68D9"/>
    <w:rsid w:val="006D69BE"/>
    <w:rsid w:val="006D6C3A"/>
    <w:rsid w:val="006D6DFD"/>
    <w:rsid w:val="006D6F55"/>
    <w:rsid w:val="006D6F58"/>
    <w:rsid w:val="006D73BB"/>
    <w:rsid w:val="006D7691"/>
    <w:rsid w:val="006D76B9"/>
    <w:rsid w:val="006D7A36"/>
    <w:rsid w:val="006D7FD1"/>
    <w:rsid w:val="006E0097"/>
    <w:rsid w:val="006E0448"/>
    <w:rsid w:val="006E08E5"/>
    <w:rsid w:val="006E09DE"/>
    <w:rsid w:val="006E0E9C"/>
    <w:rsid w:val="006E1091"/>
    <w:rsid w:val="006E1377"/>
    <w:rsid w:val="006E143C"/>
    <w:rsid w:val="006E14A5"/>
    <w:rsid w:val="006E1582"/>
    <w:rsid w:val="006E165D"/>
    <w:rsid w:val="006E1938"/>
    <w:rsid w:val="006E1970"/>
    <w:rsid w:val="006E1DDE"/>
    <w:rsid w:val="006E2136"/>
    <w:rsid w:val="006E2191"/>
    <w:rsid w:val="006E2329"/>
    <w:rsid w:val="006E24B2"/>
    <w:rsid w:val="006E2816"/>
    <w:rsid w:val="006E2AF2"/>
    <w:rsid w:val="006E2F74"/>
    <w:rsid w:val="006E3280"/>
    <w:rsid w:val="006E372E"/>
    <w:rsid w:val="006E3890"/>
    <w:rsid w:val="006E3E25"/>
    <w:rsid w:val="006E44D9"/>
    <w:rsid w:val="006E44DB"/>
    <w:rsid w:val="006E47C7"/>
    <w:rsid w:val="006E4DA5"/>
    <w:rsid w:val="006E4F7C"/>
    <w:rsid w:val="006E500E"/>
    <w:rsid w:val="006E50A3"/>
    <w:rsid w:val="006E53B4"/>
    <w:rsid w:val="006E579C"/>
    <w:rsid w:val="006E5ACA"/>
    <w:rsid w:val="006E5E48"/>
    <w:rsid w:val="006E6220"/>
    <w:rsid w:val="006E62EB"/>
    <w:rsid w:val="006E64C8"/>
    <w:rsid w:val="006E6607"/>
    <w:rsid w:val="006E6AFD"/>
    <w:rsid w:val="006E6CFE"/>
    <w:rsid w:val="006E6D00"/>
    <w:rsid w:val="006E6E11"/>
    <w:rsid w:val="006E718C"/>
    <w:rsid w:val="006E71C1"/>
    <w:rsid w:val="006E71E7"/>
    <w:rsid w:val="006E71F3"/>
    <w:rsid w:val="006E7410"/>
    <w:rsid w:val="006E7595"/>
    <w:rsid w:val="006E778C"/>
    <w:rsid w:val="006E783D"/>
    <w:rsid w:val="006E7AC2"/>
    <w:rsid w:val="006F00F9"/>
    <w:rsid w:val="006F00FD"/>
    <w:rsid w:val="006F039A"/>
    <w:rsid w:val="006F0677"/>
    <w:rsid w:val="006F0854"/>
    <w:rsid w:val="006F0C20"/>
    <w:rsid w:val="006F13A7"/>
    <w:rsid w:val="006F144F"/>
    <w:rsid w:val="006F155C"/>
    <w:rsid w:val="006F17DC"/>
    <w:rsid w:val="006F1A01"/>
    <w:rsid w:val="006F20BA"/>
    <w:rsid w:val="006F273A"/>
    <w:rsid w:val="006F2800"/>
    <w:rsid w:val="006F28B2"/>
    <w:rsid w:val="006F2EB6"/>
    <w:rsid w:val="006F2EF8"/>
    <w:rsid w:val="006F3306"/>
    <w:rsid w:val="006F3574"/>
    <w:rsid w:val="006F386D"/>
    <w:rsid w:val="006F3B3B"/>
    <w:rsid w:val="006F3DA0"/>
    <w:rsid w:val="006F4079"/>
    <w:rsid w:val="006F43CD"/>
    <w:rsid w:val="006F4523"/>
    <w:rsid w:val="006F46D2"/>
    <w:rsid w:val="006F513C"/>
    <w:rsid w:val="006F5191"/>
    <w:rsid w:val="006F5A28"/>
    <w:rsid w:val="006F5E2D"/>
    <w:rsid w:val="006F5E70"/>
    <w:rsid w:val="006F61F8"/>
    <w:rsid w:val="006F6789"/>
    <w:rsid w:val="006F68F6"/>
    <w:rsid w:val="006F70DB"/>
    <w:rsid w:val="006F74EA"/>
    <w:rsid w:val="006F77E7"/>
    <w:rsid w:val="006F7BA6"/>
    <w:rsid w:val="006F7D2B"/>
    <w:rsid w:val="006F7F80"/>
    <w:rsid w:val="00700017"/>
    <w:rsid w:val="0070044D"/>
    <w:rsid w:val="007004C2"/>
    <w:rsid w:val="0070063D"/>
    <w:rsid w:val="007007E6"/>
    <w:rsid w:val="00700A01"/>
    <w:rsid w:val="00701027"/>
    <w:rsid w:val="007012C0"/>
    <w:rsid w:val="007016AF"/>
    <w:rsid w:val="00701A74"/>
    <w:rsid w:val="00701DB6"/>
    <w:rsid w:val="00702106"/>
    <w:rsid w:val="00702236"/>
    <w:rsid w:val="00702372"/>
    <w:rsid w:val="007023B6"/>
    <w:rsid w:val="0070283F"/>
    <w:rsid w:val="00702922"/>
    <w:rsid w:val="00702DF0"/>
    <w:rsid w:val="00702E7F"/>
    <w:rsid w:val="0070303C"/>
    <w:rsid w:val="00703056"/>
    <w:rsid w:val="00703459"/>
    <w:rsid w:val="00703BB5"/>
    <w:rsid w:val="00703C0D"/>
    <w:rsid w:val="00703E31"/>
    <w:rsid w:val="00704676"/>
    <w:rsid w:val="007047E3"/>
    <w:rsid w:val="00704935"/>
    <w:rsid w:val="007049C3"/>
    <w:rsid w:val="00704CB9"/>
    <w:rsid w:val="00704CBD"/>
    <w:rsid w:val="00705194"/>
    <w:rsid w:val="00705322"/>
    <w:rsid w:val="00705451"/>
    <w:rsid w:val="00705485"/>
    <w:rsid w:val="0070570A"/>
    <w:rsid w:val="00705885"/>
    <w:rsid w:val="00705B4F"/>
    <w:rsid w:val="00706065"/>
    <w:rsid w:val="0070635D"/>
    <w:rsid w:val="00706390"/>
    <w:rsid w:val="00706544"/>
    <w:rsid w:val="007067A8"/>
    <w:rsid w:val="00706A36"/>
    <w:rsid w:val="00706E1D"/>
    <w:rsid w:val="00706E83"/>
    <w:rsid w:val="007070DF"/>
    <w:rsid w:val="00707489"/>
    <w:rsid w:val="007075CD"/>
    <w:rsid w:val="00707882"/>
    <w:rsid w:val="007078B4"/>
    <w:rsid w:val="007079E1"/>
    <w:rsid w:val="00707AAA"/>
    <w:rsid w:val="00707B1D"/>
    <w:rsid w:val="00707B2B"/>
    <w:rsid w:val="00707CC9"/>
    <w:rsid w:val="00707E7F"/>
    <w:rsid w:val="007102C3"/>
    <w:rsid w:val="007105D2"/>
    <w:rsid w:val="0071073E"/>
    <w:rsid w:val="00710855"/>
    <w:rsid w:val="00710CE2"/>
    <w:rsid w:val="00710FE8"/>
    <w:rsid w:val="007112C8"/>
    <w:rsid w:val="007113AF"/>
    <w:rsid w:val="00711462"/>
    <w:rsid w:val="0071154A"/>
    <w:rsid w:val="00711765"/>
    <w:rsid w:val="00711875"/>
    <w:rsid w:val="00711AE5"/>
    <w:rsid w:val="00711CB6"/>
    <w:rsid w:val="00711D8D"/>
    <w:rsid w:val="00712148"/>
    <w:rsid w:val="00712C11"/>
    <w:rsid w:val="00712C3D"/>
    <w:rsid w:val="00712D0F"/>
    <w:rsid w:val="00712DF9"/>
    <w:rsid w:val="00712FE6"/>
    <w:rsid w:val="00713110"/>
    <w:rsid w:val="00713176"/>
    <w:rsid w:val="007134AA"/>
    <w:rsid w:val="007134D5"/>
    <w:rsid w:val="007139D2"/>
    <w:rsid w:val="00713D54"/>
    <w:rsid w:val="00713EEF"/>
    <w:rsid w:val="0071402C"/>
    <w:rsid w:val="00714433"/>
    <w:rsid w:val="00714765"/>
    <w:rsid w:val="00714ABE"/>
    <w:rsid w:val="00714FEA"/>
    <w:rsid w:val="0071563F"/>
    <w:rsid w:val="00715B06"/>
    <w:rsid w:val="00715CED"/>
    <w:rsid w:val="00715DED"/>
    <w:rsid w:val="00716450"/>
    <w:rsid w:val="007165E0"/>
    <w:rsid w:val="00716789"/>
    <w:rsid w:val="0071687A"/>
    <w:rsid w:val="00716ADF"/>
    <w:rsid w:val="00716CBB"/>
    <w:rsid w:val="00716CE4"/>
    <w:rsid w:val="00716D12"/>
    <w:rsid w:val="00716E53"/>
    <w:rsid w:val="00717535"/>
    <w:rsid w:val="00717C7F"/>
    <w:rsid w:val="00720335"/>
    <w:rsid w:val="007208C1"/>
    <w:rsid w:val="00720DE0"/>
    <w:rsid w:val="00720F78"/>
    <w:rsid w:val="00721392"/>
    <w:rsid w:val="00721627"/>
    <w:rsid w:val="00721BEA"/>
    <w:rsid w:val="00721C7C"/>
    <w:rsid w:val="007224D5"/>
    <w:rsid w:val="00722509"/>
    <w:rsid w:val="0072255E"/>
    <w:rsid w:val="00722834"/>
    <w:rsid w:val="00722986"/>
    <w:rsid w:val="00722E20"/>
    <w:rsid w:val="00722E77"/>
    <w:rsid w:val="007232BF"/>
    <w:rsid w:val="007233ED"/>
    <w:rsid w:val="007234EF"/>
    <w:rsid w:val="007236C8"/>
    <w:rsid w:val="00723718"/>
    <w:rsid w:val="00723918"/>
    <w:rsid w:val="00723961"/>
    <w:rsid w:val="00723E17"/>
    <w:rsid w:val="0072437F"/>
    <w:rsid w:val="007243AF"/>
    <w:rsid w:val="00724530"/>
    <w:rsid w:val="007245EF"/>
    <w:rsid w:val="007247D2"/>
    <w:rsid w:val="00724D7E"/>
    <w:rsid w:val="00724F70"/>
    <w:rsid w:val="007251C7"/>
    <w:rsid w:val="00725756"/>
    <w:rsid w:val="007258F9"/>
    <w:rsid w:val="00725E74"/>
    <w:rsid w:val="00725F82"/>
    <w:rsid w:val="0072627D"/>
    <w:rsid w:val="007263BC"/>
    <w:rsid w:val="00726714"/>
    <w:rsid w:val="00726A8B"/>
    <w:rsid w:val="00726B8B"/>
    <w:rsid w:val="00726F5B"/>
    <w:rsid w:val="007275C3"/>
    <w:rsid w:val="0073034F"/>
    <w:rsid w:val="0073050E"/>
    <w:rsid w:val="00730824"/>
    <w:rsid w:val="007309FE"/>
    <w:rsid w:val="00731040"/>
    <w:rsid w:val="007311F7"/>
    <w:rsid w:val="00731273"/>
    <w:rsid w:val="0073150E"/>
    <w:rsid w:val="007315C2"/>
    <w:rsid w:val="007315FD"/>
    <w:rsid w:val="007316EF"/>
    <w:rsid w:val="00731A34"/>
    <w:rsid w:val="00731CFE"/>
    <w:rsid w:val="00731E22"/>
    <w:rsid w:val="00731EE5"/>
    <w:rsid w:val="00732307"/>
    <w:rsid w:val="007328E5"/>
    <w:rsid w:val="00732999"/>
    <w:rsid w:val="00732E97"/>
    <w:rsid w:val="007331D4"/>
    <w:rsid w:val="00733446"/>
    <w:rsid w:val="0073358D"/>
    <w:rsid w:val="0073369D"/>
    <w:rsid w:val="007343B2"/>
    <w:rsid w:val="0073441B"/>
    <w:rsid w:val="007346A0"/>
    <w:rsid w:val="007348EF"/>
    <w:rsid w:val="007349DB"/>
    <w:rsid w:val="00734F39"/>
    <w:rsid w:val="007350D1"/>
    <w:rsid w:val="00735358"/>
    <w:rsid w:val="00735462"/>
    <w:rsid w:val="007356E3"/>
    <w:rsid w:val="007358D2"/>
    <w:rsid w:val="00735CCB"/>
    <w:rsid w:val="00736794"/>
    <w:rsid w:val="007367D0"/>
    <w:rsid w:val="007368F9"/>
    <w:rsid w:val="00736BF9"/>
    <w:rsid w:val="00736E5B"/>
    <w:rsid w:val="00736F63"/>
    <w:rsid w:val="007370A6"/>
    <w:rsid w:val="007371A5"/>
    <w:rsid w:val="0073728C"/>
    <w:rsid w:val="007372F4"/>
    <w:rsid w:val="00737562"/>
    <w:rsid w:val="00737A30"/>
    <w:rsid w:val="00737C75"/>
    <w:rsid w:val="00737E1B"/>
    <w:rsid w:val="0074018D"/>
    <w:rsid w:val="00740AA1"/>
    <w:rsid w:val="00740C77"/>
    <w:rsid w:val="00740E65"/>
    <w:rsid w:val="00741414"/>
    <w:rsid w:val="007415C1"/>
    <w:rsid w:val="00741BCC"/>
    <w:rsid w:val="00742529"/>
    <w:rsid w:val="0074295A"/>
    <w:rsid w:val="00742B99"/>
    <w:rsid w:val="00742C38"/>
    <w:rsid w:val="00742D56"/>
    <w:rsid w:val="00742DA3"/>
    <w:rsid w:val="00742EE0"/>
    <w:rsid w:val="0074315D"/>
    <w:rsid w:val="007434B5"/>
    <w:rsid w:val="00743A39"/>
    <w:rsid w:val="007446D1"/>
    <w:rsid w:val="00744880"/>
    <w:rsid w:val="007448E2"/>
    <w:rsid w:val="007449F2"/>
    <w:rsid w:val="00744F0A"/>
    <w:rsid w:val="0074504B"/>
    <w:rsid w:val="007451C7"/>
    <w:rsid w:val="0074537E"/>
    <w:rsid w:val="0074547C"/>
    <w:rsid w:val="00745967"/>
    <w:rsid w:val="00745F06"/>
    <w:rsid w:val="00746346"/>
    <w:rsid w:val="0074651B"/>
    <w:rsid w:val="007465C3"/>
    <w:rsid w:val="00746716"/>
    <w:rsid w:val="00746CD7"/>
    <w:rsid w:val="007470DF"/>
    <w:rsid w:val="00747240"/>
    <w:rsid w:val="00747700"/>
    <w:rsid w:val="0074771B"/>
    <w:rsid w:val="007477F8"/>
    <w:rsid w:val="007478AF"/>
    <w:rsid w:val="007478CC"/>
    <w:rsid w:val="00747C06"/>
    <w:rsid w:val="0075028F"/>
    <w:rsid w:val="00750605"/>
    <w:rsid w:val="00750744"/>
    <w:rsid w:val="0075092D"/>
    <w:rsid w:val="00750D54"/>
    <w:rsid w:val="00750DD0"/>
    <w:rsid w:val="007510E4"/>
    <w:rsid w:val="0075126E"/>
    <w:rsid w:val="0075162F"/>
    <w:rsid w:val="00751707"/>
    <w:rsid w:val="00751752"/>
    <w:rsid w:val="007517EE"/>
    <w:rsid w:val="0075196F"/>
    <w:rsid w:val="0075201C"/>
    <w:rsid w:val="007520EF"/>
    <w:rsid w:val="00752273"/>
    <w:rsid w:val="007522C7"/>
    <w:rsid w:val="007522D4"/>
    <w:rsid w:val="0075261B"/>
    <w:rsid w:val="00752D88"/>
    <w:rsid w:val="00753027"/>
    <w:rsid w:val="007531D9"/>
    <w:rsid w:val="00754993"/>
    <w:rsid w:val="00754D82"/>
    <w:rsid w:val="00754DE8"/>
    <w:rsid w:val="007552D5"/>
    <w:rsid w:val="00755432"/>
    <w:rsid w:val="007556FD"/>
    <w:rsid w:val="00755C06"/>
    <w:rsid w:val="00755DB0"/>
    <w:rsid w:val="0075613C"/>
    <w:rsid w:val="0075626E"/>
    <w:rsid w:val="00756547"/>
    <w:rsid w:val="007565B3"/>
    <w:rsid w:val="007566D6"/>
    <w:rsid w:val="00756B09"/>
    <w:rsid w:val="00756F1A"/>
    <w:rsid w:val="00757048"/>
    <w:rsid w:val="007571EA"/>
    <w:rsid w:val="007571FF"/>
    <w:rsid w:val="00757678"/>
    <w:rsid w:val="0075772A"/>
    <w:rsid w:val="007600F8"/>
    <w:rsid w:val="0076010A"/>
    <w:rsid w:val="0076020B"/>
    <w:rsid w:val="00760634"/>
    <w:rsid w:val="00760B48"/>
    <w:rsid w:val="00760C7B"/>
    <w:rsid w:val="00760D92"/>
    <w:rsid w:val="00760F46"/>
    <w:rsid w:val="0076113B"/>
    <w:rsid w:val="007611B5"/>
    <w:rsid w:val="007613B7"/>
    <w:rsid w:val="00761613"/>
    <w:rsid w:val="00761810"/>
    <w:rsid w:val="007619D0"/>
    <w:rsid w:val="00761CD9"/>
    <w:rsid w:val="00761DD8"/>
    <w:rsid w:val="00761EDE"/>
    <w:rsid w:val="00762164"/>
    <w:rsid w:val="0076233F"/>
    <w:rsid w:val="0076237A"/>
    <w:rsid w:val="00762442"/>
    <w:rsid w:val="0076249D"/>
    <w:rsid w:val="00762BE7"/>
    <w:rsid w:val="00762D9F"/>
    <w:rsid w:val="00762FE0"/>
    <w:rsid w:val="007631AF"/>
    <w:rsid w:val="0076339A"/>
    <w:rsid w:val="00763873"/>
    <w:rsid w:val="007638B7"/>
    <w:rsid w:val="0076399F"/>
    <w:rsid w:val="00763EA4"/>
    <w:rsid w:val="0076405B"/>
    <w:rsid w:val="007641EE"/>
    <w:rsid w:val="00764391"/>
    <w:rsid w:val="00764AA1"/>
    <w:rsid w:val="00764E25"/>
    <w:rsid w:val="00764F23"/>
    <w:rsid w:val="007650DC"/>
    <w:rsid w:val="0076512F"/>
    <w:rsid w:val="0076545E"/>
    <w:rsid w:val="0076565B"/>
    <w:rsid w:val="00765BCF"/>
    <w:rsid w:val="0076609F"/>
    <w:rsid w:val="0076664B"/>
    <w:rsid w:val="00766AF8"/>
    <w:rsid w:val="00766E3E"/>
    <w:rsid w:val="00766FA4"/>
    <w:rsid w:val="00767202"/>
    <w:rsid w:val="00767B5F"/>
    <w:rsid w:val="00767D50"/>
    <w:rsid w:val="00770493"/>
    <w:rsid w:val="00770709"/>
    <w:rsid w:val="00770968"/>
    <w:rsid w:val="00770A1C"/>
    <w:rsid w:val="00771231"/>
    <w:rsid w:val="00771A7F"/>
    <w:rsid w:val="00771B1C"/>
    <w:rsid w:val="00771B52"/>
    <w:rsid w:val="00771C84"/>
    <w:rsid w:val="00771FFD"/>
    <w:rsid w:val="00772071"/>
    <w:rsid w:val="00772522"/>
    <w:rsid w:val="00772561"/>
    <w:rsid w:val="00772E18"/>
    <w:rsid w:val="00773314"/>
    <w:rsid w:val="00773CAD"/>
    <w:rsid w:val="00773DD3"/>
    <w:rsid w:val="007742B8"/>
    <w:rsid w:val="007746F3"/>
    <w:rsid w:val="00774DF7"/>
    <w:rsid w:val="00774E90"/>
    <w:rsid w:val="00775433"/>
    <w:rsid w:val="0077553B"/>
    <w:rsid w:val="00775F17"/>
    <w:rsid w:val="007765CE"/>
    <w:rsid w:val="00776C8D"/>
    <w:rsid w:val="00777071"/>
    <w:rsid w:val="00777086"/>
    <w:rsid w:val="00777463"/>
    <w:rsid w:val="007775B3"/>
    <w:rsid w:val="007775D7"/>
    <w:rsid w:val="00777A63"/>
    <w:rsid w:val="00777D4F"/>
    <w:rsid w:val="007801AC"/>
    <w:rsid w:val="00780296"/>
    <w:rsid w:val="00780314"/>
    <w:rsid w:val="0078044D"/>
    <w:rsid w:val="007806A7"/>
    <w:rsid w:val="00780BA7"/>
    <w:rsid w:val="00780CA2"/>
    <w:rsid w:val="00781240"/>
    <w:rsid w:val="0078144F"/>
    <w:rsid w:val="0078170C"/>
    <w:rsid w:val="0078173E"/>
    <w:rsid w:val="0078173F"/>
    <w:rsid w:val="00781AC4"/>
    <w:rsid w:val="00781BE3"/>
    <w:rsid w:val="00781CFE"/>
    <w:rsid w:val="007821BD"/>
    <w:rsid w:val="007823F9"/>
    <w:rsid w:val="007824AA"/>
    <w:rsid w:val="007824C2"/>
    <w:rsid w:val="007825C1"/>
    <w:rsid w:val="007826EF"/>
    <w:rsid w:val="007827A0"/>
    <w:rsid w:val="00782875"/>
    <w:rsid w:val="00782A52"/>
    <w:rsid w:val="00782B0E"/>
    <w:rsid w:val="00783331"/>
    <w:rsid w:val="00783366"/>
    <w:rsid w:val="007835C1"/>
    <w:rsid w:val="0078366B"/>
    <w:rsid w:val="007837CC"/>
    <w:rsid w:val="00783920"/>
    <w:rsid w:val="00783B64"/>
    <w:rsid w:val="00783D4D"/>
    <w:rsid w:val="007845FC"/>
    <w:rsid w:val="0078468E"/>
    <w:rsid w:val="00784BB6"/>
    <w:rsid w:val="0078553D"/>
    <w:rsid w:val="00785543"/>
    <w:rsid w:val="007855CC"/>
    <w:rsid w:val="00785C47"/>
    <w:rsid w:val="00785CF7"/>
    <w:rsid w:val="007865A7"/>
    <w:rsid w:val="007865C5"/>
    <w:rsid w:val="007865E1"/>
    <w:rsid w:val="007866F5"/>
    <w:rsid w:val="0078689A"/>
    <w:rsid w:val="00786C39"/>
    <w:rsid w:val="00786CD3"/>
    <w:rsid w:val="00786E0E"/>
    <w:rsid w:val="00786E6B"/>
    <w:rsid w:val="0078725E"/>
    <w:rsid w:val="00787477"/>
    <w:rsid w:val="007874A9"/>
    <w:rsid w:val="0078786C"/>
    <w:rsid w:val="00787950"/>
    <w:rsid w:val="00787978"/>
    <w:rsid w:val="00790436"/>
    <w:rsid w:val="00790754"/>
    <w:rsid w:val="00790C46"/>
    <w:rsid w:val="00790CD1"/>
    <w:rsid w:val="00790E3B"/>
    <w:rsid w:val="00791223"/>
    <w:rsid w:val="00791294"/>
    <w:rsid w:val="007913B5"/>
    <w:rsid w:val="00791504"/>
    <w:rsid w:val="007915E7"/>
    <w:rsid w:val="007916EF"/>
    <w:rsid w:val="007916FD"/>
    <w:rsid w:val="00791923"/>
    <w:rsid w:val="00791C30"/>
    <w:rsid w:val="00791EA7"/>
    <w:rsid w:val="0079287D"/>
    <w:rsid w:val="007928D6"/>
    <w:rsid w:val="00792A88"/>
    <w:rsid w:val="00792DAF"/>
    <w:rsid w:val="00792E37"/>
    <w:rsid w:val="00793099"/>
    <w:rsid w:val="007932A5"/>
    <w:rsid w:val="00793877"/>
    <w:rsid w:val="00793D17"/>
    <w:rsid w:val="00793EB3"/>
    <w:rsid w:val="00794213"/>
    <w:rsid w:val="0079438F"/>
    <w:rsid w:val="00794416"/>
    <w:rsid w:val="00794A31"/>
    <w:rsid w:val="00794B7C"/>
    <w:rsid w:val="00794CDA"/>
    <w:rsid w:val="00794D8B"/>
    <w:rsid w:val="007951C7"/>
    <w:rsid w:val="007952A2"/>
    <w:rsid w:val="007954DA"/>
    <w:rsid w:val="00795726"/>
    <w:rsid w:val="00795A41"/>
    <w:rsid w:val="00795DD7"/>
    <w:rsid w:val="00796150"/>
    <w:rsid w:val="0079623B"/>
    <w:rsid w:val="00796284"/>
    <w:rsid w:val="00796678"/>
    <w:rsid w:val="0079690E"/>
    <w:rsid w:val="00796A2B"/>
    <w:rsid w:val="00796E22"/>
    <w:rsid w:val="00796E7F"/>
    <w:rsid w:val="00796F56"/>
    <w:rsid w:val="00797567"/>
    <w:rsid w:val="00797972"/>
    <w:rsid w:val="007979D6"/>
    <w:rsid w:val="00797C30"/>
    <w:rsid w:val="007A00ED"/>
    <w:rsid w:val="007A0179"/>
    <w:rsid w:val="007A05CB"/>
    <w:rsid w:val="007A06FB"/>
    <w:rsid w:val="007A0942"/>
    <w:rsid w:val="007A0999"/>
    <w:rsid w:val="007A0CBD"/>
    <w:rsid w:val="007A0CED"/>
    <w:rsid w:val="007A0E94"/>
    <w:rsid w:val="007A0EAF"/>
    <w:rsid w:val="007A1070"/>
    <w:rsid w:val="007A1246"/>
    <w:rsid w:val="007A181C"/>
    <w:rsid w:val="007A1ADA"/>
    <w:rsid w:val="007A1D64"/>
    <w:rsid w:val="007A1F9C"/>
    <w:rsid w:val="007A205C"/>
    <w:rsid w:val="007A2206"/>
    <w:rsid w:val="007A2384"/>
    <w:rsid w:val="007A2767"/>
    <w:rsid w:val="007A2876"/>
    <w:rsid w:val="007A2979"/>
    <w:rsid w:val="007A2AA3"/>
    <w:rsid w:val="007A2CF4"/>
    <w:rsid w:val="007A3104"/>
    <w:rsid w:val="007A31C0"/>
    <w:rsid w:val="007A31F5"/>
    <w:rsid w:val="007A3493"/>
    <w:rsid w:val="007A3796"/>
    <w:rsid w:val="007A379C"/>
    <w:rsid w:val="007A37FD"/>
    <w:rsid w:val="007A3D3B"/>
    <w:rsid w:val="007A4A95"/>
    <w:rsid w:val="007A4FD8"/>
    <w:rsid w:val="007A5281"/>
    <w:rsid w:val="007A55DB"/>
    <w:rsid w:val="007A5ADD"/>
    <w:rsid w:val="007A5D16"/>
    <w:rsid w:val="007A5FB1"/>
    <w:rsid w:val="007A62C1"/>
    <w:rsid w:val="007A6EEA"/>
    <w:rsid w:val="007A7172"/>
    <w:rsid w:val="007A71DC"/>
    <w:rsid w:val="007A738A"/>
    <w:rsid w:val="007A7626"/>
    <w:rsid w:val="007A7698"/>
    <w:rsid w:val="007A77DA"/>
    <w:rsid w:val="007A7CC0"/>
    <w:rsid w:val="007B064D"/>
    <w:rsid w:val="007B07D4"/>
    <w:rsid w:val="007B0934"/>
    <w:rsid w:val="007B0A8F"/>
    <w:rsid w:val="007B0DC8"/>
    <w:rsid w:val="007B1355"/>
    <w:rsid w:val="007B136F"/>
    <w:rsid w:val="007B137E"/>
    <w:rsid w:val="007B1592"/>
    <w:rsid w:val="007B1813"/>
    <w:rsid w:val="007B1837"/>
    <w:rsid w:val="007B1D51"/>
    <w:rsid w:val="007B1F60"/>
    <w:rsid w:val="007B23C8"/>
    <w:rsid w:val="007B26CA"/>
    <w:rsid w:val="007B26FA"/>
    <w:rsid w:val="007B27AB"/>
    <w:rsid w:val="007B2BA9"/>
    <w:rsid w:val="007B2D58"/>
    <w:rsid w:val="007B30F3"/>
    <w:rsid w:val="007B33E6"/>
    <w:rsid w:val="007B3653"/>
    <w:rsid w:val="007B37B2"/>
    <w:rsid w:val="007B4028"/>
    <w:rsid w:val="007B4161"/>
    <w:rsid w:val="007B4430"/>
    <w:rsid w:val="007B4507"/>
    <w:rsid w:val="007B471F"/>
    <w:rsid w:val="007B49F3"/>
    <w:rsid w:val="007B51CC"/>
    <w:rsid w:val="007B52D2"/>
    <w:rsid w:val="007B6166"/>
    <w:rsid w:val="007B6470"/>
    <w:rsid w:val="007B666C"/>
    <w:rsid w:val="007B694A"/>
    <w:rsid w:val="007B6A7C"/>
    <w:rsid w:val="007B6A99"/>
    <w:rsid w:val="007B6CF6"/>
    <w:rsid w:val="007B7194"/>
    <w:rsid w:val="007B755C"/>
    <w:rsid w:val="007B75BF"/>
    <w:rsid w:val="007B76E7"/>
    <w:rsid w:val="007B7860"/>
    <w:rsid w:val="007B7940"/>
    <w:rsid w:val="007B7988"/>
    <w:rsid w:val="007B7C64"/>
    <w:rsid w:val="007B7D7F"/>
    <w:rsid w:val="007B7E57"/>
    <w:rsid w:val="007C0026"/>
    <w:rsid w:val="007C02BF"/>
    <w:rsid w:val="007C0366"/>
    <w:rsid w:val="007C0597"/>
    <w:rsid w:val="007C0730"/>
    <w:rsid w:val="007C096A"/>
    <w:rsid w:val="007C1038"/>
    <w:rsid w:val="007C1068"/>
    <w:rsid w:val="007C1905"/>
    <w:rsid w:val="007C1B9A"/>
    <w:rsid w:val="007C1C53"/>
    <w:rsid w:val="007C1E2B"/>
    <w:rsid w:val="007C1FBE"/>
    <w:rsid w:val="007C23DA"/>
    <w:rsid w:val="007C2547"/>
    <w:rsid w:val="007C29C9"/>
    <w:rsid w:val="007C335F"/>
    <w:rsid w:val="007C3D9B"/>
    <w:rsid w:val="007C3FD0"/>
    <w:rsid w:val="007C4751"/>
    <w:rsid w:val="007C4CD1"/>
    <w:rsid w:val="007C4FE8"/>
    <w:rsid w:val="007C51A5"/>
    <w:rsid w:val="007C5861"/>
    <w:rsid w:val="007C58A8"/>
    <w:rsid w:val="007C5CAB"/>
    <w:rsid w:val="007C5E69"/>
    <w:rsid w:val="007C601B"/>
    <w:rsid w:val="007C6180"/>
    <w:rsid w:val="007C62BF"/>
    <w:rsid w:val="007C62DB"/>
    <w:rsid w:val="007C684B"/>
    <w:rsid w:val="007C751A"/>
    <w:rsid w:val="007C75ED"/>
    <w:rsid w:val="007C7E63"/>
    <w:rsid w:val="007D00F0"/>
    <w:rsid w:val="007D018F"/>
    <w:rsid w:val="007D01EE"/>
    <w:rsid w:val="007D0479"/>
    <w:rsid w:val="007D0C2E"/>
    <w:rsid w:val="007D0C5C"/>
    <w:rsid w:val="007D0D63"/>
    <w:rsid w:val="007D1164"/>
    <w:rsid w:val="007D13D5"/>
    <w:rsid w:val="007D174D"/>
    <w:rsid w:val="007D1A26"/>
    <w:rsid w:val="007D1B4F"/>
    <w:rsid w:val="007D1CF3"/>
    <w:rsid w:val="007D1E1D"/>
    <w:rsid w:val="007D210C"/>
    <w:rsid w:val="007D21FE"/>
    <w:rsid w:val="007D2259"/>
    <w:rsid w:val="007D26A3"/>
    <w:rsid w:val="007D282C"/>
    <w:rsid w:val="007D2B58"/>
    <w:rsid w:val="007D2F0C"/>
    <w:rsid w:val="007D2FC1"/>
    <w:rsid w:val="007D302F"/>
    <w:rsid w:val="007D330D"/>
    <w:rsid w:val="007D343B"/>
    <w:rsid w:val="007D34E9"/>
    <w:rsid w:val="007D358F"/>
    <w:rsid w:val="007D3D4C"/>
    <w:rsid w:val="007D3DFD"/>
    <w:rsid w:val="007D3E09"/>
    <w:rsid w:val="007D4338"/>
    <w:rsid w:val="007D451F"/>
    <w:rsid w:val="007D45D6"/>
    <w:rsid w:val="007D5291"/>
    <w:rsid w:val="007D53D5"/>
    <w:rsid w:val="007D56E5"/>
    <w:rsid w:val="007D575E"/>
    <w:rsid w:val="007D58AA"/>
    <w:rsid w:val="007D59B1"/>
    <w:rsid w:val="007D59D7"/>
    <w:rsid w:val="007D5B21"/>
    <w:rsid w:val="007D5C4E"/>
    <w:rsid w:val="007D5F07"/>
    <w:rsid w:val="007D67C3"/>
    <w:rsid w:val="007D68F6"/>
    <w:rsid w:val="007D6C37"/>
    <w:rsid w:val="007D70A1"/>
    <w:rsid w:val="007D7590"/>
    <w:rsid w:val="007D7ACA"/>
    <w:rsid w:val="007E0048"/>
    <w:rsid w:val="007E05D3"/>
    <w:rsid w:val="007E07EC"/>
    <w:rsid w:val="007E0E89"/>
    <w:rsid w:val="007E12F7"/>
    <w:rsid w:val="007E13E8"/>
    <w:rsid w:val="007E16F0"/>
    <w:rsid w:val="007E1A7F"/>
    <w:rsid w:val="007E1AC2"/>
    <w:rsid w:val="007E1B21"/>
    <w:rsid w:val="007E1C09"/>
    <w:rsid w:val="007E1D9E"/>
    <w:rsid w:val="007E2214"/>
    <w:rsid w:val="007E2AB7"/>
    <w:rsid w:val="007E2DFF"/>
    <w:rsid w:val="007E31DF"/>
    <w:rsid w:val="007E346C"/>
    <w:rsid w:val="007E34A0"/>
    <w:rsid w:val="007E3776"/>
    <w:rsid w:val="007E3896"/>
    <w:rsid w:val="007E395A"/>
    <w:rsid w:val="007E397A"/>
    <w:rsid w:val="007E3B5F"/>
    <w:rsid w:val="007E3CCB"/>
    <w:rsid w:val="007E3D1B"/>
    <w:rsid w:val="007E3FED"/>
    <w:rsid w:val="007E4402"/>
    <w:rsid w:val="007E45E1"/>
    <w:rsid w:val="007E4D23"/>
    <w:rsid w:val="007E5235"/>
    <w:rsid w:val="007E5247"/>
    <w:rsid w:val="007E5326"/>
    <w:rsid w:val="007E53F4"/>
    <w:rsid w:val="007E55F6"/>
    <w:rsid w:val="007E57BC"/>
    <w:rsid w:val="007E5AA7"/>
    <w:rsid w:val="007E5CEA"/>
    <w:rsid w:val="007E5DFD"/>
    <w:rsid w:val="007E5E8D"/>
    <w:rsid w:val="007E63E4"/>
    <w:rsid w:val="007E6AEC"/>
    <w:rsid w:val="007E6C91"/>
    <w:rsid w:val="007E7329"/>
    <w:rsid w:val="007E751D"/>
    <w:rsid w:val="007E771A"/>
    <w:rsid w:val="007E7ABA"/>
    <w:rsid w:val="007E7C23"/>
    <w:rsid w:val="007E7EB1"/>
    <w:rsid w:val="007E7FBB"/>
    <w:rsid w:val="007F0071"/>
    <w:rsid w:val="007F0233"/>
    <w:rsid w:val="007F049C"/>
    <w:rsid w:val="007F04E4"/>
    <w:rsid w:val="007F0745"/>
    <w:rsid w:val="007F094F"/>
    <w:rsid w:val="007F09C3"/>
    <w:rsid w:val="007F0C5A"/>
    <w:rsid w:val="007F0E42"/>
    <w:rsid w:val="007F164C"/>
    <w:rsid w:val="007F1796"/>
    <w:rsid w:val="007F189B"/>
    <w:rsid w:val="007F1CD1"/>
    <w:rsid w:val="007F1E4A"/>
    <w:rsid w:val="007F24E3"/>
    <w:rsid w:val="007F28F6"/>
    <w:rsid w:val="007F2A61"/>
    <w:rsid w:val="007F2C5C"/>
    <w:rsid w:val="007F2CAD"/>
    <w:rsid w:val="007F33F3"/>
    <w:rsid w:val="007F34E6"/>
    <w:rsid w:val="007F3764"/>
    <w:rsid w:val="007F3BE7"/>
    <w:rsid w:val="007F3C35"/>
    <w:rsid w:val="007F3F5A"/>
    <w:rsid w:val="007F40F2"/>
    <w:rsid w:val="007F4590"/>
    <w:rsid w:val="007F459F"/>
    <w:rsid w:val="007F5573"/>
    <w:rsid w:val="007F5B55"/>
    <w:rsid w:val="007F5B79"/>
    <w:rsid w:val="007F5B9A"/>
    <w:rsid w:val="007F6477"/>
    <w:rsid w:val="007F6795"/>
    <w:rsid w:val="007F69E3"/>
    <w:rsid w:val="007F6AE1"/>
    <w:rsid w:val="007F6B31"/>
    <w:rsid w:val="007F6DCE"/>
    <w:rsid w:val="007F7083"/>
    <w:rsid w:val="007F723D"/>
    <w:rsid w:val="007F7644"/>
    <w:rsid w:val="007F76A3"/>
    <w:rsid w:val="007F76F8"/>
    <w:rsid w:val="007F7870"/>
    <w:rsid w:val="007F7B95"/>
    <w:rsid w:val="007F7CFF"/>
    <w:rsid w:val="007F7D11"/>
    <w:rsid w:val="007F7F94"/>
    <w:rsid w:val="0080016B"/>
    <w:rsid w:val="00800633"/>
    <w:rsid w:val="0080079C"/>
    <w:rsid w:val="008008E9"/>
    <w:rsid w:val="008008FC"/>
    <w:rsid w:val="008012B7"/>
    <w:rsid w:val="00801495"/>
    <w:rsid w:val="008014EA"/>
    <w:rsid w:val="008017A1"/>
    <w:rsid w:val="00801C8D"/>
    <w:rsid w:val="00801D98"/>
    <w:rsid w:val="008023CA"/>
    <w:rsid w:val="00802752"/>
    <w:rsid w:val="00802C86"/>
    <w:rsid w:val="00802D1B"/>
    <w:rsid w:val="00802E93"/>
    <w:rsid w:val="008030B5"/>
    <w:rsid w:val="008030E7"/>
    <w:rsid w:val="0080328F"/>
    <w:rsid w:val="00803D71"/>
    <w:rsid w:val="00803DC4"/>
    <w:rsid w:val="00803E68"/>
    <w:rsid w:val="00803E8C"/>
    <w:rsid w:val="00804CAB"/>
    <w:rsid w:val="00804D87"/>
    <w:rsid w:val="008052DD"/>
    <w:rsid w:val="008053E2"/>
    <w:rsid w:val="008058A6"/>
    <w:rsid w:val="0080592D"/>
    <w:rsid w:val="00805B7B"/>
    <w:rsid w:val="00806190"/>
    <w:rsid w:val="00806291"/>
    <w:rsid w:val="008062CA"/>
    <w:rsid w:val="008065C9"/>
    <w:rsid w:val="008065DF"/>
    <w:rsid w:val="008068C2"/>
    <w:rsid w:val="00807133"/>
    <w:rsid w:val="00807170"/>
    <w:rsid w:val="00807F2F"/>
    <w:rsid w:val="00810093"/>
    <w:rsid w:val="00810247"/>
    <w:rsid w:val="00810319"/>
    <w:rsid w:val="008103EF"/>
    <w:rsid w:val="0081054C"/>
    <w:rsid w:val="00810933"/>
    <w:rsid w:val="00810B84"/>
    <w:rsid w:val="00810C38"/>
    <w:rsid w:val="00810DD5"/>
    <w:rsid w:val="00810DD7"/>
    <w:rsid w:val="00811070"/>
    <w:rsid w:val="00811265"/>
    <w:rsid w:val="0081163A"/>
    <w:rsid w:val="00811935"/>
    <w:rsid w:val="00811BAF"/>
    <w:rsid w:val="00811BB8"/>
    <w:rsid w:val="0081202E"/>
    <w:rsid w:val="0081217E"/>
    <w:rsid w:val="008121FF"/>
    <w:rsid w:val="008126AB"/>
    <w:rsid w:val="00812700"/>
    <w:rsid w:val="00812766"/>
    <w:rsid w:val="00812D05"/>
    <w:rsid w:val="00813496"/>
    <w:rsid w:val="0081423A"/>
    <w:rsid w:val="00814313"/>
    <w:rsid w:val="008147A3"/>
    <w:rsid w:val="008147EC"/>
    <w:rsid w:val="00814C2B"/>
    <w:rsid w:val="00814D64"/>
    <w:rsid w:val="00814F63"/>
    <w:rsid w:val="00815270"/>
    <w:rsid w:val="008152AC"/>
    <w:rsid w:val="008154D4"/>
    <w:rsid w:val="008158DF"/>
    <w:rsid w:val="00815AD3"/>
    <w:rsid w:val="00815C9E"/>
    <w:rsid w:val="00816905"/>
    <w:rsid w:val="00816A8F"/>
    <w:rsid w:val="00816AB7"/>
    <w:rsid w:val="00816C39"/>
    <w:rsid w:val="00816CA6"/>
    <w:rsid w:val="00816D1E"/>
    <w:rsid w:val="00816D88"/>
    <w:rsid w:val="00816E10"/>
    <w:rsid w:val="00817414"/>
    <w:rsid w:val="00817744"/>
    <w:rsid w:val="00817867"/>
    <w:rsid w:val="00817B39"/>
    <w:rsid w:val="00817D4D"/>
    <w:rsid w:val="0082006A"/>
    <w:rsid w:val="0082014E"/>
    <w:rsid w:val="008202D1"/>
    <w:rsid w:val="0082055E"/>
    <w:rsid w:val="008205EF"/>
    <w:rsid w:val="00820973"/>
    <w:rsid w:val="00820BAB"/>
    <w:rsid w:val="00820FFE"/>
    <w:rsid w:val="00821310"/>
    <w:rsid w:val="0082171F"/>
    <w:rsid w:val="00821972"/>
    <w:rsid w:val="008219C7"/>
    <w:rsid w:val="00821DC8"/>
    <w:rsid w:val="00821F62"/>
    <w:rsid w:val="00822071"/>
    <w:rsid w:val="008221F9"/>
    <w:rsid w:val="0082244E"/>
    <w:rsid w:val="00822599"/>
    <w:rsid w:val="008226DD"/>
    <w:rsid w:val="00822833"/>
    <w:rsid w:val="00822A00"/>
    <w:rsid w:val="00822C71"/>
    <w:rsid w:val="0082339C"/>
    <w:rsid w:val="00823E9B"/>
    <w:rsid w:val="00823F27"/>
    <w:rsid w:val="008240F8"/>
    <w:rsid w:val="0082412B"/>
    <w:rsid w:val="0082424A"/>
    <w:rsid w:val="008242B6"/>
    <w:rsid w:val="008243F6"/>
    <w:rsid w:val="00824F90"/>
    <w:rsid w:val="0082568B"/>
    <w:rsid w:val="0082570B"/>
    <w:rsid w:val="008259B7"/>
    <w:rsid w:val="00825F59"/>
    <w:rsid w:val="00826056"/>
    <w:rsid w:val="00826A5F"/>
    <w:rsid w:val="00826AAA"/>
    <w:rsid w:val="00826B7A"/>
    <w:rsid w:val="00826BF3"/>
    <w:rsid w:val="00826C2D"/>
    <w:rsid w:val="00826F0F"/>
    <w:rsid w:val="00826F9A"/>
    <w:rsid w:val="00827005"/>
    <w:rsid w:val="00827455"/>
    <w:rsid w:val="00827D79"/>
    <w:rsid w:val="0083034E"/>
    <w:rsid w:val="00830526"/>
    <w:rsid w:val="008305F8"/>
    <w:rsid w:val="00830979"/>
    <w:rsid w:val="00830B95"/>
    <w:rsid w:val="00830CC9"/>
    <w:rsid w:val="00830D58"/>
    <w:rsid w:val="0083121B"/>
    <w:rsid w:val="0083155A"/>
    <w:rsid w:val="00831633"/>
    <w:rsid w:val="0083184E"/>
    <w:rsid w:val="00831B42"/>
    <w:rsid w:val="00831BD1"/>
    <w:rsid w:val="00831C72"/>
    <w:rsid w:val="00831CA5"/>
    <w:rsid w:val="00831CEC"/>
    <w:rsid w:val="00832366"/>
    <w:rsid w:val="008323FF"/>
    <w:rsid w:val="00832408"/>
    <w:rsid w:val="0083267F"/>
    <w:rsid w:val="00833962"/>
    <w:rsid w:val="008342F2"/>
    <w:rsid w:val="00834467"/>
    <w:rsid w:val="00834920"/>
    <w:rsid w:val="008349CC"/>
    <w:rsid w:val="00834D42"/>
    <w:rsid w:val="00834DFE"/>
    <w:rsid w:val="00834E05"/>
    <w:rsid w:val="00834E24"/>
    <w:rsid w:val="0083511B"/>
    <w:rsid w:val="00836262"/>
    <w:rsid w:val="008364A3"/>
    <w:rsid w:val="0083676C"/>
    <w:rsid w:val="00836812"/>
    <w:rsid w:val="00836877"/>
    <w:rsid w:val="008368BB"/>
    <w:rsid w:val="00836B42"/>
    <w:rsid w:val="00837477"/>
    <w:rsid w:val="00837B10"/>
    <w:rsid w:val="00837CD0"/>
    <w:rsid w:val="0084004E"/>
    <w:rsid w:val="0084034D"/>
    <w:rsid w:val="00840674"/>
    <w:rsid w:val="008409FF"/>
    <w:rsid w:val="00840CAA"/>
    <w:rsid w:val="00840F84"/>
    <w:rsid w:val="00841349"/>
    <w:rsid w:val="008413E7"/>
    <w:rsid w:val="008415C9"/>
    <w:rsid w:val="008417A5"/>
    <w:rsid w:val="008418CD"/>
    <w:rsid w:val="00842390"/>
    <w:rsid w:val="00842413"/>
    <w:rsid w:val="0084295A"/>
    <w:rsid w:val="00842E88"/>
    <w:rsid w:val="00842F58"/>
    <w:rsid w:val="008438C8"/>
    <w:rsid w:val="00843B86"/>
    <w:rsid w:val="00843BEA"/>
    <w:rsid w:val="00844390"/>
    <w:rsid w:val="00844498"/>
    <w:rsid w:val="0084471C"/>
    <w:rsid w:val="00844938"/>
    <w:rsid w:val="00844A96"/>
    <w:rsid w:val="00844AA4"/>
    <w:rsid w:val="00844DE4"/>
    <w:rsid w:val="00844F26"/>
    <w:rsid w:val="008459B4"/>
    <w:rsid w:val="008459DC"/>
    <w:rsid w:val="00845A4B"/>
    <w:rsid w:val="00845FE8"/>
    <w:rsid w:val="008461E0"/>
    <w:rsid w:val="00846346"/>
    <w:rsid w:val="008463DD"/>
    <w:rsid w:val="008464B2"/>
    <w:rsid w:val="008464CA"/>
    <w:rsid w:val="0084682F"/>
    <w:rsid w:val="00847A01"/>
    <w:rsid w:val="00847CA5"/>
    <w:rsid w:val="00847D1F"/>
    <w:rsid w:val="00847E69"/>
    <w:rsid w:val="00850148"/>
    <w:rsid w:val="008501E6"/>
    <w:rsid w:val="008501F3"/>
    <w:rsid w:val="008502F6"/>
    <w:rsid w:val="00850458"/>
    <w:rsid w:val="00850839"/>
    <w:rsid w:val="0085090D"/>
    <w:rsid w:val="00850A76"/>
    <w:rsid w:val="00850BE4"/>
    <w:rsid w:val="00850C40"/>
    <w:rsid w:val="00850DC3"/>
    <w:rsid w:val="0085133B"/>
    <w:rsid w:val="008513DD"/>
    <w:rsid w:val="00851415"/>
    <w:rsid w:val="008516B7"/>
    <w:rsid w:val="00851891"/>
    <w:rsid w:val="0085190E"/>
    <w:rsid w:val="0085198C"/>
    <w:rsid w:val="008519B8"/>
    <w:rsid w:val="00851B2E"/>
    <w:rsid w:val="00851FA6"/>
    <w:rsid w:val="008520AC"/>
    <w:rsid w:val="00852214"/>
    <w:rsid w:val="00852344"/>
    <w:rsid w:val="0085281F"/>
    <w:rsid w:val="00852944"/>
    <w:rsid w:val="00852A31"/>
    <w:rsid w:val="00852B35"/>
    <w:rsid w:val="00852DD4"/>
    <w:rsid w:val="00853018"/>
    <w:rsid w:val="00853373"/>
    <w:rsid w:val="00853414"/>
    <w:rsid w:val="00853B35"/>
    <w:rsid w:val="00853C96"/>
    <w:rsid w:val="00853D65"/>
    <w:rsid w:val="00854584"/>
    <w:rsid w:val="008547B0"/>
    <w:rsid w:val="00854B57"/>
    <w:rsid w:val="00854BB8"/>
    <w:rsid w:val="00854DB2"/>
    <w:rsid w:val="00854E00"/>
    <w:rsid w:val="00855033"/>
    <w:rsid w:val="00855497"/>
    <w:rsid w:val="00855571"/>
    <w:rsid w:val="008557DA"/>
    <w:rsid w:val="00855807"/>
    <w:rsid w:val="00855E2E"/>
    <w:rsid w:val="00856167"/>
    <w:rsid w:val="008563A7"/>
    <w:rsid w:val="008563D4"/>
    <w:rsid w:val="0085692D"/>
    <w:rsid w:val="00856BD5"/>
    <w:rsid w:val="00856ED8"/>
    <w:rsid w:val="00857024"/>
    <w:rsid w:val="00857754"/>
    <w:rsid w:val="0085782F"/>
    <w:rsid w:val="00857995"/>
    <w:rsid w:val="0086011A"/>
    <w:rsid w:val="008607B6"/>
    <w:rsid w:val="00860A42"/>
    <w:rsid w:val="00860C5C"/>
    <w:rsid w:val="00861CAC"/>
    <w:rsid w:val="00861E55"/>
    <w:rsid w:val="0086266C"/>
    <w:rsid w:val="008629B6"/>
    <w:rsid w:val="00862F14"/>
    <w:rsid w:val="008631E7"/>
    <w:rsid w:val="00863293"/>
    <w:rsid w:val="00863499"/>
    <w:rsid w:val="008634C3"/>
    <w:rsid w:val="00863517"/>
    <w:rsid w:val="0086368E"/>
    <w:rsid w:val="008636BB"/>
    <w:rsid w:val="0086383A"/>
    <w:rsid w:val="00863B61"/>
    <w:rsid w:val="00863BA8"/>
    <w:rsid w:val="00863E9C"/>
    <w:rsid w:val="0086438E"/>
    <w:rsid w:val="008644AF"/>
    <w:rsid w:val="00864827"/>
    <w:rsid w:val="00864910"/>
    <w:rsid w:val="00865052"/>
    <w:rsid w:val="00865394"/>
    <w:rsid w:val="00865594"/>
    <w:rsid w:val="00865A4D"/>
    <w:rsid w:val="00865CF8"/>
    <w:rsid w:val="00865EBC"/>
    <w:rsid w:val="008665A3"/>
    <w:rsid w:val="008667FF"/>
    <w:rsid w:val="00866BA1"/>
    <w:rsid w:val="0086721C"/>
    <w:rsid w:val="00867360"/>
    <w:rsid w:val="00867419"/>
    <w:rsid w:val="00867467"/>
    <w:rsid w:val="0086747C"/>
    <w:rsid w:val="008675D9"/>
    <w:rsid w:val="008677C6"/>
    <w:rsid w:val="00867B5B"/>
    <w:rsid w:val="00867C72"/>
    <w:rsid w:val="00867DEE"/>
    <w:rsid w:val="0087081C"/>
    <w:rsid w:val="008709D4"/>
    <w:rsid w:val="00870D68"/>
    <w:rsid w:val="00870DEA"/>
    <w:rsid w:val="00871563"/>
    <w:rsid w:val="0087173D"/>
    <w:rsid w:val="00871C2E"/>
    <w:rsid w:val="008720CB"/>
    <w:rsid w:val="008723CD"/>
    <w:rsid w:val="008723F8"/>
    <w:rsid w:val="00872659"/>
    <w:rsid w:val="008726CC"/>
    <w:rsid w:val="008726FE"/>
    <w:rsid w:val="008727BC"/>
    <w:rsid w:val="008728BB"/>
    <w:rsid w:val="00872E84"/>
    <w:rsid w:val="00873478"/>
    <w:rsid w:val="008736F2"/>
    <w:rsid w:val="00873D60"/>
    <w:rsid w:val="00873EFF"/>
    <w:rsid w:val="0087431F"/>
    <w:rsid w:val="00874331"/>
    <w:rsid w:val="008744A9"/>
    <w:rsid w:val="00874BDC"/>
    <w:rsid w:val="00874C04"/>
    <w:rsid w:val="00874C7B"/>
    <w:rsid w:val="00874CB2"/>
    <w:rsid w:val="00874F6A"/>
    <w:rsid w:val="00875135"/>
    <w:rsid w:val="00875158"/>
    <w:rsid w:val="008752AD"/>
    <w:rsid w:val="008752D8"/>
    <w:rsid w:val="00875714"/>
    <w:rsid w:val="00875BC5"/>
    <w:rsid w:val="00875DBE"/>
    <w:rsid w:val="00875E74"/>
    <w:rsid w:val="00875F00"/>
    <w:rsid w:val="00876250"/>
    <w:rsid w:val="008762FE"/>
    <w:rsid w:val="008765BC"/>
    <w:rsid w:val="008771C1"/>
    <w:rsid w:val="00877261"/>
    <w:rsid w:val="008774DE"/>
    <w:rsid w:val="008778C4"/>
    <w:rsid w:val="00877B1A"/>
    <w:rsid w:val="00877C51"/>
    <w:rsid w:val="00880262"/>
    <w:rsid w:val="008805CA"/>
    <w:rsid w:val="0088111D"/>
    <w:rsid w:val="008812C6"/>
    <w:rsid w:val="00881D47"/>
    <w:rsid w:val="00882007"/>
    <w:rsid w:val="00882260"/>
    <w:rsid w:val="008822D0"/>
    <w:rsid w:val="008822FA"/>
    <w:rsid w:val="00882905"/>
    <w:rsid w:val="008829BA"/>
    <w:rsid w:val="00882C15"/>
    <w:rsid w:val="00882CE2"/>
    <w:rsid w:val="0088307C"/>
    <w:rsid w:val="008830A2"/>
    <w:rsid w:val="008837BA"/>
    <w:rsid w:val="00883992"/>
    <w:rsid w:val="00883B6D"/>
    <w:rsid w:val="0088435E"/>
    <w:rsid w:val="008846F1"/>
    <w:rsid w:val="0088476B"/>
    <w:rsid w:val="0088482D"/>
    <w:rsid w:val="00884E33"/>
    <w:rsid w:val="00884E96"/>
    <w:rsid w:val="008851A5"/>
    <w:rsid w:val="00885284"/>
    <w:rsid w:val="0088537B"/>
    <w:rsid w:val="00885527"/>
    <w:rsid w:val="008859F7"/>
    <w:rsid w:val="00885BD8"/>
    <w:rsid w:val="00885DFE"/>
    <w:rsid w:val="00885E0A"/>
    <w:rsid w:val="00885F5E"/>
    <w:rsid w:val="00886073"/>
    <w:rsid w:val="00886081"/>
    <w:rsid w:val="008860B7"/>
    <w:rsid w:val="0088619E"/>
    <w:rsid w:val="008864AA"/>
    <w:rsid w:val="00886A25"/>
    <w:rsid w:val="00887D2E"/>
    <w:rsid w:val="00890B6E"/>
    <w:rsid w:val="00891F05"/>
    <w:rsid w:val="00891FFD"/>
    <w:rsid w:val="00892450"/>
    <w:rsid w:val="0089253C"/>
    <w:rsid w:val="008926F9"/>
    <w:rsid w:val="00893144"/>
    <w:rsid w:val="0089335D"/>
    <w:rsid w:val="0089338C"/>
    <w:rsid w:val="00893814"/>
    <w:rsid w:val="0089438A"/>
    <w:rsid w:val="0089438F"/>
    <w:rsid w:val="00894398"/>
    <w:rsid w:val="0089453E"/>
    <w:rsid w:val="0089458C"/>
    <w:rsid w:val="008947B3"/>
    <w:rsid w:val="008947F0"/>
    <w:rsid w:val="008949EC"/>
    <w:rsid w:val="00894E81"/>
    <w:rsid w:val="008950FD"/>
    <w:rsid w:val="0089533C"/>
    <w:rsid w:val="008956C6"/>
    <w:rsid w:val="008957F0"/>
    <w:rsid w:val="008957F8"/>
    <w:rsid w:val="00895E95"/>
    <w:rsid w:val="00895FEE"/>
    <w:rsid w:val="00896053"/>
    <w:rsid w:val="0089606E"/>
    <w:rsid w:val="0089616F"/>
    <w:rsid w:val="0089630A"/>
    <w:rsid w:val="00896424"/>
    <w:rsid w:val="00896581"/>
    <w:rsid w:val="008965D0"/>
    <w:rsid w:val="00896796"/>
    <w:rsid w:val="00896887"/>
    <w:rsid w:val="00896DFD"/>
    <w:rsid w:val="00896E4E"/>
    <w:rsid w:val="00896F82"/>
    <w:rsid w:val="00896FC8"/>
    <w:rsid w:val="00896FEC"/>
    <w:rsid w:val="00897252"/>
    <w:rsid w:val="00897276"/>
    <w:rsid w:val="00897CF4"/>
    <w:rsid w:val="008A0204"/>
    <w:rsid w:val="008A03E5"/>
    <w:rsid w:val="008A0AB9"/>
    <w:rsid w:val="008A0D70"/>
    <w:rsid w:val="008A0FB2"/>
    <w:rsid w:val="008A11D8"/>
    <w:rsid w:val="008A11D9"/>
    <w:rsid w:val="008A1281"/>
    <w:rsid w:val="008A141D"/>
    <w:rsid w:val="008A1621"/>
    <w:rsid w:val="008A1666"/>
    <w:rsid w:val="008A17F3"/>
    <w:rsid w:val="008A1910"/>
    <w:rsid w:val="008A1B7E"/>
    <w:rsid w:val="008A1E46"/>
    <w:rsid w:val="008A2249"/>
    <w:rsid w:val="008A258A"/>
    <w:rsid w:val="008A25A5"/>
    <w:rsid w:val="008A25B9"/>
    <w:rsid w:val="008A2692"/>
    <w:rsid w:val="008A2C3C"/>
    <w:rsid w:val="008A2FE5"/>
    <w:rsid w:val="008A324A"/>
    <w:rsid w:val="008A3444"/>
    <w:rsid w:val="008A3510"/>
    <w:rsid w:val="008A35BC"/>
    <w:rsid w:val="008A38C3"/>
    <w:rsid w:val="008A38D4"/>
    <w:rsid w:val="008A3998"/>
    <w:rsid w:val="008A3AA8"/>
    <w:rsid w:val="008A3B00"/>
    <w:rsid w:val="008A3B78"/>
    <w:rsid w:val="008A4523"/>
    <w:rsid w:val="008A49B4"/>
    <w:rsid w:val="008A4A19"/>
    <w:rsid w:val="008A4AEA"/>
    <w:rsid w:val="008A4CCF"/>
    <w:rsid w:val="008A51AB"/>
    <w:rsid w:val="008A52D5"/>
    <w:rsid w:val="008A5968"/>
    <w:rsid w:val="008A5A07"/>
    <w:rsid w:val="008A5ABA"/>
    <w:rsid w:val="008A5C12"/>
    <w:rsid w:val="008A5F6F"/>
    <w:rsid w:val="008A5F89"/>
    <w:rsid w:val="008A6502"/>
    <w:rsid w:val="008A6907"/>
    <w:rsid w:val="008A6AFA"/>
    <w:rsid w:val="008A6B74"/>
    <w:rsid w:val="008A6EB1"/>
    <w:rsid w:val="008A6EE2"/>
    <w:rsid w:val="008A7EB7"/>
    <w:rsid w:val="008B01D4"/>
    <w:rsid w:val="008B0292"/>
    <w:rsid w:val="008B03C8"/>
    <w:rsid w:val="008B0660"/>
    <w:rsid w:val="008B06E2"/>
    <w:rsid w:val="008B0FB9"/>
    <w:rsid w:val="008B1296"/>
    <w:rsid w:val="008B1311"/>
    <w:rsid w:val="008B1370"/>
    <w:rsid w:val="008B1D08"/>
    <w:rsid w:val="008B1E63"/>
    <w:rsid w:val="008B2183"/>
    <w:rsid w:val="008B2278"/>
    <w:rsid w:val="008B2298"/>
    <w:rsid w:val="008B2356"/>
    <w:rsid w:val="008B2374"/>
    <w:rsid w:val="008B28CF"/>
    <w:rsid w:val="008B2903"/>
    <w:rsid w:val="008B2956"/>
    <w:rsid w:val="008B2A11"/>
    <w:rsid w:val="008B3374"/>
    <w:rsid w:val="008B3D2F"/>
    <w:rsid w:val="008B45BA"/>
    <w:rsid w:val="008B4AE6"/>
    <w:rsid w:val="008B514B"/>
    <w:rsid w:val="008B51C0"/>
    <w:rsid w:val="008B5382"/>
    <w:rsid w:val="008B561D"/>
    <w:rsid w:val="008B568F"/>
    <w:rsid w:val="008B574C"/>
    <w:rsid w:val="008B5CB7"/>
    <w:rsid w:val="008B5DD8"/>
    <w:rsid w:val="008B62A3"/>
    <w:rsid w:val="008B64E9"/>
    <w:rsid w:val="008B6663"/>
    <w:rsid w:val="008B6B43"/>
    <w:rsid w:val="008B6CE1"/>
    <w:rsid w:val="008B7185"/>
    <w:rsid w:val="008B71E0"/>
    <w:rsid w:val="008B7302"/>
    <w:rsid w:val="008B77CF"/>
    <w:rsid w:val="008B7A21"/>
    <w:rsid w:val="008B7AB9"/>
    <w:rsid w:val="008B7D50"/>
    <w:rsid w:val="008C0182"/>
    <w:rsid w:val="008C020F"/>
    <w:rsid w:val="008C0916"/>
    <w:rsid w:val="008C0CAE"/>
    <w:rsid w:val="008C127B"/>
    <w:rsid w:val="008C1567"/>
    <w:rsid w:val="008C15C2"/>
    <w:rsid w:val="008C1868"/>
    <w:rsid w:val="008C1BA2"/>
    <w:rsid w:val="008C258F"/>
    <w:rsid w:val="008C286E"/>
    <w:rsid w:val="008C29B2"/>
    <w:rsid w:val="008C2B30"/>
    <w:rsid w:val="008C2BEA"/>
    <w:rsid w:val="008C2DF8"/>
    <w:rsid w:val="008C2EE7"/>
    <w:rsid w:val="008C30D6"/>
    <w:rsid w:val="008C320F"/>
    <w:rsid w:val="008C32D1"/>
    <w:rsid w:val="008C3475"/>
    <w:rsid w:val="008C3652"/>
    <w:rsid w:val="008C3E19"/>
    <w:rsid w:val="008C3EAA"/>
    <w:rsid w:val="008C4196"/>
    <w:rsid w:val="008C4380"/>
    <w:rsid w:val="008C4399"/>
    <w:rsid w:val="008C48D4"/>
    <w:rsid w:val="008C4A7A"/>
    <w:rsid w:val="008C4B36"/>
    <w:rsid w:val="008C5131"/>
    <w:rsid w:val="008C554A"/>
    <w:rsid w:val="008C580D"/>
    <w:rsid w:val="008C5BC5"/>
    <w:rsid w:val="008C6067"/>
    <w:rsid w:val="008C60AC"/>
    <w:rsid w:val="008C62B7"/>
    <w:rsid w:val="008C6583"/>
    <w:rsid w:val="008C6988"/>
    <w:rsid w:val="008C6CB4"/>
    <w:rsid w:val="008C6D14"/>
    <w:rsid w:val="008C6DDC"/>
    <w:rsid w:val="008C6EAA"/>
    <w:rsid w:val="008C6F35"/>
    <w:rsid w:val="008C7112"/>
    <w:rsid w:val="008C7126"/>
    <w:rsid w:val="008C7653"/>
    <w:rsid w:val="008C7822"/>
    <w:rsid w:val="008C7AAA"/>
    <w:rsid w:val="008C7DAA"/>
    <w:rsid w:val="008C7ECE"/>
    <w:rsid w:val="008D00AB"/>
    <w:rsid w:val="008D017A"/>
    <w:rsid w:val="008D0501"/>
    <w:rsid w:val="008D07A0"/>
    <w:rsid w:val="008D08A8"/>
    <w:rsid w:val="008D0B43"/>
    <w:rsid w:val="008D1628"/>
    <w:rsid w:val="008D1CBE"/>
    <w:rsid w:val="008D1DFE"/>
    <w:rsid w:val="008D1EDF"/>
    <w:rsid w:val="008D264B"/>
    <w:rsid w:val="008D2832"/>
    <w:rsid w:val="008D28F0"/>
    <w:rsid w:val="008D2B03"/>
    <w:rsid w:val="008D2C5B"/>
    <w:rsid w:val="008D2C9A"/>
    <w:rsid w:val="008D3504"/>
    <w:rsid w:val="008D3893"/>
    <w:rsid w:val="008D413B"/>
    <w:rsid w:val="008D47A3"/>
    <w:rsid w:val="008D4AF5"/>
    <w:rsid w:val="008D4B6E"/>
    <w:rsid w:val="008D4CB2"/>
    <w:rsid w:val="008D4EE3"/>
    <w:rsid w:val="008D5047"/>
    <w:rsid w:val="008D51C7"/>
    <w:rsid w:val="008D548C"/>
    <w:rsid w:val="008D579A"/>
    <w:rsid w:val="008D669E"/>
    <w:rsid w:val="008D6CAC"/>
    <w:rsid w:val="008D6EF0"/>
    <w:rsid w:val="008D7103"/>
    <w:rsid w:val="008D713E"/>
    <w:rsid w:val="008D73BF"/>
    <w:rsid w:val="008D7436"/>
    <w:rsid w:val="008D75C5"/>
    <w:rsid w:val="008D76F4"/>
    <w:rsid w:val="008D7899"/>
    <w:rsid w:val="008D7C94"/>
    <w:rsid w:val="008E03A0"/>
    <w:rsid w:val="008E0925"/>
    <w:rsid w:val="008E0E12"/>
    <w:rsid w:val="008E1206"/>
    <w:rsid w:val="008E1301"/>
    <w:rsid w:val="008E1387"/>
    <w:rsid w:val="008E1894"/>
    <w:rsid w:val="008E1A18"/>
    <w:rsid w:val="008E1B3C"/>
    <w:rsid w:val="008E1C4C"/>
    <w:rsid w:val="008E1CFF"/>
    <w:rsid w:val="008E1D3D"/>
    <w:rsid w:val="008E1FB3"/>
    <w:rsid w:val="008E1FFA"/>
    <w:rsid w:val="008E21CA"/>
    <w:rsid w:val="008E28F8"/>
    <w:rsid w:val="008E29E4"/>
    <w:rsid w:val="008E2CF9"/>
    <w:rsid w:val="008E2D4E"/>
    <w:rsid w:val="008E30EF"/>
    <w:rsid w:val="008E34F8"/>
    <w:rsid w:val="008E35A1"/>
    <w:rsid w:val="008E367C"/>
    <w:rsid w:val="008E380B"/>
    <w:rsid w:val="008E3971"/>
    <w:rsid w:val="008E3A6A"/>
    <w:rsid w:val="008E3BE8"/>
    <w:rsid w:val="008E3CE4"/>
    <w:rsid w:val="008E3F40"/>
    <w:rsid w:val="008E4718"/>
    <w:rsid w:val="008E4928"/>
    <w:rsid w:val="008E4D8C"/>
    <w:rsid w:val="008E4F22"/>
    <w:rsid w:val="008E5012"/>
    <w:rsid w:val="008E5091"/>
    <w:rsid w:val="008E527F"/>
    <w:rsid w:val="008E52FD"/>
    <w:rsid w:val="008E536E"/>
    <w:rsid w:val="008E5B64"/>
    <w:rsid w:val="008E5D03"/>
    <w:rsid w:val="008E5E59"/>
    <w:rsid w:val="008E5F71"/>
    <w:rsid w:val="008E61E5"/>
    <w:rsid w:val="008E6525"/>
    <w:rsid w:val="008E6A9A"/>
    <w:rsid w:val="008E6D97"/>
    <w:rsid w:val="008E72B6"/>
    <w:rsid w:val="008E7668"/>
    <w:rsid w:val="008E7E70"/>
    <w:rsid w:val="008F000C"/>
    <w:rsid w:val="008F05E2"/>
    <w:rsid w:val="008F07F5"/>
    <w:rsid w:val="008F085C"/>
    <w:rsid w:val="008F12D8"/>
    <w:rsid w:val="008F13F1"/>
    <w:rsid w:val="008F25C2"/>
    <w:rsid w:val="008F26C8"/>
    <w:rsid w:val="008F28CF"/>
    <w:rsid w:val="008F3187"/>
    <w:rsid w:val="008F3653"/>
    <w:rsid w:val="008F3841"/>
    <w:rsid w:val="008F3999"/>
    <w:rsid w:val="008F3B69"/>
    <w:rsid w:val="008F406D"/>
    <w:rsid w:val="008F41F7"/>
    <w:rsid w:val="008F453A"/>
    <w:rsid w:val="008F486D"/>
    <w:rsid w:val="008F48FC"/>
    <w:rsid w:val="008F4B0E"/>
    <w:rsid w:val="008F4F60"/>
    <w:rsid w:val="008F51EF"/>
    <w:rsid w:val="008F53E4"/>
    <w:rsid w:val="008F5901"/>
    <w:rsid w:val="008F5C8A"/>
    <w:rsid w:val="008F68B2"/>
    <w:rsid w:val="008F6B68"/>
    <w:rsid w:val="008F744C"/>
    <w:rsid w:val="008F7625"/>
    <w:rsid w:val="008F7870"/>
    <w:rsid w:val="00900042"/>
    <w:rsid w:val="009001DF"/>
    <w:rsid w:val="0090024F"/>
    <w:rsid w:val="009002D2"/>
    <w:rsid w:val="00900FCF"/>
    <w:rsid w:val="00901902"/>
    <w:rsid w:val="009019AA"/>
    <w:rsid w:val="00901AC2"/>
    <w:rsid w:val="00901D3C"/>
    <w:rsid w:val="00901E44"/>
    <w:rsid w:val="009020B9"/>
    <w:rsid w:val="009020F5"/>
    <w:rsid w:val="009022D0"/>
    <w:rsid w:val="00902833"/>
    <w:rsid w:val="00902918"/>
    <w:rsid w:val="00903121"/>
    <w:rsid w:val="009032A2"/>
    <w:rsid w:val="009039FA"/>
    <w:rsid w:val="00903F54"/>
    <w:rsid w:val="00904556"/>
    <w:rsid w:val="00904564"/>
    <w:rsid w:val="00904885"/>
    <w:rsid w:val="00904A22"/>
    <w:rsid w:val="00904A60"/>
    <w:rsid w:val="00904B9A"/>
    <w:rsid w:val="009050CE"/>
    <w:rsid w:val="0090568B"/>
    <w:rsid w:val="00905A07"/>
    <w:rsid w:val="00905A7E"/>
    <w:rsid w:val="00905EBD"/>
    <w:rsid w:val="0090609A"/>
    <w:rsid w:val="00906113"/>
    <w:rsid w:val="00906749"/>
    <w:rsid w:val="00906C67"/>
    <w:rsid w:val="009070A6"/>
    <w:rsid w:val="00907740"/>
    <w:rsid w:val="009077E5"/>
    <w:rsid w:val="0090791C"/>
    <w:rsid w:val="00907AD1"/>
    <w:rsid w:val="009100CD"/>
    <w:rsid w:val="0091036A"/>
    <w:rsid w:val="00910498"/>
    <w:rsid w:val="009107B0"/>
    <w:rsid w:val="0091081B"/>
    <w:rsid w:val="00910860"/>
    <w:rsid w:val="00910C10"/>
    <w:rsid w:val="00910F0A"/>
    <w:rsid w:val="00911523"/>
    <w:rsid w:val="00911ADD"/>
    <w:rsid w:val="00911D27"/>
    <w:rsid w:val="00911E8C"/>
    <w:rsid w:val="0091218A"/>
    <w:rsid w:val="009126C8"/>
    <w:rsid w:val="00912701"/>
    <w:rsid w:val="00912B74"/>
    <w:rsid w:val="00912B86"/>
    <w:rsid w:val="00912B90"/>
    <w:rsid w:val="00912C9E"/>
    <w:rsid w:val="00913081"/>
    <w:rsid w:val="009133E4"/>
    <w:rsid w:val="00913C13"/>
    <w:rsid w:val="00913DF4"/>
    <w:rsid w:val="00914197"/>
    <w:rsid w:val="0091452D"/>
    <w:rsid w:val="00914866"/>
    <w:rsid w:val="00914B20"/>
    <w:rsid w:val="00914DC5"/>
    <w:rsid w:val="00914E29"/>
    <w:rsid w:val="00914FC1"/>
    <w:rsid w:val="00915408"/>
    <w:rsid w:val="009154B0"/>
    <w:rsid w:val="00915B30"/>
    <w:rsid w:val="00915E0E"/>
    <w:rsid w:val="00915F88"/>
    <w:rsid w:val="0091634E"/>
    <w:rsid w:val="00916886"/>
    <w:rsid w:val="00916B03"/>
    <w:rsid w:val="00916C30"/>
    <w:rsid w:val="00916F2E"/>
    <w:rsid w:val="009170CE"/>
    <w:rsid w:val="0091712F"/>
    <w:rsid w:val="00917437"/>
    <w:rsid w:val="00917AA5"/>
    <w:rsid w:val="00917DB1"/>
    <w:rsid w:val="00920004"/>
    <w:rsid w:val="0092014C"/>
    <w:rsid w:val="00920516"/>
    <w:rsid w:val="00920AF7"/>
    <w:rsid w:val="00920EC3"/>
    <w:rsid w:val="00921094"/>
    <w:rsid w:val="00921982"/>
    <w:rsid w:val="00921AF7"/>
    <w:rsid w:val="00922030"/>
    <w:rsid w:val="00922364"/>
    <w:rsid w:val="00922DE9"/>
    <w:rsid w:val="00922F37"/>
    <w:rsid w:val="00922FEA"/>
    <w:rsid w:val="00922FF2"/>
    <w:rsid w:val="00923090"/>
    <w:rsid w:val="0092319A"/>
    <w:rsid w:val="009236E6"/>
    <w:rsid w:val="009237B8"/>
    <w:rsid w:val="00923CC1"/>
    <w:rsid w:val="00923D78"/>
    <w:rsid w:val="00923D8D"/>
    <w:rsid w:val="00923DE9"/>
    <w:rsid w:val="00923EEE"/>
    <w:rsid w:val="009243CE"/>
    <w:rsid w:val="009247AD"/>
    <w:rsid w:val="009248AD"/>
    <w:rsid w:val="00924907"/>
    <w:rsid w:val="009249CE"/>
    <w:rsid w:val="00924AB4"/>
    <w:rsid w:val="00924B9C"/>
    <w:rsid w:val="00924EA8"/>
    <w:rsid w:val="009250C0"/>
    <w:rsid w:val="0092511E"/>
    <w:rsid w:val="00925510"/>
    <w:rsid w:val="00925521"/>
    <w:rsid w:val="0092556E"/>
    <w:rsid w:val="009257CF"/>
    <w:rsid w:val="00925979"/>
    <w:rsid w:val="00925EDA"/>
    <w:rsid w:val="00925F87"/>
    <w:rsid w:val="00926139"/>
    <w:rsid w:val="00926213"/>
    <w:rsid w:val="00926521"/>
    <w:rsid w:val="00926AAC"/>
    <w:rsid w:val="00926B7F"/>
    <w:rsid w:val="00926C4E"/>
    <w:rsid w:val="00927214"/>
    <w:rsid w:val="00927595"/>
    <w:rsid w:val="00927695"/>
    <w:rsid w:val="00927B16"/>
    <w:rsid w:val="00927B80"/>
    <w:rsid w:val="00927E16"/>
    <w:rsid w:val="00927F2F"/>
    <w:rsid w:val="0093029A"/>
    <w:rsid w:val="00930310"/>
    <w:rsid w:val="009303FB"/>
    <w:rsid w:val="00930419"/>
    <w:rsid w:val="009304C8"/>
    <w:rsid w:val="009308D6"/>
    <w:rsid w:val="00930B32"/>
    <w:rsid w:val="00930B57"/>
    <w:rsid w:val="00930BC0"/>
    <w:rsid w:val="00930F75"/>
    <w:rsid w:val="00931A1F"/>
    <w:rsid w:val="00931F77"/>
    <w:rsid w:val="00931F9D"/>
    <w:rsid w:val="00932205"/>
    <w:rsid w:val="00932696"/>
    <w:rsid w:val="00932883"/>
    <w:rsid w:val="00932B09"/>
    <w:rsid w:val="00932C9C"/>
    <w:rsid w:val="00932E44"/>
    <w:rsid w:val="00932FE7"/>
    <w:rsid w:val="0093356A"/>
    <w:rsid w:val="00933616"/>
    <w:rsid w:val="00933A7C"/>
    <w:rsid w:val="00933DD8"/>
    <w:rsid w:val="00934192"/>
    <w:rsid w:val="00934DE6"/>
    <w:rsid w:val="0093507A"/>
    <w:rsid w:val="009351A1"/>
    <w:rsid w:val="009355D6"/>
    <w:rsid w:val="009359E3"/>
    <w:rsid w:val="00935AA9"/>
    <w:rsid w:val="00936382"/>
    <w:rsid w:val="009363A2"/>
    <w:rsid w:val="0093662A"/>
    <w:rsid w:val="009368F2"/>
    <w:rsid w:val="00936A09"/>
    <w:rsid w:val="00936DAE"/>
    <w:rsid w:val="00937002"/>
    <w:rsid w:val="0093743D"/>
    <w:rsid w:val="009375E3"/>
    <w:rsid w:val="00937B84"/>
    <w:rsid w:val="00937D55"/>
    <w:rsid w:val="00937EE0"/>
    <w:rsid w:val="00940833"/>
    <w:rsid w:val="009408FE"/>
    <w:rsid w:val="00940F01"/>
    <w:rsid w:val="0094102B"/>
    <w:rsid w:val="009415E8"/>
    <w:rsid w:val="00941639"/>
    <w:rsid w:val="00941690"/>
    <w:rsid w:val="0094246A"/>
    <w:rsid w:val="00942B1B"/>
    <w:rsid w:val="00942EAA"/>
    <w:rsid w:val="009435B0"/>
    <w:rsid w:val="009437FC"/>
    <w:rsid w:val="009439D9"/>
    <w:rsid w:val="00943E55"/>
    <w:rsid w:val="00944379"/>
    <w:rsid w:val="0094486D"/>
    <w:rsid w:val="00944DCC"/>
    <w:rsid w:val="00944F23"/>
    <w:rsid w:val="009450FE"/>
    <w:rsid w:val="00945157"/>
    <w:rsid w:val="00945485"/>
    <w:rsid w:val="00945C32"/>
    <w:rsid w:val="00945C8F"/>
    <w:rsid w:val="00946201"/>
    <w:rsid w:val="009465FB"/>
    <w:rsid w:val="009466D3"/>
    <w:rsid w:val="00946990"/>
    <w:rsid w:val="00946D13"/>
    <w:rsid w:val="00946FAD"/>
    <w:rsid w:val="009477F5"/>
    <w:rsid w:val="0094787F"/>
    <w:rsid w:val="009506E2"/>
    <w:rsid w:val="00950821"/>
    <w:rsid w:val="00950860"/>
    <w:rsid w:val="009508AD"/>
    <w:rsid w:val="00950B2E"/>
    <w:rsid w:val="00950BBD"/>
    <w:rsid w:val="00951080"/>
    <w:rsid w:val="009511CE"/>
    <w:rsid w:val="00951270"/>
    <w:rsid w:val="009512B8"/>
    <w:rsid w:val="009516F6"/>
    <w:rsid w:val="00951AC0"/>
    <w:rsid w:val="00951D23"/>
    <w:rsid w:val="0095215B"/>
    <w:rsid w:val="00952429"/>
    <w:rsid w:val="00952536"/>
    <w:rsid w:val="00952A08"/>
    <w:rsid w:val="00952B14"/>
    <w:rsid w:val="00952EAD"/>
    <w:rsid w:val="009530E5"/>
    <w:rsid w:val="009531B5"/>
    <w:rsid w:val="0095328E"/>
    <w:rsid w:val="009536FC"/>
    <w:rsid w:val="00953825"/>
    <w:rsid w:val="00953A10"/>
    <w:rsid w:val="00953D0F"/>
    <w:rsid w:val="0095426A"/>
    <w:rsid w:val="00954ABC"/>
    <w:rsid w:val="00954BD6"/>
    <w:rsid w:val="00954CEC"/>
    <w:rsid w:val="00954D87"/>
    <w:rsid w:val="0095547C"/>
    <w:rsid w:val="00955CBA"/>
    <w:rsid w:val="00955D65"/>
    <w:rsid w:val="00956430"/>
    <w:rsid w:val="00956490"/>
    <w:rsid w:val="009564C9"/>
    <w:rsid w:val="00956787"/>
    <w:rsid w:val="00956FFE"/>
    <w:rsid w:val="009573D7"/>
    <w:rsid w:val="0095773C"/>
    <w:rsid w:val="00957C1B"/>
    <w:rsid w:val="00957DE1"/>
    <w:rsid w:val="00957E17"/>
    <w:rsid w:val="00957E8B"/>
    <w:rsid w:val="00957EBF"/>
    <w:rsid w:val="009604C4"/>
    <w:rsid w:val="00960642"/>
    <w:rsid w:val="009606D0"/>
    <w:rsid w:val="00960B00"/>
    <w:rsid w:val="00960F53"/>
    <w:rsid w:val="00960F91"/>
    <w:rsid w:val="009613A2"/>
    <w:rsid w:val="0096141C"/>
    <w:rsid w:val="00961662"/>
    <w:rsid w:val="00961B04"/>
    <w:rsid w:val="00961DE1"/>
    <w:rsid w:val="009621A2"/>
    <w:rsid w:val="009622E6"/>
    <w:rsid w:val="00962644"/>
    <w:rsid w:val="0096284E"/>
    <w:rsid w:val="00962B76"/>
    <w:rsid w:val="00962E14"/>
    <w:rsid w:val="00962EC1"/>
    <w:rsid w:val="00963569"/>
    <w:rsid w:val="00963665"/>
    <w:rsid w:val="00963D9E"/>
    <w:rsid w:val="00964089"/>
    <w:rsid w:val="0096410E"/>
    <w:rsid w:val="0096415B"/>
    <w:rsid w:val="009645AC"/>
    <w:rsid w:val="00964835"/>
    <w:rsid w:val="00964A1F"/>
    <w:rsid w:val="00964A2C"/>
    <w:rsid w:val="00964ABF"/>
    <w:rsid w:val="00964AD7"/>
    <w:rsid w:val="00965485"/>
    <w:rsid w:val="0096567C"/>
    <w:rsid w:val="00965719"/>
    <w:rsid w:val="00965B0F"/>
    <w:rsid w:val="00965B4F"/>
    <w:rsid w:val="00965BEA"/>
    <w:rsid w:val="0096602B"/>
    <w:rsid w:val="0096632F"/>
    <w:rsid w:val="00966805"/>
    <w:rsid w:val="00966829"/>
    <w:rsid w:val="00966CC5"/>
    <w:rsid w:val="00966CDD"/>
    <w:rsid w:val="00966D0D"/>
    <w:rsid w:val="00966D2A"/>
    <w:rsid w:val="00966E54"/>
    <w:rsid w:val="00966F4D"/>
    <w:rsid w:val="009670AF"/>
    <w:rsid w:val="00967275"/>
    <w:rsid w:val="00967A79"/>
    <w:rsid w:val="00967B9C"/>
    <w:rsid w:val="009700BA"/>
    <w:rsid w:val="009700C9"/>
    <w:rsid w:val="00970775"/>
    <w:rsid w:val="00970984"/>
    <w:rsid w:val="00970BD9"/>
    <w:rsid w:val="00970E26"/>
    <w:rsid w:val="00970EA4"/>
    <w:rsid w:val="00970FBB"/>
    <w:rsid w:val="00971764"/>
    <w:rsid w:val="00971977"/>
    <w:rsid w:val="00971B9B"/>
    <w:rsid w:val="00971DF9"/>
    <w:rsid w:val="009720BD"/>
    <w:rsid w:val="009720E3"/>
    <w:rsid w:val="009725F7"/>
    <w:rsid w:val="009727DC"/>
    <w:rsid w:val="00972CB8"/>
    <w:rsid w:val="009737F5"/>
    <w:rsid w:val="00973F66"/>
    <w:rsid w:val="009741D8"/>
    <w:rsid w:val="009742F3"/>
    <w:rsid w:val="0097466B"/>
    <w:rsid w:val="00975838"/>
    <w:rsid w:val="00975A3C"/>
    <w:rsid w:val="00975F13"/>
    <w:rsid w:val="00975F49"/>
    <w:rsid w:val="00976767"/>
    <w:rsid w:val="0097696C"/>
    <w:rsid w:val="00977014"/>
    <w:rsid w:val="009772C8"/>
    <w:rsid w:val="009775F3"/>
    <w:rsid w:val="00977789"/>
    <w:rsid w:val="00977993"/>
    <w:rsid w:val="00977FA5"/>
    <w:rsid w:val="00980138"/>
    <w:rsid w:val="00980351"/>
    <w:rsid w:val="009805A7"/>
    <w:rsid w:val="009806CA"/>
    <w:rsid w:val="00980C81"/>
    <w:rsid w:val="00980F0D"/>
    <w:rsid w:val="009811F6"/>
    <w:rsid w:val="0098158D"/>
    <w:rsid w:val="00981619"/>
    <w:rsid w:val="009819D9"/>
    <w:rsid w:val="00981A93"/>
    <w:rsid w:val="00981CAE"/>
    <w:rsid w:val="00981FA8"/>
    <w:rsid w:val="00982088"/>
    <w:rsid w:val="009820A4"/>
    <w:rsid w:val="00982125"/>
    <w:rsid w:val="00982362"/>
    <w:rsid w:val="0098240E"/>
    <w:rsid w:val="00982880"/>
    <w:rsid w:val="00982B97"/>
    <w:rsid w:val="00983235"/>
    <w:rsid w:val="0098355D"/>
    <w:rsid w:val="00983AB5"/>
    <w:rsid w:val="00983DCF"/>
    <w:rsid w:val="00984069"/>
    <w:rsid w:val="00984453"/>
    <w:rsid w:val="009845C8"/>
    <w:rsid w:val="00984682"/>
    <w:rsid w:val="009847AA"/>
    <w:rsid w:val="00984A6C"/>
    <w:rsid w:val="00984D4C"/>
    <w:rsid w:val="009850A0"/>
    <w:rsid w:val="009852F3"/>
    <w:rsid w:val="00985496"/>
    <w:rsid w:val="009857EF"/>
    <w:rsid w:val="00985AC6"/>
    <w:rsid w:val="00985D98"/>
    <w:rsid w:val="00985F60"/>
    <w:rsid w:val="00985FC0"/>
    <w:rsid w:val="00986069"/>
    <w:rsid w:val="0098611D"/>
    <w:rsid w:val="0098615B"/>
    <w:rsid w:val="009862FF"/>
    <w:rsid w:val="009864AE"/>
    <w:rsid w:val="00986A6D"/>
    <w:rsid w:val="00987365"/>
    <w:rsid w:val="0098749D"/>
    <w:rsid w:val="0098758E"/>
    <w:rsid w:val="009875C4"/>
    <w:rsid w:val="0098777E"/>
    <w:rsid w:val="00987A14"/>
    <w:rsid w:val="009908F4"/>
    <w:rsid w:val="00990BB5"/>
    <w:rsid w:val="00990DDE"/>
    <w:rsid w:val="00991222"/>
    <w:rsid w:val="0099158E"/>
    <w:rsid w:val="009915C7"/>
    <w:rsid w:val="00991B1A"/>
    <w:rsid w:val="00991D22"/>
    <w:rsid w:val="00991D6E"/>
    <w:rsid w:val="00991F1D"/>
    <w:rsid w:val="00991F38"/>
    <w:rsid w:val="00992041"/>
    <w:rsid w:val="00992179"/>
    <w:rsid w:val="009921CA"/>
    <w:rsid w:val="0099257D"/>
    <w:rsid w:val="00992802"/>
    <w:rsid w:val="009928C6"/>
    <w:rsid w:val="0099298A"/>
    <w:rsid w:val="00992DA3"/>
    <w:rsid w:val="00992EE8"/>
    <w:rsid w:val="00992F93"/>
    <w:rsid w:val="0099308D"/>
    <w:rsid w:val="00993363"/>
    <w:rsid w:val="0099374D"/>
    <w:rsid w:val="00993765"/>
    <w:rsid w:val="00993B80"/>
    <w:rsid w:val="00993BD5"/>
    <w:rsid w:val="00993C25"/>
    <w:rsid w:val="00993EEA"/>
    <w:rsid w:val="00993FBA"/>
    <w:rsid w:val="0099409E"/>
    <w:rsid w:val="00994274"/>
    <w:rsid w:val="00994305"/>
    <w:rsid w:val="00994790"/>
    <w:rsid w:val="0099479A"/>
    <w:rsid w:val="009948F1"/>
    <w:rsid w:val="00994AA7"/>
    <w:rsid w:val="00994F80"/>
    <w:rsid w:val="009954E6"/>
    <w:rsid w:val="0099575D"/>
    <w:rsid w:val="00995A25"/>
    <w:rsid w:val="00995F1F"/>
    <w:rsid w:val="00996190"/>
    <w:rsid w:val="00996250"/>
    <w:rsid w:val="00996749"/>
    <w:rsid w:val="00996B53"/>
    <w:rsid w:val="00996C47"/>
    <w:rsid w:val="009973D3"/>
    <w:rsid w:val="00997417"/>
    <w:rsid w:val="009975F5"/>
    <w:rsid w:val="00997B96"/>
    <w:rsid w:val="00997FC7"/>
    <w:rsid w:val="009A06B1"/>
    <w:rsid w:val="009A0B64"/>
    <w:rsid w:val="009A0B85"/>
    <w:rsid w:val="009A0BDC"/>
    <w:rsid w:val="009A0C14"/>
    <w:rsid w:val="009A0C67"/>
    <w:rsid w:val="009A1087"/>
    <w:rsid w:val="009A12DA"/>
    <w:rsid w:val="009A1563"/>
    <w:rsid w:val="009A15AC"/>
    <w:rsid w:val="009A1775"/>
    <w:rsid w:val="009A1E4F"/>
    <w:rsid w:val="009A1FD3"/>
    <w:rsid w:val="009A21E2"/>
    <w:rsid w:val="009A21E3"/>
    <w:rsid w:val="009A239C"/>
    <w:rsid w:val="009A268F"/>
    <w:rsid w:val="009A2D03"/>
    <w:rsid w:val="009A34E1"/>
    <w:rsid w:val="009A3622"/>
    <w:rsid w:val="009A374F"/>
    <w:rsid w:val="009A3790"/>
    <w:rsid w:val="009A39DC"/>
    <w:rsid w:val="009A3F27"/>
    <w:rsid w:val="009A3F62"/>
    <w:rsid w:val="009A3F77"/>
    <w:rsid w:val="009A3FC9"/>
    <w:rsid w:val="009A43FC"/>
    <w:rsid w:val="009A44BD"/>
    <w:rsid w:val="009A4EE2"/>
    <w:rsid w:val="009A52B5"/>
    <w:rsid w:val="009A531C"/>
    <w:rsid w:val="009A5753"/>
    <w:rsid w:val="009A57EB"/>
    <w:rsid w:val="009A5F0F"/>
    <w:rsid w:val="009A6437"/>
    <w:rsid w:val="009A6465"/>
    <w:rsid w:val="009A65B0"/>
    <w:rsid w:val="009A6612"/>
    <w:rsid w:val="009A67A3"/>
    <w:rsid w:val="009A68C8"/>
    <w:rsid w:val="009A699B"/>
    <w:rsid w:val="009A6CA4"/>
    <w:rsid w:val="009A7168"/>
    <w:rsid w:val="009A71BC"/>
    <w:rsid w:val="009A72A3"/>
    <w:rsid w:val="009A76C6"/>
    <w:rsid w:val="009A7704"/>
    <w:rsid w:val="009A7BA5"/>
    <w:rsid w:val="009A7C51"/>
    <w:rsid w:val="009B0C1C"/>
    <w:rsid w:val="009B0F09"/>
    <w:rsid w:val="009B0FE0"/>
    <w:rsid w:val="009B103D"/>
    <w:rsid w:val="009B1313"/>
    <w:rsid w:val="009B180C"/>
    <w:rsid w:val="009B1900"/>
    <w:rsid w:val="009B1FED"/>
    <w:rsid w:val="009B2036"/>
    <w:rsid w:val="009B2329"/>
    <w:rsid w:val="009B2616"/>
    <w:rsid w:val="009B278D"/>
    <w:rsid w:val="009B28FA"/>
    <w:rsid w:val="009B3017"/>
    <w:rsid w:val="009B310B"/>
    <w:rsid w:val="009B3170"/>
    <w:rsid w:val="009B3624"/>
    <w:rsid w:val="009B367A"/>
    <w:rsid w:val="009B381B"/>
    <w:rsid w:val="009B3960"/>
    <w:rsid w:val="009B3B43"/>
    <w:rsid w:val="009B3C41"/>
    <w:rsid w:val="009B3EBA"/>
    <w:rsid w:val="009B3EFA"/>
    <w:rsid w:val="009B3FD0"/>
    <w:rsid w:val="009B419F"/>
    <w:rsid w:val="009B42F4"/>
    <w:rsid w:val="009B43A5"/>
    <w:rsid w:val="009B4666"/>
    <w:rsid w:val="009B49EE"/>
    <w:rsid w:val="009B4A9B"/>
    <w:rsid w:val="009B585F"/>
    <w:rsid w:val="009B5881"/>
    <w:rsid w:val="009B5CA2"/>
    <w:rsid w:val="009B636B"/>
    <w:rsid w:val="009B650E"/>
    <w:rsid w:val="009B68B2"/>
    <w:rsid w:val="009B6DDA"/>
    <w:rsid w:val="009B6EBC"/>
    <w:rsid w:val="009B6ED2"/>
    <w:rsid w:val="009B710E"/>
    <w:rsid w:val="009B76F7"/>
    <w:rsid w:val="009B78A1"/>
    <w:rsid w:val="009B7A84"/>
    <w:rsid w:val="009B7A96"/>
    <w:rsid w:val="009B7C85"/>
    <w:rsid w:val="009B7E02"/>
    <w:rsid w:val="009B7E22"/>
    <w:rsid w:val="009B7F22"/>
    <w:rsid w:val="009B7FD9"/>
    <w:rsid w:val="009C04E9"/>
    <w:rsid w:val="009C063C"/>
    <w:rsid w:val="009C08B7"/>
    <w:rsid w:val="009C08FF"/>
    <w:rsid w:val="009C098E"/>
    <w:rsid w:val="009C09B8"/>
    <w:rsid w:val="009C0B9A"/>
    <w:rsid w:val="009C0D95"/>
    <w:rsid w:val="009C119A"/>
    <w:rsid w:val="009C17C5"/>
    <w:rsid w:val="009C17E2"/>
    <w:rsid w:val="009C181F"/>
    <w:rsid w:val="009C1861"/>
    <w:rsid w:val="009C19E3"/>
    <w:rsid w:val="009C1AD6"/>
    <w:rsid w:val="009C2111"/>
    <w:rsid w:val="009C215A"/>
    <w:rsid w:val="009C2214"/>
    <w:rsid w:val="009C239A"/>
    <w:rsid w:val="009C26C1"/>
    <w:rsid w:val="009C29F9"/>
    <w:rsid w:val="009C2B61"/>
    <w:rsid w:val="009C2B9D"/>
    <w:rsid w:val="009C3130"/>
    <w:rsid w:val="009C33D3"/>
    <w:rsid w:val="009C34BB"/>
    <w:rsid w:val="009C359B"/>
    <w:rsid w:val="009C3668"/>
    <w:rsid w:val="009C36AB"/>
    <w:rsid w:val="009C387F"/>
    <w:rsid w:val="009C39E6"/>
    <w:rsid w:val="009C404D"/>
    <w:rsid w:val="009C42D6"/>
    <w:rsid w:val="009C4A1B"/>
    <w:rsid w:val="009C4AE7"/>
    <w:rsid w:val="009C4CDB"/>
    <w:rsid w:val="009C4DC8"/>
    <w:rsid w:val="009C4ECF"/>
    <w:rsid w:val="009C5063"/>
    <w:rsid w:val="009C533A"/>
    <w:rsid w:val="009C535C"/>
    <w:rsid w:val="009C53E7"/>
    <w:rsid w:val="009C5575"/>
    <w:rsid w:val="009C56D0"/>
    <w:rsid w:val="009C610F"/>
    <w:rsid w:val="009C659F"/>
    <w:rsid w:val="009C65A2"/>
    <w:rsid w:val="009C674A"/>
    <w:rsid w:val="009C68A6"/>
    <w:rsid w:val="009C6DB8"/>
    <w:rsid w:val="009C6EA2"/>
    <w:rsid w:val="009C7217"/>
    <w:rsid w:val="009C77BF"/>
    <w:rsid w:val="009C7C37"/>
    <w:rsid w:val="009C7D36"/>
    <w:rsid w:val="009D0196"/>
    <w:rsid w:val="009D0533"/>
    <w:rsid w:val="009D07E1"/>
    <w:rsid w:val="009D0DB2"/>
    <w:rsid w:val="009D0FD1"/>
    <w:rsid w:val="009D1077"/>
    <w:rsid w:val="009D11E4"/>
    <w:rsid w:val="009D1387"/>
    <w:rsid w:val="009D1954"/>
    <w:rsid w:val="009D1A36"/>
    <w:rsid w:val="009D1AA9"/>
    <w:rsid w:val="009D1F49"/>
    <w:rsid w:val="009D2210"/>
    <w:rsid w:val="009D23A2"/>
    <w:rsid w:val="009D262A"/>
    <w:rsid w:val="009D29B6"/>
    <w:rsid w:val="009D2B03"/>
    <w:rsid w:val="009D2C84"/>
    <w:rsid w:val="009D2ED1"/>
    <w:rsid w:val="009D2F81"/>
    <w:rsid w:val="009D3FAA"/>
    <w:rsid w:val="009D4309"/>
    <w:rsid w:val="009D458B"/>
    <w:rsid w:val="009D490E"/>
    <w:rsid w:val="009D4C9F"/>
    <w:rsid w:val="009D4D90"/>
    <w:rsid w:val="009D4F93"/>
    <w:rsid w:val="009D5081"/>
    <w:rsid w:val="009D511F"/>
    <w:rsid w:val="009D53F2"/>
    <w:rsid w:val="009D542A"/>
    <w:rsid w:val="009D5747"/>
    <w:rsid w:val="009D5770"/>
    <w:rsid w:val="009D5F65"/>
    <w:rsid w:val="009D6576"/>
    <w:rsid w:val="009D65A0"/>
    <w:rsid w:val="009D65C9"/>
    <w:rsid w:val="009D6A08"/>
    <w:rsid w:val="009D6AC0"/>
    <w:rsid w:val="009D6C7C"/>
    <w:rsid w:val="009D6D69"/>
    <w:rsid w:val="009D7226"/>
    <w:rsid w:val="009D73E3"/>
    <w:rsid w:val="009D79CE"/>
    <w:rsid w:val="009D7A5B"/>
    <w:rsid w:val="009D7C94"/>
    <w:rsid w:val="009D7DCA"/>
    <w:rsid w:val="009D7E2C"/>
    <w:rsid w:val="009E00F5"/>
    <w:rsid w:val="009E05A1"/>
    <w:rsid w:val="009E0E64"/>
    <w:rsid w:val="009E10F8"/>
    <w:rsid w:val="009E1113"/>
    <w:rsid w:val="009E1251"/>
    <w:rsid w:val="009E13C4"/>
    <w:rsid w:val="009E15BA"/>
    <w:rsid w:val="009E17D9"/>
    <w:rsid w:val="009E1A69"/>
    <w:rsid w:val="009E1B6C"/>
    <w:rsid w:val="009E25D4"/>
    <w:rsid w:val="009E2BD5"/>
    <w:rsid w:val="009E3284"/>
    <w:rsid w:val="009E3321"/>
    <w:rsid w:val="009E33BA"/>
    <w:rsid w:val="009E33D7"/>
    <w:rsid w:val="009E3CEB"/>
    <w:rsid w:val="009E3DB3"/>
    <w:rsid w:val="009E425A"/>
    <w:rsid w:val="009E4631"/>
    <w:rsid w:val="009E47FF"/>
    <w:rsid w:val="009E4E20"/>
    <w:rsid w:val="009E505F"/>
    <w:rsid w:val="009E58B3"/>
    <w:rsid w:val="009E5E77"/>
    <w:rsid w:val="009E5F03"/>
    <w:rsid w:val="009E5F12"/>
    <w:rsid w:val="009E6094"/>
    <w:rsid w:val="009E610F"/>
    <w:rsid w:val="009E6154"/>
    <w:rsid w:val="009E61EB"/>
    <w:rsid w:val="009E63D7"/>
    <w:rsid w:val="009E6753"/>
    <w:rsid w:val="009E688A"/>
    <w:rsid w:val="009E692D"/>
    <w:rsid w:val="009E69A7"/>
    <w:rsid w:val="009E69BE"/>
    <w:rsid w:val="009E6CBA"/>
    <w:rsid w:val="009E6DDC"/>
    <w:rsid w:val="009E6EA8"/>
    <w:rsid w:val="009E6F5F"/>
    <w:rsid w:val="009E72CB"/>
    <w:rsid w:val="009E73F1"/>
    <w:rsid w:val="009E73F9"/>
    <w:rsid w:val="009E7B4D"/>
    <w:rsid w:val="009F09D7"/>
    <w:rsid w:val="009F0C2B"/>
    <w:rsid w:val="009F12F9"/>
    <w:rsid w:val="009F13CA"/>
    <w:rsid w:val="009F1C7E"/>
    <w:rsid w:val="009F2029"/>
    <w:rsid w:val="009F22CF"/>
    <w:rsid w:val="009F28F9"/>
    <w:rsid w:val="009F2ABD"/>
    <w:rsid w:val="009F3212"/>
    <w:rsid w:val="009F3357"/>
    <w:rsid w:val="009F3547"/>
    <w:rsid w:val="009F357E"/>
    <w:rsid w:val="009F359E"/>
    <w:rsid w:val="009F364B"/>
    <w:rsid w:val="009F384E"/>
    <w:rsid w:val="009F3959"/>
    <w:rsid w:val="009F39FC"/>
    <w:rsid w:val="009F456B"/>
    <w:rsid w:val="009F4965"/>
    <w:rsid w:val="009F4F9B"/>
    <w:rsid w:val="009F5237"/>
    <w:rsid w:val="009F56AB"/>
    <w:rsid w:val="009F57AF"/>
    <w:rsid w:val="009F58DF"/>
    <w:rsid w:val="009F5D02"/>
    <w:rsid w:val="009F5D5D"/>
    <w:rsid w:val="009F5EEB"/>
    <w:rsid w:val="009F5FCC"/>
    <w:rsid w:val="009F6117"/>
    <w:rsid w:val="009F620F"/>
    <w:rsid w:val="009F6229"/>
    <w:rsid w:val="009F622D"/>
    <w:rsid w:val="009F643B"/>
    <w:rsid w:val="009F6536"/>
    <w:rsid w:val="009F65D3"/>
    <w:rsid w:val="009F66E8"/>
    <w:rsid w:val="009F682D"/>
    <w:rsid w:val="009F68F0"/>
    <w:rsid w:val="009F6A1B"/>
    <w:rsid w:val="009F6B91"/>
    <w:rsid w:val="009F6E86"/>
    <w:rsid w:val="009F7204"/>
    <w:rsid w:val="009F7293"/>
    <w:rsid w:val="009F73C1"/>
    <w:rsid w:val="009F7437"/>
    <w:rsid w:val="009F7463"/>
    <w:rsid w:val="009F7512"/>
    <w:rsid w:val="009F7857"/>
    <w:rsid w:val="009F7873"/>
    <w:rsid w:val="009F7C55"/>
    <w:rsid w:val="009F7CEB"/>
    <w:rsid w:val="00A007EF"/>
    <w:rsid w:val="00A008B2"/>
    <w:rsid w:val="00A00E9C"/>
    <w:rsid w:val="00A00FFC"/>
    <w:rsid w:val="00A01009"/>
    <w:rsid w:val="00A01755"/>
    <w:rsid w:val="00A0182E"/>
    <w:rsid w:val="00A018E6"/>
    <w:rsid w:val="00A01900"/>
    <w:rsid w:val="00A0199B"/>
    <w:rsid w:val="00A01AE7"/>
    <w:rsid w:val="00A02024"/>
    <w:rsid w:val="00A0222B"/>
    <w:rsid w:val="00A02293"/>
    <w:rsid w:val="00A0309B"/>
    <w:rsid w:val="00A0328E"/>
    <w:rsid w:val="00A0390B"/>
    <w:rsid w:val="00A0391E"/>
    <w:rsid w:val="00A03B18"/>
    <w:rsid w:val="00A03B4E"/>
    <w:rsid w:val="00A03B7C"/>
    <w:rsid w:val="00A03C6B"/>
    <w:rsid w:val="00A03C71"/>
    <w:rsid w:val="00A03DFB"/>
    <w:rsid w:val="00A04005"/>
    <w:rsid w:val="00A04ADC"/>
    <w:rsid w:val="00A04C02"/>
    <w:rsid w:val="00A04F2A"/>
    <w:rsid w:val="00A05612"/>
    <w:rsid w:val="00A05D6B"/>
    <w:rsid w:val="00A05DBE"/>
    <w:rsid w:val="00A062EA"/>
    <w:rsid w:val="00A063E7"/>
    <w:rsid w:val="00A06ABB"/>
    <w:rsid w:val="00A06AD0"/>
    <w:rsid w:val="00A06C25"/>
    <w:rsid w:val="00A06EAC"/>
    <w:rsid w:val="00A07088"/>
    <w:rsid w:val="00A0751F"/>
    <w:rsid w:val="00A075DE"/>
    <w:rsid w:val="00A076CB"/>
    <w:rsid w:val="00A077BA"/>
    <w:rsid w:val="00A07AF7"/>
    <w:rsid w:val="00A07B61"/>
    <w:rsid w:val="00A07E5C"/>
    <w:rsid w:val="00A10148"/>
    <w:rsid w:val="00A10225"/>
    <w:rsid w:val="00A10FDB"/>
    <w:rsid w:val="00A11199"/>
    <w:rsid w:val="00A11483"/>
    <w:rsid w:val="00A1156A"/>
    <w:rsid w:val="00A11A7B"/>
    <w:rsid w:val="00A11AD2"/>
    <w:rsid w:val="00A11B0F"/>
    <w:rsid w:val="00A11F58"/>
    <w:rsid w:val="00A12016"/>
    <w:rsid w:val="00A122AA"/>
    <w:rsid w:val="00A1242F"/>
    <w:rsid w:val="00A12C70"/>
    <w:rsid w:val="00A12CE4"/>
    <w:rsid w:val="00A130B5"/>
    <w:rsid w:val="00A1328C"/>
    <w:rsid w:val="00A13377"/>
    <w:rsid w:val="00A135B0"/>
    <w:rsid w:val="00A135F2"/>
    <w:rsid w:val="00A13671"/>
    <w:rsid w:val="00A137D9"/>
    <w:rsid w:val="00A13B68"/>
    <w:rsid w:val="00A13B9A"/>
    <w:rsid w:val="00A13D96"/>
    <w:rsid w:val="00A1400A"/>
    <w:rsid w:val="00A141FA"/>
    <w:rsid w:val="00A14252"/>
    <w:rsid w:val="00A14401"/>
    <w:rsid w:val="00A146D1"/>
    <w:rsid w:val="00A14E04"/>
    <w:rsid w:val="00A15012"/>
    <w:rsid w:val="00A1506E"/>
    <w:rsid w:val="00A150E9"/>
    <w:rsid w:val="00A1514F"/>
    <w:rsid w:val="00A152D9"/>
    <w:rsid w:val="00A15539"/>
    <w:rsid w:val="00A15544"/>
    <w:rsid w:val="00A1556E"/>
    <w:rsid w:val="00A15D96"/>
    <w:rsid w:val="00A15F63"/>
    <w:rsid w:val="00A162F2"/>
    <w:rsid w:val="00A16D1B"/>
    <w:rsid w:val="00A17182"/>
    <w:rsid w:val="00A17435"/>
    <w:rsid w:val="00A17883"/>
    <w:rsid w:val="00A179E2"/>
    <w:rsid w:val="00A17F0F"/>
    <w:rsid w:val="00A200E6"/>
    <w:rsid w:val="00A20330"/>
    <w:rsid w:val="00A203D2"/>
    <w:rsid w:val="00A205F5"/>
    <w:rsid w:val="00A206FB"/>
    <w:rsid w:val="00A20838"/>
    <w:rsid w:val="00A20857"/>
    <w:rsid w:val="00A20F23"/>
    <w:rsid w:val="00A21477"/>
    <w:rsid w:val="00A215A1"/>
    <w:rsid w:val="00A217AB"/>
    <w:rsid w:val="00A21B72"/>
    <w:rsid w:val="00A21B97"/>
    <w:rsid w:val="00A21BAC"/>
    <w:rsid w:val="00A21BDF"/>
    <w:rsid w:val="00A220B5"/>
    <w:rsid w:val="00A2216E"/>
    <w:rsid w:val="00A221B4"/>
    <w:rsid w:val="00A22297"/>
    <w:rsid w:val="00A2235E"/>
    <w:rsid w:val="00A2275D"/>
    <w:rsid w:val="00A228E9"/>
    <w:rsid w:val="00A22A09"/>
    <w:rsid w:val="00A22EC6"/>
    <w:rsid w:val="00A2323E"/>
    <w:rsid w:val="00A23559"/>
    <w:rsid w:val="00A23B9D"/>
    <w:rsid w:val="00A23C96"/>
    <w:rsid w:val="00A23E9B"/>
    <w:rsid w:val="00A23FE4"/>
    <w:rsid w:val="00A24133"/>
    <w:rsid w:val="00A245F3"/>
    <w:rsid w:val="00A24784"/>
    <w:rsid w:val="00A24F53"/>
    <w:rsid w:val="00A24F6F"/>
    <w:rsid w:val="00A2514B"/>
    <w:rsid w:val="00A25189"/>
    <w:rsid w:val="00A255A1"/>
    <w:rsid w:val="00A25694"/>
    <w:rsid w:val="00A25ABE"/>
    <w:rsid w:val="00A25D55"/>
    <w:rsid w:val="00A25E34"/>
    <w:rsid w:val="00A25FF8"/>
    <w:rsid w:val="00A2611F"/>
    <w:rsid w:val="00A261D2"/>
    <w:rsid w:val="00A26346"/>
    <w:rsid w:val="00A26418"/>
    <w:rsid w:val="00A2645A"/>
    <w:rsid w:val="00A2645F"/>
    <w:rsid w:val="00A26499"/>
    <w:rsid w:val="00A264DC"/>
    <w:rsid w:val="00A26C72"/>
    <w:rsid w:val="00A26CA1"/>
    <w:rsid w:val="00A26CE0"/>
    <w:rsid w:val="00A26D57"/>
    <w:rsid w:val="00A26E88"/>
    <w:rsid w:val="00A270F9"/>
    <w:rsid w:val="00A2716C"/>
    <w:rsid w:val="00A27384"/>
    <w:rsid w:val="00A274B1"/>
    <w:rsid w:val="00A274F4"/>
    <w:rsid w:val="00A275FF"/>
    <w:rsid w:val="00A27656"/>
    <w:rsid w:val="00A27876"/>
    <w:rsid w:val="00A278C2"/>
    <w:rsid w:val="00A278ED"/>
    <w:rsid w:val="00A27ABA"/>
    <w:rsid w:val="00A30214"/>
    <w:rsid w:val="00A306A3"/>
    <w:rsid w:val="00A308F7"/>
    <w:rsid w:val="00A30A4C"/>
    <w:rsid w:val="00A30B15"/>
    <w:rsid w:val="00A30C37"/>
    <w:rsid w:val="00A30CDE"/>
    <w:rsid w:val="00A30F44"/>
    <w:rsid w:val="00A31230"/>
    <w:rsid w:val="00A312F1"/>
    <w:rsid w:val="00A313C7"/>
    <w:rsid w:val="00A3147D"/>
    <w:rsid w:val="00A316C7"/>
    <w:rsid w:val="00A31722"/>
    <w:rsid w:val="00A318CD"/>
    <w:rsid w:val="00A31C08"/>
    <w:rsid w:val="00A31E55"/>
    <w:rsid w:val="00A323F8"/>
    <w:rsid w:val="00A324E6"/>
    <w:rsid w:val="00A3250C"/>
    <w:rsid w:val="00A32620"/>
    <w:rsid w:val="00A32800"/>
    <w:rsid w:val="00A32976"/>
    <w:rsid w:val="00A32C43"/>
    <w:rsid w:val="00A32F3F"/>
    <w:rsid w:val="00A33153"/>
    <w:rsid w:val="00A333F1"/>
    <w:rsid w:val="00A334DE"/>
    <w:rsid w:val="00A33C06"/>
    <w:rsid w:val="00A33E38"/>
    <w:rsid w:val="00A3497D"/>
    <w:rsid w:val="00A349A6"/>
    <w:rsid w:val="00A34A09"/>
    <w:rsid w:val="00A352D2"/>
    <w:rsid w:val="00A35408"/>
    <w:rsid w:val="00A3555C"/>
    <w:rsid w:val="00A356D0"/>
    <w:rsid w:val="00A359D7"/>
    <w:rsid w:val="00A36219"/>
    <w:rsid w:val="00A363DB"/>
    <w:rsid w:val="00A36550"/>
    <w:rsid w:val="00A367F4"/>
    <w:rsid w:val="00A36A27"/>
    <w:rsid w:val="00A36BF7"/>
    <w:rsid w:val="00A36E14"/>
    <w:rsid w:val="00A36EFB"/>
    <w:rsid w:val="00A36F86"/>
    <w:rsid w:val="00A37150"/>
    <w:rsid w:val="00A37205"/>
    <w:rsid w:val="00A37321"/>
    <w:rsid w:val="00A37EB8"/>
    <w:rsid w:val="00A40BC2"/>
    <w:rsid w:val="00A40BC5"/>
    <w:rsid w:val="00A40BEE"/>
    <w:rsid w:val="00A40CE5"/>
    <w:rsid w:val="00A4108A"/>
    <w:rsid w:val="00A410F6"/>
    <w:rsid w:val="00A41628"/>
    <w:rsid w:val="00A416A7"/>
    <w:rsid w:val="00A41808"/>
    <w:rsid w:val="00A41944"/>
    <w:rsid w:val="00A423D0"/>
    <w:rsid w:val="00A43532"/>
    <w:rsid w:val="00A43911"/>
    <w:rsid w:val="00A43C72"/>
    <w:rsid w:val="00A43D37"/>
    <w:rsid w:val="00A44220"/>
    <w:rsid w:val="00A44785"/>
    <w:rsid w:val="00A4486E"/>
    <w:rsid w:val="00A448FB"/>
    <w:rsid w:val="00A44AE3"/>
    <w:rsid w:val="00A44C61"/>
    <w:rsid w:val="00A44CB6"/>
    <w:rsid w:val="00A44F3C"/>
    <w:rsid w:val="00A4541B"/>
    <w:rsid w:val="00A457FA"/>
    <w:rsid w:val="00A45E22"/>
    <w:rsid w:val="00A45E9B"/>
    <w:rsid w:val="00A462AA"/>
    <w:rsid w:val="00A466B4"/>
    <w:rsid w:val="00A47075"/>
    <w:rsid w:val="00A470DE"/>
    <w:rsid w:val="00A47336"/>
    <w:rsid w:val="00A47B80"/>
    <w:rsid w:val="00A47EDC"/>
    <w:rsid w:val="00A47FD4"/>
    <w:rsid w:val="00A5023D"/>
    <w:rsid w:val="00A502FB"/>
    <w:rsid w:val="00A505E6"/>
    <w:rsid w:val="00A50900"/>
    <w:rsid w:val="00A509A8"/>
    <w:rsid w:val="00A50B16"/>
    <w:rsid w:val="00A5107F"/>
    <w:rsid w:val="00A5122B"/>
    <w:rsid w:val="00A51251"/>
    <w:rsid w:val="00A5134B"/>
    <w:rsid w:val="00A513D2"/>
    <w:rsid w:val="00A514C5"/>
    <w:rsid w:val="00A515E5"/>
    <w:rsid w:val="00A51731"/>
    <w:rsid w:val="00A518D4"/>
    <w:rsid w:val="00A519AB"/>
    <w:rsid w:val="00A51CEB"/>
    <w:rsid w:val="00A521C4"/>
    <w:rsid w:val="00A5278C"/>
    <w:rsid w:val="00A52AC5"/>
    <w:rsid w:val="00A532F7"/>
    <w:rsid w:val="00A536A6"/>
    <w:rsid w:val="00A537C8"/>
    <w:rsid w:val="00A53A2A"/>
    <w:rsid w:val="00A53D09"/>
    <w:rsid w:val="00A5424A"/>
    <w:rsid w:val="00A542AC"/>
    <w:rsid w:val="00A543A3"/>
    <w:rsid w:val="00A54584"/>
    <w:rsid w:val="00A54745"/>
    <w:rsid w:val="00A547A7"/>
    <w:rsid w:val="00A549B1"/>
    <w:rsid w:val="00A54B98"/>
    <w:rsid w:val="00A55353"/>
    <w:rsid w:val="00A55359"/>
    <w:rsid w:val="00A553B6"/>
    <w:rsid w:val="00A55655"/>
    <w:rsid w:val="00A556D4"/>
    <w:rsid w:val="00A5585F"/>
    <w:rsid w:val="00A561D3"/>
    <w:rsid w:val="00A5689F"/>
    <w:rsid w:val="00A5690B"/>
    <w:rsid w:val="00A56CE6"/>
    <w:rsid w:val="00A56DBB"/>
    <w:rsid w:val="00A56F9E"/>
    <w:rsid w:val="00A57043"/>
    <w:rsid w:val="00A571D0"/>
    <w:rsid w:val="00A57A51"/>
    <w:rsid w:val="00A57D8F"/>
    <w:rsid w:val="00A60085"/>
    <w:rsid w:val="00A60334"/>
    <w:rsid w:val="00A603D4"/>
    <w:rsid w:val="00A6047E"/>
    <w:rsid w:val="00A60627"/>
    <w:rsid w:val="00A607E6"/>
    <w:rsid w:val="00A60BF3"/>
    <w:rsid w:val="00A60CD8"/>
    <w:rsid w:val="00A60D0E"/>
    <w:rsid w:val="00A60DCE"/>
    <w:rsid w:val="00A60E7A"/>
    <w:rsid w:val="00A60E81"/>
    <w:rsid w:val="00A6121A"/>
    <w:rsid w:val="00A612E0"/>
    <w:rsid w:val="00A61301"/>
    <w:rsid w:val="00A615DC"/>
    <w:rsid w:val="00A61C57"/>
    <w:rsid w:val="00A61C68"/>
    <w:rsid w:val="00A61D3A"/>
    <w:rsid w:val="00A61D3B"/>
    <w:rsid w:val="00A61F6B"/>
    <w:rsid w:val="00A6225C"/>
    <w:rsid w:val="00A623B3"/>
    <w:rsid w:val="00A6240E"/>
    <w:rsid w:val="00A62509"/>
    <w:rsid w:val="00A625DA"/>
    <w:rsid w:val="00A627D3"/>
    <w:rsid w:val="00A62861"/>
    <w:rsid w:val="00A628F0"/>
    <w:rsid w:val="00A62E13"/>
    <w:rsid w:val="00A62E44"/>
    <w:rsid w:val="00A630C5"/>
    <w:rsid w:val="00A63157"/>
    <w:rsid w:val="00A63323"/>
    <w:rsid w:val="00A635D0"/>
    <w:rsid w:val="00A63748"/>
    <w:rsid w:val="00A63F11"/>
    <w:rsid w:val="00A63F61"/>
    <w:rsid w:val="00A646A5"/>
    <w:rsid w:val="00A646C5"/>
    <w:rsid w:val="00A6477A"/>
    <w:rsid w:val="00A64AC4"/>
    <w:rsid w:val="00A651E1"/>
    <w:rsid w:val="00A651F6"/>
    <w:rsid w:val="00A65514"/>
    <w:rsid w:val="00A6602B"/>
    <w:rsid w:val="00A66242"/>
    <w:rsid w:val="00A6637E"/>
    <w:rsid w:val="00A663CF"/>
    <w:rsid w:val="00A6675F"/>
    <w:rsid w:val="00A66866"/>
    <w:rsid w:val="00A669A3"/>
    <w:rsid w:val="00A66E3F"/>
    <w:rsid w:val="00A66EF9"/>
    <w:rsid w:val="00A66F89"/>
    <w:rsid w:val="00A6710E"/>
    <w:rsid w:val="00A67147"/>
    <w:rsid w:val="00A6761C"/>
    <w:rsid w:val="00A67BD4"/>
    <w:rsid w:val="00A67F45"/>
    <w:rsid w:val="00A701AC"/>
    <w:rsid w:val="00A703E7"/>
    <w:rsid w:val="00A70689"/>
    <w:rsid w:val="00A70CA3"/>
    <w:rsid w:val="00A71362"/>
    <w:rsid w:val="00A7145C"/>
    <w:rsid w:val="00A717D3"/>
    <w:rsid w:val="00A71AED"/>
    <w:rsid w:val="00A721D9"/>
    <w:rsid w:val="00A722BF"/>
    <w:rsid w:val="00A7244B"/>
    <w:rsid w:val="00A72479"/>
    <w:rsid w:val="00A727FB"/>
    <w:rsid w:val="00A7289E"/>
    <w:rsid w:val="00A72FF7"/>
    <w:rsid w:val="00A73121"/>
    <w:rsid w:val="00A73245"/>
    <w:rsid w:val="00A734C6"/>
    <w:rsid w:val="00A73AAD"/>
    <w:rsid w:val="00A73CAB"/>
    <w:rsid w:val="00A73EBE"/>
    <w:rsid w:val="00A7403D"/>
    <w:rsid w:val="00A74528"/>
    <w:rsid w:val="00A74873"/>
    <w:rsid w:val="00A74A5B"/>
    <w:rsid w:val="00A74F51"/>
    <w:rsid w:val="00A75133"/>
    <w:rsid w:val="00A752D3"/>
    <w:rsid w:val="00A75482"/>
    <w:rsid w:val="00A7565B"/>
    <w:rsid w:val="00A758C8"/>
    <w:rsid w:val="00A758CC"/>
    <w:rsid w:val="00A75AFD"/>
    <w:rsid w:val="00A75E6B"/>
    <w:rsid w:val="00A761EB"/>
    <w:rsid w:val="00A76359"/>
    <w:rsid w:val="00A76806"/>
    <w:rsid w:val="00A769AA"/>
    <w:rsid w:val="00A769D2"/>
    <w:rsid w:val="00A76FAD"/>
    <w:rsid w:val="00A7737D"/>
    <w:rsid w:val="00A77677"/>
    <w:rsid w:val="00A77789"/>
    <w:rsid w:val="00A777D8"/>
    <w:rsid w:val="00A778CE"/>
    <w:rsid w:val="00A77B09"/>
    <w:rsid w:val="00A77C7A"/>
    <w:rsid w:val="00A77E7F"/>
    <w:rsid w:val="00A80298"/>
    <w:rsid w:val="00A802C4"/>
    <w:rsid w:val="00A803E5"/>
    <w:rsid w:val="00A80459"/>
    <w:rsid w:val="00A805CE"/>
    <w:rsid w:val="00A80759"/>
    <w:rsid w:val="00A8075A"/>
    <w:rsid w:val="00A80A52"/>
    <w:rsid w:val="00A80AF5"/>
    <w:rsid w:val="00A80BE4"/>
    <w:rsid w:val="00A80CCA"/>
    <w:rsid w:val="00A81399"/>
    <w:rsid w:val="00A81507"/>
    <w:rsid w:val="00A815B4"/>
    <w:rsid w:val="00A8165A"/>
    <w:rsid w:val="00A81A0C"/>
    <w:rsid w:val="00A81A2F"/>
    <w:rsid w:val="00A81B09"/>
    <w:rsid w:val="00A81BEB"/>
    <w:rsid w:val="00A821BF"/>
    <w:rsid w:val="00A82605"/>
    <w:rsid w:val="00A8284D"/>
    <w:rsid w:val="00A82C1B"/>
    <w:rsid w:val="00A82D1E"/>
    <w:rsid w:val="00A82E27"/>
    <w:rsid w:val="00A83547"/>
    <w:rsid w:val="00A83786"/>
    <w:rsid w:val="00A83C08"/>
    <w:rsid w:val="00A83EC4"/>
    <w:rsid w:val="00A84301"/>
    <w:rsid w:val="00A84396"/>
    <w:rsid w:val="00A84988"/>
    <w:rsid w:val="00A84B75"/>
    <w:rsid w:val="00A84EFB"/>
    <w:rsid w:val="00A85298"/>
    <w:rsid w:val="00A85CBD"/>
    <w:rsid w:val="00A867A3"/>
    <w:rsid w:val="00A86B25"/>
    <w:rsid w:val="00A86CA0"/>
    <w:rsid w:val="00A86EAA"/>
    <w:rsid w:val="00A8715A"/>
    <w:rsid w:val="00A87382"/>
    <w:rsid w:val="00A876B1"/>
    <w:rsid w:val="00A87763"/>
    <w:rsid w:val="00A87B6B"/>
    <w:rsid w:val="00A87B70"/>
    <w:rsid w:val="00A87EC7"/>
    <w:rsid w:val="00A9040C"/>
    <w:rsid w:val="00A9047E"/>
    <w:rsid w:val="00A90635"/>
    <w:rsid w:val="00A907A8"/>
    <w:rsid w:val="00A90A01"/>
    <w:rsid w:val="00A90DCC"/>
    <w:rsid w:val="00A90F5C"/>
    <w:rsid w:val="00A917CE"/>
    <w:rsid w:val="00A9188E"/>
    <w:rsid w:val="00A91B55"/>
    <w:rsid w:val="00A91BD2"/>
    <w:rsid w:val="00A91EB9"/>
    <w:rsid w:val="00A92387"/>
    <w:rsid w:val="00A92480"/>
    <w:rsid w:val="00A928E9"/>
    <w:rsid w:val="00A92969"/>
    <w:rsid w:val="00A92C4A"/>
    <w:rsid w:val="00A92CCA"/>
    <w:rsid w:val="00A9308F"/>
    <w:rsid w:val="00A932DC"/>
    <w:rsid w:val="00A93F0E"/>
    <w:rsid w:val="00A94149"/>
    <w:rsid w:val="00A943B4"/>
    <w:rsid w:val="00A94912"/>
    <w:rsid w:val="00A956CD"/>
    <w:rsid w:val="00A9585B"/>
    <w:rsid w:val="00A95944"/>
    <w:rsid w:val="00A959E1"/>
    <w:rsid w:val="00A95BC4"/>
    <w:rsid w:val="00A95CCA"/>
    <w:rsid w:val="00A960CE"/>
    <w:rsid w:val="00A96165"/>
    <w:rsid w:val="00A96212"/>
    <w:rsid w:val="00A9629E"/>
    <w:rsid w:val="00A9635E"/>
    <w:rsid w:val="00A96402"/>
    <w:rsid w:val="00A965A5"/>
    <w:rsid w:val="00A96A6F"/>
    <w:rsid w:val="00A96D2C"/>
    <w:rsid w:val="00A96E5F"/>
    <w:rsid w:val="00A96F23"/>
    <w:rsid w:val="00A9704E"/>
    <w:rsid w:val="00A973F7"/>
    <w:rsid w:val="00A974CF"/>
    <w:rsid w:val="00A97E7A"/>
    <w:rsid w:val="00AA0264"/>
    <w:rsid w:val="00AA02ED"/>
    <w:rsid w:val="00AA039C"/>
    <w:rsid w:val="00AA0833"/>
    <w:rsid w:val="00AA0BB9"/>
    <w:rsid w:val="00AA0CB5"/>
    <w:rsid w:val="00AA0EDC"/>
    <w:rsid w:val="00AA0F0B"/>
    <w:rsid w:val="00AA111F"/>
    <w:rsid w:val="00AA1445"/>
    <w:rsid w:val="00AA16C8"/>
    <w:rsid w:val="00AA197F"/>
    <w:rsid w:val="00AA1BBE"/>
    <w:rsid w:val="00AA1C48"/>
    <w:rsid w:val="00AA1E9D"/>
    <w:rsid w:val="00AA27CC"/>
    <w:rsid w:val="00AA30EC"/>
    <w:rsid w:val="00AA313B"/>
    <w:rsid w:val="00AA3350"/>
    <w:rsid w:val="00AA34B2"/>
    <w:rsid w:val="00AA35FE"/>
    <w:rsid w:val="00AA36F3"/>
    <w:rsid w:val="00AA3734"/>
    <w:rsid w:val="00AA3BD4"/>
    <w:rsid w:val="00AA3E2F"/>
    <w:rsid w:val="00AA3EAF"/>
    <w:rsid w:val="00AA3EE1"/>
    <w:rsid w:val="00AA4119"/>
    <w:rsid w:val="00AA414C"/>
    <w:rsid w:val="00AA41C6"/>
    <w:rsid w:val="00AA47C9"/>
    <w:rsid w:val="00AA48C9"/>
    <w:rsid w:val="00AA5249"/>
    <w:rsid w:val="00AA533F"/>
    <w:rsid w:val="00AA53D5"/>
    <w:rsid w:val="00AA5426"/>
    <w:rsid w:val="00AA5510"/>
    <w:rsid w:val="00AA558B"/>
    <w:rsid w:val="00AA57D8"/>
    <w:rsid w:val="00AA5BAB"/>
    <w:rsid w:val="00AA5BEE"/>
    <w:rsid w:val="00AA5C1A"/>
    <w:rsid w:val="00AA5FD2"/>
    <w:rsid w:val="00AA6196"/>
    <w:rsid w:val="00AA6234"/>
    <w:rsid w:val="00AA638C"/>
    <w:rsid w:val="00AA6CBD"/>
    <w:rsid w:val="00AA7131"/>
    <w:rsid w:val="00AA719D"/>
    <w:rsid w:val="00AA71CF"/>
    <w:rsid w:val="00AA747B"/>
    <w:rsid w:val="00AA750F"/>
    <w:rsid w:val="00AA798E"/>
    <w:rsid w:val="00AA79A6"/>
    <w:rsid w:val="00AA79AD"/>
    <w:rsid w:val="00AA7C9B"/>
    <w:rsid w:val="00AB09A0"/>
    <w:rsid w:val="00AB0F79"/>
    <w:rsid w:val="00AB130D"/>
    <w:rsid w:val="00AB13B9"/>
    <w:rsid w:val="00AB1401"/>
    <w:rsid w:val="00AB1A33"/>
    <w:rsid w:val="00AB1D65"/>
    <w:rsid w:val="00AB20B7"/>
    <w:rsid w:val="00AB264F"/>
    <w:rsid w:val="00AB28C8"/>
    <w:rsid w:val="00AB2A37"/>
    <w:rsid w:val="00AB2C2B"/>
    <w:rsid w:val="00AB2FA6"/>
    <w:rsid w:val="00AB3359"/>
    <w:rsid w:val="00AB3381"/>
    <w:rsid w:val="00AB3549"/>
    <w:rsid w:val="00AB35DD"/>
    <w:rsid w:val="00AB38F0"/>
    <w:rsid w:val="00AB392B"/>
    <w:rsid w:val="00AB3BAC"/>
    <w:rsid w:val="00AB49AA"/>
    <w:rsid w:val="00AB4C13"/>
    <w:rsid w:val="00AB4EEF"/>
    <w:rsid w:val="00AB4F4F"/>
    <w:rsid w:val="00AB5485"/>
    <w:rsid w:val="00AB5569"/>
    <w:rsid w:val="00AB5682"/>
    <w:rsid w:val="00AB57B7"/>
    <w:rsid w:val="00AB5B48"/>
    <w:rsid w:val="00AB6B51"/>
    <w:rsid w:val="00AB6F06"/>
    <w:rsid w:val="00AB70E7"/>
    <w:rsid w:val="00AB71B1"/>
    <w:rsid w:val="00AB74C1"/>
    <w:rsid w:val="00AB7534"/>
    <w:rsid w:val="00AB7640"/>
    <w:rsid w:val="00AC0229"/>
    <w:rsid w:val="00AC056A"/>
    <w:rsid w:val="00AC057E"/>
    <w:rsid w:val="00AC0C2B"/>
    <w:rsid w:val="00AC0ECE"/>
    <w:rsid w:val="00AC11C0"/>
    <w:rsid w:val="00AC1381"/>
    <w:rsid w:val="00AC13F8"/>
    <w:rsid w:val="00AC1DE1"/>
    <w:rsid w:val="00AC2739"/>
    <w:rsid w:val="00AC2BB7"/>
    <w:rsid w:val="00AC33F6"/>
    <w:rsid w:val="00AC35C9"/>
    <w:rsid w:val="00AC36A4"/>
    <w:rsid w:val="00AC37F6"/>
    <w:rsid w:val="00AC39C2"/>
    <w:rsid w:val="00AC46E1"/>
    <w:rsid w:val="00AC491D"/>
    <w:rsid w:val="00AC497B"/>
    <w:rsid w:val="00AC4B96"/>
    <w:rsid w:val="00AC4D32"/>
    <w:rsid w:val="00AC4E64"/>
    <w:rsid w:val="00AC5399"/>
    <w:rsid w:val="00AC56B6"/>
    <w:rsid w:val="00AC5700"/>
    <w:rsid w:val="00AC573D"/>
    <w:rsid w:val="00AC5B06"/>
    <w:rsid w:val="00AC5B1D"/>
    <w:rsid w:val="00AC603D"/>
    <w:rsid w:val="00AC638C"/>
    <w:rsid w:val="00AC673A"/>
    <w:rsid w:val="00AC680F"/>
    <w:rsid w:val="00AC68A7"/>
    <w:rsid w:val="00AC70C3"/>
    <w:rsid w:val="00AC71A9"/>
    <w:rsid w:val="00AC77B9"/>
    <w:rsid w:val="00AC7AAF"/>
    <w:rsid w:val="00AC7BC9"/>
    <w:rsid w:val="00AC7CAC"/>
    <w:rsid w:val="00AC7D29"/>
    <w:rsid w:val="00AC7E98"/>
    <w:rsid w:val="00AD006B"/>
    <w:rsid w:val="00AD02D7"/>
    <w:rsid w:val="00AD04AE"/>
    <w:rsid w:val="00AD055F"/>
    <w:rsid w:val="00AD0A5E"/>
    <w:rsid w:val="00AD0E35"/>
    <w:rsid w:val="00AD109E"/>
    <w:rsid w:val="00AD186D"/>
    <w:rsid w:val="00AD190A"/>
    <w:rsid w:val="00AD2000"/>
    <w:rsid w:val="00AD20B2"/>
    <w:rsid w:val="00AD20E2"/>
    <w:rsid w:val="00AD237C"/>
    <w:rsid w:val="00AD2773"/>
    <w:rsid w:val="00AD2C53"/>
    <w:rsid w:val="00AD2FB7"/>
    <w:rsid w:val="00AD37E1"/>
    <w:rsid w:val="00AD3C4F"/>
    <w:rsid w:val="00AD436F"/>
    <w:rsid w:val="00AD4426"/>
    <w:rsid w:val="00AD44DD"/>
    <w:rsid w:val="00AD4825"/>
    <w:rsid w:val="00AD4A97"/>
    <w:rsid w:val="00AD4D20"/>
    <w:rsid w:val="00AD4EFB"/>
    <w:rsid w:val="00AD565B"/>
    <w:rsid w:val="00AD5740"/>
    <w:rsid w:val="00AD5B7B"/>
    <w:rsid w:val="00AD5EEC"/>
    <w:rsid w:val="00AD6328"/>
    <w:rsid w:val="00AD66E3"/>
    <w:rsid w:val="00AD681A"/>
    <w:rsid w:val="00AD6DBF"/>
    <w:rsid w:val="00AD6EB4"/>
    <w:rsid w:val="00AD6ECE"/>
    <w:rsid w:val="00AD6F53"/>
    <w:rsid w:val="00AD73BB"/>
    <w:rsid w:val="00AD74E4"/>
    <w:rsid w:val="00AD7789"/>
    <w:rsid w:val="00AD78D4"/>
    <w:rsid w:val="00AD7A41"/>
    <w:rsid w:val="00AD7C05"/>
    <w:rsid w:val="00AD7EB6"/>
    <w:rsid w:val="00AD7FE8"/>
    <w:rsid w:val="00AE011A"/>
    <w:rsid w:val="00AE03A3"/>
    <w:rsid w:val="00AE0549"/>
    <w:rsid w:val="00AE0640"/>
    <w:rsid w:val="00AE0B82"/>
    <w:rsid w:val="00AE0BFA"/>
    <w:rsid w:val="00AE0DCF"/>
    <w:rsid w:val="00AE0F15"/>
    <w:rsid w:val="00AE14BB"/>
    <w:rsid w:val="00AE1DD7"/>
    <w:rsid w:val="00AE1ECB"/>
    <w:rsid w:val="00AE28D8"/>
    <w:rsid w:val="00AE2953"/>
    <w:rsid w:val="00AE2D20"/>
    <w:rsid w:val="00AE2F23"/>
    <w:rsid w:val="00AE2F46"/>
    <w:rsid w:val="00AE342D"/>
    <w:rsid w:val="00AE356F"/>
    <w:rsid w:val="00AE3683"/>
    <w:rsid w:val="00AE3696"/>
    <w:rsid w:val="00AE3908"/>
    <w:rsid w:val="00AE391E"/>
    <w:rsid w:val="00AE3970"/>
    <w:rsid w:val="00AE3999"/>
    <w:rsid w:val="00AE39E1"/>
    <w:rsid w:val="00AE3FBA"/>
    <w:rsid w:val="00AE4002"/>
    <w:rsid w:val="00AE43FE"/>
    <w:rsid w:val="00AE45B9"/>
    <w:rsid w:val="00AE53BB"/>
    <w:rsid w:val="00AE5C79"/>
    <w:rsid w:val="00AE6C95"/>
    <w:rsid w:val="00AE6D4B"/>
    <w:rsid w:val="00AE6F16"/>
    <w:rsid w:val="00AE75F9"/>
    <w:rsid w:val="00AE7666"/>
    <w:rsid w:val="00AE7C98"/>
    <w:rsid w:val="00AE7E21"/>
    <w:rsid w:val="00AE7F5C"/>
    <w:rsid w:val="00AF02B8"/>
    <w:rsid w:val="00AF0494"/>
    <w:rsid w:val="00AF06E4"/>
    <w:rsid w:val="00AF0868"/>
    <w:rsid w:val="00AF0AD2"/>
    <w:rsid w:val="00AF0B33"/>
    <w:rsid w:val="00AF12EA"/>
    <w:rsid w:val="00AF157D"/>
    <w:rsid w:val="00AF208D"/>
    <w:rsid w:val="00AF2311"/>
    <w:rsid w:val="00AF2F58"/>
    <w:rsid w:val="00AF3468"/>
    <w:rsid w:val="00AF34B7"/>
    <w:rsid w:val="00AF3799"/>
    <w:rsid w:val="00AF3AEF"/>
    <w:rsid w:val="00AF3BD5"/>
    <w:rsid w:val="00AF3C81"/>
    <w:rsid w:val="00AF3CC6"/>
    <w:rsid w:val="00AF3EA0"/>
    <w:rsid w:val="00AF466B"/>
    <w:rsid w:val="00AF46D5"/>
    <w:rsid w:val="00AF4972"/>
    <w:rsid w:val="00AF4CB8"/>
    <w:rsid w:val="00AF4DA5"/>
    <w:rsid w:val="00AF5711"/>
    <w:rsid w:val="00AF5833"/>
    <w:rsid w:val="00AF59B1"/>
    <w:rsid w:val="00AF5AA8"/>
    <w:rsid w:val="00AF5B27"/>
    <w:rsid w:val="00AF5C54"/>
    <w:rsid w:val="00AF5C5B"/>
    <w:rsid w:val="00AF5D43"/>
    <w:rsid w:val="00AF654C"/>
    <w:rsid w:val="00AF658C"/>
    <w:rsid w:val="00AF67B0"/>
    <w:rsid w:val="00AF6832"/>
    <w:rsid w:val="00AF6888"/>
    <w:rsid w:val="00AF6908"/>
    <w:rsid w:val="00AF6A67"/>
    <w:rsid w:val="00AF6CA5"/>
    <w:rsid w:val="00AF6D0C"/>
    <w:rsid w:val="00AF6E9D"/>
    <w:rsid w:val="00AF717F"/>
    <w:rsid w:val="00AF7301"/>
    <w:rsid w:val="00AF7321"/>
    <w:rsid w:val="00AF75DA"/>
    <w:rsid w:val="00AF7797"/>
    <w:rsid w:val="00AF79C6"/>
    <w:rsid w:val="00B0058B"/>
    <w:rsid w:val="00B0071B"/>
    <w:rsid w:val="00B008AC"/>
    <w:rsid w:val="00B0092E"/>
    <w:rsid w:val="00B012F5"/>
    <w:rsid w:val="00B013A5"/>
    <w:rsid w:val="00B014E5"/>
    <w:rsid w:val="00B0154C"/>
    <w:rsid w:val="00B018CA"/>
    <w:rsid w:val="00B019F2"/>
    <w:rsid w:val="00B01C58"/>
    <w:rsid w:val="00B01CE9"/>
    <w:rsid w:val="00B01DC7"/>
    <w:rsid w:val="00B027ED"/>
    <w:rsid w:val="00B02A25"/>
    <w:rsid w:val="00B02EAF"/>
    <w:rsid w:val="00B032A5"/>
    <w:rsid w:val="00B032AF"/>
    <w:rsid w:val="00B03321"/>
    <w:rsid w:val="00B039F8"/>
    <w:rsid w:val="00B045D8"/>
    <w:rsid w:val="00B047A4"/>
    <w:rsid w:val="00B05014"/>
    <w:rsid w:val="00B059EC"/>
    <w:rsid w:val="00B05DBF"/>
    <w:rsid w:val="00B05DDB"/>
    <w:rsid w:val="00B05FC4"/>
    <w:rsid w:val="00B06420"/>
    <w:rsid w:val="00B066BD"/>
    <w:rsid w:val="00B06ABF"/>
    <w:rsid w:val="00B07069"/>
    <w:rsid w:val="00B07401"/>
    <w:rsid w:val="00B074F9"/>
    <w:rsid w:val="00B100BE"/>
    <w:rsid w:val="00B10340"/>
    <w:rsid w:val="00B10570"/>
    <w:rsid w:val="00B10AAB"/>
    <w:rsid w:val="00B10AD2"/>
    <w:rsid w:val="00B10B33"/>
    <w:rsid w:val="00B10BC9"/>
    <w:rsid w:val="00B10E33"/>
    <w:rsid w:val="00B110CD"/>
    <w:rsid w:val="00B1118F"/>
    <w:rsid w:val="00B118F0"/>
    <w:rsid w:val="00B11939"/>
    <w:rsid w:val="00B11949"/>
    <w:rsid w:val="00B11D8B"/>
    <w:rsid w:val="00B11F7D"/>
    <w:rsid w:val="00B121A2"/>
    <w:rsid w:val="00B12A9D"/>
    <w:rsid w:val="00B12AC4"/>
    <w:rsid w:val="00B12E27"/>
    <w:rsid w:val="00B12FFA"/>
    <w:rsid w:val="00B1324C"/>
    <w:rsid w:val="00B13AC6"/>
    <w:rsid w:val="00B13F30"/>
    <w:rsid w:val="00B1512E"/>
    <w:rsid w:val="00B152C2"/>
    <w:rsid w:val="00B15421"/>
    <w:rsid w:val="00B1558E"/>
    <w:rsid w:val="00B155C5"/>
    <w:rsid w:val="00B15747"/>
    <w:rsid w:val="00B15759"/>
    <w:rsid w:val="00B159CC"/>
    <w:rsid w:val="00B15CC5"/>
    <w:rsid w:val="00B15E8B"/>
    <w:rsid w:val="00B16023"/>
    <w:rsid w:val="00B16557"/>
    <w:rsid w:val="00B166EE"/>
    <w:rsid w:val="00B16838"/>
    <w:rsid w:val="00B16924"/>
    <w:rsid w:val="00B16AA9"/>
    <w:rsid w:val="00B17019"/>
    <w:rsid w:val="00B17169"/>
    <w:rsid w:val="00B20628"/>
    <w:rsid w:val="00B20664"/>
    <w:rsid w:val="00B2077B"/>
    <w:rsid w:val="00B20DF1"/>
    <w:rsid w:val="00B21160"/>
    <w:rsid w:val="00B211AB"/>
    <w:rsid w:val="00B2147B"/>
    <w:rsid w:val="00B214D8"/>
    <w:rsid w:val="00B2150D"/>
    <w:rsid w:val="00B216C5"/>
    <w:rsid w:val="00B21A5C"/>
    <w:rsid w:val="00B21D56"/>
    <w:rsid w:val="00B21D68"/>
    <w:rsid w:val="00B21FC8"/>
    <w:rsid w:val="00B225D8"/>
    <w:rsid w:val="00B22AA4"/>
    <w:rsid w:val="00B22DBD"/>
    <w:rsid w:val="00B22F8A"/>
    <w:rsid w:val="00B23026"/>
    <w:rsid w:val="00B23291"/>
    <w:rsid w:val="00B23292"/>
    <w:rsid w:val="00B234BD"/>
    <w:rsid w:val="00B238C6"/>
    <w:rsid w:val="00B238EB"/>
    <w:rsid w:val="00B23A5A"/>
    <w:rsid w:val="00B23CD9"/>
    <w:rsid w:val="00B23FB0"/>
    <w:rsid w:val="00B24812"/>
    <w:rsid w:val="00B249D0"/>
    <w:rsid w:val="00B24AD9"/>
    <w:rsid w:val="00B25002"/>
    <w:rsid w:val="00B25029"/>
    <w:rsid w:val="00B250AF"/>
    <w:rsid w:val="00B2510D"/>
    <w:rsid w:val="00B251F0"/>
    <w:rsid w:val="00B25B8C"/>
    <w:rsid w:val="00B25F41"/>
    <w:rsid w:val="00B260F8"/>
    <w:rsid w:val="00B2670C"/>
    <w:rsid w:val="00B268BD"/>
    <w:rsid w:val="00B269B5"/>
    <w:rsid w:val="00B26B05"/>
    <w:rsid w:val="00B26CE3"/>
    <w:rsid w:val="00B26D34"/>
    <w:rsid w:val="00B26DBC"/>
    <w:rsid w:val="00B273A9"/>
    <w:rsid w:val="00B274B2"/>
    <w:rsid w:val="00B27543"/>
    <w:rsid w:val="00B27A0A"/>
    <w:rsid w:val="00B27A3D"/>
    <w:rsid w:val="00B27CED"/>
    <w:rsid w:val="00B27CF5"/>
    <w:rsid w:val="00B27DDF"/>
    <w:rsid w:val="00B3000A"/>
    <w:rsid w:val="00B30216"/>
    <w:rsid w:val="00B30234"/>
    <w:rsid w:val="00B30B6D"/>
    <w:rsid w:val="00B30CAF"/>
    <w:rsid w:val="00B3121A"/>
    <w:rsid w:val="00B312BA"/>
    <w:rsid w:val="00B3149B"/>
    <w:rsid w:val="00B31D29"/>
    <w:rsid w:val="00B31D5F"/>
    <w:rsid w:val="00B31DED"/>
    <w:rsid w:val="00B3206C"/>
    <w:rsid w:val="00B32120"/>
    <w:rsid w:val="00B32347"/>
    <w:rsid w:val="00B3248E"/>
    <w:rsid w:val="00B32992"/>
    <w:rsid w:val="00B32CDA"/>
    <w:rsid w:val="00B32D95"/>
    <w:rsid w:val="00B3334D"/>
    <w:rsid w:val="00B3353D"/>
    <w:rsid w:val="00B3355B"/>
    <w:rsid w:val="00B33705"/>
    <w:rsid w:val="00B33948"/>
    <w:rsid w:val="00B33A27"/>
    <w:rsid w:val="00B33E52"/>
    <w:rsid w:val="00B34121"/>
    <w:rsid w:val="00B341BB"/>
    <w:rsid w:val="00B34308"/>
    <w:rsid w:val="00B3450E"/>
    <w:rsid w:val="00B34614"/>
    <w:rsid w:val="00B3463A"/>
    <w:rsid w:val="00B34A6F"/>
    <w:rsid w:val="00B34A89"/>
    <w:rsid w:val="00B34D8B"/>
    <w:rsid w:val="00B351D5"/>
    <w:rsid w:val="00B35218"/>
    <w:rsid w:val="00B35406"/>
    <w:rsid w:val="00B35835"/>
    <w:rsid w:val="00B35DD7"/>
    <w:rsid w:val="00B3619B"/>
    <w:rsid w:val="00B36426"/>
    <w:rsid w:val="00B3652C"/>
    <w:rsid w:val="00B3673D"/>
    <w:rsid w:val="00B36BDB"/>
    <w:rsid w:val="00B3722D"/>
    <w:rsid w:val="00B3757A"/>
    <w:rsid w:val="00B37652"/>
    <w:rsid w:val="00B377D9"/>
    <w:rsid w:val="00B37950"/>
    <w:rsid w:val="00B37AA7"/>
    <w:rsid w:val="00B37B39"/>
    <w:rsid w:val="00B37EDE"/>
    <w:rsid w:val="00B37F40"/>
    <w:rsid w:val="00B40037"/>
    <w:rsid w:val="00B4016E"/>
    <w:rsid w:val="00B4026F"/>
    <w:rsid w:val="00B402D2"/>
    <w:rsid w:val="00B409E8"/>
    <w:rsid w:val="00B40B0D"/>
    <w:rsid w:val="00B40D88"/>
    <w:rsid w:val="00B40FDF"/>
    <w:rsid w:val="00B41019"/>
    <w:rsid w:val="00B41643"/>
    <w:rsid w:val="00B41786"/>
    <w:rsid w:val="00B41EBD"/>
    <w:rsid w:val="00B41F7E"/>
    <w:rsid w:val="00B41FC8"/>
    <w:rsid w:val="00B42359"/>
    <w:rsid w:val="00B4236A"/>
    <w:rsid w:val="00B42393"/>
    <w:rsid w:val="00B4255B"/>
    <w:rsid w:val="00B426B6"/>
    <w:rsid w:val="00B42C5A"/>
    <w:rsid w:val="00B43190"/>
    <w:rsid w:val="00B43275"/>
    <w:rsid w:val="00B43575"/>
    <w:rsid w:val="00B435B7"/>
    <w:rsid w:val="00B43678"/>
    <w:rsid w:val="00B436AE"/>
    <w:rsid w:val="00B43A21"/>
    <w:rsid w:val="00B44595"/>
    <w:rsid w:val="00B4473B"/>
    <w:rsid w:val="00B448A0"/>
    <w:rsid w:val="00B448EC"/>
    <w:rsid w:val="00B44D64"/>
    <w:rsid w:val="00B45C6D"/>
    <w:rsid w:val="00B45F0F"/>
    <w:rsid w:val="00B46272"/>
    <w:rsid w:val="00B462C6"/>
    <w:rsid w:val="00B4636E"/>
    <w:rsid w:val="00B46811"/>
    <w:rsid w:val="00B46859"/>
    <w:rsid w:val="00B4693E"/>
    <w:rsid w:val="00B46983"/>
    <w:rsid w:val="00B46A86"/>
    <w:rsid w:val="00B46BA0"/>
    <w:rsid w:val="00B46D59"/>
    <w:rsid w:val="00B46FD9"/>
    <w:rsid w:val="00B47B6A"/>
    <w:rsid w:val="00B47E7F"/>
    <w:rsid w:val="00B47E94"/>
    <w:rsid w:val="00B504B9"/>
    <w:rsid w:val="00B506C0"/>
    <w:rsid w:val="00B5078E"/>
    <w:rsid w:val="00B507D6"/>
    <w:rsid w:val="00B5081C"/>
    <w:rsid w:val="00B50E11"/>
    <w:rsid w:val="00B50EBB"/>
    <w:rsid w:val="00B512CA"/>
    <w:rsid w:val="00B51303"/>
    <w:rsid w:val="00B51336"/>
    <w:rsid w:val="00B51403"/>
    <w:rsid w:val="00B515B9"/>
    <w:rsid w:val="00B5187B"/>
    <w:rsid w:val="00B51EAC"/>
    <w:rsid w:val="00B51F49"/>
    <w:rsid w:val="00B52003"/>
    <w:rsid w:val="00B52337"/>
    <w:rsid w:val="00B5245A"/>
    <w:rsid w:val="00B52465"/>
    <w:rsid w:val="00B524FD"/>
    <w:rsid w:val="00B52859"/>
    <w:rsid w:val="00B530A8"/>
    <w:rsid w:val="00B53813"/>
    <w:rsid w:val="00B5396E"/>
    <w:rsid w:val="00B53A5A"/>
    <w:rsid w:val="00B53E79"/>
    <w:rsid w:val="00B53FA4"/>
    <w:rsid w:val="00B54092"/>
    <w:rsid w:val="00B540D9"/>
    <w:rsid w:val="00B544DA"/>
    <w:rsid w:val="00B54741"/>
    <w:rsid w:val="00B54AFB"/>
    <w:rsid w:val="00B54C97"/>
    <w:rsid w:val="00B54DBC"/>
    <w:rsid w:val="00B54E35"/>
    <w:rsid w:val="00B55245"/>
    <w:rsid w:val="00B55480"/>
    <w:rsid w:val="00B554BA"/>
    <w:rsid w:val="00B55A00"/>
    <w:rsid w:val="00B56192"/>
    <w:rsid w:val="00B56584"/>
    <w:rsid w:val="00B567FE"/>
    <w:rsid w:val="00B56D7F"/>
    <w:rsid w:val="00B570A8"/>
    <w:rsid w:val="00B5720A"/>
    <w:rsid w:val="00B57357"/>
    <w:rsid w:val="00B5774B"/>
    <w:rsid w:val="00B577D3"/>
    <w:rsid w:val="00B57AF8"/>
    <w:rsid w:val="00B57BA8"/>
    <w:rsid w:val="00B57BB5"/>
    <w:rsid w:val="00B57C45"/>
    <w:rsid w:val="00B57D08"/>
    <w:rsid w:val="00B57D10"/>
    <w:rsid w:val="00B57F11"/>
    <w:rsid w:val="00B6039E"/>
    <w:rsid w:val="00B60602"/>
    <w:rsid w:val="00B60628"/>
    <w:rsid w:val="00B60633"/>
    <w:rsid w:val="00B6066E"/>
    <w:rsid w:val="00B60A7A"/>
    <w:rsid w:val="00B614FF"/>
    <w:rsid w:val="00B61D60"/>
    <w:rsid w:val="00B621ED"/>
    <w:rsid w:val="00B622FC"/>
    <w:rsid w:val="00B6237B"/>
    <w:rsid w:val="00B626F3"/>
    <w:rsid w:val="00B628A0"/>
    <w:rsid w:val="00B629C8"/>
    <w:rsid w:val="00B62A5C"/>
    <w:rsid w:val="00B62BC2"/>
    <w:rsid w:val="00B62C50"/>
    <w:rsid w:val="00B62DF9"/>
    <w:rsid w:val="00B632E9"/>
    <w:rsid w:val="00B6399A"/>
    <w:rsid w:val="00B63AB2"/>
    <w:rsid w:val="00B63BA0"/>
    <w:rsid w:val="00B63E65"/>
    <w:rsid w:val="00B63FB4"/>
    <w:rsid w:val="00B64458"/>
    <w:rsid w:val="00B645FA"/>
    <w:rsid w:val="00B646F0"/>
    <w:rsid w:val="00B64ED5"/>
    <w:rsid w:val="00B651A2"/>
    <w:rsid w:val="00B651B4"/>
    <w:rsid w:val="00B65609"/>
    <w:rsid w:val="00B65828"/>
    <w:rsid w:val="00B6585E"/>
    <w:rsid w:val="00B65F42"/>
    <w:rsid w:val="00B66241"/>
    <w:rsid w:val="00B6649C"/>
    <w:rsid w:val="00B66550"/>
    <w:rsid w:val="00B669FC"/>
    <w:rsid w:val="00B673C0"/>
    <w:rsid w:val="00B67441"/>
    <w:rsid w:val="00B6751A"/>
    <w:rsid w:val="00B676D6"/>
    <w:rsid w:val="00B677F4"/>
    <w:rsid w:val="00B679D2"/>
    <w:rsid w:val="00B67DC2"/>
    <w:rsid w:val="00B70082"/>
    <w:rsid w:val="00B70164"/>
    <w:rsid w:val="00B704A5"/>
    <w:rsid w:val="00B7065C"/>
    <w:rsid w:val="00B70FB3"/>
    <w:rsid w:val="00B712A3"/>
    <w:rsid w:val="00B712B9"/>
    <w:rsid w:val="00B715EA"/>
    <w:rsid w:val="00B718C1"/>
    <w:rsid w:val="00B71ABE"/>
    <w:rsid w:val="00B724A6"/>
    <w:rsid w:val="00B72BBE"/>
    <w:rsid w:val="00B7334C"/>
    <w:rsid w:val="00B735C8"/>
    <w:rsid w:val="00B73A3D"/>
    <w:rsid w:val="00B73A55"/>
    <w:rsid w:val="00B740F5"/>
    <w:rsid w:val="00B74169"/>
    <w:rsid w:val="00B7431C"/>
    <w:rsid w:val="00B744C5"/>
    <w:rsid w:val="00B74598"/>
    <w:rsid w:val="00B749A7"/>
    <w:rsid w:val="00B749AB"/>
    <w:rsid w:val="00B74ACD"/>
    <w:rsid w:val="00B74BD5"/>
    <w:rsid w:val="00B74D4A"/>
    <w:rsid w:val="00B74DE2"/>
    <w:rsid w:val="00B74F01"/>
    <w:rsid w:val="00B74FC4"/>
    <w:rsid w:val="00B75161"/>
    <w:rsid w:val="00B751ED"/>
    <w:rsid w:val="00B753D1"/>
    <w:rsid w:val="00B7563F"/>
    <w:rsid w:val="00B756E4"/>
    <w:rsid w:val="00B757AA"/>
    <w:rsid w:val="00B75C65"/>
    <w:rsid w:val="00B763F0"/>
    <w:rsid w:val="00B76481"/>
    <w:rsid w:val="00B76712"/>
    <w:rsid w:val="00B7686A"/>
    <w:rsid w:val="00B7686B"/>
    <w:rsid w:val="00B768E6"/>
    <w:rsid w:val="00B76A33"/>
    <w:rsid w:val="00B76D86"/>
    <w:rsid w:val="00B76F4E"/>
    <w:rsid w:val="00B772B0"/>
    <w:rsid w:val="00B77315"/>
    <w:rsid w:val="00B7740A"/>
    <w:rsid w:val="00B77592"/>
    <w:rsid w:val="00B775C7"/>
    <w:rsid w:val="00B77A36"/>
    <w:rsid w:val="00B80109"/>
    <w:rsid w:val="00B80460"/>
    <w:rsid w:val="00B807AF"/>
    <w:rsid w:val="00B80AF9"/>
    <w:rsid w:val="00B80D38"/>
    <w:rsid w:val="00B81060"/>
    <w:rsid w:val="00B810B8"/>
    <w:rsid w:val="00B81592"/>
    <w:rsid w:val="00B816C8"/>
    <w:rsid w:val="00B818C7"/>
    <w:rsid w:val="00B81A52"/>
    <w:rsid w:val="00B81E47"/>
    <w:rsid w:val="00B8222B"/>
    <w:rsid w:val="00B82264"/>
    <w:rsid w:val="00B82268"/>
    <w:rsid w:val="00B829D9"/>
    <w:rsid w:val="00B82C93"/>
    <w:rsid w:val="00B82D53"/>
    <w:rsid w:val="00B82E48"/>
    <w:rsid w:val="00B83321"/>
    <w:rsid w:val="00B83B41"/>
    <w:rsid w:val="00B83F4B"/>
    <w:rsid w:val="00B84D91"/>
    <w:rsid w:val="00B84E07"/>
    <w:rsid w:val="00B8511E"/>
    <w:rsid w:val="00B8515B"/>
    <w:rsid w:val="00B85217"/>
    <w:rsid w:val="00B8534A"/>
    <w:rsid w:val="00B8574E"/>
    <w:rsid w:val="00B85BEC"/>
    <w:rsid w:val="00B85DE1"/>
    <w:rsid w:val="00B85FE2"/>
    <w:rsid w:val="00B86045"/>
    <w:rsid w:val="00B86468"/>
    <w:rsid w:val="00B86573"/>
    <w:rsid w:val="00B865B2"/>
    <w:rsid w:val="00B8667A"/>
    <w:rsid w:val="00B86732"/>
    <w:rsid w:val="00B86B70"/>
    <w:rsid w:val="00B86BB6"/>
    <w:rsid w:val="00B86BFD"/>
    <w:rsid w:val="00B86C85"/>
    <w:rsid w:val="00B875A4"/>
    <w:rsid w:val="00B87746"/>
    <w:rsid w:val="00B877F4"/>
    <w:rsid w:val="00B8797F"/>
    <w:rsid w:val="00B90091"/>
    <w:rsid w:val="00B90E19"/>
    <w:rsid w:val="00B91025"/>
    <w:rsid w:val="00B9127A"/>
    <w:rsid w:val="00B91766"/>
    <w:rsid w:val="00B9207A"/>
    <w:rsid w:val="00B92123"/>
    <w:rsid w:val="00B921A5"/>
    <w:rsid w:val="00B9226C"/>
    <w:rsid w:val="00B929EC"/>
    <w:rsid w:val="00B92C64"/>
    <w:rsid w:val="00B9316C"/>
    <w:rsid w:val="00B9362B"/>
    <w:rsid w:val="00B939BA"/>
    <w:rsid w:val="00B93D00"/>
    <w:rsid w:val="00B94003"/>
    <w:rsid w:val="00B9405C"/>
    <w:rsid w:val="00B940DF"/>
    <w:rsid w:val="00B940E7"/>
    <w:rsid w:val="00B9454B"/>
    <w:rsid w:val="00B949CE"/>
    <w:rsid w:val="00B94DBF"/>
    <w:rsid w:val="00B9523A"/>
    <w:rsid w:val="00B95411"/>
    <w:rsid w:val="00B958DE"/>
    <w:rsid w:val="00B961BC"/>
    <w:rsid w:val="00B9632E"/>
    <w:rsid w:val="00B9633D"/>
    <w:rsid w:val="00B96BB8"/>
    <w:rsid w:val="00B96EAE"/>
    <w:rsid w:val="00B97465"/>
    <w:rsid w:val="00B97521"/>
    <w:rsid w:val="00B9787D"/>
    <w:rsid w:val="00B97ABB"/>
    <w:rsid w:val="00BA004D"/>
    <w:rsid w:val="00BA02FE"/>
    <w:rsid w:val="00BA058B"/>
    <w:rsid w:val="00BA0C4C"/>
    <w:rsid w:val="00BA1074"/>
    <w:rsid w:val="00BA1139"/>
    <w:rsid w:val="00BA138D"/>
    <w:rsid w:val="00BA18B0"/>
    <w:rsid w:val="00BA1976"/>
    <w:rsid w:val="00BA1BDA"/>
    <w:rsid w:val="00BA1C1E"/>
    <w:rsid w:val="00BA1C9F"/>
    <w:rsid w:val="00BA1EAC"/>
    <w:rsid w:val="00BA2082"/>
    <w:rsid w:val="00BA22CB"/>
    <w:rsid w:val="00BA2532"/>
    <w:rsid w:val="00BA28B4"/>
    <w:rsid w:val="00BA2C11"/>
    <w:rsid w:val="00BA31A4"/>
    <w:rsid w:val="00BA3404"/>
    <w:rsid w:val="00BA39F7"/>
    <w:rsid w:val="00BA3D98"/>
    <w:rsid w:val="00BA3E85"/>
    <w:rsid w:val="00BA3F59"/>
    <w:rsid w:val="00BA4029"/>
    <w:rsid w:val="00BA4272"/>
    <w:rsid w:val="00BA43F7"/>
    <w:rsid w:val="00BA4454"/>
    <w:rsid w:val="00BA459C"/>
    <w:rsid w:val="00BA4797"/>
    <w:rsid w:val="00BA4DA8"/>
    <w:rsid w:val="00BA4E72"/>
    <w:rsid w:val="00BA5629"/>
    <w:rsid w:val="00BA57B2"/>
    <w:rsid w:val="00BA58B6"/>
    <w:rsid w:val="00BA5A5C"/>
    <w:rsid w:val="00BA5D78"/>
    <w:rsid w:val="00BA5D9C"/>
    <w:rsid w:val="00BA5FCB"/>
    <w:rsid w:val="00BA5FF0"/>
    <w:rsid w:val="00BA60AD"/>
    <w:rsid w:val="00BA634E"/>
    <w:rsid w:val="00BA65AA"/>
    <w:rsid w:val="00BA67F1"/>
    <w:rsid w:val="00BA68E1"/>
    <w:rsid w:val="00BA69C4"/>
    <w:rsid w:val="00BA6E53"/>
    <w:rsid w:val="00BA6E60"/>
    <w:rsid w:val="00BA76A9"/>
    <w:rsid w:val="00BA7842"/>
    <w:rsid w:val="00BA7CBF"/>
    <w:rsid w:val="00BA7EAB"/>
    <w:rsid w:val="00BA7F96"/>
    <w:rsid w:val="00BB0423"/>
    <w:rsid w:val="00BB061C"/>
    <w:rsid w:val="00BB1900"/>
    <w:rsid w:val="00BB1A63"/>
    <w:rsid w:val="00BB1E50"/>
    <w:rsid w:val="00BB2218"/>
    <w:rsid w:val="00BB22F7"/>
    <w:rsid w:val="00BB2993"/>
    <w:rsid w:val="00BB3187"/>
    <w:rsid w:val="00BB36D8"/>
    <w:rsid w:val="00BB3D8E"/>
    <w:rsid w:val="00BB3EDC"/>
    <w:rsid w:val="00BB48EF"/>
    <w:rsid w:val="00BB4A08"/>
    <w:rsid w:val="00BB4EBD"/>
    <w:rsid w:val="00BB5399"/>
    <w:rsid w:val="00BB54D9"/>
    <w:rsid w:val="00BB5C41"/>
    <w:rsid w:val="00BB61CE"/>
    <w:rsid w:val="00BB6703"/>
    <w:rsid w:val="00BB6868"/>
    <w:rsid w:val="00BB6948"/>
    <w:rsid w:val="00BB69C2"/>
    <w:rsid w:val="00BB69EA"/>
    <w:rsid w:val="00BB6AE9"/>
    <w:rsid w:val="00BB6C0A"/>
    <w:rsid w:val="00BB6C8A"/>
    <w:rsid w:val="00BB7703"/>
    <w:rsid w:val="00BB7727"/>
    <w:rsid w:val="00BB7AEC"/>
    <w:rsid w:val="00BB7F66"/>
    <w:rsid w:val="00BC0438"/>
    <w:rsid w:val="00BC0463"/>
    <w:rsid w:val="00BC0703"/>
    <w:rsid w:val="00BC0835"/>
    <w:rsid w:val="00BC0AAF"/>
    <w:rsid w:val="00BC0F63"/>
    <w:rsid w:val="00BC0FCA"/>
    <w:rsid w:val="00BC14BE"/>
    <w:rsid w:val="00BC1873"/>
    <w:rsid w:val="00BC1B1B"/>
    <w:rsid w:val="00BC1B8F"/>
    <w:rsid w:val="00BC1BAD"/>
    <w:rsid w:val="00BC1DBF"/>
    <w:rsid w:val="00BC1EE9"/>
    <w:rsid w:val="00BC1F19"/>
    <w:rsid w:val="00BC1FC8"/>
    <w:rsid w:val="00BC2052"/>
    <w:rsid w:val="00BC2283"/>
    <w:rsid w:val="00BC2680"/>
    <w:rsid w:val="00BC2704"/>
    <w:rsid w:val="00BC286E"/>
    <w:rsid w:val="00BC29B8"/>
    <w:rsid w:val="00BC2A71"/>
    <w:rsid w:val="00BC2D6D"/>
    <w:rsid w:val="00BC2F1E"/>
    <w:rsid w:val="00BC322F"/>
    <w:rsid w:val="00BC35AC"/>
    <w:rsid w:val="00BC3791"/>
    <w:rsid w:val="00BC3B34"/>
    <w:rsid w:val="00BC3BBE"/>
    <w:rsid w:val="00BC3DB8"/>
    <w:rsid w:val="00BC3F17"/>
    <w:rsid w:val="00BC3F78"/>
    <w:rsid w:val="00BC3FFD"/>
    <w:rsid w:val="00BC4568"/>
    <w:rsid w:val="00BC45EC"/>
    <w:rsid w:val="00BC48AB"/>
    <w:rsid w:val="00BC48C6"/>
    <w:rsid w:val="00BC4B3A"/>
    <w:rsid w:val="00BC4B3E"/>
    <w:rsid w:val="00BC4CD2"/>
    <w:rsid w:val="00BC4DD4"/>
    <w:rsid w:val="00BC4E91"/>
    <w:rsid w:val="00BC4E9A"/>
    <w:rsid w:val="00BC51BC"/>
    <w:rsid w:val="00BC5219"/>
    <w:rsid w:val="00BC5348"/>
    <w:rsid w:val="00BC53B9"/>
    <w:rsid w:val="00BC567A"/>
    <w:rsid w:val="00BC5C3D"/>
    <w:rsid w:val="00BC5E11"/>
    <w:rsid w:val="00BC613A"/>
    <w:rsid w:val="00BC6378"/>
    <w:rsid w:val="00BC64BF"/>
    <w:rsid w:val="00BC6A08"/>
    <w:rsid w:val="00BC6AEB"/>
    <w:rsid w:val="00BC6E84"/>
    <w:rsid w:val="00BC6FA4"/>
    <w:rsid w:val="00BC701C"/>
    <w:rsid w:val="00BC757E"/>
    <w:rsid w:val="00BC7681"/>
    <w:rsid w:val="00BC768B"/>
    <w:rsid w:val="00BC772A"/>
    <w:rsid w:val="00BC7829"/>
    <w:rsid w:val="00BC788D"/>
    <w:rsid w:val="00BC7BAB"/>
    <w:rsid w:val="00BD0369"/>
    <w:rsid w:val="00BD03BA"/>
    <w:rsid w:val="00BD04A2"/>
    <w:rsid w:val="00BD088E"/>
    <w:rsid w:val="00BD0946"/>
    <w:rsid w:val="00BD0B76"/>
    <w:rsid w:val="00BD0E65"/>
    <w:rsid w:val="00BD0FE9"/>
    <w:rsid w:val="00BD1526"/>
    <w:rsid w:val="00BD16A3"/>
    <w:rsid w:val="00BD1818"/>
    <w:rsid w:val="00BD18A7"/>
    <w:rsid w:val="00BD1907"/>
    <w:rsid w:val="00BD1C2D"/>
    <w:rsid w:val="00BD1CD4"/>
    <w:rsid w:val="00BD209D"/>
    <w:rsid w:val="00BD2180"/>
    <w:rsid w:val="00BD2400"/>
    <w:rsid w:val="00BD2493"/>
    <w:rsid w:val="00BD2972"/>
    <w:rsid w:val="00BD2980"/>
    <w:rsid w:val="00BD2C18"/>
    <w:rsid w:val="00BD2E0F"/>
    <w:rsid w:val="00BD383D"/>
    <w:rsid w:val="00BD4556"/>
    <w:rsid w:val="00BD46A2"/>
    <w:rsid w:val="00BD4710"/>
    <w:rsid w:val="00BD490C"/>
    <w:rsid w:val="00BD5627"/>
    <w:rsid w:val="00BD579A"/>
    <w:rsid w:val="00BD5E88"/>
    <w:rsid w:val="00BD6143"/>
    <w:rsid w:val="00BD61C4"/>
    <w:rsid w:val="00BD672C"/>
    <w:rsid w:val="00BD677D"/>
    <w:rsid w:val="00BD68E8"/>
    <w:rsid w:val="00BD71D2"/>
    <w:rsid w:val="00BD7657"/>
    <w:rsid w:val="00BD766F"/>
    <w:rsid w:val="00BD7731"/>
    <w:rsid w:val="00BD7CA0"/>
    <w:rsid w:val="00BD7CDF"/>
    <w:rsid w:val="00BD7E9E"/>
    <w:rsid w:val="00BE0272"/>
    <w:rsid w:val="00BE0408"/>
    <w:rsid w:val="00BE0A0D"/>
    <w:rsid w:val="00BE0CBB"/>
    <w:rsid w:val="00BE0D14"/>
    <w:rsid w:val="00BE1164"/>
    <w:rsid w:val="00BE1215"/>
    <w:rsid w:val="00BE1470"/>
    <w:rsid w:val="00BE1855"/>
    <w:rsid w:val="00BE1AE5"/>
    <w:rsid w:val="00BE1EA8"/>
    <w:rsid w:val="00BE203D"/>
    <w:rsid w:val="00BE29EB"/>
    <w:rsid w:val="00BE3328"/>
    <w:rsid w:val="00BE39AF"/>
    <w:rsid w:val="00BE3ACC"/>
    <w:rsid w:val="00BE3BA1"/>
    <w:rsid w:val="00BE3D21"/>
    <w:rsid w:val="00BE3EA4"/>
    <w:rsid w:val="00BE3EC5"/>
    <w:rsid w:val="00BE41BD"/>
    <w:rsid w:val="00BE4478"/>
    <w:rsid w:val="00BE46BD"/>
    <w:rsid w:val="00BE4A44"/>
    <w:rsid w:val="00BE4E1D"/>
    <w:rsid w:val="00BE4EC5"/>
    <w:rsid w:val="00BE52D0"/>
    <w:rsid w:val="00BE5542"/>
    <w:rsid w:val="00BE5C3F"/>
    <w:rsid w:val="00BE5FB1"/>
    <w:rsid w:val="00BE6206"/>
    <w:rsid w:val="00BE63A0"/>
    <w:rsid w:val="00BE646E"/>
    <w:rsid w:val="00BE6503"/>
    <w:rsid w:val="00BE6579"/>
    <w:rsid w:val="00BE6AF5"/>
    <w:rsid w:val="00BE6C2A"/>
    <w:rsid w:val="00BE6F7E"/>
    <w:rsid w:val="00BE7008"/>
    <w:rsid w:val="00BE7364"/>
    <w:rsid w:val="00BE7503"/>
    <w:rsid w:val="00BE765E"/>
    <w:rsid w:val="00BE7C3A"/>
    <w:rsid w:val="00BE7D07"/>
    <w:rsid w:val="00BE7ED9"/>
    <w:rsid w:val="00BF08EE"/>
    <w:rsid w:val="00BF0BD8"/>
    <w:rsid w:val="00BF158D"/>
    <w:rsid w:val="00BF1771"/>
    <w:rsid w:val="00BF1986"/>
    <w:rsid w:val="00BF1AF5"/>
    <w:rsid w:val="00BF1BBE"/>
    <w:rsid w:val="00BF1C00"/>
    <w:rsid w:val="00BF1CB1"/>
    <w:rsid w:val="00BF1D2B"/>
    <w:rsid w:val="00BF1DE9"/>
    <w:rsid w:val="00BF1F38"/>
    <w:rsid w:val="00BF2002"/>
    <w:rsid w:val="00BF2122"/>
    <w:rsid w:val="00BF2354"/>
    <w:rsid w:val="00BF2556"/>
    <w:rsid w:val="00BF2F0E"/>
    <w:rsid w:val="00BF2F5F"/>
    <w:rsid w:val="00BF362A"/>
    <w:rsid w:val="00BF3957"/>
    <w:rsid w:val="00BF3E3B"/>
    <w:rsid w:val="00BF4015"/>
    <w:rsid w:val="00BF4078"/>
    <w:rsid w:val="00BF4190"/>
    <w:rsid w:val="00BF46B0"/>
    <w:rsid w:val="00BF479A"/>
    <w:rsid w:val="00BF4C57"/>
    <w:rsid w:val="00BF4CA2"/>
    <w:rsid w:val="00BF4F01"/>
    <w:rsid w:val="00BF4F81"/>
    <w:rsid w:val="00BF5368"/>
    <w:rsid w:val="00BF53A1"/>
    <w:rsid w:val="00BF55ED"/>
    <w:rsid w:val="00BF55FF"/>
    <w:rsid w:val="00BF56CC"/>
    <w:rsid w:val="00BF56D1"/>
    <w:rsid w:val="00BF5739"/>
    <w:rsid w:val="00BF594B"/>
    <w:rsid w:val="00BF594E"/>
    <w:rsid w:val="00BF59C7"/>
    <w:rsid w:val="00BF59CD"/>
    <w:rsid w:val="00BF5CBC"/>
    <w:rsid w:val="00BF61C8"/>
    <w:rsid w:val="00BF63DC"/>
    <w:rsid w:val="00BF6517"/>
    <w:rsid w:val="00BF68E0"/>
    <w:rsid w:val="00BF6BB4"/>
    <w:rsid w:val="00BF6E99"/>
    <w:rsid w:val="00BF6F3C"/>
    <w:rsid w:val="00BF701B"/>
    <w:rsid w:val="00BF747E"/>
    <w:rsid w:val="00BF7792"/>
    <w:rsid w:val="00BF77EB"/>
    <w:rsid w:val="00BF7A9B"/>
    <w:rsid w:val="00BF7ADE"/>
    <w:rsid w:val="00BF7BDB"/>
    <w:rsid w:val="00BF7E4E"/>
    <w:rsid w:val="00C009AF"/>
    <w:rsid w:val="00C00A57"/>
    <w:rsid w:val="00C00D29"/>
    <w:rsid w:val="00C00D54"/>
    <w:rsid w:val="00C0144E"/>
    <w:rsid w:val="00C01F5F"/>
    <w:rsid w:val="00C02024"/>
    <w:rsid w:val="00C02065"/>
    <w:rsid w:val="00C02416"/>
    <w:rsid w:val="00C02585"/>
    <w:rsid w:val="00C027DE"/>
    <w:rsid w:val="00C028A0"/>
    <w:rsid w:val="00C02D06"/>
    <w:rsid w:val="00C0317B"/>
    <w:rsid w:val="00C031D2"/>
    <w:rsid w:val="00C0320C"/>
    <w:rsid w:val="00C03372"/>
    <w:rsid w:val="00C034E3"/>
    <w:rsid w:val="00C0405F"/>
    <w:rsid w:val="00C0425E"/>
    <w:rsid w:val="00C04B8A"/>
    <w:rsid w:val="00C04F78"/>
    <w:rsid w:val="00C05430"/>
    <w:rsid w:val="00C05436"/>
    <w:rsid w:val="00C05483"/>
    <w:rsid w:val="00C055E0"/>
    <w:rsid w:val="00C0563C"/>
    <w:rsid w:val="00C05743"/>
    <w:rsid w:val="00C0581A"/>
    <w:rsid w:val="00C059FA"/>
    <w:rsid w:val="00C05AD0"/>
    <w:rsid w:val="00C05FE2"/>
    <w:rsid w:val="00C062D4"/>
    <w:rsid w:val="00C06425"/>
    <w:rsid w:val="00C06472"/>
    <w:rsid w:val="00C066EF"/>
    <w:rsid w:val="00C0696C"/>
    <w:rsid w:val="00C06A42"/>
    <w:rsid w:val="00C06C17"/>
    <w:rsid w:val="00C06CA1"/>
    <w:rsid w:val="00C06EB0"/>
    <w:rsid w:val="00C0701B"/>
    <w:rsid w:val="00C073F4"/>
    <w:rsid w:val="00C07852"/>
    <w:rsid w:val="00C078D5"/>
    <w:rsid w:val="00C07B22"/>
    <w:rsid w:val="00C102FF"/>
    <w:rsid w:val="00C10567"/>
    <w:rsid w:val="00C1079E"/>
    <w:rsid w:val="00C108C2"/>
    <w:rsid w:val="00C10A0D"/>
    <w:rsid w:val="00C10B31"/>
    <w:rsid w:val="00C10C25"/>
    <w:rsid w:val="00C10E14"/>
    <w:rsid w:val="00C11084"/>
    <w:rsid w:val="00C11167"/>
    <w:rsid w:val="00C11B52"/>
    <w:rsid w:val="00C11BC4"/>
    <w:rsid w:val="00C11DC3"/>
    <w:rsid w:val="00C11ECD"/>
    <w:rsid w:val="00C121ED"/>
    <w:rsid w:val="00C122F7"/>
    <w:rsid w:val="00C12357"/>
    <w:rsid w:val="00C126A8"/>
    <w:rsid w:val="00C12901"/>
    <w:rsid w:val="00C12950"/>
    <w:rsid w:val="00C12B69"/>
    <w:rsid w:val="00C12C26"/>
    <w:rsid w:val="00C13108"/>
    <w:rsid w:val="00C133CF"/>
    <w:rsid w:val="00C1344F"/>
    <w:rsid w:val="00C13B71"/>
    <w:rsid w:val="00C13E94"/>
    <w:rsid w:val="00C14120"/>
    <w:rsid w:val="00C14183"/>
    <w:rsid w:val="00C1429E"/>
    <w:rsid w:val="00C14306"/>
    <w:rsid w:val="00C148E6"/>
    <w:rsid w:val="00C14917"/>
    <w:rsid w:val="00C14DA6"/>
    <w:rsid w:val="00C150BD"/>
    <w:rsid w:val="00C1513C"/>
    <w:rsid w:val="00C1595F"/>
    <w:rsid w:val="00C15CF5"/>
    <w:rsid w:val="00C16311"/>
    <w:rsid w:val="00C163CB"/>
    <w:rsid w:val="00C1644D"/>
    <w:rsid w:val="00C16602"/>
    <w:rsid w:val="00C167AF"/>
    <w:rsid w:val="00C16E9B"/>
    <w:rsid w:val="00C1706F"/>
    <w:rsid w:val="00C17131"/>
    <w:rsid w:val="00C1737A"/>
    <w:rsid w:val="00C17DFF"/>
    <w:rsid w:val="00C17F53"/>
    <w:rsid w:val="00C20E78"/>
    <w:rsid w:val="00C20E8A"/>
    <w:rsid w:val="00C20EDE"/>
    <w:rsid w:val="00C20F87"/>
    <w:rsid w:val="00C20FC1"/>
    <w:rsid w:val="00C214A0"/>
    <w:rsid w:val="00C216DC"/>
    <w:rsid w:val="00C21DCE"/>
    <w:rsid w:val="00C21E07"/>
    <w:rsid w:val="00C21E26"/>
    <w:rsid w:val="00C21F99"/>
    <w:rsid w:val="00C2227E"/>
    <w:rsid w:val="00C226FA"/>
    <w:rsid w:val="00C22817"/>
    <w:rsid w:val="00C22B01"/>
    <w:rsid w:val="00C22DF9"/>
    <w:rsid w:val="00C237B9"/>
    <w:rsid w:val="00C2383E"/>
    <w:rsid w:val="00C23B81"/>
    <w:rsid w:val="00C24338"/>
    <w:rsid w:val="00C24397"/>
    <w:rsid w:val="00C24594"/>
    <w:rsid w:val="00C2469F"/>
    <w:rsid w:val="00C25073"/>
    <w:rsid w:val="00C25329"/>
    <w:rsid w:val="00C2546A"/>
    <w:rsid w:val="00C25A29"/>
    <w:rsid w:val="00C25DCF"/>
    <w:rsid w:val="00C2635C"/>
    <w:rsid w:val="00C263FD"/>
    <w:rsid w:val="00C26B8B"/>
    <w:rsid w:val="00C26CC1"/>
    <w:rsid w:val="00C26D1C"/>
    <w:rsid w:val="00C26F5E"/>
    <w:rsid w:val="00C2703C"/>
    <w:rsid w:val="00C27118"/>
    <w:rsid w:val="00C2713C"/>
    <w:rsid w:val="00C272C4"/>
    <w:rsid w:val="00C2735D"/>
    <w:rsid w:val="00C27460"/>
    <w:rsid w:val="00C27A74"/>
    <w:rsid w:val="00C27A9F"/>
    <w:rsid w:val="00C27BCA"/>
    <w:rsid w:val="00C27C99"/>
    <w:rsid w:val="00C27D5B"/>
    <w:rsid w:val="00C27E47"/>
    <w:rsid w:val="00C302D1"/>
    <w:rsid w:val="00C305BF"/>
    <w:rsid w:val="00C30841"/>
    <w:rsid w:val="00C30ACF"/>
    <w:rsid w:val="00C30BAB"/>
    <w:rsid w:val="00C3106A"/>
    <w:rsid w:val="00C31077"/>
    <w:rsid w:val="00C311C6"/>
    <w:rsid w:val="00C311CD"/>
    <w:rsid w:val="00C31224"/>
    <w:rsid w:val="00C3165F"/>
    <w:rsid w:val="00C31947"/>
    <w:rsid w:val="00C31AED"/>
    <w:rsid w:val="00C31BA3"/>
    <w:rsid w:val="00C31C37"/>
    <w:rsid w:val="00C31C40"/>
    <w:rsid w:val="00C31F96"/>
    <w:rsid w:val="00C3210A"/>
    <w:rsid w:val="00C32332"/>
    <w:rsid w:val="00C3253E"/>
    <w:rsid w:val="00C32C69"/>
    <w:rsid w:val="00C32D48"/>
    <w:rsid w:val="00C32E74"/>
    <w:rsid w:val="00C33175"/>
    <w:rsid w:val="00C332D7"/>
    <w:rsid w:val="00C33405"/>
    <w:rsid w:val="00C33557"/>
    <w:rsid w:val="00C336E0"/>
    <w:rsid w:val="00C336E1"/>
    <w:rsid w:val="00C337DF"/>
    <w:rsid w:val="00C3384D"/>
    <w:rsid w:val="00C339B4"/>
    <w:rsid w:val="00C33D23"/>
    <w:rsid w:val="00C33DE2"/>
    <w:rsid w:val="00C33E19"/>
    <w:rsid w:val="00C340DB"/>
    <w:rsid w:val="00C34543"/>
    <w:rsid w:val="00C3462F"/>
    <w:rsid w:val="00C34C86"/>
    <w:rsid w:val="00C34EE1"/>
    <w:rsid w:val="00C35BC6"/>
    <w:rsid w:val="00C35C46"/>
    <w:rsid w:val="00C35D41"/>
    <w:rsid w:val="00C36471"/>
    <w:rsid w:val="00C3661F"/>
    <w:rsid w:val="00C366B6"/>
    <w:rsid w:val="00C36C95"/>
    <w:rsid w:val="00C36F36"/>
    <w:rsid w:val="00C36FD6"/>
    <w:rsid w:val="00C36FED"/>
    <w:rsid w:val="00C3769E"/>
    <w:rsid w:val="00C376BC"/>
    <w:rsid w:val="00C37942"/>
    <w:rsid w:val="00C37A13"/>
    <w:rsid w:val="00C37AB4"/>
    <w:rsid w:val="00C40920"/>
    <w:rsid w:val="00C40CF8"/>
    <w:rsid w:val="00C41204"/>
    <w:rsid w:val="00C41370"/>
    <w:rsid w:val="00C41693"/>
    <w:rsid w:val="00C419B0"/>
    <w:rsid w:val="00C41BDE"/>
    <w:rsid w:val="00C41E8C"/>
    <w:rsid w:val="00C41F5E"/>
    <w:rsid w:val="00C42360"/>
    <w:rsid w:val="00C423C7"/>
    <w:rsid w:val="00C42651"/>
    <w:rsid w:val="00C4279E"/>
    <w:rsid w:val="00C42A14"/>
    <w:rsid w:val="00C42E37"/>
    <w:rsid w:val="00C431DA"/>
    <w:rsid w:val="00C43422"/>
    <w:rsid w:val="00C4376C"/>
    <w:rsid w:val="00C43778"/>
    <w:rsid w:val="00C439F2"/>
    <w:rsid w:val="00C43B76"/>
    <w:rsid w:val="00C43BE4"/>
    <w:rsid w:val="00C43F30"/>
    <w:rsid w:val="00C43F9B"/>
    <w:rsid w:val="00C440C3"/>
    <w:rsid w:val="00C44247"/>
    <w:rsid w:val="00C44555"/>
    <w:rsid w:val="00C451C8"/>
    <w:rsid w:val="00C45237"/>
    <w:rsid w:val="00C4532B"/>
    <w:rsid w:val="00C453DB"/>
    <w:rsid w:val="00C4558C"/>
    <w:rsid w:val="00C45789"/>
    <w:rsid w:val="00C45A74"/>
    <w:rsid w:val="00C46350"/>
    <w:rsid w:val="00C463D0"/>
    <w:rsid w:val="00C469F5"/>
    <w:rsid w:val="00C46AD2"/>
    <w:rsid w:val="00C46C46"/>
    <w:rsid w:val="00C46ECD"/>
    <w:rsid w:val="00C473F0"/>
    <w:rsid w:val="00C474B1"/>
    <w:rsid w:val="00C474DC"/>
    <w:rsid w:val="00C47672"/>
    <w:rsid w:val="00C47A91"/>
    <w:rsid w:val="00C50152"/>
    <w:rsid w:val="00C50621"/>
    <w:rsid w:val="00C506C2"/>
    <w:rsid w:val="00C50733"/>
    <w:rsid w:val="00C5096E"/>
    <w:rsid w:val="00C50C2A"/>
    <w:rsid w:val="00C50D17"/>
    <w:rsid w:val="00C50D22"/>
    <w:rsid w:val="00C50D63"/>
    <w:rsid w:val="00C50E4E"/>
    <w:rsid w:val="00C51262"/>
    <w:rsid w:val="00C513AD"/>
    <w:rsid w:val="00C51708"/>
    <w:rsid w:val="00C51951"/>
    <w:rsid w:val="00C51978"/>
    <w:rsid w:val="00C51C76"/>
    <w:rsid w:val="00C52019"/>
    <w:rsid w:val="00C5205D"/>
    <w:rsid w:val="00C521C7"/>
    <w:rsid w:val="00C5238C"/>
    <w:rsid w:val="00C52486"/>
    <w:rsid w:val="00C52725"/>
    <w:rsid w:val="00C52810"/>
    <w:rsid w:val="00C52933"/>
    <w:rsid w:val="00C52B05"/>
    <w:rsid w:val="00C52BC6"/>
    <w:rsid w:val="00C52C5D"/>
    <w:rsid w:val="00C52ED6"/>
    <w:rsid w:val="00C53191"/>
    <w:rsid w:val="00C536B9"/>
    <w:rsid w:val="00C537E2"/>
    <w:rsid w:val="00C53ECF"/>
    <w:rsid w:val="00C542ED"/>
    <w:rsid w:val="00C54BB3"/>
    <w:rsid w:val="00C54CAB"/>
    <w:rsid w:val="00C550D6"/>
    <w:rsid w:val="00C5516C"/>
    <w:rsid w:val="00C55368"/>
    <w:rsid w:val="00C55998"/>
    <w:rsid w:val="00C55C05"/>
    <w:rsid w:val="00C55C65"/>
    <w:rsid w:val="00C55E31"/>
    <w:rsid w:val="00C55EBF"/>
    <w:rsid w:val="00C55FAD"/>
    <w:rsid w:val="00C565E6"/>
    <w:rsid w:val="00C567A2"/>
    <w:rsid w:val="00C567B7"/>
    <w:rsid w:val="00C56B58"/>
    <w:rsid w:val="00C56C71"/>
    <w:rsid w:val="00C56CC7"/>
    <w:rsid w:val="00C56D81"/>
    <w:rsid w:val="00C56F42"/>
    <w:rsid w:val="00C57009"/>
    <w:rsid w:val="00C57524"/>
    <w:rsid w:val="00C576DA"/>
    <w:rsid w:val="00C5786F"/>
    <w:rsid w:val="00C57A96"/>
    <w:rsid w:val="00C57D0B"/>
    <w:rsid w:val="00C57F91"/>
    <w:rsid w:val="00C57FFC"/>
    <w:rsid w:val="00C6043A"/>
    <w:rsid w:val="00C60446"/>
    <w:rsid w:val="00C6058A"/>
    <w:rsid w:val="00C60A0B"/>
    <w:rsid w:val="00C60E00"/>
    <w:rsid w:val="00C60F2E"/>
    <w:rsid w:val="00C60FB8"/>
    <w:rsid w:val="00C617BE"/>
    <w:rsid w:val="00C61E0A"/>
    <w:rsid w:val="00C62304"/>
    <w:rsid w:val="00C62397"/>
    <w:rsid w:val="00C62BC6"/>
    <w:rsid w:val="00C62EB0"/>
    <w:rsid w:val="00C62F59"/>
    <w:rsid w:val="00C6345F"/>
    <w:rsid w:val="00C63AE6"/>
    <w:rsid w:val="00C63B43"/>
    <w:rsid w:val="00C63ED4"/>
    <w:rsid w:val="00C642E2"/>
    <w:rsid w:val="00C644F1"/>
    <w:rsid w:val="00C64763"/>
    <w:rsid w:val="00C652EE"/>
    <w:rsid w:val="00C65370"/>
    <w:rsid w:val="00C65462"/>
    <w:rsid w:val="00C65466"/>
    <w:rsid w:val="00C65A3A"/>
    <w:rsid w:val="00C65CF2"/>
    <w:rsid w:val="00C65ED9"/>
    <w:rsid w:val="00C6610E"/>
    <w:rsid w:val="00C66338"/>
    <w:rsid w:val="00C664E7"/>
    <w:rsid w:val="00C6679B"/>
    <w:rsid w:val="00C668BD"/>
    <w:rsid w:val="00C66B33"/>
    <w:rsid w:val="00C66BA4"/>
    <w:rsid w:val="00C66BE0"/>
    <w:rsid w:val="00C66DF1"/>
    <w:rsid w:val="00C67260"/>
    <w:rsid w:val="00C67541"/>
    <w:rsid w:val="00C679D6"/>
    <w:rsid w:val="00C67F2C"/>
    <w:rsid w:val="00C70004"/>
    <w:rsid w:val="00C701A9"/>
    <w:rsid w:val="00C70770"/>
    <w:rsid w:val="00C70D2F"/>
    <w:rsid w:val="00C70DEA"/>
    <w:rsid w:val="00C710CF"/>
    <w:rsid w:val="00C711FD"/>
    <w:rsid w:val="00C714C5"/>
    <w:rsid w:val="00C714CD"/>
    <w:rsid w:val="00C7180F"/>
    <w:rsid w:val="00C71858"/>
    <w:rsid w:val="00C71980"/>
    <w:rsid w:val="00C71C7C"/>
    <w:rsid w:val="00C71D05"/>
    <w:rsid w:val="00C72020"/>
    <w:rsid w:val="00C72062"/>
    <w:rsid w:val="00C723F1"/>
    <w:rsid w:val="00C7241D"/>
    <w:rsid w:val="00C724DD"/>
    <w:rsid w:val="00C7262B"/>
    <w:rsid w:val="00C72637"/>
    <w:rsid w:val="00C726B6"/>
    <w:rsid w:val="00C72820"/>
    <w:rsid w:val="00C72C4E"/>
    <w:rsid w:val="00C72CA8"/>
    <w:rsid w:val="00C72D73"/>
    <w:rsid w:val="00C73D1F"/>
    <w:rsid w:val="00C73D56"/>
    <w:rsid w:val="00C74983"/>
    <w:rsid w:val="00C749B3"/>
    <w:rsid w:val="00C74C6A"/>
    <w:rsid w:val="00C753A0"/>
    <w:rsid w:val="00C75DDA"/>
    <w:rsid w:val="00C75E03"/>
    <w:rsid w:val="00C75EDF"/>
    <w:rsid w:val="00C75F61"/>
    <w:rsid w:val="00C76004"/>
    <w:rsid w:val="00C7632F"/>
    <w:rsid w:val="00C76356"/>
    <w:rsid w:val="00C7651B"/>
    <w:rsid w:val="00C765BD"/>
    <w:rsid w:val="00C766FD"/>
    <w:rsid w:val="00C76734"/>
    <w:rsid w:val="00C768DC"/>
    <w:rsid w:val="00C76BC0"/>
    <w:rsid w:val="00C76BC8"/>
    <w:rsid w:val="00C7746E"/>
    <w:rsid w:val="00C77503"/>
    <w:rsid w:val="00C7790A"/>
    <w:rsid w:val="00C77BA6"/>
    <w:rsid w:val="00C77BE5"/>
    <w:rsid w:val="00C77E4C"/>
    <w:rsid w:val="00C80072"/>
    <w:rsid w:val="00C801C3"/>
    <w:rsid w:val="00C802B3"/>
    <w:rsid w:val="00C803F8"/>
    <w:rsid w:val="00C80B3D"/>
    <w:rsid w:val="00C81106"/>
    <w:rsid w:val="00C81167"/>
    <w:rsid w:val="00C81180"/>
    <w:rsid w:val="00C816F1"/>
    <w:rsid w:val="00C81AC1"/>
    <w:rsid w:val="00C81B0B"/>
    <w:rsid w:val="00C81C4C"/>
    <w:rsid w:val="00C826EE"/>
    <w:rsid w:val="00C82885"/>
    <w:rsid w:val="00C82A90"/>
    <w:rsid w:val="00C82CCF"/>
    <w:rsid w:val="00C82DCA"/>
    <w:rsid w:val="00C82E03"/>
    <w:rsid w:val="00C82F60"/>
    <w:rsid w:val="00C83030"/>
    <w:rsid w:val="00C831DF"/>
    <w:rsid w:val="00C83861"/>
    <w:rsid w:val="00C8387F"/>
    <w:rsid w:val="00C83913"/>
    <w:rsid w:val="00C83919"/>
    <w:rsid w:val="00C83A0F"/>
    <w:rsid w:val="00C83D3B"/>
    <w:rsid w:val="00C84239"/>
    <w:rsid w:val="00C8423D"/>
    <w:rsid w:val="00C8447F"/>
    <w:rsid w:val="00C84606"/>
    <w:rsid w:val="00C84741"/>
    <w:rsid w:val="00C8496E"/>
    <w:rsid w:val="00C84AC5"/>
    <w:rsid w:val="00C84DA7"/>
    <w:rsid w:val="00C84F0A"/>
    <w:rsid w:val="00C852A6"/>
    <w:rsid w:val="00C85490"/>
    <w:rsid w:val="00C859BA"/>
    <w:rsid w:val="00C85C22"/>
    <w:rsid w:val="00C85DA1"/>
    <w:rsid w:val="00C85E23"/>
    <w:rsid w:val="00C86003"/>
    <w:rsid w:val="00C860E0"/>
    <w:rsid w:val="00C860FF"/>
    <w:rsid w:val="00C86BC2"/>
    <w:rsid w:val="00C86D8A"/>
    <w:rsid w:val="00C86ED7"/>
    <w:rsid w:val="00C86FB9"/>
    <w:rsid w:val="00C86FF1"/>
    <w:rsid w:val="00C8747B"/>
    <w:rsid w:val="00C90103"/>
    <w:rsid w:val="00C9022C"/>
    <w:rsid w:val="00C90322"/>
    <w:rsid w:val="00C90B40"/>
    <w:rsid w:val="00C90BC3"/>
    <w:rsid w:val="00C912B8"/>
    <w:rsid w:val="00C91552"/>
    <w:rsid w:val="00C920AD"/>
    <w:rsid w:val="00C9235E"/>
    <w:rsid w:val="00C923B8"/>
    <w:rsid w:val="00C92578"/>
    <w:rsid w:val="00C92CC6"/>
    <w:rsid w:val="00C94152"/>
    <w:rsid w:val="00C9451D"/>
    <w:rsid w:val="00C948D6"/>
    <w:rsid w:val="00C949D7"/>
    <w:rsid w:val="00C94BFF"/>
    <w:rsid w:val="00C94D3C"/>
    <w:rsid w:val="00C94DB0"/>
    <w:rsid w:val="00C94EFE"/>
    <w:rsid w:val="00C94F1A"/>
    <w:rsid w:val="00C9568B"/>
    <w:rsid w:val="00C957D3"/>
    <w:rsid w:val="00C95CC2"/>
    <w:rsid w:val="00C95CF0"/>
    <w:rsid w:val="00C95E0F"/>
    <w:rsid w:val="00C9638C"/>
    <w:rsid w:val="00C969C6"/>
    <w:rsid w:val="00C96C40"/>
    <w:rsid w:val="00C96DB7"/>
    <w:rsid w:val="00C97539"/>
    <w:rsid w:val="00C9768C"/>
    <w:rsid w:val="00C979E8"/>
    <w:rsid w:val="00C97C4B"/>
    <w:rsid w:val="00C97DB0"/>
    <w:rsid w:val="00C97F38"/>
    <w:rsid w:val="00C97FB7"/>
    <w:rsid w:val="00CA0209"/>
    <w:rsid w:val="00CA0538"/>
    <w:rsid w:val="00CA05C1"/>
    <w:rsid w:val="00CA065D"/>
    <w:rsid w:val="00CA096B"/>
    <w:rsid w:val="00CA0AFC"/>
    <w:rsid w:val="00CA1188"/>
    <w:rsid w:val="00CA1361"/>
    <w:rsid w:val="00CA13D4"/>
    <w:rsid w:val="00CA1835"/>
    <w:rsid w:val="00CA18A1"/>
    <w:rsid w:val="00CA1C43"/>
    <w:rsid w:val="00CA211D"/>
    <w:rsid w:val="00CA22AF"/>
    <w:rsid w:val="00CA22DE"/>
    <w:rsid w:val="00CA259B"/>
    <w:rsid w:val="00CA26DE"/>
    <w:rsid w:val="00CA283F"/>
    <w:rsid w:val="00CA2996"/>
    <w:rsid w:val="00CA2B50"/>
    <w:rsid w:val="00CA2CDF"/>
    <w:rsid w:val="00CA332E"/>
    <w:rsid w:val="00CA345A"/>
    <w:rsid w:val="00CA369F"/>
    <w:rsid w:val="00CA3903"/>
    <w:rsid w:val="00CA390C"/>
    <w:rsid w:val="00CA393D"/>
    <w:rsid w:val="00CA3D16"/>
    <w:rsid w:val="00CA4187"/>
    <w:rsid w:val="00CA47D3"/>
    <w:rsid w:val="00CA4A64"/>
    <w:rsid w:val="00CA4C5B"/>
    <w:rsid w:val="00CA4D01"/>
    <w:rsid w:val="00CA4DEE"/>
    <w:rsid w:val="00CA4E24"/>
    <w:rsid w:val="00CA50C9"/>
    <w:rsid w:val="00CA5214"/>
    <w:rsid w:val="00CA56C1"/>
    <w:rsid w:val="00CA60EC"/>
    <w:rsid w:val="00CA64D4"/>
    <w:rsid w:val="00CA658C"/>
    <w:rsid w:val="00CA66DB"/>
    <w:rsid w:val="00CA66DF"/>
    <w:rsid w:val="00CA6998"/>
    <w:rsid w:val="00CA6F13"/>
    <w:rsid w:val="00CA7608"/>
    <w:rsid w:val="00CB0353"/>
    <w:rsid w:val="00CB0363"/>
    <w:rsid w:val="00CB0665"/>
    <w:rsid w:val="00CB06CB"/>
    <w:rsid w:val="00CB08B0"/>
    <w:rsid w:val="00CB0E0F"/>
    <w:rsid w:val="00CB0E70"/>
    <w:rsid w:val="00CB1025"/>
    <w:rsid w:val="00CB105F"/>
    <w:rsid w:val="00CB111A"/>
    <w:rsid w:val="00CB1448"/>
    <w:rsid w:val="00CB144D"/>
    <w:rsid w:val="00CB146E"/>
    <w:rsid w:val="00CB17FB"/>
    <w:rsid w:val="00CB184C"/>
    <w:rsid w:val="00CB1F62"/>
    <w:rsid w:val="00CB220C"/>
    <w:rsid w:val="00CB2214"/>
    <w:rsid w:val="00CB22C0"/>
    <w:rsid w:val="00CB23E4"/>
    <w:rsid w:val="00CB2964"/>
    <w:rsid w:val="00CB2BAB"/>
    <w:rsid w:val="00CB2FC2"/>
    <w:rsid w:val="00CB31E6"/>
    <w:rsid w:val="00CB325B"/>
    <w:rsid w:val="00CB3286"/>
    <w:rsid w:val="00CB3996"/>
    <w:rsid w:val="00CB3AA6"/>
    <w:rsid w:val="00CB3BD2"/>
    <w:rsid w:val="00CB3D51"/>
    <w:rsid w:val="00CB3DC2"/>
    <w:rsid w:val="00CB3EEF"/>
    <w:rsid w:val="00CB3F2E"/>
    <w:rsid w:val="00CB409F"/>
    <w:rsid w:val="00CB4F35"/>
    <w:rsid w:val="00CB4FC4"/>
    <w:rsid w:val="00CB53AF"/>
    <w:rsid w:val="00CB5563"/>
    <w:rsid w:val="00CB5731"/>
    <w:rsid w:val="00CB5803"/>
    <w:rsid w:val="00CB5C5E"/>
    <w:rsid w:val="00CB63DB"/>
    <w:rsid w:val="00CB667E"/>
    <w:rsid w:val="00CB6AE7"/>
    <w:rsid w:val="00CB6C79"/>
    <w:rsid w:val="00CB7194"/>
    <w:rsid w:val="00CB71DF"/>
    <w:rsid w:val="00CB78CD"/>
    <w:rsid w:val="00CC00BB"/>
    <w:rsid w:val="00CC0898"/>
    <w:rsid w:val="00CC0C43"/>
    <w:rsid w:val="00CC0D92"/>
    <w:rsid w:val="00CC0FBA"/>
    <w:rsid w:val="00CC128F"/>
    <w:rsid w:val="00CC148B"/>
    <w:rsid w:val="00CC14A5"/>
    <w:rsid w:val="00CC16EC"/>
    <w:rsid w:val="00CC18DC"/>
    <w:rsid w:val="00CC1991"/>
    <w:rsid w:val="00CC1B1E"/>
    <w:rsid w:val="00CC1C4D"/>
    <w:rsid w:val="00CC1E7D"/>
    <w:rsid w:val="00CC1FB5"/>
    <w:rsid w:val="00CC24D2"/>
    <w:rsid w:val="00CC2576"/>
    <w:rsid w:val="00CC2D3E"/>
    <w:rsid w:val="00CC31AE"/>
    <w:rsid w:val="00CC3A23"/>
    <w:rsid w:val="00CC3AF9"/>
    <w:rsid w:val="00CC3B76"/>
    <w:rsid w:val="00CC48BD"/>
    <w:rsid w:val="00CC48FC"/>
    <w:rsid w:val="00CC4F94"/>
    <w:rsid w:val="00CC540A"/>
    <w:rsid w:val="00CC5626"/>
    <w:rsid w:val="00CC59C9"/>
    <w:rsid w:val="00CC609D"/>
    <w:rsid w:val="00CC60B2"/>
    <w:rsid w:val="00CC61D8"/>
    <w:rsid w:val="00CC6950"/>
    <w:rsid w:val="00CC6961"/>
    <w:rsid w:val="00CC696E"/>
    <w:rsid w:val="00CC6995"/>
    <w:rsid w:val="00CC70BD"/>
    <w:rsid w:val="00CC72E5"/>
    <w:rsid w:val="00CC7559"/>
    <w:rsid w:val="00CC79C3"/>
    <w:rsid w:val="00CC79D0"/>
    <w:rsid w:val="00CD0238"/>
    <w:rsid w:val="00CD06C5"/>
    <w:rsid w:val="00CD0866"/>
    <w:rsid w:val="00CD0A2E"/>
    <w:rsid w:val="00CD0BC6"/>
    <w:rsid w:val="00CD104B"/>
    <w:rsid w:val="00CD1128"/>
    <w:rsid w:val="00CD1408"/>
    <w:rsid w:val="00CD1632"/>
    <w:rsid w:val="00CD177C"/>
    <w:rsid w:val="00CD17F5"/>
    <w:rsid w:val="00CD18CC"/>
    <w:rsid w:val="00CD1964"/>
    <w:rsid w:val="00CD1E15"/>
    <w:rsid w:val="00CD2A44"/>
    <w:rsid w:val="00CD2B0E"/>
    <w:rsid w:val="00CD2C00"/>
    <w:rsid w:val="00CD2C52"/>
    <w:rsid w:val="00CD2C81"/>
    <w:rsid w:val="00CD2CDE"/>
    <w:rsid w:val="00CD2E0A"/>
    <w:rsid w:val="00CD3389"/>
    <w:rsid w:val="00CD34E2"/>
    <w:rsid w:val="00CD35CC"/>
    <w:rsid w:val="00CD3D74"/>
    <w:rsid w:val="00CD3DBF"/>
    <w:rsid w:val="00CD3E08"/>
    <w:rsid w:val="00CD3E93"/>
    <w:rsid w:val="00CD447C"/>
    <w:rsid w:val="00CD4523"/>
    <w:rsid w:val="00CD4555"/>
    <w:rsid w:val="00CD496D"/>
    <w:rsid w:val="00CD4C92"/>
    <w:rsid w:val="00CD4CCD"/>
    <w:rsid w:val="00CD5022"/>
    <w:rsid w:val="00CD5365"/>
    <w:rsid w:val="00CD5409"/>
    <w:rsid w:val="00CD5853"/>
    <w:rsid w:val="00CD5FC3"/>
    <w:rsid w:val="00CD6427"/>
    <w:rsid w:val="00CD648F"/>
    <w:rsid w:val="00CD68DF"/>
    <w:rsid w:val="00CD6C51"/>
    <w:rsid w:val="00CD6D15"/>
    <w:rsid w:val="00CD6E28"/>
    <w:rsid w:val="00CD6FD8"/>
    <w:rsid w:val="00CD736B"/>
    <w:rsid w:val="00CD7A0F"/>
    <w:rsid w:val="00CD7D27"/>
    <w:rsid w:val="00CE0068"/>
    <w:rsid w:val="00CE017D"/>
    <w:rsid w:val="00CE02C8"/>
    <w:rsid w:val="00CE036A"/>
    <w:rsid w:val="00CE03E7"/>
    <w:rsid w:val="00CE0404"/>
    <w:rsid w:val="00CE0466"/>
    <w:rsid w:val="00CE0608"/>
    <w:rsid w:val="00CE09D1"/>
    <w:rsid w:val="00CE0BAC"/>
    <w:rsid w:val="00CE0E5C"/>
    <w:rsid w:val="00CE0F4D"/>
    <w:rsid w:val="00CE100F"/>
    <w:rsid w:val="00CE1374"/>
    <w:rsid w:val="00CE16CB"/>
    <w:rsid w:val="00CE1966"/>
    <w:rsid w:val="00CE1CB4"/>
    <w:rsid w:val="00CE2117"/>
    <w:rsid w:val="00CE222F"/>
    <w:rsid w:val="00CE2278"/>
    <w:rsid w:val="00CE2502"/>
    <w:rsid w:val="00CE25A4"/>
    <w:rsid w:val="00CE2C5A"/>
    <w:rsid w:val="00CE3250"/>
    <w:rsid w:val="00CE3867"/>
    <w:rsid w:val="00CE3F54"/>
    <w:rsid w:val="00CE43D0"/>
    <w:rsid w:val="00CE4A72"/>
    <w:rsid w:val="00CE4C09"/>
    <w:rsid w:val="00CE4C5A"/>
    <w:rsid w:val="00CE508D"/>
    <w:rsid w:val="00CE5401"/>
    <w:rsid w:val="00CE55E4"/>
    <w:rsid w:val="00CE573A"/>
    <w:rsid w:val="00CE5929"/>
    <w:rsid w:val="00CE5C37"/>
    <w:rsid w:val="00CE5D8B"/>
    <w:rsid w:val="00CE5DAE"/>
    <w:rsid w:val="00CE5E38"/>
    <w:rsid w:val="00CE6457"/>
    <w:rsid w:val="00CE64E4"/>
    <w:rsid w:val="00CE67D6"/>
    <w:rsid w:val="00CE6C45"/>
    <w:rsid w:val="00CE6E1B"/>
    <w:rsid w:val="00CE7092"/>
    <w:rsid w:val="00CE73C2"/>
    <w:rsid w:val="00CE744F"/>
    <w:rsid w:val="00CE74DB"/>
    <w:rsid w:val="00CE7807"/>
    <w:rsid w:val="00CE78CA"/>
    <w:rsid w:val="00CE7B50"/>
    <w:rsid w:val="00CF0233"/>
    <w:rsid w:val="00CF024F"/>
    <w:rsid w:val="00CF03DC"/>
    <w:rsid w:val="00CF0665"/>
    <w:rsid w:val="00CF06BA"/>
    <w:rsid w:val="00CF103C"/>
    <w:rsid w:val="00CF111E"/>
    <w:rsid w:val="00CF1251"/>
    <w:rsid w:val="00CF1379"/>
    <w:rsid w:val="00CF14DF"/>
    <w:rsid w:val="00CF1724"/>
    <w:rsid w:val="00CF1E41"/>
    <w:rsid w:val="00CF1F3E"/>
    <w:rsid w:val="00CF1F6B"/>
    <w:rsid w:val="00CF2247"/>
    <w:rsid w:val="00CF2292"/>
    <w:rsid w:val="00CF2315"/>
    <w:rsid w:val="00CF2816"/>
    <w:rsid w:val="00CF2843"/>
    <w:rsid w:val="00CF289B"/>
    <w:rsid w:val="00CF2A64"/>
    <w:rsid w:val="00CF2D79"/>
    <w:rsid w:val="00CF2DC1"/>
    <w:rsid w:val="00CF31C1"/>
    <w:rsid w:val="00CF32DC"/>
    <w:rsid w:val="00CF335C"/>
    <w:rsid w:val="00CF3450"/>
    <w:rsid w:val="00CF346E"/>
    <w:rsid w:val="00CF38F9"/>
    <w:rsid w:val="00CF39AF"/>
    <w:rsid w:val="00CF3DE7"/>
    <w:rsid w:val="00CF42B8"/>
    <w:rsid w:val="00CF42C3"/>
    <w:rsid w:val="00CF456A"/>
    <w:rsid w:val="00CF47A7"/>
    <w:rsid w:val="00CF4B04"/>
    <w:rsid w:val="00CF4B56"/>
    <w:rsid w:val="00CF508A"/>
    <w:rsid w:val="00CF52C7"/>
    <w:rsid w:val="00CF57B7"/>
    <w:rsid w:val="00CF57C8"/>
    <w:rsid w:val="00CF5932"/>
    <w:rsid w:val="00CF6168"/>
    <w:rsid w:val="00CF61F0"/>
    <w:rsid w:val="00CF674A"/>
    <w:rsid w:val="00CF6756"/>
    <w:rsid w:val="00CF6BA5"/>
    <w:rsid w:val="00CF6C00"/>
    <w:rsid w:val="00CF6E2E"/>
    <w:rsid w:val="00CF73FA"/>
    <w:rsid w:val="00CF74F1"/>
    <w:rsid w:val="00CF7655"/>
    <w:rsid w:val="00D002A3"/>
    <w:rsid w:val="00D004A7"/>
    <w:rsid w:val="00D005E7"/>
    <w:rsid w:val="00D006D5"/>
    <w:rsid w:val="00D00D86"/>
    <w:rsid w:val="00D00FF1"/>
    <w:rsid w:val="00D01034"/>
    <w:rsid w:val="00D0115F"/>
    <w:rsid w:val="00D017E6"/>
    <w:rsid w:val="00D01C1B"/>
    <w:rsid w:val="00D01D45"/>
    <w:rsid w:val="00D02030"/>
    <w:rsid w:val="00D02C7F"/>
    <w:rsid w:val="00D02DC7"/>
    <w:rsid w:val="00D02F1C"/>
    <w:rsid w:val="00D02F55"/>
    <w:rsid w:val="00D03926"/>
    <w:rsid w:val="00D04335"/>
    <w:rsid w:val="00D048B1"/>
    <w:rsid w:val="00D04BE9"/>
    <w:rsid w:val="00D04D5E"/>
    <w:rsid w:val="00D04E71"/>
    <w:rsid w:val="00D054A7"/>
    <w:rsid w:val="00D0577C"/>
    <w:rsid w:val="00D05905"/>
    <w:rsid w:val="00D05AAE"/>
    <w:rsid w:val="00D05C3A"/>
    <w:rsid w:val="00D069C9"/>
    <w:rsid w:val="00D06A4C"/>
    <w:rsid w:val="00D06C78"/>
    <w:rsid w:val="00D06F47"/>
    <w:rsid w:val="00D07440"/>
    <w:rsid w:val="00D07A96"/>
    <w:rsid w:val="00D07D71"/>
    <w:rsid w:val="00D103AE"/>
    <w:rsid w:val="00D1043D"/>
    <w:rsid w:val="00D10AE4"/>
    <w:rsid w:val="00D10C26"/>
    <w:rsid w:val="00D1155C"/>
    <w:rsid w:val="00D11594"/>
    <w:rsid w:val="00D11983"/>
    <w:rsid w:val="00D11AFB"/>
    <w:rsid w:val="00D1201A"/>
    <w:rsid w:val="00D1217E"/>
    <w:rsid w:val="00D12387"/>
    <w:rsid w:val="00D124EC"/>
    <w:rsid w:val="00D12A33"/>
    <w:rsid w:val="00D12E73"/>
    <w:rsid w:val="00D12F3D"/>
    <w:rsid w:val="00D13044"/>
    <w:rsid w:val="00D13169"/>
    <w:rsid w:val="00D132DF"/>
    <w:rsid w:val="00D133BD"/>
    <w:rsid w:val="00D13670"/>
    <w:rsid w:val="00D139CE"/>
    <w:rsid w:val="00D13B3F"/>
    <w:rsid w:val="00D13C6E"/>
    <w:rsid w:val="00D13DF4"/>
    <w:rsid w:val="00D140C6"/>
    <w:rsid w:val="00D1412D"/>
    <w:rsid w:val="00D141BC"/>
    <w:rsid w:val="00D14511"/>
    <w:rsid w:val="00D14538"/>
    <w:rsid w:val="00D14D42"/>
    <w:rsid w:val="00D14DA5"/>
    <w:rsid w:val="00D150B1"/>
    <w:rsid w:val="00D158D5"/>
    <w:rsid w:val="00D1595F"/>
    <w:rsid w:val="00D15BCB"/>
    <w:rsid w:val="00D16318"/>
    <w:rsid w:val="00D16589"/>
    <w:rsid w:val="00D167CE"/>
    <w:rsid w:val="00D16905"/>
    <w:rsid w:val="00D1727B"/>
    <w:rsid w:val="00D175F5"/>
    <w:rsid w:val="00D17742"/>
    <w:rsid w:val="00D178B7"/>
    <w:rsid w:val="00D17D46"/>
    <w:rsid w:val="00D17F4E"/>
    <w:rsid w:val="00D20109"/>
    <w:rsid w:val="00D20718"/>
    <w:rsid w:val="00D208D4"/>
    <w:rsid w:val="00D20926"/>
    <w:rsid w:val="00D20B8E"/>
    <w:rsid w:val="00D20C73"/>
    <w:rsid w:val="00D20D6E"/>
    <w:rsid w:val="00D20E16"/>
    <w:rsid w:val="00D21862"/>
    <w:rsid w:val="00D21D6E"/>
    <w:rsid w:val="00D22520"/>
    <w:rsid w:val="00D228EE"/>
    <w:rsid w:val="00D22BC3"/>
    <w:rsid w:val="00D23260"/>
    <w:rsid w:val="00D2365A"/>
    <w:rsid w:val="00D2413E"/>
    <w:rsid w:val="00D24568"/>
    <w:rsid w:val="00D247E3"/>
    <w:rsid w:val="00D24B71"/>
    <w:rsid w:val="00D24F67"/>
    <w:rsid w:val="00D2521C"/>
    <w:rsid w:val="00D256AA"/>
    <w:rsid w:val="00D25AAD"/>
    <w:rsid w:val="00D25C54"/>
    <w:rsid w:val="00D26109"/>
    <w:rsid w:val="00D2655C"/>
    <w:rsid w:val="00D26562"/>
    <w:rsid w:val="00D26A13"/>
    <w:rsid w:val="00D26D54"/>
    <w:rsid w:val="00D26F4D"/>
    <w:rsid w:val="00D27218"/>
    <w:rsid w:val="00D275E5"/>
    <w:rsid w:val="00D275EF"/>
    <w:rsid w:val="00D27888"/>
    <w:rsid w:val="00D27A7F"/>
    <w:rsid w:val="00D27FA9"/>
    <w:rsid w:val="00D30080"/>
    <w:rsid w:val="00D305BC"/>
    <w:rsid w:val="00D306F6"/>
    <w:rsid w:val="00D307C1"/>
    <w:rsid w:val="00D3081F"/>
    <w:rsid w:val="00D3083E"/>
    <w:rsid w:val="00D30AF0"/>
    <w:rsid w:val="00D30CAC"/>
    <w:rsid w:val="00D30ED3"/>
    <w:rsid w:val="00D30EEA"/>
    <w:rsid w:val="00D31067"/>
    <w:rsid w:val="00D310E0"/>
    <w:rsid w:val="00D31500"/>
    <w:rsid w:val="00D31684"/>
    <w:rsid w:val="00D31814"/>
    <w:rsid w:val="00D31CA7"/>
    <w:rsid w:val="00D31DEE"/>
    <w:rsid w:val="00D3200B"/>
    <w:rsid w:val="00D3214F"/>
    <w:rsid w:val="00D322C8"/>
    <w:rsid w:val="00D32585"/>
    <w:rsid w:val="00D328B7"/>
    <w:rsid w:val="00D328C5"/>
    <w:rsid w:val="00D3293D"/>
    <w:rsid w:val="00D32C39"/>
    <w:rsid w:val="00D32D60"/>
    <w:rsid w:val="00D32D9A"/>
    <w:rsid w:val="00D32E91"/>
    <w:rsid w:val="00D333C1"/>
    <w:rsid w:val="00D33452"/>
    <w:rsid w:val="00D33620"/>
    <w:rsid w:val="00D342A2"/>
    <w:rsid w:val="00D34506"/>
    <w:rsid w:val="00D34A46"/>
    <w:rsid w:val="00D34AF0"/>
    <w:rsid w:val="00D34B50"/>
    <w:rsid w:val="00D34BB3"/>
    <w:rsid w:val="00D34CCB"/>
    <w:rsid w:val="00D35326"/>
    <w:rsid w:val="00D3558A"/>
    <w:rsid w:val="00D35B63"/>
    <w:rsid w:val="00D35E02"/>
    <w:rsid w:val="00D35EC4"/>
    <w:rsid w:val="00D36373"/>
    <w:rsid w:val="00D36423"/>
    <w:rsid w:val="00D366EE"/>
    <w:rsid w:val="00D36A46"/>
    <w:rsid w:val="00D36A50"/>
    <w:rsid w:val="00D371B2"/>
    <w:rsid w:val="00D37258"/>
    <w:rsid w:val="00D3726B"/>
    <w:rsid w:val="00D374E9"/>
    <w:rsid w:val="00D37C80"/>
    <w:rsid w:val="00D37EC5"/>
    <w:rsid w:val="00D400CA"/>
    <w:rsid w:val="00D4028C"/>
    <w:rsid w:val="00D40383"/>
    <w:rsid w:val="00D406C1"/>
    <w:rsid w:val="00D4074B"/>
    <w:rsid w:val="00D40789"/>
    <w:rsid w:val="00D4083F"/>
    <w:rsid w:val="00D40BA9"/>
    <w:rsid w:val="00D40CC0"/>
    <w:rsid w:val="00D40ED7"/>
    <w:rsid w:val="00D4121D"/>
    <w:rsid w:val="00D41526"/>
    <w:rsid w:val="00D416AB"/>
    <w:rsid w:val="00D41A3B"/>
    <w:rsid w:val="00D41B7D"/>
    <w:rsid w:val="00D41BF8"/>
    <w:rsid w:val="00D41CDF"/>
    <w:rsid w:val="00D42381"/>
    <w:rsid w:val="00D426AA"/>
    <w:rsid w:val="00D426BF"/>
    <w:rsid w:val="00D42BFE"/>
    <w:rsid w:val="00D42FCF"/>
    <w:rsid w:val="00D43081"/>
    <w:rsid w:val="00D43132"/>
    <w:rsid w:val="00D4345D"/>
    <w:rsid w:val="00D435C2"/>
    <w:rsid w:val="00D435EC"/>
    <w:rsid w:val="00D4363C"/>
    <w:rsid w:val="00D43806"/>
    <w:rsid w:val="00D43BF2"/>
    <w:rsid w:val="00D43C3D"/>
    <w:rsid w:val="00D43DA9"/>
    <w:rsid w:val="00D43EA2"/>
    <w:rsid w:val="00D43EEA"/>
    <w:rsid w:val="00D448EC"/>
    <w:rsid w:val="00D44B4E"/>
    <w:rsid w:val="00D44F80"/>
    <w:rsid w:val="00D44FCC"/>
    <w:rsid w:val="00D450C7"/>
    <w:rsid w:val="00D453D8"/>
    <w:rsid w:val="00D45778"/>
    <w:rsid w:val="00D45B67"/>
    <w:rsid w:val="00D45DD0"/>
    <w:rsid w:val="00D46324"/>
    <w:rsid w:val="00D4660B"/>
    <w:rsid w:val="00D46B71"/>
    <w:rsid w:val="00D46FEA"/>
    <w:rsid w:val="00D47620"/>
    <w:rsid w:val="00D4765B"/>
    <w:rsid w:val="00D47820"/>
    <w:rsid w:val="00D47998"/>
    <w:rsid w:val="00D479D8"/>
    <w:rsid w:val="00D47D34"/>
    <w:rsid w:val="00D47E4A"/>
    <w:rsid w:val="00D502CD"/>
    <w:rsid w:val="00D50337"/>
    <w:rsid w:val="00D50458"/>
    <w:rsid w:val="00D50615"/>
    <w:rsid w:val="00D508EC"/>
    <w:rsid w:val="00D50C09"/>
    <w:rsid w:val="00D5103F"/>
    <w:rsid w:val="00D515DF"/>
    <w:rsid w:val="00D516DB"/>
    <w:rsid w:val="00D51998"/>
    <w:rsid w:val="00D51B64"/>
    <w:rsid w:val="00D51D25"/>
    <w:rsid w:val="00D51E1A"/>
    <w:rsid w:val="00D51FB2"/>
    <w:rsid w:val="00D52053"/>
    <w:rsid w:val="00D5245B"/>
    <w:rsid w:val="00D526BF"/>
    <w:rsid w:val="00D52D2E"/>
    <w:rsid w:val="00D53053"/>
    <w:rsid w:val="00D530DA"/>
    <w:rsid w:val="00D53189"/>
    <w:rsid w:val="00D532A0"/>
    <w:rsid w:val="00D536B6"/>
    <w:rsid w:val="00D53779"/>
    <w:rsid w:val="00D53D79"/>
    <w:rsid w:val="00D54020"/>
    <w:rsid w:val="00D545AB"/>
    <w:rsid w:val="00D5462F"/>
    <w:rsid w:val="00D5470A"/>
    <w:rsid w:val="00D54C95"/>
    <w:rsid w:val="00D54CFA"/>
    <w:rsid w:val="00D5515E"/>
    <w:rsid w:val="00D554D0"/>
    <w:rsid w:val="00D55AFE"/>
    <w:rsid w:val="00D55E21"/>
    <w:rsid w:val="00D55E63"/>
    <w:rsid w:val="00D56163"/>
    <w:rsid w:val="00D5637E"/>
    <w:rsid w:val="00D563BF"/>
    <w:rsid w:val="00D56570"/>
    <w:rsid w:val="00D568BB"/>
    <w:rsid w:val="00D56B7E"/>
    <w:rsid w:val="00D56C39"/>
    <w:rsid w:val="00D56CDB"/>
    <w:rsid w:val="00D56D5D"/>
    <w:rsid w:val="00D57019"/>
    <w:rsid w:val="00D5729A"/>
    <w:rsid w:val="00D572C6"/>
    <w:rsid w:val="00D57394"/>
    <w:rsid w:val="00D575D8"/>
    <w:rsid w:val="00D5790B"/>
    <w:rsid w:val="00D57A78"/>
    <w:rsid w:val="00D57B9B"/>
    <w:rsid w:val="00D57BD1"/>
    <w:rsid w:val="00D57D8C"/>
    <w:rsid w:val="00D57FC7"/>
    <w:rsid w:val="00D60254"/>
    <w:rsid w:val="00D60358"/>
    <w:rsid w:val="00D60411"/>
    <w:rsid w:val="00D605ED"/>
    <w:rsid w:val="00D60B62"/>
    <w:rsid w:val="00D60E1A"/>
    <w:rsid w:val="00D60F77"/>
    <w:rsid w:val="00D60FE3"/>
    <w:rsid w:val="00D61046"/>
    <w:rsid w:val="00D6119E"/>
    <w:rsid w:val="00D615E0"/>
    <w:rsid w:val="00D61676"/>
    <w:rsid w:val="00D62782"/>
    <w:rsid w:val="00D62903"/>
    <w:rsid w:val="00D62AAB"/>
    <w:rsid w:val="00D62B0F"/>
    <w:rsid w:val="00D62B93"/>
    <w:rsid w:val="00D62C06"/>
    <w:rsid w:val="00D62C9B"/>
    <w:rsid w:val="00D62E86"/>
    <w:rsid w:val="00D62FA3"/>
    <w:rsid w:val="00D6325B"/>
    <w:rsid w:val="00D633CC"/>
    <w:rsid w:val="00D63B87"/>
    <w:rsid w:val="00D63CBC"/>
    <w:rsid w:val="00D6406B"/>
    <w:rsid w:val="00D640ED"/>
    <w:rsid w:val="00D6456E"/>
    <w:rsid w:val="00D648CB"/>
    <w:rsid w:val="00D64BAD"/>
    <w:rsid w:val="00D65555"/>
    <w:rsid w:val="00D657D6"/>
    <w:rsid w:val="00D6581B"/>
    <w:rsid w:val="00D65FBA"/>
    <w:rsid w:val="00D667F6"/>
    <w:rsid w:val="00D669CB"/>
    <w:rsid w:val="00D66A87"/>
    <w:rsid w:val="00D66BAE"/>
    <w:rsid w:val="00D66EF2"/>
    <w:rsid w:val="00D67216"/>
    <w:rsid w:val="00D67371"/>
    <w:rsid w:val="00D67982"/>
    <w:rsid w:val="00D67A93"/>
    <w:rsid w:val="00D67E44"/>
    <w:rsid w:val="00D70091"/>
    <w:rsid w:val="00D7039D"/>
    <w:rsid w:val="00D703E5"/>
    <w:rsid w:val="00D71000"/>
    <w:rsid w:val="00D71005"/>
    <w:rsid w:val="00D71148"/>
    <w:rsid w:val="00D711AA"/>
    <w:rsid w:val="00D7146F"/>
    <w:rsid w:val="00D715F9"/>
    <w:rsid w:val="00D71B6E"/>
    <w:rsid w:val="00D71C0E"/>
    <w:rsid w:val="00D71CA0"/>
    <w:rsid w:val="00D72F92"/>
    <w:rsid w:val="00D730F3"/>
    <w:rsid w:val="00D73231"/>
    <w:rsid w:val="00D73392"/>
    <w:rsid w:val="00D73673"/>
    <w:rsid w:val="00D73723"/>
    <w:rsid w:val="00D73776"/>
    <w:rsid w:val="00D73892"/>
    <w:rsid w:val="00D73B16"/>
    <w:rsid w:val="00D73BCC"/>
    <w:rsid w:val="00D73F06"/>
    <w:rsid w:val="00D73F98"/>
    <w:rsid w:val="00D7406F"/>
    <w:rsid w:val="00D74165"/>
    <w:rsid w:val="00D7432A"/>
    <w:rsid w:val="00D74358"/>
    <w:rsid w:val="00D743A4"/>
    <w:rsid w:val="00D746AC"/>
    <w:rsid w:val="00D74AF3"/>
    <w:rsid w:val="00D74BD3"/>
    <w:rsid w:val="00D74C55"/>
    <w:rsid w:val="00D75226"/>
    <w:rsid w:val="00D75379"/>
    <w:rsid w:val="00D755FF"/>
    <w:rsid w:val="00D756BC"/>
    <w:rsid w:val="00D75793"/>
    <w:rsid w:val="00D757D9"/>
    <w:rsid w:val="00D7596C"/>
    <w:rsid w:val="00D7677B"/>
    <w:rsid w:val="00D769EE"/>
    <w:rsid w:val="00D76E26"/>
    <w:rsid w:val="00D76E36"/>
    <w:rsid w:val="00D76E8A"/>
    <w:rsid w:val="00D770F6"/>
    <w:rsid w:val="00D773AF"/>
    <w:rsid w:val="00D775D8"/>
    <w:rsid w:val="00D775D9"/>
    <w:rsid w:val="00D77950"/>
    <w:rsid w:val="00D77DE6"/>
    <w:rsid w:val="00D8013C"/>
    <w:rsid w:val="00D802FE"/>
    <w:rsid w:val="00D80501"/>
    <w:rsid w:val="00D80539"/>
    <w:rsid w:val="00D8053C"/>
    <w:rsid w:val="00D80623"/>
    <w:rsid w:val="00D80679"/>
    <w:rsid w:val="00D80B96"/>
    <w:rsid w:val="00D80CBD"/>
    <w:rsid w:val="00D80D44"/>
    <w:rsid w:val="00D812E7"/>
    <w:rsid w:val="00D815E5"/>
    <w:rsid w:val="00D818E9"/>
    <w:rsid w:val="00D8191D"/>
    <w:rsid w:val="00D81F78"/>
    <w:rsid w:val="00D81F84"/>
    <w:rsid w:val="00D821A6"/>
    <w:rsid w:val="00D828CB"/>
    <w:rsid w:val="00D828CC"/>
    <w:rsid w:val="00D82A11"/>
    <w:rsid w:val="00D82AD1"/>
    <w:rsid w:val="00D82E33"/>
    <w:rsid w:val="00D83946"/>
    <w:rsid w:val="00D83DDA"/>
    <w:rsid w:val="00D83E21"/>
    <w:rsid w:val="00D840BA"/>
    <w:rsid w:val="00D84487"/>
    <w:rsid w:val="00D844E5"/>
    <w:rsid w:val="00D848AE"/>
    <w:rsid w:val="00D848F9"/>
    <w:rsid w:val="00D84F9A"/>
    <w:rsid w:val="00D851C5"/>
    <w:rsid w:val="00D856E3"/>
    <w:rsid w:val="00D85FD0"/>
    <w:rsid w:val="00D86038"/>
    <w:rsid w:val="00D86180"/>
    <w:rsid w:val="00D865D0"/>
    <w:rsid w:val="00D86780"/>
    <w:rsid w:val="00D86B20"/>
    <w:rsid w:val="00D86C64"/>
    <w:rsid w:val="00D8700E"/>
    <w:rsid w:val="00D871DC"/>
    <w:rsid w:val="00D872D9"/>
    <w:rsid w:val="00D8747D"/>
    <w:rsid w:val="00D87500"/>
    <w:rsid w:val="00D8752C"/>
    <w:rsid w:val="00D875C2"/>
    <w:rsid w:val="00D87761"/>
    <w:rsid w:val="00D87A74"/>
    <w:rsid w:val="00D87A78"/>
    <w:rsid w:val="00D87DCC"/>
    <w:rsid w:val="00D9008B"/>
    <w:rsid w:val="00D90224"/>
    <w:rsid w:val="00D9051B"/>
    <w:rsid w:val="00D907E9"/>
    <w:rsid w:val="00D90885"/>
    <w:rsid w:val="00D908C9"/>
    <w:rsid w:val="00D90DC6"/>
    <w:rsid w:val="00D9130F"/>
    <w:rsid w:val="00D917DD"/>
    <w:rsid w:val="00D91931"/>
    <w:rsid w:val="00D91B00"/>
    <w:rsid w:val="00D91DD0"/>
    <w:rsid w:val="00D92214"/>
    <w:rsid w:val="00D9230B"/>
    <w:rsid w:val="00D92A46"/>
    <w:rsid w:val="00D92E9B"/>
    <w:rsid w:val="00D935FF"/>
    <w:rsid w:val="00D94050"/>
    <w:rsid w:val="00D94139"/>
    <w:rsid w:val="00D94169"/>
    <w:rsid w:val="00D942F5"/>
    <w:rsid w:val="00D944B6"/>
    <w:rsid w:val="00D9492C"/>
    <w:rsid w:val="00D94D85"/>
    <w:rsid w:val="00D94FA1"/>
    <w:rsid w:val="00D95574"/>
    <w:rsid w:val="00D9561F"/>
    <w:rsid w:val="00D957C4"/>
    <w:rsid w:val="00D958DF"/>
    <w:rsid w:val="00D95902"/>
    <w:rsid w:val="00D95AC3"/>
    <w:rsid w:val="00D95EE7"/>
    <w:rsid w:val="00D9600A"/>
    <w:rsid w:val="00D9635E"/>
    <w:rsid w:val="00D96474"/>
    <w:rsid w:val="00D96517"/>
    <w:rsid w:val="00D965A9"/>
    <w:rsid w:val="00D96818"/>
    <w:rsid w:val="00D968A3"/>
    <w:rsid w:val="00D96AA6"/>
    <w:rsid w:val="00D96AAC"/>
    <w:rsid w:val="00D96EDA"/>
    <w:rsid w:val="00D96EDC"/>
    <w:rsid w:val="00D97411"/>
    <w:rsid w:val="00D97858"/>
    <w:rsid w:val="00D978CE"/>
    <w:rsid w:val="00D979F4"/>
    <w:rsid w:val="00D97AA2"/>
    <w:rsid w:val="00DA02C2"/>
    <w:rsid w:val="00DA0445"/>
    <w:rsid w:val="00DA073A"/>
    <w:rsid w:val="00DA09E9"/>
    <w:rsid w:val="00DA0BBB"/>
    <w:rsid w:val="00DA0E70"/>
    <w:rsid w:val="00DA0EF9"/>
    <w:rsid w:val="00DA0F8C"/>
    <w:rsid w:val="00DA10FE"/>
    <w:rsid w:val="00DA1795"/>
    <w:rsid w:val="00DA1894"/>
    <w:rsid w:val="00DA20DA"/>
    <w:rsid w:val="00DA2152"/>
    <w:rsid w:val="00DA2272"/>
    <w:rsid w:val="00DA27F1"/>
    <w:rsid w:val="00DA27FB"/>
    <w:rsid w:val="00DA28B5"/>
    <w:rsid w:val="00DA2A87"/>
    <w:rsid w:val="00DA2E25"/>
    <w:rsid w:val="00DA3483"/>
    <w:rsid w:val="00DA37AC"/>
    <w:rsid w:val="00DA385A"/>
    <w:rsid w:val="00DA3878"/>
    <w:rsid w:val="00DA3980"/>
    <w:rsid w:val="00DA3B1B"/>
    <w:rsid w:val="00DA3C56"/>
    <w:rsid w:val="00DA3E37"/>
    <w:rsid w:val="00DA45A6"/>
    <w:rsid w:val="00DA45FD"/>
    <w:rsid w:val="00DA484A"/>
    <w:rsid w:val="00DA4880"/>
    <w:rsid w:val="00DA4BD4"/>
    <w:rsid w:val="00DA4C61"/>
    <w:rsid w:val="00DA56D7"/>
    <w:rsid w:val="00DA5CB9"/>
    <w:rsid w:val="00DA5F28"/>
    <w:rsid w:val="00DA6593"/>
    <w:rsid w:val="00DA659B"/>
    <w:rsid w:val="00DA6A07"/>
    <w:rsid w:val="00DA6AAF"/>
    <w:rsid w:val="00DA6B39"/>
    <w:rsid w:val="00DA6BAD"/>
    <w:rsid w:val="00DA6C9B"/>
    <w:rsid w:val="00DA73BB"/>
    <w:rsid w:val="00DA7492"/>
    <w:rsid w:val="00DA74A5"/>
    <w:rsid w:val="00DA7849"/>
    <w:rsid w:val="00DA7ABA"/>
    <w:rsid w:val="00DA7AF5"/>
    <w:rsid w:val="00DA7C64"/>
    <w:rsid w:val="00DA7D39"/>
    <w:rsid w:val="00DA7ECB"/>
    <w:rsid w:val="00DB03C6"/>
    <w:rsid w:val="00DB0502"/>
    <w:rsid w:val="00DB05C3"/>
    <w:rsid w:val="00DB0872"/>
    <w:rsid w:val="00DB0B8D"/>
    <w:rsid w:val="00DB153C"/>
    <w:rsid w:val="00DB15CA"/>
    <w:rsid w:val="00DB17CC"/>
    <w:rsid w:val="00DB1A3F"/>
    <w:rsid w:val="00DB2106"/>
    <w:rsid w:val="00DB2260"/>
    <w:rsid w:val="00DB2519"/>
    <w:rsid w:val="00DB28A7"/>
    <w:rsid w:val="00DB2B2F"/>
    <w:rsid w:val="00DB3122"/>
    <w:rsid w:val="00DB33B5"/>
    <w:rsid w:val="00DB3461"/>
    <w:rsid w:val="00DB3491"/>
    <w:rsid w:val="00DB35FB"/>
    <w:rsid w:val="00DB3B06"/>
    <w:rsid w:val="00DB3F7E"/>
    <w:rsid w:val="00DB430E"/>
    <w:rsid w:val="00DB4443"/>
    <w:rsid w:val="00DB4649"/>
    <w:rsid w:val="00DB4656"/>
    <w:rsid w:val="00DB46F7"/>
    <w:rsid w:val="00DB48AB"/>
    <w:rsid w:val="00DB4B0B"/>
    <w:rsid w:val="00DB4B18"/>
    <w:rsid w:val="00DB4B2A"/>
    <w:rsid w:val="00DB56A2"/>
    <w:rsid w:val="00DB5739"/>
    <w:rsid w:val="00DB580D"/>
    <w:rsid w:val="00DB5DA0"/>
    <w:rsid w:val="00DB6000"/>
    <w:rsid w:val="00DB640B"/>
    <w:rsid w:val="00DB66F9"/>
    <w:rsid w:val="00DB676C"/>
    <w:rsid w:val="00DB6884"/>
    <w:rsid w:val="00DB6895"/>
    <w:rsid w:val="00DB6D2C"/>
    <w:rsid w:val="00DB6E79"/>
    <w:rsid w:val="00DB6EA6"/>
    <w:rsid w:val="00DB6F46"/>
    <w:rsid w:val="00DB7CC1"/>
    <w:rsid w:val="00DB7D85"/>
    <w:rsid w:val="00DC0B31"/>
    <w:rsid w:val="00DC0CF8"/>
    <w:rsid w:val="00DC1172"/>
    <w:rsid w:val="00DC1786"/>
    <w:rsid w:val="00DC1BA5"/>
    <w:rsid w:val="00DC2100"/>
    <w:rsid w:val="00DC237C"/>
    <w:rsid w:val="00DC2527"/>
    <w:rsid w:val="00DC284F"/>
    <w:rsid w:val="00DC2AA1"/>
    <w:rsid w:val="00DC2E81"/>
    <w:rsid w:val="00DC339F"/>
    <w:rsid w:val="00DC3603"/>
    <w:rsid w:val="00DC3823"/>
    <w:rsid w:val="00DC3A18"/>
    <w:rsid w:val="00DC3B15"/>
    <w:rsid w:val="00DC4F1E"/>
    <w:rsid w:val="00DC51A7"/>
    <w:rsid w:val="00DC5488"/>
    <w:rsid w:val="00DC5499"/>
    <w:rsid w:val="00DC58DA"/>
    <w:rsid w:val="00DC58E9"/>
    <w:rsid w:val="00DC5995"/>
    <w:rsid w:val="00DC5BAF"/>
    <w:rsid w:val="00DC60A4"/>
    <w:rsid w:val="00DC62EA"/>
    <w:rsid w:val="00DC63DE"/>
    <w:rsid w:val="00DC65EA"/>
    <w:rsid w:val="00DC664C"/>
    <w:rsid w:val="00DC6945"/>
    <w:rsid w:val="00DC6ACC"/>
    <w:rsid w:val="00DC6C2D"/>
    <w:rsid w:val="00DC6DCD"/>
    <w:rsid w:val="00DC6EE3"/>
    <w:rsid w:val="00DC740F"/>
    <w:rsid w:val="00DC760D"/>
    <w:rsid w:val="00DC7678"/>
    <w:rsid w:val="00DC7718"/>
    <w:rsid w:val="00DC799F"/>
    <w:rsid w:val="00DC7A1B"/>
    <w:rsid w:val="00DC7CA0"/>
    <w:rsid w:val="00DC7DC5"/>
    <w:rsid w:val="00DC7E8A"/>
    <w:rsid w:val="00DC7FC2"/>
    <w:rsid w:val="00DD0167"/>
    <w:rsid w:val="00DD023D"/>
    <w:rsid w:val="00DD0ADD"/>
    <w:rsid w:val="00DD0E40"/>
    <w:rsid w:val="00DD122C"/>
    <w:rsid w:val="00DD16EF"/>
    <w:rsid w:val="00DD1905"/>
    <w:rsid w:val="00DD194E"/>
    <w:rsid w:val="00DD1C93"/>
    <w:rsid w:val="00DD1E0F"/>
    <w:rsid w:val="00DD201D"/>
    <w:rsid w:val="00DD217C"/>
    <w:rsid w:val="00DD233B"/>
    <w:rsid w:val="00DD2370"/>
    <w:rsid w:val="00DD2404"/>
    <w:rsid w:val="00DD27A4"/>
    <w:rsid w:val="00DD28D2"/>
    <w:rsid w:val="00DD2C68"/>
    <w:rsid w:val="00DD2D71"/>
    <w:rsid w:val="00DD2F84"/>
    <w:rsid w:val="00DD3128"/>
    <w:rsid w:val="00DD352F"/>
    <w:rsid w:val="00DD3889"/>
    <w:rsid w:val="00DD3DB1"/>
    <w:rsid w:val="00DD410A"/>
    <w:rsid w:val="00DD4128"/>
    <w:rsid w:val="00DD41ED"/>
    <w:rsid w:val="00DD4378"/>
    <w:rsid w:val="00DD44FA"/>
    <w:rsid w:val="00DD45EC"/>
    <w:rsid w:val="00DD483A"/>
    <w:rsid w:val="00DD4929"/>
    <w:rsid w:val="00DD4C70"/>
    <w:rsid w:val="00DD4C71"/>
    <w:rsid w:val="00DD4EF9"/>
    <w:rsid w:val="00DD5538"/>
    <w:rsid w:val="00DD56C5"/>
    <w:rsid w:val="00DD58ED"/>
    <w:rsid w:val="00DD58F5"/>
    <w:rsid w:val="00DD59AB"/>
    <w:rsid w:val="00DD5C06"/>
    <w:rsid w:val="00DD5C4E"/>
    <w:rsid w:val="00DD5D4A"/>
    <w:rsid w:val="00DD6120"/>
    <w:rsid w:val="00DD6386"/>
    <w:rsid w:val="00DD63D5"/>
    <w:rsid w:val="00DD69D7"/>
    <w:rsid w:val="00DD6C5F"/>
    <w:rsid w:val="00DD7053"/>
    <w:rsid w:val="00DD74AD"/>
    <w:rsid w:val="00DD76F0"/>
    <w:rsid w:val="00DD7A63"/>
    <w:rsid w:val="00DD7D63"/>
    <w:rsid w:val="00DD7E92"/>
    <w:rsid w:val="00DE0049"/>
    <w:rsid w:val="00DE017D"/>
    <w:rsid w:val="00DE01CF"/>
    <w:rsid w:val="00DE0310"/>
    <w:rsid w:val="00DE033B"/>
    <w:rsid w:val="00DE0BA0"/>
    <w:rsid w:val="00DE0DE7"/>
    <w:rsid w:val="00DE0ED8"/>
    <w:rsid w:val="00DE0FFF"/>
    <w:rsid w:val="00DE1144"/>
    <w:rsid w:val="00DE169D"/>
    <w:rsid w:val="00DE1BEC"/>
    <w:rsid w:val="00DE1D7F"/>
    <w:rsid w:val="00DE1DBE"/>
    <w:rsid w:val="00DE1EA3"/>
    <w:rsid w:val="00DE1F43"/>
    <w:rsid w:val="00DE2227"/>
    <w:rsid w:val="00DE22D9"/>
    <w:rsid w:val="00DE265E"/>
    <w:rsid w:val="00DE287A"/>
    <w:rsid w:val="00DE2CB9"/>
    <w:rsid w:val="00DE2EDA"/>
    <w:rsid w:val="00DE2F4C"/>
    <w:rsid w:val="00DE354B"/>
    <w:rsid w:val="00DE39E4"/>
    <w:rsid w:val="00DE39F0"/>
    <w:rsid w:val="00DE3A81"/>
    <w:rsid w:val="00DE3CEE"/>
    <w:rsid w:val="00DE3D00"/>
    <w:rsid w:val="00DE3F4C"/>
    <w:rsid w:val="00DE497B"/>
    <w:rsid w:val="00DE4A05"/>
    <w:rsid w:val="00DE4AF3"/>
    <w:rsid w:val="00DE4DED"/>
    <w:rsid w:val="00DE4E77"/>
    <w:rsid w:val="00DE4F03"/>
    <w:rsid w:val="00DE4FA9"/>
    <w:rsid w:val="00DE5550"/>
    <w:rsid w:val="00DE56EF"/>
    <w:rsid w:val="00DE579E"/>
    <w:rsid w:val="00DE5959"/>
    <w:rsid w:val="00DE601A"/>
    <w:rsid w:val="00DE6350"/>
    <w:rsid w:val="00DE684F"/>
    <w:rsid w:val="00DE6CD4"/>
    <w:rsid w:val="00DE6DCD"/>
    <w:rsid w:val="00DE6F16"/>
    <w:rsid w:val="00DE718A"/>
    <w:rsid w:val="00DE73D4"/>
    <w:rsid w:val="00DE7499"/>
    <w:rsid w:val="00DE785B"/>
    <w:rsid w:val="00DE7B7E"/>
    <w:rsid w:val="00DF0110"/>
    <w:rsid w:val="00DF0684"/>
    <w:rsid w:val="00DF0872"/>
    <w:rsid w:val="00DF0A22"/>
    <w:rsid w:val="00DF0BA0"/>
    <w:rsid w:val="00DF139D"/>
    <w:rsid w:val="00DF1560"/>
    <w:rsid w:val="00DF168B"/>
    <w:rsid w:val="00DF2214"/>
    <w:rsid w:val="00DF27EF"/>
    <w:rsid w:val="00DF27FE"/>
    <w:rsid w:val="00DF2D9C"/>
    <w:rsid w:val="00DF3655"/>
    <w:rsid w:val="00DF3C0C"/>
    <w:rsid w:val="00DF3FE8"/>
    <w:rsid w:val="00DF43B3"/>
    <w:rsid w:val="00DF44F3"/>
    <w:rsid w:val="00DF4840"/>
    <w:rsid w:val="00DF488E"/>
    <w:rsid w:val="00DF4E1A"/>
    <w:rsid w:val="00DF4E43"/>
    <w:rsid w:val="00DF53FE"/>
    <w:rsid w:val="00DF55B6"/>
    <w:rsid w:val="00DF560F"/>
    <w:rsid w:val="00DF5A99"/>
    <w:rsid w:val="00DF5BC0"/>
    <w:rsid w:val="00DF61D0"/>
    <w:rsid w:val="00DF62B1"/>
    <w:rsid w:val="00DF647E"/>
    <w:rsid w:val="00DF6778"/>
    <w:rsid w:val="00DF6862"/>
    <w:rsid w:val="00DF6BF6"/>
    <w:rsid w:val="00DF6CB1"/>
    <w:rsid w:val="00DF7674"/>
    <w:rsid w:val="00DF7924"/>
    <w:rsid w:val="00DF7A37"/>
    <w:rsid w:val="00DF7F92"/>
    <w:rsid w:val="00E003A7"/>
    <w:rsid w:val="00E004F7"/>
    <w:rsid w:val="00E00654"/>
    <w:rsid w:val="00E00688"/>
    <w:rsid w:val="00E0073B"/>
    <w:rsid w:val="00E0075F"/>
    <w:rsid w:val="00E00DAA"/>
    <w:rsid w:val="00E00DD2"/>
    <w:rsid w:val="00E00FC1"/>
    <w:rsid w:val="00E01037"/>
    <w:rsid w:val="00E010D6"/>
    <w:rsid w:val="00E01110"/>
    <w:rsid w:val="00E01B83"/>
    <w:rsid w:val="00E0233E"/>
    <w:rsid w:val="00E02715"/>
    <w:rsid w:val="00E0296F"/>
    <w:rsid w:val="00E02A26"/>
    <w:rsid w:val="00E02BC2"/>
    <w:rsid w:val="00E02E83"/>
    <w:rsid w:val="00E0316C"/>
    <w:rsid w:val="00E031C8"/>
    <w:rsid w:val="00E033A5"/>
    <w:rsid w:val="00E03748"/>
    <w:rsid w:val="00E03780"/>
    <w:rsid w:val="00E039AA"/>
    <w:rsid w:val="00E0486F"/>
    <w:rsid w:val="00E048E2"/>
    <w:rsid w:val="00E04F60"/>
    <w:rsid w:val="00E05269"/>
    <w:rsid w:val="00E054D8"/>
    <w:rsid w:val="00E0550F"/>
    <w:rsid w:val="00E05529"/>
    <w:rsid w:val="00E05FB4"/>
    <w:rsid w:val="00E069BA"/>
    <w:rsid w:val="00E06C0A"/>
    <w:rsid w:val="00E06E20"/>
    <w:rsid w:val="00E06E3C"/>
    <w:rsid w:val="00E06F9F"/>
    <w:rsid w:val="00E07062"/>
    <w:rsid w:val="00E07079"/>
    <w:rsid w:val="00E0725B"/>
    <w:rsid w:val="00E0778E"/>
    <w:rsid w:val="00E07BEB"/>
    <w:rsid w:val="00E07D5C"/>
    <w:rsid w:val="00E07F9C"/>
    <w:rsid w:val="00E100A2"/>
    <w:rsid w:val="00E100C0"/>
    <w:rsid w:val="00E1045A"/>
    <w:rsid w:val="00E1072D"/>
    <w:rsid w:val="00E108B0"/>
    <w:rsid w:val="00E109A1"/>
    <w:rsid w:val="00E10C0F"/>
    <w:rsid w:val="00E10E47"/>
    <w:rsid w:val="00E113B9"/>
    <w:rsid w:val="00E11418"/>
    <w:rsid w:val="00E1159D"/>
    <w:rsid w:val="00E11A65"/>
    <w:rsid w:val="00E11AB3"/>
    <w:rsid w:val="00E11B3E"/>
    <w:rsid w:val="00E11C16"/>
    <w:rsid w:val="00E11E54"/>
    <w:rsid w:val="00E11FDB"/>
    <w:rsid w:val="00E12080"/>
    <w:rsid w:val="00E12237"/>
    <w:rsid w:val="00E12561"/>
    <w:rsid w:val="00E126B1"/>
    <w:rsid w:val="00E12882"/>
    <w:rsid w:val="00E12B6B"/>
    <w:rsid w:val="00E12C7A"/>
    <w:rsid w:val="00E12EF5"/>
    <w:rsid w:val="00E12FED"/>
    <w:rsid w:val="00E13417"/>
    <w:rsid w:val="00E139FC"/>
    <w:rsid w:val="00E13A61"/>
    <w:rsid w:val="00E13C63"/>
    <w:rsid w:val="00E13C95"/>
    <w:rsid w:val="00E13EB2"/>
    <w:rsid w:val="00E1410C"/>
    <w:rsid w:val="00E142BD"/>
    <w:rsid w:val="00E15136"/>
    <w:rsid w:val="00E156F0"/>
    <w:rsid w:val="00E158A3"/>
    <w:rsid w:val="00E15BD9"/>
    <w:rsid w:val="00E162DD"/>
    <w:rsid w:val="00E16312"/>
    <w:rsid w:val="00E169CE"/>
    <w:rsid w:val="00E16DC5"/>
    <w:rsid w:val="00E17043"/>
    <w:rsid w:val="00E1722D"/>
    <w:rsid w:val="00E17692"/>
    <w:rsid w:val="00E179E0"/>
    <w:rsid w:val="00E20072"/>
    <w:rsid w:val="00E201C9"/>
    <w:rsid w:val="00E201F9"/>
    <w:rsid w:val="00E20474"/>
    <w:rsid w:val="00E205E5"/>
    <w:rsid w:val="00E206D1"/>
    <w:rsid w:val="00E2078F"/>
    <w:rsid w:val="00E21446"/>
    <w:rsid w:val="00E214A9"/>
    <w:rsid w:val="00E2150C"/>
    <w:rsid w:val="00E219AA"/>
    <w:rsid w:val="00E219F1"/>
    <w:rsid w:val="00E21AC1"/>
    <w:rsid w:val="00E21F48"/>
    <w:rsid w:val="00E228A4"/>
    <w:rsid w:val="00E23187"/>
    <w:rsid w:val="00E232A2"/>
    <w:rsid w:val="00E233F7"/>
    <w:rsid w:val="00E23909"/>
    <w:rsid w:val="00E239D0"/>
    <w:rsid w:val="00E239E0"/>
    <w:rsid w:val="00E23A28"/>
    <w:rsid w:val="00E23A4A"/>
    <w:rsid w:val="00E23B8B"/>
    <w:rsid w:val="00E23CF0"/>
    <w:rsid w:val="00E23D8E"/>
    <w:rsid w:val="00E2444C"/>
    <w:rsid w:val="00E244D1"/>
    <w:rsid w:val="00E2461B"/>
    <w:rsid w:val="00E24956"/>
    <w:rsid w:val="00E252B4"/>
    <w:rsid w:val="00E254A0"/>
    <w:rsid w:val="00E25509"/>
    <w:rsid w:val="00E25558"/>
    <w:rsid w:val="00E25B08"/>
    <w:rsid w:val="00E25B2D"/>
    <w:rsid w:val="00E25CA6"/>
    <w:rsid w:val="00E25E1C"/>
    <w:rsid w:val="00E262B3"/>
    <w:rsid w:val="00E26477"/>
    <w:rsid w:val="00E264F0"/>
    <w:rsid w:val="00E265AC"/>
    <w:rsid w:val="00E26602"/>
    <w:rsid w:val="00E26651"/>
    <w:rsid w:val="00E26848"/>
    <w:rsid w:val="00E27017"/>
    <w:rsid w:val="00E27127"/>
    <w:rsid w:val="00E272B2"/>
    <w:rsid w:val="00E272CD"/>
    <w:rsid w:val="00E27609"/>
    <w:rsid w:val="00E27B22"/>
    <w:rsid w:val="00E27D03"/>
    <w:rsid w:val="00E27D82"/>
    <w:rsid w:val="00E30879"/>
    <w:rsid w:val="00E30DDD"/>
    <w:rsid w:val="00E30F38"/>
    <w:rsid w:val="00E3105C"/>
    <w:rsid w:val="00E31063"/>
    <w:rsid w:val="00E3139E"/>
    <w:rsid w:val="00E31852"/>
    <w:rsid w:val="00E31C73"/>
    <w:rsid w:val="00E31CBD"/>
    <w:rsid w:val="00E31D5D"/>
    <w:rsid w:val="00E31F10"/>
    <w:rsid w:val="00E32477"/>
    <w:rsid w:val="00E327CB"/>
    <w:rsid w:val="00E32C2C"/>
    <w:rsid w:val="00E32C6C"/>
    <w:rsid w:val="00E32FFF"/>
    <w:rsid w:val="00E332A6"/>
    <w:rsid w:val="00E332AB"/>
    <w:rsid w:val="00E33682"/>
    <w:rsid w:val="00E33931"/>
    <w:rsid w:val="00E34044"/>
    <w:rsid w:val="00E34C2F"/>
    <w:rsid w:val="00E35570"/>
    <w:rsid w:val="00E35A90"/>
    <w:rsid w:val="00E35B94"/>
    <w:rsid w:val="00E35C6B"/>
    <w:rsid w:val="00E36481"/>
    <w:rsid w:val="00E36648"/>
    <w:rsid w:val="00E36DC7"/>
    <w:rsid w:val="00E36F99"/>
    <w:rsid w:val="00E370E7"/>
    <w:rsid w:val="00E3733D"/>
    <w:rsid w:val="00E37938"/>
    <w:rsid w:val="00E37947"/>
    <w:rsid w:val="00E37C21"/>
    <w:rsid w:val="00E37C41"/>
    <w:rsid w:val="00E37C61"/>
    <w:rsid w:val="00E37C69"/>
    <w:rsid w:val="00E37EE1"/>
    <w:rsid w:val="00E401E9"/>
    <w:rsid w:val="00E40369"/>
    <w:rsid w:val="00E40545"/>
    <w:rsid w:val="00E40B3D"/>
    <w:rsid w:val="00E41192"/>
    <w:rsid w:val="00E41AD0"/>
    <w:rsid w:val="00E423D1"/>
    <w:rsid w:val="00E42630"/>
    <w:rsid w:val="00E426D7"/>
    <w:rsid w:val="00E427B8"/>
    <w:rsid w:val="00E428AB"/>
    <w:rsid w:val="00E428E0"/>
    <w:rsid w:val="00E42956"/>
    <w:rsid w:val="00E42A95"/>
    <w:rsid w:val="00E42AC5"/>
    <w:rsid w:val="00E42C47"/>
    <w:rsid w:val="00E42E25"/>
    <w:rsid w:val="00E42F33"/>
    <w:rsid w:val="00E43736"/>
    <w:rsid w:val="00E43A2B"/>
    <w:rsid w:val="00E43AD5"/>
    <w:rsid w:val="00E43BA4"/>
    <w:rsid w:val="00E43CC6"/>
    <w:rsid w:val="00E44075"/>
    <w:rsid w:val="00E444EF"/>
    <w:rsid w:val="00E444F2"/>
    <w:rsid w:val="00E4456F"/>
    <w:rsid w:val="00E4483A"/>
    <w:rsid w:val="00E44C7A"/>
    <w:rsid w:val="00E44C99"/>
    <w:rsid w:val="00E44C9D"/>
    <w:rsid w:val="00E44D64"/>
    <w:rsid w:val="00E452DF"/>
    <w:rsid w:val="00E4559B"/>
    <w:rsid w:val="00E4577B"/>
    <w:rsid w:val="00E45783"/>
    <w:rsid w:val="00E45DCC"/>
    <w:rsid w:val="00E45F9A"/>
    <w:rsid w:val="00E4650F"/>
    <w:rsid w:val="00E46775"/>
    <w:rsid w:val="00E46926"/>
    <w:rsid w:val="00E46C32"/>
    <w:rsid w:val="00E46F67"/>
    <w:rsid w:val="00E46FA1"/>
    <w:rsid w:val="00E474A1"/>
    <w:rsid w:val="00E47505"/>
    <w:rsid w:val="00E47663"/>
    <w:rsid w:val="00E47D3F"/>
    <w:rsid w:val="00E50074"/>
    <w:rsid w:val="00E501E8"/>
    <w:rsid w:val="00E50311"/>
    <w:rsid w:val="00E50640"/>
    <w:rsid w:val="00E50A23"/>
    <w:rsid w:val="00E50CC3"/>
    <w:rsid w:val="00E5105D"/>
    <w:rsid w:val="00E512F0"/>
    <w:rsid w:val="00E5171C"/>
    <w:rsid w:val="00E51AA2"/>
    <w:rsid w:val="00E51AB0"/>
    <w:rsid w:val="00E51ABA"/>
    <w:rsid w:val="00E52308"/>
    <w:rsid w:val="00E52711"/>
    <w:rsid w:val="00E52805"/>
    <w:rsid w:val="00E52816"/>
    <w:rsid w:val="00E52B7F"/>
    <w:rsid w:val="00E52E77"/>
    <w:rsid w:val="00E534EF"/>
    <w:rsid w:val="00E53642"/>
    <w:rsid w:val="00E536DE"/>
    <w:rsid w:val="00E53976"/>
    <w:rsid w:val="00E53B8B"/>
    <w:rsid w:val="00E53D47"/>
    <w:rsid w:val="00E540FB"/>
    <w:rsid w:val="00E54253"/>
    <w:rsid w:val="00E54335"/>
    <w:rsid w:val="00E5455F"/>
    <w:rsid w:val="00E546BE"/>
    <w:rsid w:val="00E546D4"/>
    <w:rsid w:val="00E54A55"/>
    <w:rsid w:val="00E54D4D"/>
    <w:rsid w:val="00E54EBC"/>
    <w:rsid w:val="00E54EC8"/>
    <w:rsid w:val="00E55143"/>
    <w:rsid w:val="00E551BE"/>
    <w:rsid w:val="00E55284"/>
    <w:rsid w:val="00E553A8"/>
    <w:rsid w:val="00E55B71"/>
    <w:rsid w:val="00E55B96"/>
    <w:rsid w:val="00E55C9E"/>
    <w:rsid w:val="00E55D7C"/>
    <w:rsid w:val="00E55DA6"/>
    <w:rsid w:val="00E56042"/>
    <w:rsid w:val="00E56266"/>
    <w:rsid w:val="00E563A0"/>
    <w:rsid w:val="00E569A8"/>
    <w:rsid w:val="00E56B69"/>
    <w:rsid w:val="00E56B92"/>
    <w:rsid w:val="00E56CE1"/>
    <w:rsid w:val="00E56E42"/>
    <w:rsid w:val="00E5701E"/>
    <w:rsid w:val="00E5726C"/>
    <w:rsid w:val="00E575D2"/>
    <w:rsid w:val="00E57B8A"/>
    <w:rsid w:val="00E60258"/>
    <w:rsid w:val="00E6034B"/>
    <w:rsid w:val="00E60352"/>
    <w:rsid w:val="00E60476"/>
    <w:rsid w:val="00E60754"/>
    <w:rsid w:val="00E61070"/>
    <w:rsid w:val="00E61152"/>
    <w:rsid w:val="00E61211"/>
    <w:rsid w:val="00E6126A"/>
    <w:rsid w:val="00E615A0"/>
    <w:rsid w:val="00E61920"/>
    <w:rsid w:val="00E61C8D"/>
    <w:rsid w:val="00E61ECE"/>
    <w:rsid w:val="00E61F58"/>
    <w:rsid w:val="00E624EF"/>
    <w:rsid w:val="00E625ED"/>
    <w:rsid w:val="00E62887"/>
    <w:rsid w:val="00E62CC7"/>
    <w:rsid w:val="00E631BE"/>
    <w:rsid w:val="00E63232"/>
    <w:rsid w:val="00E6345F"/>
    <w:rsid w:val="00E63509"/>
    <w:rsid w:val="00E6350C"/>
    <w:rsid w:val="00E6359F"/>
    <w:rsid w:val="00E637D7"/>
    <w:rsid w:val="00E638C6"/>
    <w:rsid w:val="00E63B4F"/>
    <w:rsid w:val="00E643B9"/>
    <w:rsid w:val="00E644F3"/>
    <w:rsid w:val="00E644F5"/>
    <w:rsid w:val="00E64727"/>
    <w:rsid w:val="00E647F1"/>
    <w:rsid w:val="00E6485A"/>
    <w:rsid w:val="00E6487D"/>
    <w:rsid w:val="00E6487E"/>
    <w:rsid w:val="00E649CB"/>
    <w:rsid w:val="00E64A8C"/>
    <w:rsid w:val="00E64DEC"/>
    <w:rsid w:val="00E64E9E"/>
    <w:rsid w:val="00E65112"/>
    <w:rsid w:val="00E65141"/>
    <w:rsid w:val="00E65453"/>
    <w:rsid w:val="00E65BC3"/>
    <w:rsid w:val="00E65D4E"/>
    <w:rsid w:val="00E66087"/>
    <w:rsid w:val="00E66150"/>
    <w:rsid w:val="00E66BC8"/>
    <w:rsid w:val="00E66E95"/>
    <w:rsid w:val="00E677B9"/>
    <w:rsid w:val="00E67B8D"/>
    <w:rsid w:val="00E67D52"/>
    <w:rsid w:val="00E67F45"/>
    <w:rsid w:val="00E704FA"/>
    <w:rsid w:val="00E70800"/>
    <w:rsid w:val="00E7080A"/>
    <w:rsid w:val="00E708F8"/>
    <w:rsid w:val="00E709C2"/>
    <w:rsid w:val="00E70B65"/>
    <w:rsid w:val="00E70BB3"/>
    <w:rsid w:val="00E70FD3"/>
    <w:rsid w:val="00E71247"/>
    <w:rsid w:val="00E718AF"/>
    <w:rsid w:val="00E71CCA"/>
    <w:rsid w:val="00E71DEB"/>
    <w:rsid w:val="00E71E0D"/>
    <w:rsid w:val="00E71EE7"/>
    <w:rsid w:val="00E72109"/>
    <w:rsid w:val="00E7214D"/>
    <w:rsid w:val="00E722B2"/>
    <w:rsid w:val="00E7237D"/>
    <w:rsid w:val="00E72750"/>
    <w:rsid w:val="00E72905"/>
    <w:rsid w:val="00E72918"/>
    <w:rsid w:val="00E72949"/>
    <w:rsid w:val="00E72D9C"/>
    <w:rsid w:val="00E73632"/>
    <w:rsid w:val="00E736AA"/>
    <w:rsid w:val="00E73DDF"/>
    <w:rsid w:val="00E74A35"/>
    <w:rsid w:val="00E74DE8"/>
    <w:rsid w:val="00E758DE"/>
    <w:rsid w:val="00E75DCC"/>
    <w:rsid w:val="00E75F75"/>
    <w:rsid w:val="00E76915"/>
    <w:rsid w:val="00E76C05"/>
    <w:rsid w:val="00E76CE2"/>
    <w:rsid w:val="00E76D14"/>
    <w:rsid w:val="00E76E09"/>
    <w:rsid w:val="00E771A3"/>
    <w:rsid w:val="00E772D8"/>
    <w:rsid w:val="00E777A0"/>
    <w:rsid w:val="00E8003A"/>
    <w:rsid w:val="00E8024C"/>
    <w:rsid w:val="00E8033F"/>
    <w:rsid w:val="00E8039F"/>
    <w:rsid w:val="00E8042C"/>
    <w:rsid w:val="00E80666"/>
    <w:rsid w:val="00E80F5A"/>
    <w:rsid w:val="00E80FB8"/>
    <w:rsid w:val="00E81273"/>
    <w:rsid w:val="00E818E7"/>
    <w:rsid w:val="00E81955"/>
    <w:rsid w:val="00E81CEC"/>
    <w:rsid w:val="00E81F0B"/>
    <w:rsid w:val="00E8224C"/>
    <w:rsid w:val="00E826C4"/>
    <w:rsid w:val="00E82E2A"/>
    <w:rsid w:val="00E830AE"/>
    <w:rsid w:val="00E8339E"/>
    <w:rsid w:val="00E83747"/>
    <w:rsid w:val="00E83809"/>
    <w:rsid w:val="00E83943"/>
    <w:rsid w:val="00E83CF2"/>
    <w:rsid w:val="00E8442C"/>
    <w:rsid w:val="00E84758"/>
    <w:rsid w:val="00E848D1"/>
    <w:rsid w:val="00E84AC5"/>
    <w:rsid w:val="00E85183"/>
    <w:rsid w:val="00E8541B"/>
    <w:rsid w:val="00E8542C"/>
    <w:rsid w:val="00E856EB"/>
    <w:rsid w:val="00E85786"/>
    <w:rsid w:val="00E8582D"/>
    <w:rsid w:val="00E8589C"/>
    <w:rsid w:val="00E859E1"/>
    <w:rsid w:val="00E85DE1"/>
    <w:rsid w:val="00E85EAB"/>
    <w:rsid w:val="00E860AB"/>
    <w:rsid w:val="00E8621B"/>
    <w:rsid w:val="00E8628A"/>
    <w:rsid w:val="00E86B0F"/>
    <w:rsid w:val="00E86BEF"/>
    <w:rsid w:val="00E86D5B"/>
    <w:rsid w:val="00E86DB5"/>
    <w:rsid w:val="00E86EAE"/>
    <w:rsid w:val="00E8704F"/>
    <w:rsid w:val="00E874C8"/>
    <w:rsid w:val="00E875DC"/>
    <w:rsid w:val="00E87927"/>
    <w:rsid w:val="00E87DCE"/>
    <w:rsid w:val="00E87EEE"/>
    <w:rsid w:val="00E87FCE"/>
    <w:rsid w:val="00E910EA"/>
    <w:rsid w:val="00E91459"/>
    <w:rsid w:val="00E91C6A"/>
    <w:rsid w:val="00E920D4"/>
    <w:rsid w:val="00E924AB"/>
    <w:rsid w:val="00E9256C"/>
    <w:rsid w:val="00E92809"/>
    <w:rsid w:val="00E92B04"/>
    <w:rsid w:val="00E9337D"/>
    <w:rsid w:val="00E93C4A"/>
    <w:rsid w:val="00E93CF6"/>
    <w:rsid w:val="00E93DA2"/>
    <w:rsid w:val="00E943AB"/>
    <w:rsid w:val="00E94629"/>
    <w:rsid w:val="00E94CDB"/>
    <w:rsid w:val="00E9543D"/>
    <w:rsid w:val="00E9564F"/>
    <w:rsid w:val="00E9586C"/>
    <w:rsid w:val="00E958E2"/>
    <w:rsid w:val="00E95C96"/>
    <w:rsid w:val="00E9606A"/>
    <w:rsid w:val="00E960F9"/>
    <w:rsid w:val="00E96482"/>
    <w:rsid w:val="00E965A5"/>
    <w:rsid w:val="00E96892"/>
    <w:rsid w:val="00E9718C"/>
    <w:rsid w:val="00E9738A"/>
    <w:rsid w:val="00E974AA"/>
    <w:rsid w:val="00E97694"/>
    <w:rsid w:val="00E97A6A"/>
    <w:rsid w:val="00E97A6B"/>
    <w:rsid w:val="00E97CA9"/>
    <w:rsid w:val="00E97D3C"/>
    <w:rsid w:val="00EA036C"/>
    <w:rsid w:val="00EA03DD"/>
    <w:rsid w:val="00EA0885"/>
    <w:rsid w:val="00EA0A64"/>
    <w:rsid w:val="00EA0A8A"/>
    <w:rsid w:val="00EA0F8C"/>
    <w:rsid w:val="00EA116A"/>
    <w:rsid w:val="00EA116C"/>
    <w:rsid w:val="00EA1395"/>
    <w:rsid w:val="00EA1435"/>
    <w:rsid w:val="00EA1737"/>
    <w:rsid w:val="00EA1B2B"/>
    <w:rsid w:val="00EA1BE1"/>
    <w:rsid w:val="00EA1E72"/>
    <w:rsid w:val="00EA2113"/>
    <w:rsid w:val="00EA257D"/>
    <w:rsid w:val="00EA2586"/>
    <w:rsid w:val="00EA25BB"/>
    <w:rsid w:val="00EA26DD"/>
    <w:rsid w:val="00EA276C"/>
    <w:rsid w:val="00EA289D"/>
    <w:rsid w:val="00EA2CE3"/>
    <w:rsid w:val="00EA2EEA"/>
    <w:rsid w:val="00EA2F72"/>
    <w:rsid w:val="00EA300B"/>
    <w:rsid w:val="00EA3027"/>
    <w:rsid w:val="00EA30A4"/>
    <w:rsid w:val="00EA316C"/>
    <w:rsid w:val="00EA33D3"/>
    <w:rsid w:val="00EA33F2"/>
    <w:rsid w:val="00EA3708"/>
    <w:rsid w:val="00EA38AE"/>
    <w:rsid w:val="00EA3B6D"/>
    <w:rsid w:val="00EA3CB6"/>
    <w:rsid w:val="00EA3CB8"/>
    <w:rsid w:val="00EA3D28"/>
    <w:rsid w:val="00EA401A"/>
    <w:rsid w:val="00EA41AE"/>
    <w:rsid w:val="00EA4431"/>
    <w:rsid w:val="00EA4456"/>
    <w:rsid w:val="00EA4599"/>
    <w:rsid w:val="00EA4767"/>
    <w:rsid w:val="00EA479C"/>
    <w:rsid w:val="00EA4806"/>
    <w:rsid w:val="00EA4E81"/>
    <w:rsid w:val="00EA4FA0"/>
    <w:rsid w:val="00EA5383"/>
    <w:rsid w:val="00EA5515"/>
    <w:rsid w:val="00EA5E16"/>
    <w:rsid w:val="00EA6167"/>
    <w:rsid w:val="00EA6765"/>
    <w:rsid w:val="00EA67D5"/>
    <w:rsid w:val="00EA683C"/>
    <w:rsid w:val="00EA689A"/>
    <w:rsid w:val="00EA699E"/>
    <w:rsid w:val="00EA6D8A"/>
    <w:rsid w:val="00EA6D9E"/>
    <w:rsid w:val="00EA6ED9"/>
    <w:rsid w:val="00EA7589"/>
    <w:rsid w:val="00EA7738"/>
    <w:rsid w:val="00EA7886"/>
    <w:rsid w:val="00EA7CC0"/>
    <w:rsid w:val="00EB0573"/>
    <w:rsid w:val="00EB07B6"/>
    <w:rsid w:val="00EB1003"/>
    <w:rsid w:val="00EB1300"/>
    <w:rsid w:val="00EB1574"/>
    <w:rsid w:val="00EB158F"/>
    <w:rsid w:val="00EB1906"/>
    <w:rsid w:val="00EB1926"/>
    <w:rsid w:val="00EB1C99"/>
    <w:rsid w:val="00EB1EAB"/>
    <w:rsid w:val="00EB1F0C"/>
    <w:rsid w:val="00EB2288"/>
    <w:rsid w:val="00EB22DD"/>
    <w:rsid w:val="00EB2356"/>
    <w:rsid w:val="00EB24CF"/>
    <w:rsid w:val="00EB259A"/>
    <w:rsid w:val="00EB271E"/>
    <w:rsid w:val="00EB2895"/>
    <w:rsid w:val="00EB2986"/>
    <w:rsid w:val="00EB2990"/>
    <w:rsid w:val="00EB2A65"/>
    <w:rsid w:val="00EB2DDB"/>
    <w:rsid w:val="00EB34C2"/>
    <w:rsid w:val="00EB3559"/>
    <w:rsid w:val="00EB387E"/>
    <w:rsid w:val="00EB41D2"/>
    <w:rsid w:val="00EB430D"/>
    <w:rsid w:val="00EB4465"/>
    <w:rsid w:val="00EB46BF"/>
    <w:rsid w:val="00EB4AF5"/>
    <w:rsid w:val="00EB4B20"/>
    <w:rsid w:val="00EB5107"/>
    <w:rsid w:val="00EB5658"/>
    <w:rsid w:val="00EB57EB"/>
    <w:rsid w:val="00EB58EE"/>
    <w:rsid w:val="00EB5B11"/>
    <w:rsid w:val="00EB5C24"/>
    <w:rsid w:val="00EB5C76"/>
    <w:rsid w:val="00EB5CA0"/>
    <w:rsid w:val="00EB62DF"/>
    <w:rsid w:val="00EB659A"/>
    <w:rsid w:val="00EB6894"/>
    <w:rsid w:val="00EB68FB"/>
    <w:rsid w:val="00EB6CD0"/>
    <w:rsid w:val="00EB6D19"/>
    <w:rsid w:val="00EB6EA8"/>
    <w:rsid w:val="00EB7062"/>
    <w:rsid w:val="00EB7191"/>
    <w:rsid w:val="00EB71C1"/>
    <w:rsid w:val="00EB71CB"/>
    <w:rsid w:val="00EB7281"/>
    <w:rsid w:val="00EB733B"/>
    <w:rsid w:val="00EB7B48"/>
    <w:rsid w:val="00EC03CB"/>
    <w:rsid w:val="00EC06BD"/>
    <w:rsid w:val="00EC0ACE"/>
    <w:rsid w:val="00EC0B82"/>
    <w:rsid w:val="00EC0C17"/>
    <w:rsid w:val="00EC0DD9"/>
    <w:rsid w:val="00EC0E6A"/>
    <w:rsid w:val="00EC11DE"/>
    <w:rsid w:val="00EC1344"/>
    <w:rsid w:val="00EC1456"/>
    <w:rsid w:val="00EC1484"/>
    <w:rsid w:val="00EC157B"/>
    <w:rsid w:val="00EC1685"/>
    <w:rsid w:val="00EC17C0"/>
    <w:rsid w:val="00EC1D1D"/>
    <w:rsid w:val="00EC1D60"/>
    <w:rsid w:val="00EC21E1"/>
    <w:rsid w:val="00EC2262"/>
    <w:rsid w:val="00EC22F9"/>
    <w:rsid w:val="00EC237A"/>
    <w:rsid w:val="00EC24C1"/>
    <w:rsid w:val="00EC2607"/>
    <w:rsid w:val="00EC2D86"/>
    <w:rsid w:val="00EC2FDE"/>
    <w:rsid w:val="00EC2FE1"/>
    <w:rsid w:val="00EC3261"/>
    <w:rsid w:val="00EC343B"/>
    <w:rsid w:val="00EC38DA"/>
    <w:rsid w:val="00EC3A01"/>
    <w:rsid w:val="00EC3B40"/>
    <w:rsid w:val="00EC3F42"/>
    <w:rsid w:val="00EC3FE2"/>
    <w:rsid w:val="00EC429F"/>
    <w:rsid w:val="00EC4C97"/>
    <w:rsid w:val="00EC4D5F"/>
    <w:rsid w:val="00EC4EED"/>
    <w:rsid w:val="00EC5333"/>
    <w:rsid w:val="00EC57B9"/>
    <w:rsid w:val="00EC57EC"/>
    <w:rsid w:val="00EC5B4B"/>
    <w:rsid w:val="00EC5C92"/>
    <w:rsid w:val="00EC5D0C"/>
    <w:rsid w:val="00EC67E6"/>
    <w:rsid w:val="00EC6CC3"/>
    <w:rsid w:val="00EC71A5"/>
    <w:rsid w:val="00EC7D47"/>
    <w:rsid w:val="00EC7FF6"/>
    <w:rsid w:val="00ED0332"/>
    <w:rsid w:val="00ED0570"/>
    <w:rsid w:val="00ED0BE4"/>
    <w:rsid w:val="00ED107F"/>
    <w:rsid w:val="00ED116F"/>
    <w:rsid w:val="00ED135C"/>
    <w:rsid w:val="00ED1755"/>
    <w:rsid w:val="00ED18F4"/>
    <w:rsid w:val="00ED1AEA"/>
    <w:rsid w:val="00ED1BD8"/>
    <w:rsid w:val="00ED1E37"/>
    <w:rsid w:val="00ED1F47"/>
    <w:rsid w:val="00ED1FD0"/>
    <w:rsid w:val="00ED2157"/>
    <w:rsid w:val="00ED21C3"/>
    <w:rsid w:val="00ED2651"/>
    <w:rsid w:val="00ED295B"/>
    <w:rsid w:val="00ED2B62"/>
    <w:rsid w:val="00ED30D3"/>
    <w:rsid w:val="00ED30FD"/>
    <w:rsid w:val="00ED3682"/>
    <w:rsid w:val="00ED3750"/>
    <w:rsid w:val="00ED3CD3"/>
    <w:rsid w:val="00ED3DC5"/>
    <w:rsid w:val="00ED3EA4"/>
    <w:rsid w:val="00ED4481"/>
    <w:rsid w:val="00ED44FA"/>
    <w:rsid w:val="00ED4657"/>
    <w:rsid w:val="00ED46D2"/>
    <w:rsid w:val="00ED4905"/>
    <w:rsid w:val="00ED4AF8"/>
    <w:rsid w:val="00ED548B"/>
    <w:rsid w:val="00ED5D32"/>
    <w:rsid w:val="00ED5E25"/>
    <w:rsid w:val="00ED5F5D"/>
    <w:rsid w:val="00ED623B"/>
    <w:rsid w:val="00ED67E2"/>
    <w:rsid w:val="00ED6A05"/>
    <w:rsid w:val="00ED6CDF"/>
    <w:rsid w:val="00ED7124"/>
    <w:rsid w:val="00ED7187"/>
    <w:rsid w:val="00ED7473"/>
    <w:rsid w:val="00ED7588"/>
    <w:rsid w:val="00ED7DE6"/>
    <w:rsid w:val="00EE0084"/>
    <w:rsid w:val="00EE00C8"/>
    <w:rsid w:val="00EE04C8"/>
    <w:rsid w:val="00EE0824"/>
    <w:rsid w:val="00EE0DD5"/>
    <w:rsid w:val="00EE0F6D"/>
    <w:rsid w:val="00EE10F1"/>
    <w:rsid w:val="00EE1177"/>
    <w:rsid w:val="00EE135F"/>
    <w:rsid w:val="00EE168B"/>
    <w:rsid w:val="00EE17D0"/>
    <w:rsid w:val="00EE17F2"/>
    <w:rsid w:val="00EE1823"/>
    <w:rsid w:val="00EE197F"/>
    <w:rsid w:val="00EE1A68"/>
    <w:rsid w:val="00EE1CD1"/>
    <w:rsid w:val="00EE20DF"/>
    <w:rsid w:val="00EE25CA"/>
    <w:rsid w:val="00EE28F0"/>
    <w:rsid w:val="00EE2B0F"/>
    <w:rsid w:val="00EE2B61"/>
    <w:rsid w:val="00EE2CF2"/>
    <w:rsid w:val="00EE2EA6"/>
    <w:rsid w:val="00EE36AE"/>
    <w:rsid w:val="00EE3754"/>
    <w:rsid w:val="00EE3CD1"/>
    <w:rsid w:val="00EE405C"/>
    <w:rsid w:val="00EE42DD"/>
    <w:rsid w:val="00EE46F1"/>
    <w:rsid w:val="00EE4A0F"/>
    <w:rsid w:val="00EE50DD"/>
    <w:rsid w:val="00EE50EA"/>
    <w:rsid w:val="00EE5133"/>
    <w:rsid w:val="00EE588B"/>
    <w:rsid w:val="00EE59EF"/>
    <w:rsid w:val="00EE5A17"/>
    <w:rsid w:val="00EE5C44"/>
    <w:rsid w:val="00EE5DC8"/>
    <w:rsid w:val="00EE6202"/>
    <w:rsid w:val="00EE6226"/>
    <w:rsid w:val="00EE62E8"/>
    <w:rsid w:val="00EE66B9"/>
    <w:rsid w:val="00EE6939"/>
    <w:rsid w:val="00EE71F0"/>
    <w:rsid w:val="00EE74F5"/>
    <w:rsid w:val="00EE78B3"/>
    <w:rsid w:val="00EF00BC"/>
    <w:rsid w:val="00EF02AD"/>
    <w:rsid w:val="00EF0393"/>
    <w:rsid w:val="00EF097B"/>
    <w:rsid w:val="00EF0B50"/>
    <w:rsid w:val="00EF0C17"/>
    <w:rsid w:val="00EF1052"/>
    <w:rsid w:val="00EF17DD"/>
    <w:rsid w:val="00EF18AF"/>
    <w:rsid w:val="00EF18DF"/>
    <w:rsid w:val="00EF1A5A"/>
    <w:rsid w:val="00EF1D30"/>
    <w:rsid w:val="00EF1EB2"/>
    <w:rsid w:val="00EF2081"/>
    <w:rsid w:val="00EF20FC"/>
    <w:rsid w:val="00EF21C4"/>
    <w:rsid w:val="00EF225F"/>
    <w:rsid w:val="00EF228A"/>
    <w:rsid w:val="00EF22FE"/>
    <w:rsid w:val="00EF31E3"/>
    <w:rsid w:val="00EF322A"/>
    <w:rsid w:val="00EF3386"/>
    <w:rsid w:val="00EF344B"/>
    <w:rsid w:val="00EF3B7C"/>
    <w:rsid w:val="00EF3CDB"/>
    <w:rsid w:val="00EF4431"/>
    <w:rsid w:val="00EF4437"/>
    <w:rsid w:val="00EF44C3"/>
    <w:rsid w:val="00EF45A2"/>
    <w:rsid w:val="00EF46E4"/>
    <w:rsid w:val="00EF4850"/>
    <w:rsid w:val="00EF4F2D"/>
    <w:rsid w:val="00EF4FD4"/>
    <w:rsid w:val="00EF51DE"/>
    <w:rsid w:val="00EF53AE"/>
    <w:rsid w:val="00EF56D4"/>
    <w:rsid w:val="00EF57E4"/>
    <w:rsid w:val="00EF5BEA"/>
    <w:rsid w:val="00EF6047"/>
    <w:rsid w:val="00EF6AA0"/>
    <w:rsid w:val="00EF6CC6"/>
    <w:rsid w:val="00EF6D7D"/>
    <w:rsid w:val="00EF6EC5"/>
    <w:rsid w:val="00EF7009"/>
    <w:rsid w:val="00F00317"/>
    <w:rsid w:val="00F00397"/>
    <w:rsid w:val="00F008B9"/>
    <w:rsid w:val="00F008D1"/>
    <w:rsid w:val="00F008E7"/>
    <w:rsid w:val="00F00A27"/>
    <w:rsid w:val="00F00CEE"/>
    <w:rsid w:val="00F0135D"/>
    <w:rsid w:val="00F018D5"/>
    <w:rsid w:val="00F01AAA"/>
    <w:rsid w:val="00F01C1A"/>
    <w:rsid w:val="00F01DA9"/>
    <w:rsid w:val="00F01E1A"/>
    <w:rsid w:val="00F023E7"/>
    <w:rsid w:val="00F024CC"/>
    <w:rsid w:val="00F024EC"/>
    <w:rsid w:val="00F0259F"/>
    <w:rsid w:val="00F028E8"/>
    <w:rsid w:val="00F02A5D"/>
    <w:rsid w:val="00F02D16"/>
    <w:rsid w:val="00F02E3E"/>
    <w:rsid w:val="00F02E79"/>
    <w:rsid w:val="00F02E7A"/>
    <w:rsid w:val="00F0317B"/>
    <w:rsid w:val="00F0341B"/>
    <w:rsid w:val="00F03A59"/>
    <w:rsid w:val="00F03FB8"/>
    <w:rsid w:val="00F04052"/>
    <w:rsid w:val="00F04081"/>
    <w:rsid w:val="00F047FA"/>
    <w:rsid w:val="00F0519D"/>
    <w:rsid w:val="00F051E7"/>
    <w:rsid w:val="00F0524E"/>
    <w:rsid w:val="00F05B63"/>
    <w:rsid w:val="00F05D87"/>
    <w:rsid w:val="00F05FF9"/>
    <w:rsid w:val="00F062E1"/>
    <w:rsid w:val="00F0670C"/>
    <w:rsid w:val="00F06C37"/>
    <w:rsid w:val="00F06D46"/>
    <w:rsid w:val="00F06E9B"/>
    <w:rsid w:val="00F0747B"/>
    <w:rsid w:val="00F07684"/>
    <w:rsid w:val="00F07766"/>
    <w:rsid w:val="00F07F71"/>
    <w:rsid w:val="00F1033E"/>
    <w:rsid w:val="00F1036E"/>
    <w:rsid w:val="00F10431"/>
    <w:rsid w:val="00F1087F"/>
    <w:rsid w:val="00F10929"/>
    <w:rsid w:val="00F1159B"/>
    <w:rsid w:val="00F116D4"/>
    <w:rsid w:val="00F12172"/>
    <w:rsid w:val="00F122A7"/>
    <w:rsid w:val="00F1278E"/>
    <w:rsid w:val="00F12AEF"/>
    <w:rsid w:val="00F12F71"/>
    <w:rsid w:val="00F1300A"/>
    <w:rsid w:val="00F13045"/>
    <w:rsid w:val="00F131F2"/>
    <w:rsid w:val="00F13355"/>
    <w:rsid w:val="00F13AED"/>
    <w:rsid w:val="00F13E84"/>
    <w:rsid w:val="00F140DF"/>
    <w:rsid w:val="00F140F6"/>
    <w:rsid w:val="00F14546"/>
    <w:rsid w:val="00F148A0"/>
    <w:rsid w:val="00F14949"/>
    <w:rsid w:val="00F14C52"/>
    <w:rsid w:val="00F14CF0"/>
    <w:rsid w:val="00F14DD5"/>
    <w:rsid w:val="00F150B0"/>
    <w:rsid w:val="00F15881"/>
    <w:rsid w:val="00F15BE4"/>
    <w:rsid w:val="00F15F00"/>
    <w:rsid w:val="00F1602D"/>
    <w:rsid w:val="00F161F3"/>
    <w:rsid w:val="00F17209"/>
    <w:rsid w:val="00F17538"/>
    <w:rsid w:val="00F20209"/>
    <w:rsid w:val="00F20600"/>
    <w:rsid w:val="00F209E2"/>
    <w:rsid w:val="00F20BBC"/>
    <w:rsid w:val="00F20D36"/>
    <w:rsid w:val="00F20FF1"/>
    <w:rsid w:val="00F21088"/>
    <w:rsid w:val="00F21116"/>
    <w:rsid w:val="00F211B9"/>
    <w:rsid w:val="00F211F7"/>
    <w:rsid w:val="00F215FF"/>
    <w:rsid w:val="00F21840"/>
    <w:rsid w:val="00F21925"/>
    <w:rsid w:val="00F21C34"/>
    <w:rsid w:val="00F2233B"/>
    <w:rsid w:val="00F22348"/>
    <w:rsid w:val="00F224A3"/>
    <w:rsid w:val="00F228E6"/>
    <w:rsid w:val="00F22CDE"/>
    <w:rsid w:val="00F22D38"/>
    <w:rsid w:val="00F22E3D"/>
    <w:rsid w:val="00F22E59"/>
    <w:rsid w:val="00F23361"/>
    <w:rsid w:val="00F234FD"/>
    <w:rsid w:val="00F2351E"/>
    <w:rsid w:val="00F23681"/>
    <w:rsid w:val="00F23793"/>
    <w:rsid w:val="00F238A2"/>
    <w:rsid w:val="00F23C6D"/>
    <w:rsid w:val="00F243F9"/>
    <w:rsid w:val="00F24A23"/>
    <w:rsid w:val="00F24C80"/>
    <w:rsid w:val="00F24C83"/>
    <w:rsid w:val="00F25001"/>
    <w:rsid w:val="00F25104"/>
    <w:rsid w:val="00F2515F"/>
    <w:rsid w:val="00F251FA"/>
    <w:rsid w:val="00F256FB"/>
    <w:rsid w:val="00F2591B"/>
    <w:rsid w:val="00F25BCD"/>
    <w:rsid w:val="00F261B8"/>
    <w:rsid w:val="00F2631E"/>
    <w:rsid w:val="00F26958"/>
    <w:rsid w:val="00F26CE9"/>
    <w:rsid w:val="00F26DBF"/>
    <w:rsid w:val="00F26EF9"/>
    <w:rsid w:val="00F27107"/>
    <w:rsid w:val="00F2730E"/>
    <w:rsid w:val="00F2733D"/>
    <w:rsid w:val="00F273E2"/>
    <w:rsid w:val="00F2766F"/>
    <w:rsid w:val="00F27AA6"/>
    <w:rsid w:val="00F27C15"/>
    <w:rsid w:val="00F27C6A"/>
    <w:rsid w:val="00F302F3"/>
    <w:rsid w:val="00F30821"/>
    <w:rsid w:val="00F30BB5"/>
    <w:rsid w:val="00F311A8"/>
    <w:rsid w:val="00F31260"/>
    <w:rsid w:val="00F31785"/>
    <w:rsid w:val="00F317A6"/>
    <w:rsid w:val="00F31834"/>
    <w:rsid w:val="00F31F30"/>
    <w:rsid w:val="00F31F73"/>
    <w:rsid w:val="00F3234A"/>
    <w:rsid w:val="00F3276F"/>
    <w:rsid w:val="00F32CB4"/>
    <w:rsid w:val="00F32CF3"/>
    <w:rsid w:val="00F335DC"/>
    <w:rsid w:val="00F33731"/>
    <w:rsid w:val="00F33B32"/>
    <w:rsid w:val="00F33CB4"/>
    <w:rsid w:val="00F33E59"/>
    <w:rsid w:val="00F33F21"/>
    <w:rsid w:val="00F33F94"/>
    <w:rsid w:val="00F34209"/>
    <w:rsid w:val="00F34245"/>
    <w:rsid w:val="00F349BA"/>
    <w:rsid w:val="00F34B5D"/>
    <w:rsid w:val="00F34BB8"/>
    <w:rsid w:val="00F34C75"/>
    <w:rsid w:val="00F35522"/>
    <w:rsid w:val="00F35570"/>
    <w:rsid w:val="00F356F4"/>
    <w:rsid w:val="00F35C4F"/>
    <w:rsid w:val="00F35CF0"/>
    <w:rsid w:val="00F363F2"/>
    <w:rsid w:val="00F36500"/>
    <w:rsid w:val="00F365E8"/>
    <w:rsid w:val="00F3671C"/>
    <w:rsid w:val="00F368DB"/>
    <w:rsid w:val="00F36DEC"/>
    <w:rsid w:val="00F3708C"/>
    <w:rsid w:val="00F37249"/>
    <w:rsid w:val="00F3746F"/>
    <w:rsid w:val="00F37481"/>
    <w:rsid w:val="00F37771"/>
    <w:rsid w:val="00F37B35"/>
    <w:rsid w:val="00F40206"/>
    <w:rsid w:val="00F4031C"/>
    <w:rsid w:val="00F40349"/>
    <w:rsid w:val="00F40CCE"/>
    <w:rsid w:val="00F40F0E"/>
    <w:rsid w:val="00F40F8F"/>
    <w:rsid w:val="00F41030"/>
    <w:rsid w:val="00F410D0"/>
    <w:rsid w:val="00F411A5"/>
    <w:rsid w:val="00F41429"/>
    <w:rsid w:val="00F415CD"/>
    <w:rsid w:val="00F41791"/>
    <w:rsid w:val="00F417A8"/>
    <w:rsid w:val="00F418E5"/>
    <w:rsid w:val="00F41915"/>
    <w:rsid w:val="00F419DC"/>
    <w:rsid w:val="00F41A99"/>
    <w:rsid w:val="00F41AA2"/>
    <w:rsid w:val="00F41AAD"/>
    <w:rsid w:val="00F41CF3"/>
    <w:rsid w:val="00F41DE2"/>
    <w:rsid w:val="00F41EC4"/>
    <w:rsid w:val="00F41F8E"/>
    <w:rsid w:val="00F41FE5"/>
    <w:rsid w:val="00F422B1"/>
    <w:rsid w:val="00F423FD"/>
    <w:rsid w:val="00F428C8"/>
    <w:rsid w:val="00F429B3"/>
    <w:rsid w:val="00F42B6D"/>
    <w:rsid w:val="00F42DDE"/>
    <w:rsid w:val="00F4304C"/>
    <w:rsid w:val="00F4349E"/>
    <w:rsid w:val="00F4368F"/>
    <w:rsid w:val="00F43732"/>
    <w:rsid w:val="00F43960"/>
    <w:rsid w:val="00F43C50"/>
    <w:rsid w:val="00F43DE1"/>
    <w:rsid w:val="00F4410D"/>
    <w:rsid w:val="00F44399"/>
    <w:rsid w:val="00F44718"/>
    <w:rsid w:val="00F44A40"/>
    <w:rsid w:val="00F44B23"/>
    <w:rsid w:val="00F44BAA"/>
    <w:rsid w:val="00F44F05"/>
    <w:rsid w:val="00F44F4D"/>
    <w:rsid w:val="00F4592B"/>
    <w:rsid w:val="00F45B03"/>
    <w:rsid w:val="00F45E29"/>
    <w:rsid w:val="00F45EC3"/>
    <w:rsid w:val="00F460F1"/>
    <w:rsid w:val="00F4622A"/>
    <w:rsid w:val="00F466D8"/>
    <w:rsid w:val="00F46C29"/>
    <w:rsid w:val="00F46CD4"/>
    <w:rsid w:val="00F46FF9"/>
    <w:rsid w:val="00F47292"/>
    <w:rsid w:val="00F47530"/>
    <w:rsid w:val="00F47572"/>
    <w:rsid w:val="00F47C22"/>
    <w:rsid w:val="00F500FA"/>
    <w:rsid w:val="00F50783"/>
    <w:rsid w:val="00F507CA"/>
    <w:rsid w:val="00F5086C"/>
    <w:rsid w:val="00F51433"/>
    <w:rsid w:val="00F5231B"/>
    <w:rsid w:val="00F524E0"/>
    <w:rsid w:val="00F52932"/>
    <w:rsid w:val="00F52AD0"/>
    <w:rsid w:val="00F52F78"/>
    <w:rsid w:val="00F53290"/>
    <w:rsid w:val="00F533CE"/>
    <w:rsid w:val="00F535C4"/>
    <w:rsid w:val="00F53928"/>
    <w:rsid w:val="00F53BC7"/>
    <w:rsid w:val="00F53BCB"/>
    <w:rsid w:val="00F53D4C"/>
    <w:rsid w:val="00F53FC5"/>
    <w:rsid w:val="00F54268"/>
    <w:rsid w:val="00F54437"/>
    <w:rsid w:val="00F544C0"/>
    <w:rsid w:val="00F55092"/>
    <w:rsid w:val="00F55135"/>
    <w:rsid w:val="00F55226"/>
    <w:rsid w:val="00F55572"/>
    <w:rsid w:val="00F559AD"/>
    <w:rsid w:val="00F559D4"/>
    <w:rsid w:val="00F55A98"/>
    <w:rsid w:val="00F56055"/>
    <w:rsid w:val="00F5611C"/>
    <w:rsid w:val="00F56556"/>
    <w:rsid w:val="00F56775"/>
    <w:rsid w:val="00F56A0A"/>
    <w:rsid w:val="00F56D63"/>
    <w:rsid w:val="00F571F6"/>
    <w:rsid w:val="00F5751E"/>
    <w:rsid w:val="00F576A4"/>
    <w:rsid w:val="00F576FF"/>
    <w:rsid w:val="00F600AF"/>
    <w:rsid w:val="00F60485"/>
    <w:rsid w:val="00F60771"/>
    <w:rsid w:val="00F60801"/>
    <w:rsid w:val="00F60C9C"/>
    <w:rsid w:val="00F60D4E"/>
    <w:rsid w:val="00F61176"/>
    <w:rsid w:val="00F6131D"/>
    <w:rsid w:val="00F61913"/>
    <w:rsid w:val="00F61F02"/>
    <w:rsid w:val="00F61F6D"/>
    <w:rsid w:val="00F61F89"/>
    <w:rsid w:val="00F6288E"/>
    <w:rsid w:val="00F62D33"/>
    <w:rsid w:val="00F62EF8"/>
    <w:rsid w:val="00F62F80"/>
    <w:rsid w:val="00F632C4"/>
    <w:rsid w:val="00F63A87"/>
    <w:rsid w:val="00F63D20"/>
    <w:rsid w:val="00F63F93"/>
    <w:rsid w:val="00F641D2"/>
    <w:rsid w:val="00F64280"/>
    <w:rsid w:val="00F6438F"/>
    <w:rsid w:val="00F6457B"/>
    <w:rsid w:val="00F6461E"/>
    <w:rsid w:val="00F648C2"/>
    <w:rsid w:val="00F64AEC"/>
    <w:rsid w:val="00F64CAA"/>
    <w:rsid w:val="00F64DE0"/>
    <w:rsid w:val="00F64ECC"/>
    <w:rsid w:val="00F64EDF"/>
    <w:rsid w:val="00F65327"/>
    <w:rsid w:val="00F656EE"/>
    <w:rsid w:val="00F65CBC"/>
    <w:rsid w:val="00F662A5"/>
    <w:rsid w:val="00F665D7"/>
    <w:rsid w:val="00F6663E"/>
    <w:rsid w:val="00F6673C"/>
    <w:rsid w:val="00F667D5"/>
    <w:rsid w:val="00F66C0C"/>
    <w:rsid w:val="00F66C18"/>
    <w:rsid w:val="00F66D4F"/>
    <w:rsid w:val="00F66E2D"/>
    <w:rsid w:val="00F670B0"/>
    <w:rsid w:val="00F67308"/>
    <w:rsid w:val="00F674FD"/>
    <w:rsid w:val="00F67A57"/>
    <w:rsid w:val="00F67C17"/>
    <w:rsid w:val="00F70202"/>
    <w:rsid w:val="00F70570"/>
    <w:rsid w:val="00F70719"/>
    <w:rsid w:val="00F70E51"/>
    <w:rsid w:val="00F70F5F"/>
    <w:rsid w:val="00F7106F"/>
    <w:rsid w:val="00F71427"/>
    <w:rsid w:val="00F71508"/>
    <w:rsid w:val="00F71509"/>
    <w:rsid w:val="00F715D7"/>
    <w:rsid w:val="00F71623"/>
    <w:rsid w:val="00F7176C"/>
    <w:rsid w:val="00F717EB"/>
    <w:rsid w:val="00F71986"/>
    <w:rsid w:val="00F71F0B"/>
    <w:rsid w:val="00F720CC"/>
    <w:rsid w:val="00F72538"/>
    <w:rsid w:val="00F7255F"/>
    <w:rsid w:val="00F725C3"/>
    <w:rsid w:val="00F72679"/>
    <w:rsid w:val="00F7270F"/>
    <w:rsid w:val="00F72805"/>
    <w:rsid w:val="00F72A48"/>
    <w:rsid w:val="00F72F8D"/>
    <w:rsid w:val="00F730ED"/>
    <w:rsid w:val="00F736F1"/>
    <w:rsid w:val="00F73AFF"/>
    <w:rsid w:val="00F73C0C"/>
    <w:rsid w:val="00F73DFD"/>
    <w:rsid w:val="00F73E85"/>
    <w:rsid w:val="00F73EC7"/>
    <w:rsid w:val="00F73F05"/>
    <w:rsid w:val="00F743C2"/>
    <w:rsid w:val="00F74678"/>
    <w:rsid w:val="00F74993"/>
    <w:rsid w:val="00F74BD3"/>
    <w:rsid w:val="00F74CA2"/>
    <w:rsid w:val="00F74FC8"/>
    <w:rsid w:val="00F75172"/>
    <w:rsid w:val="00F753EE"/>
    <w:rsid w:val="00F7549C"/>
    <w:rsid w:val="00F75A40"/>
    <w:rsid w:val="00F75A51"/>
    <w:rsid w:val="00F765BB"/>
    <w:rsid w:val="00F766F9"/>
    <w:rsid w:val="00F769C2"/>
    <w:rsid w:val="00F76C16"/>
    <w:rsid w:val="00F76EDA"/>
    <w:rsid w:val="00F77C79"/>
    <w:rsid w:val="00F77D45"/>
    <w:rsid w:val="00F800EC"/>
    <w:rsid w:val="00F802FF"/>
    <w:rsid w:val="00F80314"/>
    <w:rsid w:val="00F80424"/>
    <w:rsid w:val="00F804F2"/>
    <w:rsid w:val="00F8051A"/>
    <w:rsid w:val="00F805A4"/>
    <w:rsid w:val="00F808A7"/>
    <w:rsid w:val="00F8099C"/>
    <w:rsid w:val="00F80C59"/>
    <w:rsid w:val="00F80C5D"/>
    <w:rsid w:val="00F81468"/>
    <w:rsid w:val="00F81628"/>
    <w:rsid w:val="00F8190E"/>
    <w:rsid w:val="00F81B60"/>
    <w:rsid w:val="00F81DCB"/>
    <w:rsid w:val="00F82201"/>
    <w:rsid w:val="00F822DE"/>
    <w:rsid w:val="00F82906"/>
    <w:rsid w:val="00F82B4B"/>
    <w:rsid w:val="00F831C4"/>
    <w:rsid w:val="00F83728"/>
    <w:rsid w:val="00F8387F"/>
    <w:rsid w:val="00F838E5"/>
    <w:rsid w:val="00F83E81"/>
    <w:rsid w:val="00F841B5"/>
    <w:rsid w:val="00F84239"/>
    <w:rsid w:val="00F84290"/>
    <w:rsid w:val="00F8429D"/>
    <w:rsid w:val="00F8445A"/>
    <w:rsid w:val="00F84CCF"/>
    <w:rsid w:val="00F84F62"/>
    <w:rsid w:val="00F85681"/>
    <w:rsid w:val="00F858BD"/>
    <w:rsid w:val="00F858C1"/>
    <w:rsid w:val="00F85A92"/>
    <w:rsid w:val="00F85AAC"/>
    <w:rsid w:val="00F85E18"/>
    <w:rsid w:val="00F86295"/>
    <w:rsid w:val="00F8630A"/>
    <w:rsid w:val="00F865F2"/>
    <w:rsid w:val="00F8694F"/>
    <w:rsid w:val="00F86C1F"/>
    <w:rsid w:val="00F873FA"/>
    <w:rsid w:val="00F87BCC"/>
    <w:rsid w:val="00F87CC2"/>
    <w:rsid w:val="00F901C7"/>
    <w:rsid w:val="00F9021E"/>
    <w:rsid w:val="00F90C53"/>
    <w:rsid w:val="00F90DD7"/>
    <w:rsid w:val="00F911C5"/>
    <w:rsid w:val="00F9154F"/>
    <w:rsid w:val="00F91930"/>
    <w:rsid w:val="00F92DB2"/>
    <w:rsid w:val="00F9328F"/>
    <w:rsid w:val="00F93829"/>
    <w:rsid w:val="00F93915"/>
    <w:rsid w:val="00F93E95"/>
    <w:rsid w:val="00F93F0A"/>
    <w:rsid w:val="00F950D1"/>
    <w:rsid w:val="00F953BD"/>
    <w:rsid w:val="00F953C9"/>
    <w:rsid w:val="00F954F5"/>
    <w:rsid w:val="00F9555C"/>
    <w:rsid w:val="00F955BA"/>
    <w:rsid w:val="00F9571C"/>
    <w:rsid w:val="00F957F3"/>
    <w:rsid w:val="00F9592B"/>
    <w:rsid w:val="00F95970"/>
    <w:rsid w:val="00F95E29"/>
    <w:rsid w:val="00F962B0"/>
    <w:rsid w:val="00F969A9"/>
    <w:rsid w:val="00F96A85"/>
    <w:rsid w:val="00F96B62"/>
    <w:rsid w:val="00F970BE"/>
    <w:rsid w:val="00F9758C"/>
    <w:rsid w:val="00F979BF"/>
    <w:rsid w:val="00F97AF0"/>
    <w:rsid w:val="00F97B48"/>
    <w:rsid w:val="00F97CB5"/>
    <w:rsid w:val="00FA001F"/>
    <w:rsid w:val="00FA00F2"/>
    <w:rsid w:val="00FA013F"/>
    <w:rsid w:val="00FA0522"/>
    <w:rsid w:val="00FA099F"/>
    <w:rsid w:val="00FA0C75"/>
    <w:rsid w:val="00FA0FE1"/>
    <w:rsid w:val="00FA10E4"/>
    <w:rsid w:val="00FA115B"/>
    <w:rsid w:val="00FA12E7"/>
    <w:rsid w:val="00FA14BA"/>
    <w:rsid w:val="00FA163D"/>
    <w:rsid w:val="00FA17F9"/>
    <w:rsid w:val="00FA182E"/>
    <w:rsid w:val="00FA1B85"/>
    <w:rsid w:val="00FA1CF6"/>
    <w:rsid w:val="00FA1EAB"/>
    <w:rsid w:val="00FA1EFA"/>
    <w:rsid w:val="00FA1F00"/>
    <w:rsid w:val="00FA2273"/>
    <w:rsid w:val="00FA252D"/>
    <w:rsid w:val="00FA2635"/>
    <w:rsid w:val="00FA2A36"/>
    <w:rsid w:val="00FA2A78"/>
    <w:rsid w:val="00FA2BA0"/>
    <w:rsid w:val="00FA3789"/>
    <w:rsid w:val="00FA37B9"/>
    <w:rsid w:val="00FA3947"/>
    <w:rsid w:val="00FA48B0"/>
    <w:rsid w:val="00FA4AD4"/>
    <w:rsid w:val="00FA50B8"/>
    <w:rsid w:val="00FA5231"/>
    <w:rsid w:val="00FA55F1"/>
    <w:rsid w:val="00FA5A93"/>
    <w:rsid w:val="00FA5DE4"/>
    <w:rsid w:val="00FA627B"/>
    <w:rsid w:val="00FA649C"/>
    <w:rsid w:val="00FA67A1"/>
    <w:rsid w:val="00FA693E"/>
    <w:rsid w:val="00FA69DA"/>
    <w:rsid w:val="00FA6A2A"/>
    <w:rsid w:val="00FA6E9A"/>
    <w:rsid w:val="00FA6EDE"/>
    <w:rsid w:val="00FA708C"/>
    <w:rsid w:val="00FA7094"/>
    <w:rsid w:val="00FA7647"/>
    <w:rsid w:val="00FA76CE"/>
    <w:rsid w:val="00FA76D4"/>
    <w:rsid w:val="00FA7A98"/>
    <w:rsid w:val="00FB0462"/>
    <w:rsid w:val="00FB0695"/>
    <w:rsid w:val="00FB0879"/>
    <w:rsid w:val="00FB0971"/>
    <w:rsid w:val="00FB09D0"/>
    <w:rsid w:val="00FB0D8A"/>
    <w:rsid w:val="00FB12C2"/>
    <w:rsid w:val="00FB1632"/>
    <w:rsid w:val="00FB1989"/>
    <w:rsid w:val="00FB19A8"/>
    <w:rsid w:val="00FB200D"/>
    <w:rsid w:val="00FB2341"/>
    <w:rsid w:val="00FB255D"/>
    <w:rsid w:val="00FB2602"/>
    <w:rsid w:val="00FB2772"/>
    <w:rsid w:val="00FB2A88"/>
    <w:rsid w:val="00FB2C37"/>
    <w:rsid w:val="00FB2D78"/>
    <w:rsid w:val="00FB3088"/>
    <w:rsid w:val="00FB314B"/>
    <w:rsid w:val="00FB32CE"/>
    <w:rsid w:val="00FB3339"/>
    <w:rsid w:val="00FB36D0"/>
    <w:rsid w:val="00FB375B"/>
    <w:rsid w:val="00FB3E56"/>
    <w:rsid w:val="00FB421E"/>
    <w:rsid w:val="00FB4437"/>
    <w:rsid w:val="00FB4573"/>
    <w:rsid w:val="00FB473F"/>
    <w:rsid w:val="00FB4918"/>
    <w:rsid w:val="00FB4CC9"/>
    <w:rsid w:val="00FB4D01"/>
    <w:rsid w:val="00FB4EE1"/>
    <w:rsid w:val="00FB4FD3"/>
    <w:rsid w:val="00FB51C1"/>
    <w:rsid w:val="00FB51CA"/>
    <w:rsid w:val="00FB52D3"/>
    <w:rsid w:val="00FB5952"/>
    <w:rsid w:val="00FB5DBC"/>
    <w:rsid w:val="00FB6297"/>
    <w:rsid w:val="00FB62A9"/>
    <w:rsid w:val="00FB62E0"/>
    <w:rsid w:val="00FB6607"/>
    <w:rsid w:val="00FB6783"/>
    <w:rsid w:val="00FB685B"/>
    <w:rsid w:val="00FB6F44"/>
    <w:rsid w:val="00FB7DD0"/>
    <w:rsid w:val="00FB7E89"/>
    <w:rsid w:val="00FB7F52"/>
    <w:rsid w:val="00FC053C"/>
    <w:rsid w:val="00FC08A3"/>
    <w:rsid w:val="00FC08AA"/>
    <w:rsid w:val="00FC0937"/>
    <w:rsid w:val="00FC101C"/>
    <w:rsid w:val="00FC148B"/>
    <w:rsid w:val="00FC167D"/>
    <w:rsid w:val="00FC17BD"/>
    <w:rsid w:val="00FC18AF"/>
    <w:rsid w:val="00FC1BA0"/>
    <w:rsid w:val="00FC1DBA"/>
    <w:rsid w:val="00FC1DCE"/>
    <w:rsid w:val="00FC1E06"/>
    <w:rsid w:val="00FC2258"/>
    <w:rsid w:val="00FC24DA"/>
    <w:rsid w:val="00FC2730"/>
    <w:rsid w:val="00FC3209"/>
    <w:rsid w:val="00FC337A"/>
    <w:rsid w:val="00FC3659"/>
    <w:rsid w:val="00FC37EC"/>
    <w:rsid w:val="00FC3C7E"/>
    <w:rsid w:val="00FC3CBE"/>
    <w:rsid w:val="00FC405B"/>
    <w:rsid w:val="00FC45EF"/>
    <w:rsid w:val="00FC46DC"/>
    <w:rsid w:val="00FC47CC"/>
    <w:rsid w:val="00FC4B4B"/>
    <w:rsid w:val="00FC513A"/>
    <w:rsid w:val="00FC525E"/>
    <w:rsid w:val="00FC5369"/>
    <w:rsid w:val="00FC549F"/>
    <w:rsid w:val="00FC5B1B"/>
    <w:rsid w:val="00FC5BC1"/>
    <w:rsid w:val="00FC5FD4"/>
    <w:rsid w:val="00FC601F"/>
    <w:rsid w:val="00FC6042"/>
    <w:rsid w:val="00FC610D"/>
    <w:rsid w:val="00FC6287"/>
    <w:rsid w:val="00FC6365"/>
    <w:rsid w:val="00FC66F7"/>
    <w:rsid w:val="00FC6F2B"/>
    <w:rsid w:val="00FC6F4A"/>
    <w:rsid w:val="00FC757A"/>
    <w:rsid w:val="00FC75F7"/>
    <w:rsid w:val="00FC78A4"/>
    <w:rsid w:val="00FC7BAD"/>
    <w:rsid w:val="00FC7E4C"/>
    <w:rsid w:val="00FD0001"/>
    <w:rsid w:val="00FD014C"/>
    <w:rsid w:val="00FD0E1A"/>
    <w:rsid w:val="00FD154E"/>
    <w:rsid w:val="00FD1874"/>
    <w:rsid w:val="00FD1912"/>
    <w:rsid w:val="00FD1E61"/>
    <w:rsid w:val="00FD1EEE"/>
    <w:rsid w:val="00FD2083"/>
    <w:rsid w:val="00FD209F"/>
    <w:rsid w:val="00FD212A"/>
    <w:rsid w:val="00FD2141"/>
    <w:rsid w:val="00FD23CA"/>
    <w:rsid w:val="00FD263C"/>
    <w:rsid w:val="00FD28CF"/>
    <w:rsid w:val="00FD291A"/>
    <w:rsid w:val="00FD296A"/>
    <w:rsid w:val="00FD29F2"/>
    <w:rsid w:val="00FD2AFD"/>
    <w:rsid w:val="00FD2EE9"/>
    <w:rsid w:val="00FD2F79"/>
    <w:rsid w:val="00FD3702"/>
    <w:rsid w:val="00FD387D"/>
    <w:rsid w:val="00FD3C49"/>
    <w:rsid w:val="00FD3FF3"/>
    <w:rsid w:val="00FD4148"/>
    <w:rsid w:val="00FD439D"/>
    <w:rsid w:val="00FD43D0"/>
    <w:rsid w:val="00FD479F"/>
    <w:rsid w:val="00FD4E45"/>
    <w:rsid w:val="00FD505D"/>
    <w:rsid w:val="00FD53ED"/>
    <w:rsid w:val="00FD56AD"/>
    <w:rsid w:val="00FD5BF9"/>
    <w:rsid w:val="00FD648B"/>
    <w:rsid w:val="00FD6490"/>
    <w:rsid w:val="00FD681A"/>
    <w:rsid w:val="00FD6A4F"/>
    <w:rsid w:val="00FD7055"/>
    <w:rsid w:val="00FD76B1"/>
    <w:rsid w:val="00FD7718"/>
    <w:rsid w:val="00FD7884"/>
    <w:rsid w:val="00FD7A5A"/>
    <w:rsid w:val="00FD7E51"/>
    <w:rsid w:val="00FD7F64"/>
    <w:rsid w:val="00FE048A"/>
    <w:rsid w:val="00FE04B8"/>
    <w:rsid w:val="00FE05D6"/>
    <w:rsid w:val="00FE06E0"/>
    <w:rsid w:val="00FE0A1D"/>
    <w:rsid w:val="00FE0AE2"/>
    <w:rsid w:val="00FE0B9E"/>
    <w:rsid w:val="00FE0D51"/>
    <w:rsid w:val="00FE1414"/>
    <w:rsid w:val="00FE185B"/>
    <w:rsid w:val="00FE1A68"/>
    <w:rsid w:val="00FE1BEE"/>
    <w:rsid w:val="00FE21B3"/>
    <w:rsid w:val="00FE2333"/>
    <w:rsid w:val="00FE2789"/>
    <w:rsid w:val="00FE27F4"/>
    <w:rsid w:val="00FE29A6"/>
    <w:rsid w:val="00FE29DB"/>
    <w:rsid w:val="00FE2A6B"/>
    <w:rsid w:val="00FE2BBB"/>
    <w:rsid w:val="00FE2E60"/>
    <w:rsid w:val="00FE30F1"/>
    <w:rsid w:val="00FE30F6"/>
    <w:rsid w:val="00FE32D4"/>
    <w:rsid w:val="00FE33C1"/>
    <w:rsid w:val="00FE3470"/>
    <w:rsid w:val="00FE3ABA"/>
    <w:rsid w:val="00FE3FF7"/>
    <w:rsid w:val="00FE44C9"/>
    <w:rsid w:val="00FE45B3"/>
    <w:rsid w:val="00FE47ED"/>
    <w:rsid w:val="00FE4A60"/>
    <w:rsid w:val="00FE4C3C"/>
    <w:rsid w:val="00FE4CD8"/>
    <w:rsid w:val="00FE4D9B"/>
    <w:rsid w:val="00FE4E8D"/>
    <w:rsid w:val="00FE4F7D"/>
    <w:rsid w:val="00FE5540"/>
    <w:rsid w:val="00FE560B"/>
    <w:rsid w:val="00FE5B80"/>
    <w:rsid w:val="00FE5DE7"/>
    <w:rsid w:val="00FE5F3B"/>
    <w:rsid w:val="00FE6021"/>
    <w:rsid w:val="00FE634B"/>
    <w:rsid w:val="00FE63FD"/>
    <w:rsid w:val="00FE641A"/>
    <w:rsid w:val="00FE66A4"/>
    <w:rsid w:val="00FE6A03"/>
    <w:rsid w:val="00FE6BDD"/>
    <w:rsid w:val="00FE6EB2"/>
    <w:rsid w:val="00FE749F"/>
    <w:rsid w:val="00FE7822"/>
    <w:rsid w:val="00FE7B85"/>
    <w:rsid w:val="00FF0126"/>
    <w:rsid w:val="00FF023D"/>
    <w:rsid w:val="00FF0333"/>
    <w:rsid w:val="00FF0481"/>
    <w:rsid w:val="00FF05DB"/>
    <w:rsid w:val="00FF0A05"/>
    <w:rsid w:val="00FF0CFB"/>
    <w:rsid w:val="00FF1095"/>
    <w:rsid w:val="00FF1163"/>
    <w:rsid w:val="00FF13DC"/>
    <w:rsid w:val="00FF162F"/>
    <w:rsid w:val="00FF16BE"/>
    <w:rsid w:val="00FF1C5D"/>
    <w:rsid w:val="00FF208B"/>
    <w:rsid w:val="00FF2163"/>
    <w:rsid w:val="00FF2237"/>
    <w:rsid w:val="00FF239B"/>
    <w:rsid w:val="00FF2ADE"/>
    <w:rsid w:val="00FF2D10"/>
    <w:rsid w:val="00FF2D1C"/>
    <w:rsid w:val="00FF2D24"/>
    <w:rsid w:val="00FF347E"/>
    <w:rsid w:val="00FF360A"/>
    <w:rsid w:val="00FF3B8E"/>
    <w:rsid w:val="00FF3D31"/>
    <w:rsid w:val="00FF3FE0"/>
    <w:rsid w:val="00FF4194"/>
    <w:rsid w:val="00FF47A0"/>
    <w:rsid w:val="00FF4B37"/>
    <w:rsid w:val="00FF5327"/>
    <w:rsid w:val="00FF545F"/>
    <w:rsid w:val="00FF60AC"/>
    <w:rsid w:val="00FF65A5"/>
    <w:rsid w:val="00FF65BA"/>
    <w:rsid w:val="00FF6BBB"/>
    <w:rsid w:val="00FF701E"/>
    <w:rsid w:val="00FF744F"/>
    <w:rsid w:val="00FF7D47"/>
    <w:rsid w:val="00FF7EB5"/>
    <w:rsid w:val="00FF7EF0"/>
    <w:rsid w:val="00FF7F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293F"/>
    <w:rPr>
      <w:sz w:val="24"/>
      <w:szCs w:val="24"/>
    </w:rPr>
  </w:style>
  <w:style w:type="paragraph" w:styleId="Titolo1">
    <w:name w:val="heading 1"/>
    <w:basedOn w:val="Normale"/>
    <w:next w:val="Normale"/>
    <w:link w:val="Titolo1Carattere"/>
    <w:uiPriority w:val="99"/>
    <w:qFormat/>
    <w:rsid w:val="008C286E"/>
    <w:pPr>
      <w:keepNext/>
      <w:spacing w:after="120"/>
      <w:jc w:val="both"/>
      <w:outlineLvl w:val="0"/>
    </w:pPr>
    <w:rPr>
      <w:rFonts w:ascii="Cambria" w:hAnsi="Cambria"/>
      <w:b/>
      <w:sz w:val="32"/>
    </w:rPr>
  </w:style>
  <w:style w:type="paragraph" w:styleId="Titolo2">
    <w:name w:val="heading 2"/>
    <w:basedOn w:val="Normale"/>
    <w:next w:val="Normale"/>
    <w:link w:val="Titolo2Carattere"/>
    <w:uiPriority w:val="9"/>
    <w:semiHidden/>
    <w:unhideWhenUsed/>
    <w:qFormat/>
    <w:rsid w:val="008C28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8C286E"/>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9"/>
    <w:qFormat/>
    <w:rsid w:val="008C286E"/>
    <w:pPr>
      <w:keepNext/>
      <w:keepLines/>
      <w:spacing w:before="200"/>
      <w:outlineLvl w:val="3"/>
    </w:pPr>
    <w:rPr>
      <w:rFonts w:ascii="Cambria" w:hAnsi="Cambria"/>
      <w:b/>
      <w:bCs/>
      <w:i/>
      <w:iCs/>
      <w:color w:val="4F81BD"/>
    </w:rPr>
  </w:style>
  <w:style w:type="paragraph" w:styleId="Titolo5">
    <w:name w:val="heading 5"/>
    <w:basedOn w:val="Normale"/>
    <w:next w:val="Normale"/>
    <w:link w:val="Titolo5Carattere"/>
    <w:uiPriority w:val="9"/>
    <w:semiHidden/>
    <w:unhideWhenUsed/>
    <w:qFormat/>
    <w:rsid w:val="008C286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C286E"/>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8C286E"/>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8C286E"/>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8C286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rsid w:val="008C286E"/>
    <w:rPr>
      <w:rFonts w:ascii="Cambria" w:hAnsi="Cambria" w:cs="Times New Roman"/>
      <w:b/>
      <w:sz w:val="32"/>
    </w:rPr>
  </w:style>
  <w:style w:type="paragraph" w:styleId="Corpodeltesto">
    <w:name w:val="Body Text"/>
    <w:basedOn w:val="Normale"/>
    <w:link w:val="CorpodeltestoCarattere"/>
    <w:uiPriority w:val="99"/>
    <w:rsid w:val="008C286E"/>
    <w:pPr>
      <w:spacing w:line="360" w:lineRule="auto"/>
    </w:pPr>
  </w:style>
  <w:style w:type="character" w:customStyle="1" w:styleId="CorpodeltestoCarattere">
    <w:name w:val="Corpo del testo Carattere"/>
    <w:link w:val="Corpodeltesto"/>
    <w:uiPriority w:val="99"/>
    <w:rsid w:val="008C286E"/>
    <w:rPr>
      <w:rFonts w:cs="Times New Roman"/>
      <w:sz w:val="20"/>
    </w:rPr>
  </w:style>
  <w:style w:type="paragraph" w:styleId="Pidipagina">
    <w:name w:val="footer"/>
    <w:basedOn w:val="Normale"/>
    <w:link w:val="PidipaginaCarattere"/>
    <w:uiPriority w:val="99"/>
    <w:rsid w:val="008C286E"/>
    <w:pPr>
      <w:tabs>
        <w:tab w:val="center" w:pos="4818"/>
        <w:tab w:val="right" w:pos="9637"/>
      </w:tabs>
      <w:jc w:val="both"/>
    </w:pPr>
  </w:style>
  <w:style w:type="character" w:customStyle="1" w:styleId="PidipaginaCarattere">
    <w:name w:val="Piè di pagina Carattere"/>
    <w:link w:val="Pidipagina"/>
    <w:uiPriority w:val="99"/>
    <w:rsid w:val="008C286E"/>
    <w:rPr>
      <w:rFonts w:cs="Times New Roman"/>
      <w:sz w:val="20"/>
    </w:rPr>
  </w:style>
  <w:style w:type="character" w:styleId="Collegamentoipertestuale">
    <w:name w:val="Hyperlink"/>
    <w:uiPriority w:val="99"/>
    <w:rsid w:val="008C286E"/>
    <w:rPr>
      <w:rFonts w:cs="Times New Roman"/>
      <w:color w:val="0000FF"/>
      <w:u w:val="single"/>
    </w:rPr>
  </w:style>
  <w:style w:type="paragraph" w:styleId="Intestazione">
    <w:name w:val="header"/>
    <w:basedOn w:val="Normale"/>
    <w:link w:val="IntestazioneCarattere"/>
    <w:uiPriority w:val="99"/>
    <w:rsid w:val="008C286E"/>
    <w:pPr>
      <w:tabs>
        <w:tab w:val="center" w:pos="4819"/>
        <w:tab w:val="right" w:pos="9638"/>
      </w:tabs>
    </w:pPr>
  </w:style>
  <w:style w:type="character" w:customStyle="1" w:styleId="IntestazioneCarattere">
    <w:name w:val="Intestazione Carattere"/>
    <w:link w:val="Intestazione"/>
    <w:uiPriority w:val="99"/>
    <w:rsid w:val="008C286E"/>
    <w:rPr>
      <w:rFonts w:cs="Times New Roman"/>
      <w:sz w:val="20"/>
    </w:rPr>
  </w:style>
  <w:style w:type="character" w:styleId="Numeropagina">
    <w:name w:val="page number"/>
    <w:uiPriority w:val="99"/>
    <w:rsid w:val="008C286E"/>
    <w:rPr>
      <w:rFonts w:cs="Times New Roman"/>
    </w:rPr>
  </w:style>
  <w:style w:type="paragraph" w:styleId="Testofumetto">
    <w:name w:val="Balloon Text"/>
    <w:basedOn w:val="Normale"/>
    <w:link w:val="TestofumettoCarattere"/>
    <w:uiPriority w:val="99"/>
    <w:semiHidden/>
    <w:rsid w:val="008C286E"/>
    <w:rPr>
      <w:sz w:val="2"/>
    </w:rPr>
  </w:style>
  <w:style w:type="character" w:customStyle="1" w:styleId="TestofumettoCarattere">
    <w:name w:val="Testo fumetto Carattere"/>
    <w:link w:val="Testofumetto"/>
    <w:uiPriority w:val="99"/>
    <w:semiHidden/>
    <w:rsid w:val="008C286E"/>
    <w:rPr>
      <w:rFonts w:cs="Times New Roman"/>
      <w:sz w:val="2"/>
    </w:rPr>
  </w:style>
  <w:style w:type="paragraph" w:styleId="NormaleWeb">
    <w:name w:val="Normal (Web)"/>
    <w:basedOn w:val="Normale"/>
    <w:uiPriority w:val="99"/>
    <w:rsid w:val="008C286E"/>
  </w:style>
  <w:style w:type="paragraph" w:styleId="PreformattatoHTML">
    <w:name w:val="HTML Preformatted"/>
    <w:basedOn w:val="Normale"/>
    <w:link w:val="PreformattatoHTMLCarattere"/>
    <w:uiPriority w:val="99"/>
    <w:rsid w:val="008C2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formattatoHTMLCarattere">
    <w:name w:val="Preformattato HTML Carattere"/>
    <w:link w:val="PreformattatoHTML"/>
    <w:uiPriority w:val="99"/>
    <w:semiHidden/>
    <w:rsid w:val="008C286E"/>
    <w:rPr>
      <w:rFonts w:ascii="Courier New" w:hAnsi="Courier New" w:cs="Times New Roman"/>
      <w:sz w:val="20"/>
    </w:rPr>
  </w:style>
  <w:style w:type="character" w:styleId="Enfasigrassetto">
    <w:name w:val="Strong"/>
    <w:uiPriority w:val="99"/>
    <w:qFormat/>
    <w:rsid w:val="008C286E"/>
    <w:rPr>
      <w:rFonts w:cs="Times New Roman"/>
      <w:b/>
    </w:rPr>
  </w:style>
  <w:style w:type="table" w:styleId="Grigliatabella">
    <w:name w:val="Table Grid"/>
    <w:basedOn w:val="Tabellanormale"/>
    <w:uiPriority w:val="99"/>
    <w:rsid w:val="008C28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uiPriority w:val="99"/>
    <w:rsid w:val="008C286E"/>
  </w:style>
  <w:style w:type="paragraph" w:styleId="Testonotaapidipagina">
    <w:name w:val="footnote text"/>
    <w:basedOn w:val="Normale"/>
    <w:link w:val="TestonotaapidipaginaCarattere"/>
    <w:uiPriority w:val="99"/>
    <w:rsid w:val="008C286E"/>
  </w:style>
  <w:style w:type="character" w:customStyle="1" w:styleId="TestonotaapidipaginaCarattere">
    <w:name w:val="Testo nota a piè di pagina Carattere"/>
    <w:link w:val="Testonotaapidipagina"/>
    <w:uiPriority w:val="99"/>
    <w:rsid w:val="008C286E"/>
    <w:rPr>
      <w:rFonts w:cs="Times New Roman"/>
      <w:sz w:val="20"/>
    </w:rPr>
  </w:style>
  <w:style w:type="character" w:styleId="Rimandonotaapidipagina">
    <w:name w:val="footnote reference"/>
    <w:uiPriority w:val="99"/>
    <w:rsid w:val="008C286E"/>
    <w:rPr>
      <w:rFonts w:cs="Times New Roman"/>
      <w:vertAlign w:val="superscript"/>
    </w:rPr>
  </w:style>
  <w:style w:type="character" w:styleId="Enfasicorsivo">
    <w:name w:val="Emphasis"/>
    <w:uiPriority w:val="20"/>
    <w:qFormat/>
    <w:rsid w:val="008C286E"/>
    <w:rPr>
      <w:rFonts w:cs="Times New Roman"/>
      <w:i/>
    </w:rPr>
  </w:style>
  <w:style w:type="paragraph" w:customStyle="1" w:styleId="Grigliamedia1-Colore21">
    <w:name w:val="Griglia media 1 - Colore 21"/>
    <w:basedOn w:val="Normale"/>
    <w:uiPriority w:val="34"/>
    <w:qFormat/>
    <w:rsid w:val="008C286E"/>
    <w:pPr>
      <w:ind w:left="720"/>
      <w:contextualSpacing/>
    </w:pPr>
  </w:style>
  <w:style w:type="character" w:styleId="Rimandocommento">
    <w:name w:val="annotation reference"/>
    <w:uiPriority w:val="99"/>
    <w:semiHidden/>
    <w:unhideWhenUsed/>
    <w:rsid w:val="008C286E"/>
    <w:rPr>
      <w:sz w:val="16"/>
      <w:szCs w:val="16"/>
    </w:rPr>
  </w:style>
  <w:style w:type="paragraph" w:styleId="Testocommento">
    <w:name w:val="annotation text"/>
    <w:basedOn w:val="Normale"/>
    <w:link w:val="TestocommentoCarattere"/>
    <w:uiPriority w:val="99"/>
    <w:semiHidden/>
    <w:unhideWhenUsed/>
    <w:rsid w:val="00E338F3"/>
    <w:rPr>
      <w:sz w:val="20"/>
      <w:szCs w:val="20"/>
    </w:rPr>
  </w:style>
  <w:style w:type="character" w:customStyle="1" w:styleId="TestocommentoCarattere">
    <w:name w:val="Testo commento Carattere"/>
    <w:link w:val="Testocommento"/>
    <w:uiPriority w:val="99"/>
    <w:semiHidden/>
    <w:rsid w:val="008C286E"/>
    <w:rPr>
      <w:sz w:val="20"/>
      <w:szCs w:val="20"/>
    </w:rPr>
  </w:style>
  <w:style w:type="paragraph" w:styleId="Soggettocommento">
    <w:name w:val="annotation subject"/>
    <w:basedOn w:val="Testocommento"/>
    <w:next w:val="Testocommento"/>
    <w:link w:val="SoggettocommentoCarattere"/>
    <w:uiPriority w:val="99"/>
    <w:semiHidden/>
    <w:unhideWhenUsed/>
    <w:rsid w:val="008C286E"/>
    <w:rPr>
      <w:b/>
      <w:bCs/>
    </w:rPr>
  </w:style>
  <w:style w:type="character" w:customStyle="1" w:styleId="SoggettocommentoCarattere">
    <w:name w:val="Soggetto commento Carattere"/>
    <w:link w:val="Soggettocommento"/>
    <w:uiPriority w:val="99"/>
    <w:semiHidden/>
    <w:rsid w:val="008C286E"/>
    <w:rPr>
      <w:b/>
      <w:bCs/>
      <w:sz w:val="20"/>
      <w:szCs w:val="20"/>
    </w:rPr>
  </w:style>
  <w:style w:type="paragraph" w:styleId="Sottotitolo">
    <w:name w:val="Subtitle"/>
    <w:basedOn w:val="Normale"/>
    <w:next w:val="Normale"/>
    <w:link w:val="SottotitoloCarattere"/>
    <w:uiPriority w:val="99"/>
    <w:qFormat/>
    <w:rsid w:val="008C286E"/>
    <w:pPr>
      <w:numPr>
        <w:ilvl w:val="1"/>
      </w:numPr>
    </w:pPr>
    <w:rPr>
      <w:rFonts w:ascii="Cambria" w:hAnsi="Cambria"/>
      <w:i/>
      <w:iCs/>
      <w:color w:val="4F81BD"/>
      <w:spacing w:val="15"/>
    </w:rPr>
  </w:style>
  <w:style w:type="character" w:customStyle="1" w:styleId="SottotitoloCarattere">
    <w:name w:val="Sottotitolo Carattere"/>
    <w:link w:val="Sottotitolo"/>
    <w:uiPriority w:val="99"/>
    <w:rsid w:val="008C286E"/>
    <w:rPr>
      <w:rFonts w:ascii="Cambria" w:eastAsia="Times New Roman" w:hAnsi="Cambria" w:cs="Times New Roman"/>
      <w:i/>
      <w:iCs/>
      <w:color w:val="4F81BD"/>
      <w:spacing w:val="15"/>
      <w:sz w:val="24"/>
      <w:szCs w:val="24"/>
    </w:rPr>
  </w:style>
  <w:style w:type="character" w:customStyle="1" w:styleId="Titolo4Carattere">
    <w:name w:val="Titolo 4 Carattere"/>
    <w:link w:val="Titolo4"/>
    <w:uiPriority w:val="9"/>
    <w:rsid w:val="008C286E"/>
    <w:rPr>
      <w:rFonts w:ascii="Cambria" w:eastAsia="Times New Roman" w:hAnsi="Cambria" w:cs="Times New Roman"/>
      <w:b/>
      <w:bCs/>
      <w:i/>
      <w:iCs/>
      <w:color w:val="4F81BD"/>
      <w:sz w:val="20"/>
      <w:szCs w:val="20"/>
    </w:rPr>
  </w:style>
  <w:style w:type="paragraph" w:customStyle="1" w:styleId="Default">
    <w:name w:val="Default"/>
    <w:rsid w:val="008C286E"/>
    <w:rPr>
      <w:rFonts w:ascii="Arial Narrow" w:hAnsi="Arial Narrow"/>
      <w:color w:val="000000"/>
      <w:sz w:val="24"/>
      <w:szCs w:val="24"/>
    </w:rPr>
  </w:style>
  <w:style w:type="paragraph" w:customStyle="1" w:styleId="Paragrafobase">
    <w:name w:val="[Paragrafo base]"/>
    <w:basedOn w:val="Normale"/>
    <w:uiPriority w:val="99"/>
    <w:rsid w:val="008C286E"/>
    <w:pPr>
      <w:spacing w:line="288" w:lineRule="auto"/>
    </w:pPr>
    <w:rPr>
      <w:rFonts w:ascii="Times-Roman" w:hAnsi="Times-Roman" w:cs="Times-Roman"/>
      <w:color w:val="000000"/>
    </w:rPr>
  </w:style>
  <w:style w:type="table" w:customStyle="1" w:styleId="Grigliatabella1">
    <w:name w:val="Griglia tabella1"/>
    <w:basedOn w:val="Tabellanormale"/>
    <w:uiPriority w:val="99"/>
    <w:rsid w:val="008C2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1TitoGra">
    <w:name w:val="001TitoGra"/>
    <w:basedOn w:val="Normale"/>
    <w:uiPriority w:val="99"/>
    <w:qFormat/>
    <w:rsid w:val="008C286E"/>
    <w:pPr>
      <w:spacing w:line="240" w:lineRule="exact"/>
    </w:pPr>
    <w:rPr>
      <w:rFonts w:ascii="Arial Narrow" w:hAnsi="Arial Narrow" w:cs="Arial"/>
      <w:b/>
      <w:color w:val="5F5F5F"/>
      <w:sz w:val="22"/>
      <w:szCs w:val="22"/>
    </w:rPr>
  </w:style>
  <w:style w:type="paragraph" w:customStyle="1" w:styleId="001TitoloBolocco">
    <w:name w:val="001TitoloBolocco"/>
    <w:basedOn w:val="Titolo1"/>
    <w:link w:val="001TitoloBoloccoCarattere"/>
    <w:uiPriority w:val="99"/>
    <w:qFormat/>
    <w:rsid w:val="008C286E"/>
    <w:pPr>
      <w:pBdr>
        <w:bottom w:val="single" w:sz="18" w:space="1" w:color="E31C18"/>
      </w:pBdr>
      <w:spacing w:after="240" w:line="240" w:lineRule="exact"/>
    </w:pPr>
    <w:rPr>
      <w:rFonts w:ascii="Calibri" w:hAnsi="Calibri" w:cs="Arial"/>
      <w:bCs/>
      <w:caps/>
      <w:color w:val="000000"/>
      <w:sz w:val="26"/>
      <w:szCs w:val="28"/>
    </w:rPr>
  </w:style>
  <w:style w:type="character" w:customStyle="1" w:styleId="001TitoloBoloccoCarattere">
    <w:name w:val="001TitoloBolocco Carattere"/>
    <w:link w:val="001TitoloBolocco"/>
    <w:uiPriority w:val="99"/>
    <w:rsid w:val="008C286E"/>
    <w:rPr>
      <w:rFonts w:ascii="Calibri" w:hAnsi="Calibri" w:cs="Arial"/>
      <w:b/>
      <w:bCs/>
      <w:caps/>
      <w:color w:val="000000"/>
      <w:sz w:val="26"/>
      <w:szCs w:val="28"/>
    </w:rPr>
  </w:style>
  <w:style w:type="paragraph" w:customStyle="1" w:styleId="00TitoGra1">
    <w:name w:val="00TitoGra1"/>
    <w:basedOn w:val="Normale"/>
    <w:uiPriority w:val="99"/>
    <w:qFormat/>
    <w:rsid w:val="008C286E"/>
    <w:pPr>
      <w:spacing w:line="280" w:lineRule="exact"/>
    </w:pPr>
    <w:rPr>
      <w:rFonts w:ascii="Calibri" w:hAnsi="Calibri" w:cs="Arial"/>
      <w:b/>
      <w:color w:val="D90B13"/>
      <w:sz w:val="28"/>
      <w:szCs w:val="28"/>
    </w:rPr>
  </w:style>
  <w:style w:type="character" w:customStyle="1" w:styleId="001TitoGraRed">
    <w:name w:val="001TitoGraRed"/>
    <w:uiPriority w:val="1"/>
    <w:qFormat/>
    <w:rsid w:val="008C286E"/>
    <w:rPr>
      <w:color w:val="E31C18"/>
    </w:rPr>
  </w:style>
  <w:style w:type="paragraph" w:customStyle="1" w:styleId="001SottotitoloGra">
    <w:name w:val="001SottotitoloGra"/>
    <w:basedOn w:val="001TitoGra"/>
    <w:uiPriority w:val="99"/>
    <w:qFormat/>
    <w:rsid w:val="008C286E"/>
    <w:pPr>
      <w:spacing w:after="120"/>
    </w:pPr>
    <w:rPr>
      <w:b w:val="0"/>
      <w:sz w:val="20"/>
      <w:szCs w:val="20"/>
    </w:rPr>
  </w:style>
  <w:style w:type="paragraph" w:styleId="Rientrocorpodeltesto">
    <w:name w:val="Body Text Indent"/>
    <w:basedOn w:val="Normale"/>
    <w:link w:val="RientrocorpodeltestoCarattere"/>
    <w:uiPriority w:val="99"/>
    <w:semiHidden/>
    <w:unhideWhenUsed/>
    <w:rsid w:val="008C286E"/>
    <w:pPr>
      <w:spacing w:after="120"/>
      <w:ind w:left="283"/>
    </w:pPr>
  </w:style>
  <w:style w:type="character" w:customStyle="1" w:styleId="RientrocorpodeltestoCarattere">
    <w:name w:val="Rientro corpo del testo Carattere"/>
    <w:link w:val="Rientrocorpodeltesto"/>
    <w:uiPriority w:val="99"/>
    <w:semiHidden/>
    <w:rsid w:val="008C286E"/>
  </w:style>
  <w:style w:type="character" w:customStyle="1" w:styleId="St">
    <w:name w:val="St"/>
    <w:uiPriority w:val="99"/>
    <w:rsid w:val="008C286E"/>
  </w:style>
  <w:style w:type="character" w:customStyle="1" w:styleId="TestonotaapidipaginaCarattere1">
    <w:name w:val="Testo nota a piè di pagina Carattere1"/>
    <w:uiPriority w:val="99"/>
    <w:semiHidden/>
    <w:rsid w:val="008C286E"/>
    <w:rPr>
      <w:sz w:val="20"/>
    </w:rPr>
  </w:style>
  <w:style w:type="paragraph" w:customStyle="1" w:styleId="A">
    <w:name w:val="A"/>
    <w:basedOn w:val="Normale"/>
    <w:next w:val="Corpodeltesto"/>
    <w:uiPriority w:val="99"/>
    <w:rsid w:val="008C286E"/>
    <w:pPr>
      <w:jc w:val="both"/>
    </w:pPr>
    <w:rPr>
      <w:b/>
      <w:lang w:eastAsia="ar-SA"/>
    </w:rPr>
  </w:style>
  <w:style w:type="paragraph" w:styleId="Paragrafoelenco">
    <w:name w:val="List Paragraph"/>
    <w:basedOn w:val="Normale"/>
    <w:uiPriority w:val="34"/>
    <w:qFormat/>
    <w:rsid w:val="008C286E"/>
    <w:pPr>
      <w:ind w:left="720"/>
      <w:contextualSpacing/>
    </w:pPr>
  </w:style>
  <w:style w:type="character" w:customStyle="1" w:styleId="Object3">
    <w:name w:val="Object3"/>
    <w:basedOn w:val="Carpredefinitoparagrafo"/>
    <w:uiPriority w:val="99"/>
    <w:rsid w:val="008C286E"/>
  </w:style>
  <w:style w:type="character" w:customStyle="1" w:styleId="Object4">
    <w:name w:val="Object4"/>
    <w:basedOn w:val="Carpredefinitoparagrafo"/>
    <w:uiPriority w:val="99"/>
    <w:rsid w:val="008C286E"/>
  </w:style>
  <w:style w:type="paragraph" w:styleId="Nessunaspaziatura">
    <w:name w:val="No Spacing"/>
    <w:uiPriority w:val="1"/>
    <w:qFormat/>
    <w:rsid w:val="008C286E"/>
  </w:style>
  <w:style w:type="character" w:customStyle="1" w:styleId="Heading1Char">
    <w:name w:val="Heading 1 Char"/>
    <w:basedOn w:val="Carpredefinitoparagrafo"/>
    <w:uiPriority w:val="9"/>
    <w:rsid w:val="008C286E"/>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8C286E"/>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8C286E"/>
    <w:rPr>
      <w:rFonts w:asciiTheme="majorHAnsi" w:eastAsiaTheme="majorEastAsia" w:hAnsiTheme="majorHAnsi" w:cstheme="majorBidi"/>
      <w:b/>
      <w:bCs/>
      <w:color w:val="4F81BD" w:themeColor="accent1"/>
    </w:rPr>
  </w:style>
  <w:style w:type="character" w:customStyle="1" w:styleId="Heading4Char">
    <w:name w:val="Heading 4 Char"/>
    <w:basedOn w:val="Carpredefinitoparagrafo"/>
    <w:uiPriority w:val="9"/>
    <w:rsid w:val="008C286E"/>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rsid w:val="008C286E"/>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rsid w:val="008C286E"/>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rsid w:val="008C286E"/>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rsid w:val="008C286E"/>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rsid w:val="008C286E"/>
    <w:rPr>
      <w:rFonts w:asciiTheme="majorHAnsi" w:eastAsiaTheme="majorEastAsia" w:hAnsiTheme="majorHAnsi" w:cstheme="majorBidi"/>
      <w:i/>
      <w:iCs/>
      <w:color w:val="404040" w:themeColor="text1" w:themeTint="BF"/>
      <w:sz w:val="20"/>
      <w:szCs w:val="20"/>
    </w:rPr>
  </w:style>
  <w:style w:type="paragraph" w:styleId="Titolo">
    <w:name w:val="Title"/>
    <w:basedOn w:val="Normale"/>
    <w:next w:val="Normale"/>
    <w:link w:val="TitoloCarattere"/>
    <w:uiPriority w:val="10"/>
    <w:qFormat/>
    <w:rsid w:val="008C286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oloCarattere">
    <w:name w:val="Titolo Carattere"/>
    <w:basedOn w:val="Carpredefinitoparagrafo"/>
    <w:link w:val="Titolo"/>
    <w:uiPriority w:val="10"/>
    <w:rsid w:val="008C286E"/>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basedOn w:val="Carpredefinitoparagrafo"/>
    <w:uiPriority w:val="11"/>
    <w:rsid w:val="008C286E"/>
    <w:rPr>
      <w:rFonts w:asciiTheme="majorHAnsi" w:eastAsiaTheme="majorEastAsia" w:hAnsiTheme="majorHAnsi" w:cstheme="majorBidi"/>
      <w:i/>
      <w:iCs/>
      <w:color w:val="4F81BD" w:themeColor="accent1"/>
      <w:spacing w:val="15"/>
      <w:sz w:val="24"/>
      <w:szCs w:val="24"/>
    </w:rPr>
  </w:style>
  <w:style w:type="character" w:styleId="Enfasidelicata">
    <w:name w:val="Subtle Emphasis"/>
    <w:basedOn w:val="Carpredefinitoparagrafo"/>
    <w:uiPriority w:val="19"/>
    <w:qFormat/>
    <w:rsid w:val="008C286E"/>
    <w:rPr>
      <w:i/>
      <w:iCs/>
      <w:color w:val="808080" w:themeColor="text1" w:themeTint="7F"/>
    </w:rPr>
  </w:style>
  <w:style w:type="character" w:styleId="Enfasiintensa">
    <w:name w:val="Intense Emphasis"/>
    <w:basedOn w:val="Carpredefinitoparagrafo"/>
    <w:uiPriority w:val="21"/>
    <w:qFormat/>
    <w:rsid w:val="008C286E"/>
    <w:rPr>
      <w:b/>
      <w:bCs/>
      <w:i/>
      <w:iCs/>
      <w:color w:val="4F81BD" w:themeColor="accent1"/>
    </w:rPr>
  </w:style>
  <w:style w:type="paragraph" w:styleId="Citazione">
    <w:name w:val="Quote"/>
    <w:basedOn w:val="Normale"/>
    <w:next w:val="Normale"/>
    <w:link w:val="CitazioneCarattere"/>
    <w:uiPriority w:val="29"/>
    <w:qFormat/>
    <w:rsid w:val="008C286E"/>
    <w:rPr>
      <w:i/>
      <w:iCs/>
      <w:color w:val="000000" w:themeColor="text1"/>
    </w:rPr>
  </w:style>
  <w:style w:type="character" w:customStyle="1" w:styleId="CitazioneCarattere">
    <w:name w:val="Citazione Carattere"/>
    <w:basedOn w:val="Carpredefinitoparagrafo"/>
    <w:link w:val="Citazione"/>
    <w:uiPriority w:val="29"/>
    <w:rsid w:val="008C286E"/>
    <w:rPr>
      <w:i/>
      <w:iCs/>
      <w:color w:val="000000" w:themeColor="text1"/>
    </w:rPr>
  </w:style>
  <w:style w:type="paragraph" w:styleId="Citazioneintensa">
    <w:name w:val="Intense Quote"/>
    <w:basedOn w:val="Normale"/>
    <w:next w:val="Normale"/>
    <w:link w:val="CitazioneintensaCarattere"/>
    <w:uiPriority w:val="30"/>
    <w:qFormat/>
    <w:rsid w:val="008C286E"/>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8C286E"/>
    <w:rPr>
      <w:b/>
      <w:bCs/>
      <w:i/>
      <w:iCs/>
      <w:color w:val="4F81BD" w:themeColor="accent1"/>
    </w:rPr>
  </w:style>
  <w:style w:type="character" w:styleId="Riferimentodelicato">
    <w:name w:val="Subtle Reference"/>
    <w:basedOn w:val="Carpredefinitoparagrafo"/>
    <w:uiPriority w:val="31"/>
    <w:qFormat/>
    <w:rsid w:val="008C286E"/>
    <w:rPr>
      <w:smallCaps/>
      <w:color w:val="C0504D" w:themeColor="accent2"/>
      <w:u w:val="single"/>
    </w:rPr>
  </w:style>
  <w:style w:type="character" w:styleId="Riferimentointenso">
    <w:name w:val="Intense Reference"/>
    <w:basedOn w:val="Carpredefinitoparagrafo"/>
    <w:uiPriority w:val="32"/>
    <w:qFormat/>
    <w:rsid w:val="008C286E"/>
    <w:rPr>
      <w:b/>
      <w:bCs/>
      <w:smallCaps/>
      <w:color w:val="C0504D" w:themeColor="accent2"/>
      <w:spacing w:val="5"/>
      <w:u w:val="single"/>
    </w:rPr>
  </w:style>
  <w:style w:type="character" w:styleId="Titolodellibro">
    <w:name w:val="Book Title"/>
    <w:basedOn w:val="Carpredefinitoparagrafo"/>
    <w:uiPriority w:val="33"/>
    <w:qFormat/>
    <w:rsid w:val="008C286E"/>
    <w:rPr>
      <w:b/>
      <w:bCs/>
      <w:smallCaps/>
      <w:spacing w:val="5"/>
    </w:rPr>
  </w:style>
  <w:style w:type="character" w:customStyle="1" w:styleId="FootnoteTextChar">
    <w:name w:val="Footnote Text Char"/>
    <w:basedOn w:val="Carpredefinitoparagrafo"/>
    <w:uiPriority w:val="99"/>
    <w:semiHidden/>
    <w:rsid w:val="008C286E"/>
    <w:rPr>
      <w:sz w:val="20"/>
      <w:szCs w:val="20"/>
    </w:rPr>
  </w:style>
  <w:style w:type="paragraph" w:styleId="Testonotadichiusura">
    <w:name w:val="endnote text"/>
    <w:basedOn w:val="Normale"/>
    <w:link w:val="TestonotadichiusuraCarattere"/>
    <w:uiPriority w:val="99"/>
    <w:semiHidden/>
    <w:unhideWhenUsed/>
    <w:rsid w:val="008C286E"/>
  </w:style>
  <w:style w:type="character" w:customStyle="1" w:styleId="TestonotadichiusuraCarattere">
    <w:name w:val="Testo nota di chiusura Carattere"/>
    <w:basedOn w:val="Carpredefinitoparagrafo"/>
    <w:link w:val="Testonotadichiusura"/>
    <w:uiPriority w:val="99"/>
    <w:semiHidden/>
    <w:rsid w:val="008C286E"/>
    <w:rPr>
      <w:sz w:val="20"/>
      <w:szCs w:val="20"/>
    </w:rPr>
  </w:style>
  <w:style w:type="character" w:styleId="Rimandonotadichiusura">
    <w:name w:val="endnote reference"/>
    <w:basedOn w:val="Carpredefinitoparagrafo"/>
    <w:uiPriority w:val="99"/>
    <w:semiHidden/>
    <w:unhideWhenUsed/>
    <w:rsid w:val="008C286E"/>
    <w:rPr>
      <w:vertAlign w:val="superscript"/>
    </w:rPr>
  </w:style>
  <w:style w:type="paragraph" w:styleId="Testonormale">
    <w:name w:val="Plain Text"/>
    <w:basedOn w:val="Normale"/>
    <w:link w:val="TestonormaleCarattere"/>
    <w:uiPriority w:val="99"/>
    <w:semiHidden/>
    <w:unhideWhenUsed/>
    <w:rsid w:val="008C286E"/>
    <w:rPr>
      <w:rFonts w:ascii="Courier New" w:hAnsi="Courier New" w:cs="Courier New"/>
      <w:sz w:val="21"/>
      <w:szCs w:val="21"/>
    </w:rPr>
  </w:style>
  <w:style w:type="character" w:customStyle="1" w:styleId="TestonormaleCarattere">
    <w:name w:val="Testo normale Carattere"/>
    <w:basedOn w:val="Carpredefinitoparagrafo"/>
    <w:link w:val="Testonormale"/>
    <w:uiPriority w:val="99"/>
    <w:rsid w:val="008C286E"/>
    <w:rPr>
      <w:rFonts w:ascii="Courier New" w:hAnsi="Courier New" w:cs="Courier New"/>
      <w:sz w:val="21"/>
      <w:szCs w:val="21"/>
    </w:rPr>
  </w:style>
  <w:style w:type="paragraph" w:styleId="Indirizzodestinatario">
    <w:name w:val="envelope address"/>
    <w:basedOn w:val="Normale"/>
    <w:uiPriority w:val="99"/>
    <w:unhideWhenUsed/>
    <w:rsid w:val="008C286E"/>
    <w:pPr>
      <w:ind w:left="2880"/>
    </w:pPr>
    <w:rPr>
      <w:rFonts w:asciiTheme="majorHAnsi" w:eastAsiaTheme="majorEastAsia" w:hAnsiTheme="majorHAnsi" w:cstheme="majorBidi"/>
    </w:rPr>
  </w:style>
  <w:style w:type="paragraph" w:styleId="Indirizzomittente">
    <w:name w:val="envelope return"/>
    <w:basedOn w:val="Normale"/>
    <w:uiPriority w:val="99"/>
    <w:unhideWhenUsed/>
    <w:rsid w:val="008C286E"/>
    <w:rPr>
      <w:rFonts w:asciiTheme="majorHAnsi" w:eastAsiaTheme="majorEastAsia" w:hAnsiTheme="majorHAnsi" w:cstheme="majorBidi"/>
    </w:rPr>
  </w:style>
  <w:style w:type="character" w:styleId="Collegamentovisitato">
    <w:name w:val="FollowedHyperlink"/>
    <w:basedOn w:val="Carpredefinitoparagrafo"/>
    <w:uiPriority w:val="99"/>
    <w:semiHidden/>
    <w:unhideWhenUsed/>
    <w:rsid w:val="00984069"/>
    <w:rPr>
      <w:color w:val="800080" w:themeColor="followedHyperlink"/>
      <w:u w:val="single"/>
    </w:rPr>
  </w:style>
  <w:style w:type="character" w:customStyle="1" w:styleId="object">
    <w:name w:val="object"/>
    <w:basedOn w:val="Carpredefinitoparagrafo"/>
    <w:rsid w:val="003960B2"/>
  </w:style>
  <w:style w:type="character" w:customStyle="1" w:styleId="seocontent">
    <w:name w:val="seocontent"/>
    <w:basedOn w:val="Carpredefinitoparagrafo"/>
    <w:rsid w:val="00767D50"/>
  </w:style>
  <w:style w:type="character" w:customStyle="1" w:styleId="apple-converted-space">
    <w:name w:val="apple-converted-space"/>
    <w:basedOn w:val="Carpredefinitoparagrafo"/>
    <w:rsid w:val="0043457D"/>
  </w:style>
  <w:style w:type="paragraph" w:styleId="Mappadocumento">
    <w:name w:val="Document Map"/>
    <w:basedOn w:val="Normale"/>
    <w:link w:val="MappadocumentoCarattere"/>
    <w:uiPriority w:val="99"/>
    <w:semiHidden/>
    <w:unhideWhenUsed/>
    <w:rsid w:val="0048397C"/>
  </w:style>
  <w:style w:type="character" w:customStyle="1" w:styleId="MappadocumentoCarattere">
    <w:name w:val="Mappa documento Carattere"/>
    <w:basedOn w:val="Carpredefinitoparagrafo"/>
    <w:link w:val="Mappadocumento"/>
    <w:uiPriority w:val="99"/>
    <w:semiHidden/>
    <w:rsid w:val="0048397C"/>
    <w:rPr>
      <w:sz w:val="24"/>
      <w:szCs w:val="24"/>
    </w:rPr>
  </w:style>
  <w:style w:type="paragraph" w:styleId="Revisione">
    <w:name w:val="Revision"/>
    <w:hidden/>
    <w:uiPriority w:val="99"/>
    <w:semiHidden/>
    <w:rsid w:val="0089453E"/>
    <w:rPr>
      <w:sz w:val="24"/>
      <w:szCs w:val="24"/>
    </w:rPr>
  </w:style>
  <w:style w:type="character" w:customStyle="1" w:styleId="markedcontent">
    <w:name w:val="markedcontent"/>
    <w:basedOn w:val="Carpredefinitoparagrafo"/>
    <w:rsid w:val="008A3444"/>
  </w:style>
  <w:style w:type="paragraph" w:customStyle="1" w:styleId="oj-doc-ti">
    <w:name w:val="oj-doc-ti"/>
    <w:basedOn w:val="Normale"/>
    <w:rsid w:val="00AF02B8"/>
    <w:pPr>
      <w:spacing w:before="100" w:beforeAutospacing="1" w:after="100" w:afterAutospacing="1"/>
    </w:pPr>
  </w:style>
  <w:style w:type="paragraph" w:customStyle="1" w:styleId="doc-ti">
    <w:name w:val="doc-ti"/>
    <w:basedOn w:val="Normale"/>
    <w:rsid w:val="00BA60AD"/>
    <w:pPr>
      <w:spacing w:before="100" w:beforeAutospacing="1" w:after="100" w:afterAutospacing="1"/>
    </w:pPr>
  </w:style>
  <w:style w:type="paragraph" w:styleId="Puntoelenco2">
    <w:name w:val="List Bullet 2"/>
    <w:aliases w:val="22 List Bullet 2,BulletList3"/>
    <w:basedOn w:val="Normale"/>
    <w:qFormat/>
    <w:rsid w:val="00A135F2"/>
    <w:pPr>
      <w:numPr>
        <w:numId w:val="32"/>
      </w:numPr>
      <w:tabs>
        <w:tab w:val="left" w:pos="1276"/>
      </w:tabs>
      <w:spacing w:after="60" w:line="236" w:lineRule="atLeast"/>
      <w:ind w:left="1276"/>
      <w:jc w:val="both"/>
    </w:pPr>
    <w:rPr>
      <w:rFonts w:ascii="Arial" w:eastAsia="Calibri" w:hAnsi="Arial" w:cs="Arial"/>
      <w:bCs/>
      <w:sz w:val="19"/>
      <w:szCs w:val="19"/>
      <w:lang w:val="en-GB" w:eastAsia="en-US"/>
    </w:rPr>
  </w:style>
  <w:style w:type="paragraph" w:customStyle="1" w:styleId="BodyTextbullitminus">
    <w:name w:val="Body Text bullit  minus"/>
    <w:basedOn w:val="Puntoelenco2"/>
    <w:link w:val="BodyTextbullitminusChar"/>
    <w:uiPriority w:val="1"/>
    <w:qFormat/>
    <w:rsid w:val="00A135F2"/>
    <w:pPr>
      <w:tabs>
        <w:tab w:val="clear" w:pos="1276"/>
        <w:tab w:val="left" w:pos="1418"/>
      </w:tabs>
      <w:ind w:left="1211"/>
    </w:pPr>
  </w:style>
  <w:style w:type="character" w:customStyle="1" w:styleId="BodyTextbullitminusChar">
    <w:name w:val="Body Text bullit  minus Char"/>
    <w:basedOn w:val="Carpredefinitoparagrafo"/>
    <w:link w:val="BodyTextbullitminus"/>
    <w:uiPriority w:val="1"/>
    <w:rsid w:val="00A135F2"/>
    <w:rPr>
      <w:rFonts w:ascii="Arial" w:eastAsia="Calibri" w:hAnsi="Arial" w:cs="Arial"/>
      <w:bCs/>
      <w:sz w:val="19"/>
      <w:szCs w:val="19"/>
      <w:lang w:val="en-GB" w:eastAsia="en-US"/>
    </w:rPr>
  </w:style>
</w:styles>
</file>

<file path=word/webSettings.xml><?xml version="1.0" encoding="utf-8"?>
<w:webSettings xmlns:r="http://schemas.openxmlformats.org/officeDocument/2006/relationships" xmlns:w="http://schemas.openxmlformats.org/wordprocessingml/2006/main">
  <w:divs>
    <w:div w:id="1666722">
      <w:bodyDiv w:val="1"/>
      <w:marLeft w:val="0"/>
      <w:marRight w:val="0"/>
      <w:marTop w:val="0"/>
      <w:marBottom w:val="0"/>
      <w:divBdr>
        <w:top w:val="none" w:sz="0" w:space="0" w:color="auto"/>
        <w:left w:val="none" w:sz="0" w:space="0" w:color="auto"/>
        <w:bottom w:val="none" w:sz="0" w:space="0" w:color="auto"/>
        <w:right w:val="none" w:sz="0" w:space="0" w:color="auto"/>
      </w:divBdr>
      <w:divsChild>
        <w:div w:id="1411269190">
          <w:marLeft w:val="0"/>
          <w:marRight w:val="0"/>
          <w:marTop w:val="0"/>
          <w:marBottom w:val="0"/>
          <w:divBdr>
            <w:top w:val="none" w:sz="0" w:space="0" w:color="auto"/>
            <w:left w:val="none" w:sz="0" w:space="0" w:color="auto"/>
            <w:bottom w:val="none" w:sz="0" w:space="0" w:color="auto"/>
            <w:right w:val="none" w:sz="0" w:space="0" w:color="auto"/>
          </w:divBdr>
          <w:divsChild>
            <w:div w:id="757673392">
              <w:marLeft w:val="0"/>
              <w:marRight w:val="0"/>
              <w:marTop w:val="0"/>
              <w:marBottom w:val="0"/>
              <w:divBdr>
                <w:top w:val="none" w:sz="0" w:space="0" w:color="auto"/>
                <w:left w:val="none" w:sz="0" w:space="0" w:color="auto"/>
                <w:bottom w:val="none" w:sz="0" w:space="0" w:color="auto"/>
                <w:right w:val="none" w:sz="0" w:space="0" w:color="auto"/>
              </w:divBdr>
              <w:divsChild>
                <w:div w:id="470173811">
                  <w:marLeft w:val="0"/>
                  <w:marRight w:val="0"/>
                  <w:marTop w:val="0"/>
                  <w:marBottom w:val="0"/>
                  <w:divBdr>
                    <w:top w:val="none" w:sz="0" w:space="0" w:color="auto"/>
                    <w:left w:val="none" w:sz="0" w:space="0" w:color="auto"/>
                    <w:bottom w:val="none" w:sz="0" w:space="0" w:color="auto"/>
                    <w:right w:val="none" w:sz="0" w:space="0" w:color="auto"/>
                  </w:divBdr>
                  <w:divsChild>
                    <w:div w:id="1443305995">
                      <w:marLeft w:val="0"/>
                      <w:marRight w:val="0"/>
                      <w:marTop w:val="0"/>
                      <w:marBottom w:val="0"/>
                      <w:divBdr>
                        <w:top w:val="none" w:sz="0" w:space="0" w:color="auto"/>
                        <w:left w:val="none" w:sz="0" w:space="0" w:color="auto"/>
                        <w:bottom w:val="none" w:sz="0" w:space="0" w:color="auto"/>
                        <w:right w:val="none" w:sz="0" w:space="0" w:color="auto"/>
                      </w:divBdr>
                    </w:div>
                  </w:divsChild>
                </w:div>
                <w:div w:id="1450590073">
                  <w:marLeft w:val="0"/>
                  <w:marRight w:val="0"/>
                  <w:marTop w:val="0"/>
                  <w:marBottom w:val="0"/>
                  <w:divBdr>
                    <w:top w:val="none" w:sz="0" w:space="0" w:color="auto"/>
                    <w:left w:val="none" w:sz="0" w:space="0" w:color="auto"/>
                    <w:bottom w:val="none" w:sz="0" w:space="0" w:color="auto"/>
                    <w:right w:val="none" w:sz="0" w:space="0" w:color="auto"/>
                  </w:divBdr>
                  <w:divsChild>
                    <w:div w:id="214685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486">
      <w:bodyDiv w:val="1"/>
      <w:marLeft w:val="0"/>
      <w:marRight w:val="0"/>
      <w:marTop w:val="0"/>
      <w:marBottom w:val="0"/>
      <w:divBdr>
        <w:top w:val="none" w:sz="0" w:space="0" w:color="auto"/>
        <w:left w:val="none" w:sz="0" w:space="0" w:color="auto"/>
        <w:bottom w:val="none" w:sz="0" w:space="0" w:color="auto"/>
        <w:right w:val="none" w:sz="0" w:space="0" w:color="auto"/>
      </w:divBdr>
    </w:div>
    <w:div w:id="6180447">
      <w:bodyDiv w:val="1"/>
      <w:marLeft w:val="0"/>
      <w:marRight w:val="0"/>
      <w:marTop w:val="0"/>
      <w:marBottom w:val="0"/>
      <w:divBdr>
        <w:top w:val="none" w:sz="0" w:space="0" w:color="auto"/>
        <w:left w:val="none" w:sz="0" w:space="0" w:color="auto"/>
        <w:bottom w:val="none" w:sz="0" w:space="0" w:color="auto"/>
        <w:right w:val="none" w:sz="0" w:space="0" w:color="auto"/>
      </w:divBdr>
    </w:div>
    <w:div w:id="23292396">
      <w:bodyDiv w:val="1"/>
      <w:marLeft w:val="0"/>
      <w:marRight w:val="0"/>
      <w:marTop w:val="0"/>
      <w:marBottom w:val="0"/>
      <w:divBdr>
        <w:top w:val="none" w:sz="0" w:space="0" w:color="auto"/>
        <w:left w:val="none" w:sz="0" w:space="0" w:color="auto"/>
        <w:bottom w:val="none" w:sz="0" w:space="0" w:color="auto"/>
        <w:right w:val="none" w:sz="0" w:space="0" w:color="auto"/>
      </w:divBdr>
    </w:div>
    <w:div w:id="29649862">
      <w:bodyDiv w:val="1"/>
      <w:marLeft w:val="0"/>
      <w:marRight w:val="0"/>
      <w:marTop w:val="0"/>
      <w:marBottom w:val="0"/>
      <w:divBdr>
        <w:top w:val="none" w:sz="0" w:space="0" w:color="auto"/>
        <w:left w:val="none" w:sz="0" w:space="0" w:color="auto"/>
        <w:bottom w:val="none" w:sz="0" w:space="0" w:color="auto"/>
        <w:right w:val="none" w:sz="0" w:space="0" w:color="auto"/>
      </w:divBdr>
    </w:div>
    <w:div w:id="58292022">
      <w:bodyDiv w:val="1"/>
      <w:marLeft w:val="0"/>
      <w:marRight w:val="0"/>
      <w:marTop w:val="0"/>
      <w:marBottom w:val="0"/>
      <w:divBdr>
        <w:top w:val="none" w:sz="0" w:space="0" w:color="auto"/>
        <w:left w:val="none" w:sz="0" w:space="0" w:color="auto"/>
        <w:bottom w:val="none" w:sz="0" w:space="0" w:color="auto"/>
        <w:right w:val="none" w:sz="0" w:space="0" w:color="auto"/>
      </w:divBdr>
    </w:div>
    <w:div w:id="69041894">
      <w:bodyDiv w:val="1"/>
      <w:marLeft w:val="0"/>
      <w:marRight w:val="0"/>
      <w:marTop w:val="0"/>
      <w:marBottom w:val="0"/>
      <w:divBdr>
        <w:top w:val="none" w:sz="0" w:space="0" w:color="auto"/>
        <w:left w:val="none" w:sz="0" w:space="0" w:color="auto"/>
        <w:bottom w:val="none" w:sz="0" w:space="0" w:color="auto"/>
        <w:right w:val="none" w:sz="0" w:space="0" w:color="auto"/>
      </w:divBdr>
    </w:div>
    <w:div w:id="72625743">
      <w:bodyDiv w:val="1"/>
      <w:marLeft w:val="0"/>
      <w:marRight w:val="0"/>
      <w:marTop w:val="0"/>
      <w:marBottom w:val="0"/>
      <w:divBdr>
        <w:top w:val="none" w:sz="0" w:space="0" w:color="auto"/>
        <w:left w:val="none" w:sz="0" w:space="0" w:color="auto"/>
        <w:bottom w:val="none" w:sz="0" w:space="0" w:color="auto"/>
        <w:right w:val="none" w:sz="0" w:space="0" w:color="auto"/>
      </w:divBdr>
    </w:div>
    <w:div w:id="111638430">
      <w:bodyDiv w:val="1"/>
      <w:marLeft w:val="0"/>
      <w:marRight w:val="0"/>
      <w:marTop w:val="0"/>
      <w:marBottom w:val="0"/>
      <w:divBdr>
        <w:top w:val="none" w:sz="0" w:space="0" w:color="auto"/>
        <w:left w:val="none" w:sz="0" w:space="0" w:color="auto"/>
        <w:bottom w:val="none" w:sz="0" w:space="0" w:color="auto"/>
        <w:right w:val="none" w:sz="0" w:space="0" w:color="auto"/>
      </w:divBdr>
    </w:div>
    <w:div w:id="123619020">
      <w:bodyDiv w:val="1"/>
      <w:marLeft w:val="0"/>
      <w:marRight w:val="0"/>
      <w:marTop w:val="0"/>
      <w:marBottom w:val="0"/>
      <w:divBdr>
        <w:top w:val="none" w:sz="0" w:space="0" w:color="auto"/>
        <w:left w:val="none" w:sz="0" w:space="0" w:color="auto"/>
        <w:bottom w:val="none" w:sz="0" w:space="0" w:color="auto"/>
        <w:right w:val="none" w:sz="0" w:space="0" w:color="auto"/>
      </w:divBdr>
    </w:div>
    <w:div w:id="131605602">
      <w:bodyDiv w:val="1"/>
      <w:marLeft w:val="0"/>
      <w:marRight w:val="0"/>
      <w:marTop w:val="0"/>
      <w:marBottom w:val="0"/>
      <w:divBdr>
        <w:top w:val="none" w:sz="0" w:space="0" w:color="auto"/>
        <w:left w:val="none" w:sz="0" w:space="0" w:color="auto"/>
        <w:bottom w:val="none" w:sz="0" w:space="0" w:color="auto"/>
        <w:right w:val="none" w:sz="0" w:space="0" w:color="auto"/>
      </w:divBdr>
    </w:div>
    <w:div w:id="190531945">
      <w:bodyDiv w:val="1"/>
      <w:marLeft w:val="0"/>
      <w:marRight w:val="0"/>
      <w:marTop w:val="0"/>
      <w:marBottom w:val="0"/>
      <w:divBdr>
        <w:top w:val="none" w:sz="0" w:space="0" w:color="auto"/>
        <w:left w:val="none" w:sz="0" w:space="0" w:color="auto"/>
        <w:bottom w:val="none" w:sz="0" w:space="0" w:color="auto"/>
        <w:right w:val="none" w:sz="0" w:space="0" w:color="auto"/>
      </w:divBdr>
    </w:div>
    <w:div w:id="193345705">
      <w:bodyDiv w:val="1"/>
      <w:marLeft w:val="0"/>
      <w:marRight w:val="0"/>
      <w:marTop w:val="0"/>
      <w:marBottom w:val="0"/>
      <w:divBdr>
        <w:top w:val="none" w:sz="0" w:space="0" w:color="auto"/>
        <w:left w:val="none" w:sz="0" w:space="0" w:color="auto"/>
        <w:bottom w:val="none" w:sz="0" w:space="0" w:color="auto"/>
        <w:right w:val="none" w:sz="0" w:space="0" w:color="auto"/>
      </w:divBdr>
    </w:div>
    <w:div w:id="197011566">
      <w:bodyDiv w:val="1"/>
      <w:marLeft w:val="0"/>
      <w:marRight w:val="0"/>
      <w:marTop w:val="0"/>
      <w:marBottom w:val="0"/>
      <w:divBdr>
        <w:top w:val="none" w:sz="0" w:space="0" w:color="auto"/>
        <w:left w:val="none" w:sz="0" w:space="0" w:color="auto"/>
        <w:bottom w:val="none" w:sz="0" w:space="0" w:color="auto"/>
        <w:right w:val="none" w:sz="0" w:space="0" w:color="auto"/>
      </w:divBdr>
    </w:div>
    <w:div w:id="207953705">
      <w:bodyDiv w:val="1"/>
      <w:marLeft w:val="0"/>
      <w:marRight w:val="0"/>
      <w:marTop w:val="0"/>
      <w:marBottom w:val="0"/>
      <w:divBdr>
        <w:top w:val="none" w:sz="0" w:space="0" w:color="auto"/>
        <w:left w:val="none" w:sz="0" w:space="0" w:color="auto"/>
        <w:bottom w:val="none" w:sz="0" w:space="0" w:color="auto"/>
        <w:right w:val="none" w:sz="0" w:space="0" w:color="auto"/>
      </w:divBdr>
      <w:divsChild>
        <w:div w:id="1991400334">
          <w:marLeft w:val="0"/>
          <w:marRight w:val="0"/>
          <w:marTop w:val="0"/>
          <w:marBottom w:val="0"/>
          <w:divBdr>
            <w:top w:val="none" w:sz="0" w:space="0" w:color="auto"/>
            <w:left w:val="none" w:sz="0" w:space="0" w:color="auto"/>
            <w:bottom w:val="none" w:sz="0" w:space="0" w:color="auto"/>
            <w:right w:val="none" w:sz="0" w:space="0" w:color="auto"/>
          </w:divBdr>
          <w:divsChild>
            <w:div w:id="2014987602">
              <w:marLeft w:val="0"/>
              <w:marRight w:val="0"/>
              <w:marTop w:val="0"/>
              <w:marBottom w:val="0"/>
              <w:divBdr>
                <w:top w:val="none" w:sz="0" w:space="0" w:color="auto"/>
                <w:left w:val="none" w:sz="0" w:space="0" w:color="auto"/>
                <w:bottom w:val="none" w:sz="0" w:space="0" w:color="auto"/>
                <w:right w:val="none" w:sz="0" w:space="0" w:color="auto"/>
              </w:divBdr>
              <w:divsChild>
                <w:div w:id="153643006">
                  <w:marLeft w:val="0"/>
                  <w:marRight w:val="0"/>
                  <w:marTop w:val="0"/>
                  <w:marBottom w:val="0"/>
                  <w:divBdr>
                    <w:top w:val="none" w:sz="0" w:space="0" w:color="auto"/>
                    <w:left w:val="none" w:sz="0" w:space="0" w:color="auto"/>
                    <w:bottom w:val="none" w:sz="0" w:space="0" w:color="auto"/>
                    <w:right w:val="none" w:sz="0" w:space="0" w:color="auto"/>
                  </w:divBdr>
                  <w:divsChild>
                    <w:div w:id="1743211399">
                      <w:marLeft w:val="0"/>
                      <w:marRight w:val="0"/>
                      <w:marTop w:val="0"/>
                      <w:marBottom w:val="0"/>
                      <w:divBdr>
                        <w:top w:val="none" w:sz="0" w:space="0" w:color="auto"/>
                        <w:left w:val="none" w:sz="0" w:space="0" w:color="auto"/>
                        <w:bottom w:val="none" w:sz="0" w:space="0" w:color="auto"/>
                        <w:right w:val="none" w:sz="0" w:space="0" w:color="auto"/>
                      </w:divBdr>
                      <w:divsChild>
                        <w:div w:id="31106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66356">
                  <w:marLeft w:val="0"/>
                  <w:marRight w:val="0"/>
                  <w:marTop w:val="0"/>
                  <w:marBottom w:val="0"/>
                  <w:divBdr>
                    <w:top w:val="none" w:sz="0" w:space="0" w:color="auto"/>
                    <w:left w:val="none" w:sz="0" w:space="0" w:color="auto"/>
                    <w:bottom w:val="none" w:sz="0" w:space="0" w:color="auto"/>
                    <w:right w:val="none" w:sz="0" w:space="0" w:color="auto"/>
                  </w:divBdr>
                  <w:divsChild>
                    <w:div w:id="293602411">
                      <w:marLeft w:val="0"/>
                      <w:marRight w:val="0"/>
                      <w:marTop w:val="0"/>
                      <w:marBottom w:val="0"/>
                      <w:divBdr>
                        <w:top w:val="none" w:sz="0" w:space="0" w:color="auto"/>
                        <w:left w:val="none" w:sz="0" w:space="0" w:color="auto"/>
                        <w:bottom w:val="none" w:sz="0" w:space="0" w:color="auto"/>
                        <w:right w:val="none" w:sz="0" w:space="0" w:color="auto"/>
                      </w:divBdr>
                      <w:divsChild>
                        <w:div w:id="8289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11236">
                  <w:marLeft w:val="0"/>
                  <w:marRight w:val="0"/>
                  <w:marTop w:val="0"/>
                  <w:marBottom w:val="0"/>
                  <w:divBdr>
                    <w:top w:val="none" w:sz="0" w:space="0" w:color="auto"/>
                    <w:left w:val="none" w:sz="0" w:space="0" w:color="auto"/>
                    <w:bottom w:val="none" w:sz="0" w:space="0" w:color="auto"/>
                    <w:right w:val="none" w:sz="0" w:space="0" w:color="auto"/>
                  </w:divBdr>
                  <w:divsChild>
                    <w:div w:id="1674186560">
                      <w:marLeft w:val="0"/>
                      <w:marRight w:val="0"/>
                      <w:marTop w:val="0"/>
                      <w:marBottom w:val="0"/>
                      <w:divBdr>
                        <w:top w:val="none" w:sz="0" w:space="0" w:color="auto"/>
                        <w:left w:val="none" w:sz="0" w:space="0" w:color="auto"/>
                        <w:bottom w:val="none" w:sz="0" w:space="0" w:color="auto"/>
                        <w:right w:val="none" w:sz="0" w:space="0" w:color="auto"/>
                      </w:divBdr>
                      <w:divsChild>
                        <w:div w:id="206583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27150">
      <w:bodyDiv w:val="1"/>
      <w:marLeft w:val="0"/>
      <w:marRight w:val="0"/>
      <w:marTop w:val="0"/>
      <w:marBottom w:val="0"/>
      <w:divBdr>
        <w:top w:val="none" w:sz="0" w:space="0" w:color="auto"/>
        <w:left w:val="none" w:sz="0" w:space="0" w:color="auto"/>
        <w:bottom w:val="none" w:sz="0" w:space="0" w:color="auto"/>
        <w:right w:val="none" w:sz="0" w:space="0" w:color="auto"/>
      </w:divBdr>
    </w:div>
    <w:div w:id="217282464">
      <w:bodyDiv w:val="1"/>
      <w:marLeft w:val="0"/>
      <w:marRight w:val="0"/>
      <w:marTop w:val="0"/>
      <w:marBottom w:val="0"/>
      <w:divBdr>
        <w:top w:val="none" w:sz="0" w:space="0" w:color="auto"/>
        <w:left w:val="none" w:sz="0" w:space="0" w:color="auto"/>
        <w:bottom w:val="none" w:sz="0" w:space="0" w:color="auto"/>
        <w:right w:val="none" w:sz="0" w:space="0" w:color="auto"/>
      </w:divBdr>
    </w:div>
    <w:div w:id="224222885">
      <w:bodyDiv w:val="1"/>
      <w:marLeft w:val="0"/>
      <w:marRight w:val="0"/>
      <w:marTop w:val="0"/>
      <w:marBottom w:val="0"/>
      <w:divBdr>
        <w:top w:val="none" w:sz="0" w:space="0" w:color="auto"/>
        <w:left w:val="none" w:sz="0" w:space="0" w:color="auto"/>
        <w:bottom w:val="none" w:sz="0" w:space="0" w:color="auto"/>
        <w:right w:val="none" w:sz="0" w:space="0" w:color="auto"/>
      </w:divBdr>
    </w:div>
    <w:div w:id="225141597">
      <w:bodyDiv w:val="1"/>
      <w:marLeft w:val="0"/>
      <w:marRight w:val="0"/>
      <w:marTop w:val="0"/>
      <w:marBottom w:val="0"/>
      <w:divBdr>
        <w:top w:val="none" w:sz="0" w:space="0" w:color="auto"/>
        <w:left w:val="none" w:sz="0" w:space="0" w:color="auto"/>
        <w:bottom w:val="none" w:sz="0" w:space="0" w:color="auto"/>
        <w:right w:val="none" w:sz="0" w:space="0" w:color="auto"/>
      </w:divBdr>
      <w:divsChild>
        <w:div w:id="1180699192">
          <w:marLeft w:val="0"/>
          <w:marRight w:val="0"/>
          <w:marTop w:val="0"/>
          <w:marBottom w:val="0"/>
          <w:divBdr>
            <w:top w:val="none" w:sz="0" w:space="0" w:color="auto"/>
            <w:left w:val="none" w:sz="0" w:space="0" w:color="auto"/>
            <w:bottom w:val="none" w:sz="0" w:space="0" w:color="auto"/>
            <w:right w:val="none" w:sz="0" w:space="0" w:color="auto"/>
          </w:divBdr>
          <w:divsChild>
            <w:div w:id="1033700291">
              <w:marLeft w:val="0"/>
              <w:marRight w:val="0"/>
              <w:marTop w:val="0"/>
              <w:marBottom w:val="0"/>
              <w:divBdr>
                <w:top w:val="none" w:sz="0" w:space="0" w:color="auto"/>
                <w:left w:val="none" w:sz="0" w:space="0" w:color="auto"/>
                <w:bottom w:val="none" w:sz="0" w:space="0" w:color="auto"/>
                <w:right w:val="none" w:sz="0" w:space="0" w:color="auto"/>
              </w:divBdr>
              <w:divsChild>
                <w:div w:id="786001819">
                  <w:marLeft w:val="0"/>
                  <w:marRight w:val="0"/>
                  <w:marTop w:val="0"/>
                  <w:marBottom w:val="0"/>
                  <w:divBdr>
                    <w:top w:val="none" w:sz="0" w:space="0" w:color="auto"/>
                    <w:left w:val="none" w:sz="0" w:space="0" w:color="auto"/>
                    <w:bottom w:val="none" w:sz="0" w:space="0" w:color="auto"/>
                    <w:right w:val="none" w:sz="0" w:space="0" w:color="auto"/>
                  </w:divBdr>
                  <w:divsChild>
                    <w:div w:id="168008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235604">
      <w:bodyDiv w:val="1"/>
      <w:marLeft w:val="0"/>
      <w:marRight w:val="0"/>
      <w:marTop w:val="0"/>
      <w:marBottom w:val="0"/>
      <w:divBdr>
        <w:top w:val="none" w:sz="0" w:space="0" w:color="auto"/>
        <w:left w:val="none" w:sz="0" w:space="0" w:color="auto"/>
        <w:bottom w:val="none" w:sz="0" w:space="0" w:color="auto"/>
        <w:right w:val="none" w:sz="0" w:space="0" w:color="auto"/>
      </w:divBdr>
      <w:divsChild>
        <w:div w:id="521088550">
          <w:marLeft w:val="0"/>
          <w:marRight w:val="0"/>
          <w:marTop w:val="0"/>
          <w:marBottom w:val="0"/>
          <w:divBdr>
            <w:top w:val="none" w:sz="0" w:space="0" w:color="auto"/>
            <w:left w:val="none" w:sz="0" w:space="0" w:color="auto"/>
            <w:bottom w:val="none" w:sz="0" w:space="0" w:color="auto"/>
            <w:right w:val="none" w:sz="0" w:space="0" w:color="auto"/>
          </w:divBdr>
          <w:divsChild>
            <w:div w:id="857236911">
              <w:marLeft w:val="0"/>
              <w:marRight w:val="0"/>
              <w:marTop w:val="0"/>
              <w:marBottom w:val="0"/>
              <w:divBdr>
                <w:top w:val="none" w:sz="0" w:space="0" w:color="auto"/>
                <w:left w:val="none" w:sz="0" w:space="0" w:color="auto"/>
                <w:bottom w:val="none" w:sz="0" w:space="0" w:color="auto"/>
                <w:right w:val="none" w:sz="0" w:space="0" w:color="auto"/>
              </w:divBdr>
              <w:divsChild>
                <w:div w:id="59981926">
                  <w:marLeft w:val="0"/>
                  <w:marRight w:val="0"/>
                  <w:marTop w:val="0"/>
                  <w:marBottom w:val="0"/>
                  <w:divBdr>
                    <w:top w:val="none" w:sz="0" w:space="0" w:color="auto"/>
                    <w:left w:val="none" w:sz="0" w:space="0" w:color="auto"/>
                    <w:bottom w:val="none" w:sz="0" w:space="0" w:color="auto"/>
                    <w:right w:val="none" w:sz="0" w:space="0" w:color="auto"/>
                  </w:divBdr>
                  <w:divsChild>
                    <w:div w:id="58446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443218">
      <w:bodyDiv w:val="1"/>
      <w:marLeft w:val="0"/>
      <w:marRight w:val="0"/>
      <w:marTop w:val="0"/>
      <w:marBottom w:val="0"/>
      <w:divBdr>
        <w:top w:val="none" w:sz="0" w:space="0" w:color="auto"/>
        <w:left w:val="none" w:sz="0" w:space="0" w:color="auto"/>
        <w:bottom w:val="none" w:sz="0" w:space="0" w:color="auto"/>
        <w:right w:val="none" w:sz="0" w:space="0" w:color="auto"/>
      </w:divBdr>
    </w:div>
    <w:div w:id="238947615">
      <w:bodyDiv w:val="1"/>
      <w:marLeft w:val="0"/>
      <w:marRight w:val="0"/>
      <w:marTop w:val="0"/>
      <w:marBottom w:val="0"/>
      <w:divBdr>
        <w:top w:val="none" w:sz="0" w:space="0" w:color="auto"/>
        <w:left w:val="none" w:sz="0" w:space="0" w:color="auto"/>
        <w:bottom w:val="none" w:sz="0" w:space="0" w:color="auto"/>
        <w:right w:val="none" w:sz="0" w:space="0" w:color="auto"/>
      </w:divBdr>
      <w:divsChild>
        <w:div w:id="1301957581">
          <w:marLeft w:val="0"/>
          <w:marRight w:val="0"/>
          <w:marTop w:val="0"/>
          <w:marBottom w:val="0"/>
          <w:divBdr>
            <w:top w:val="none" w:sz="0" w:space="0" w:color="auto"/>
            <w:left w:val="none" w:sz="0" w:space="0" w:color="auto"/>
            <w:bottom w:val="none" w:sz="0" w:space="0" w:color="auto"/>
            <w:right w:val="none" w:sz="0" w:space="0" w:color="auto"/>
          </w:divBdr>
          <w:divsChild>
            <w:div w:id="205528138">
              <w:marLeft w:val="0"/>
              <w:marRight w:val="0"/>
              <w:marTop w:val="0"/>
              <w:marBottom w:val="0"/>
              <w:divBdr>
                <w:top w:val="none" w:sz="0" w:space="0" w:color="auto"/>
                <w:left w:val="none" w:sz="0" w:space="0" w:color="auto"/>
                <w:bottom w:val="none" w:sz="0" w:space="0" w:color="auto"/>
                <w:right w:val="none" w:sz="0" w:space="0" w:color="auto"/>
              </w:divBdr>
              <w:divsChild>
                <w:div w:id="1118522020">
                  <w:marLeft w:val="0"/>
                  <w:marRight w:val="0"/>
                  <w:marTop w:val="0"/>
                  <w:marBottom w:val="0"/>
                  <w:divBdr>
                    <w:top w:val="none" w:sz="0" w:space="0" w:color="auto"/>
                    <w:left w:val="none" w:sz="0" w:space="0" w:color="auto"/>
                    <w:bottom w:val="none" w:sz="0" w:space="0" w:color="auto"/>
                    <w:right w:val="none" w:sz="0" w:space="0" w:color="auto"/>
                  </w:divBdr>
                  <w:divsChild>
                    <w:div w:id="166809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338810">
      <w:bodyDiv w:val="1"/>
      <w:marLeft w:val="0"/>
      <w:marRight w:val="0"/>
      <w:marTop w:val="0"/>
      <w:marBottom w:val="0"/>
      <w:divBdr>
        <w:top w:val="none" w:sz="0" w:space="0" w:color="auto"/>
        <w:left w:val="none" w:sz="0" w:space="0" w:color="auto"/>
        <w:bottom w:val="none" w:sz="0" w:space="0" w:color="auto"/>
        <w:right w:val="none" w:sz="0" w:space="0" w:color="auto"/>
      </w:divBdr>
      <w:divsChild>
        <w:div w:id="335347819">
          <w:marLeft w:val="0"/>
          <w:marRight w:val="0"/>
          <w:marTop w:val="0"/>
          <w:marBottom w:val="0"/>
          <w:divBdr>
            <w:top w:val="none" w:sz="0" w:space="0" w:color="auto"/>
            <w:left w:val="none" w:sz="0" w:space="0" w:color="auto"/>
            <w:bottom w:val="none" w:sz="0" w:space="0" w:color="auto"/>
            <w:right w:val="none" w:sz="0" w:space="0" w:color="auto"/>
          </w:divBdr>
          <w:divsChild>
            <w:div w:id="1335183542">
              <w:marLeft w:val="0"/>
              <w:marRight w:val="0"/>
              <w:marTop w:val="0"/>
              <w:marBottom w:val="0"/>
              <w:divBdr>
                <w:top w:val="none" w:sz="0" w:space="0" w:color="auto"/>
                <w:left w:val="none" w:sz="0" w:space="0" w:color="auto"/>
                <w:bottom w:val="none" w:sz="0" w:space="0" w:color="auto"/>
                <w:right w:val="none" w:sz="0" w:space="0" w:color="auto"/>
              </w:divBdr>
              <w:divsChild>
                <w:div w:id="1751923384">
                  <w:marLeft w:val="0"/>
                  <w:marRight w:val="0"/>
                  <w:marTop w:val="0"/>
                  <w:marBottom w:val="0"/>
                  <w:divBdr>
                    <w:top w:val="none" w:sz="0" w:space="0" w:color="auto"/>
                    <w:left w:val="none" w:sz="0" w:space="0" w:color="auto"/>
                    <w:bottom w:val="none" w:sz="0" w:space="0" w:color="auto"/>
                    <w:right w:val="none" w:sz="0" w:space="0" w:color="auto"/>
                  </w:divBdr>
                  <w:divsChild>
                    <w:div w:id="1501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520606">
      <w:bodyDiv w:val="1"/>
      <w:marLeft w:val="0"/>
      <w:marRight w:val="0"/>
      <w:marTop w:val="0"/>
      <w:marBottom w:val="0"/>
      <w:divBdr>
        <w:top w:val="none" w:sz="0" w:space="0" w:color="auto"/>
        <w:left w:val="none" w:sz="0" w:space="0" w:color="auto"/>
        <w:bottom w:val="none" w:sz="0" w:space="0" w:color="auto"/>
        <w:right w:val="none" w:sz="0" w:space="0" w:color="auto"/>
      </w:divBdr>
    </w:div>
    <w:div w:id="290327171">
      <w:bodyDiv w:val="1"/>
      <w:marLeft w:val="0"/>
      <w:marRight w:val="0"/>
      <w:marTop w:val="0"/>
      <w:marBottom w:val="0"/>
      <w:divBdr>
        <w:top w:val="none" w:sz="0" w:space="0" w:color="auto"/>
        <w:left w:val="none" w:sz="0" w:space="0" w:color="auto"/>
        <w:bottom w:val="none" w:sz="0" w:space="0" w:color="auto"/>
        <w:right w:val="none" w:sz="0" w:space="0" w:color="auto"/>
      </w:divBdr>
    </w:div>
    <w:div w:id="309137912">
      <w:bodyDiv w:val="1"/>
      <w:marLeft w:val="0"/>
      <w:marRight w:val="0"/>
      <w:marTop w:val="0"/>
      <w:marBottom w:val="0"/>
      <w:divBdr>
        <w:top w:val="none" w:sz="0" w:space="0" w:color="auto"/>
        <w:left w:val="none" w:sz="0" w:space="0" w:color="auto"/>
        <w:bottom w:val="none" w:sz="0" w:space="0" w:color="auto"/>
        <w:right w:val="none" w:sz="0" w:space="0" w:color="auto"/>
      </w:divBdr>
    </w:div>
    <w:div w:id="356736269">
      <w:bodyDiv w:val="1"/>
      <w:marLeft w:val="0"/>
      <w:marRight w:val="0"/>
      <w:marTop w:val="0"/>
      <w:marBottom w:val="0"/>
      <w:divBdr>
        <w:top w:val="none" w:sz="0" w:space="0" w:color="auto"/>
        <w:left w:val="none" w:sz="0" w:space="0" w:color="auto"/>
        <w:bottom w:val="none" w:sz="0" w:space="0" w:color="auto"/>
        <w:right w:val="none" w:sz="0" w:space="0" w:color="auto"/>
      </w:divBdr>
      <w:divsChild>
        <w:div w:id="1168249234">
          <w:marLeft w:val="0"/>
          <w:marRight w:val="0"/>
          <w:marTop w:val="0"/>
          <w:marBottom w:val="0"/>
          <w:divBdr>
            <w:top w:val="none" w:sz="0" w:space="0" w:color="auto"/>
            <w:left w:val="none" w:sz="0" w:space="0" w:color="auto"/>
            <w:bottom w:val="none" w:sz="0" w:space="0" w:color="auto"/>
            <w:right w:val="none" w:sz="0" w:space="0" w:color="auto"/>
          </w:divBdr>
          <w:divsChild>
            <w:div w:id="642344745">
              <w:marLeft w:val="0"/>
              <w:marRight w:val="0"/>
              <w:marTop w:val="0"/>
              <w:marBottom w:val="0"/>
              <w:divBdr>
                <w:top w:val="none" w:sz="0" w:space="0" w:color="auto"/>
                <w:left w:val="none" w:sz="0" w:space="0" w:color="auto"/>
                <w:bottom w:val="none" w:sz="0" w:space="0" w:color="auto"/>
                <w:right w:val="none" w:sz="0" w:space="0" w:color="auto"/>
              </w:divBdr>
              <w:divsChild>
                <w:div w:id="2002658658">
                  <w:marLeft w:val="0"/>
                  <w:marRight w:val="0"/>
                  <w:marTop w:val="0"/>
                  <w:marBottom w:val="0"/>
                  <w:divBdr>
                    <w:top w:val="none" w:sz="0" w:space="0" w:color="auto"/>
                    <w:left w:val="none" w:sz="0" w:space="0" w:color="auto"/>
                    <w:bottom w:val="none" w:sz="0" w:space="0" w:color="auto"/>
                    <w:right w:val="none" w:sz="0" w:space="0" w:color="auto"/>
                  </w:divBdr>
                  <w:divsChild>
                    <w:div w:id="5268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980233">
      <w:bodyDiv w:val="1"/>
      <w:marLeft w:val="0"/>
      <w:marRight w:val="0"/>
      <w:marTop w:val="0"/>
      <w:marBottom w:val="0"/>
      <w:divBdr>
        <w:top w:val="none" w:sz="0" w:space="0" w:color="auto"/>
        <w:left w:val="none" w:sz="0" w:space="0" w:color="auto"/>
        <w:bottom w:val="none" w:sz="0" w:space="0" w:color="auto"/>
        <w:right w:val="none" w:sz="0" w:space="0" w:color="auto"/>
      </w:divBdr>
      <w:divsChild>
        <w:div w:id="1644650967">
          <w:marLeft w:val="0"/>
          <w:marRight w:val="0"/>
          <w:marTop w:val="0"/>
          <w:marBottom w:val="0"/>
          <w:divBdr>
            <w:top w:val="none" w:sz="0" w:space="0" w:color="auto"/>
            <w:left w:val="none" w:sz="0" w:space="0" w:color="auto"/>
            <w:bottom w:val="none" w:sz="0" w:space="0" w:color="auto"/>
            <w:right w:val="none" w:sz="0" w:space="0" w:color="auto"/>
          </w:divBdr>
          <w:divsChild>
            <w:div w:id="830176020">
              <w:marLeft w:val="0"/>
              <w:marRight w:val="0"/>
              <w:marTop w:val="0"/>
              <w:marBottom w:val="0"/>
              <w:divBdr>
                <w:top w:val="none" w:sz="0" w:space="0" w:color="auto"/>
                <w:left w:val="none" w:sz="0" w:space="0" w:color="auto"/>
                <w:bottom w:val="none" w:sz="0" w:space="0" w:color="auto"/>
                <w:right w:val="none" w:sz="0" w:space="0" w:color="auto"/>
              </w:divBdr>
              <w:divsChild>
                <w:div w:id="701595451">
                  <w:marLeft w:val="0"/>
                  <w:marRight w:val="0"/>
                  <w:marTop w:val="0"/>
                  <w:marBottom w:val="0"/>
                  <w:divBdr>
                    <w:top w:val="none" w:sz="0" w:space="0" w:color="auto"/>
                    <w:left w:val="none" w:sz="0" w:space="0" w:color="auto"/>
                    <w:bottom w:val="none" w:sz="0" w:space="0" w:color="auto"/>
                    <w:right w:val="none" w:sz="0" w:space="0" w:color="auto"/>
                  </w:divBdr>
                  <w:divsChild>
                    <w:div w:id="8750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58988">
      <w:bodyDiv w:val="1"/>
      <w:marLeft w:val="0"/>
      <w:marRight w:val="0"/>
      <w:marTop w:val="0"/>
      <w:marBottom w:val="0"/>
      <w:divBdr>
        <w:top w:val="none" w:sz="0" w:space="0" w:color="auto"/>
        <w:left w:val="none" w:sz="0" w:space="0" w:color="auto"/>
        <w:bottom w:val="none" w:sz="0" w:space="0" w:color="auto"/>
        <w:right w:val="none" w:sz="0" w:space="0" w:color="auto"/>
      </w:divBdr>
    </w:div>
    <w:div w:id="402219072">
      <w:bodyDiv w:val="1"/>
      <w:marLeft w:val="0"/>
      <w:marRight w:val="0"/>
      <w:marTop w:val="0"/>
      <w:marBottom w:val="0"/>
      <w:divBdr>
        <w:top w:val="none" w:sz="0" w:space="0" w:color="auto"/>
        <w:left w:val="none" w:sz="0" w:space="0" w:color="auto"/>
        <w:bottom w:val="none" w:sz="0" w:space="0" w:color="auto"/>
        <w:right w:val="none" w:sz="0" w:space="0" w:color="auto"/>
      </w:divBdr>
    </w:div>
    <w:div w:id="451363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3659">
          <w:marLeft w:val="0"/>
          <w:marRight w:val="0"/>
          <w:marTop w:val="0"/>
          <w:marBottom w:val="0"/>
          <w:divBdr>
            <w:top w:val="none" w:sz="0" w:space="0" w:color="auto"/>
            <w:left w:val="none" w:sz="0" w:space="0" w:color="auto"/>
            <w:bottom w:val="none" w:sz="0" w:space="0" w:color="auto"/>
            <w:right w:val="none" w:sz="0" w:space="0" w:color="auto"/>
          </w:divBdr>
          <w:divsChild>
            <w:div w:id="867259740">
              <w:marLeft w:val="0"/>
              <w:marRight w:val="0"/>
              <w:marTop w:val="0"/>
              <w:marBottom w:val="0"/>
              <w:divBdr>
                <w:top w:val="none" w:sz="0" w:space="0" w:color="auto"/>
                <w:left w:val="none" w:sz="0" w:space="0" w:color="auto"/>
                <w:bottom w:val="none" w:sz="0" w:space="0" w:color="auto"/>
                <w:right w:val="none" w:sz="0" w:space="0" w:color="auto"/>
              </w:divBdr>
              <w:divsChild>
                <w:div w:id="1539853442">
                  <w:marLeft w:val="0"/>
                  <w:marRight w:val="0"/>
                  <w:marTop w:val="0"/>
                  <w:marBottom w:val="0"/>
                  <w:divBdr>
                    <w:top w:val="none" w:sz="0" w:space="0" w:color="auto"/>
                    <w:left w:val="none" w:sz="0" w:space="0" w:color="auto"/>
                    <w:bottom w:val="none" w:sz="0" w:space="0" w:color="auto"/>
                    <w:right w:val="none" w:sz="0" w:space="0" w:color="auto"/>
                  </w:divBdr>
                  <w:divsChild>
                    <w:div w:id="122613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226301">
      <w:bodyDiv w:val="1"/>
      <w:marLeft w:val="0"/>
      <w:marRight w:val="0"/>
      <w:marTop w:val="0"/>
      <w:marBottom w:val="0"/>
      <w:divBdr>
        <w:top w:val="none" w:sz="0" w:space="0" w:color="auto"/>
        <w:left w:val="none" w:sz="0" w:space="0" w:color="auto"/>
        <w:bottom w:val="none" w:sz="0" w:space="0" w:color="auto"/>
        <w:right w:val="none" w:sz="0" w:space="0" w:color="auto"/>
      </w:divBdr>
    </w:div>
    <w:div w:id="498884580">
      <w:bodyDiv w:val="1"/>
      <w:marLeft w:val="0"/>
      <w:marRight w:val="0"/>
      <w:marTop w:val="0"/>
      <w:marBottom w:val="0"/>
      <w:divBdr>
        <w:top w:val="none" w:sz="0" w:space="0" w:color="auto"/>
        <w:left w:val="none" w:sz="0" w:space="0" w:color="auto"/>
        <w:bottom w:val="none" w:sz="0" w:space="0" w:color="auto"/>
        <w:right w:val="none" w:sz="0" w:space="0" w:color="auto"/>
      </w:divBdr>
    </w:div>
    <w:div w:id="505829458">
      <w:bodyDiv w:val="1"/>
      <w:marLeft w:val="0"/>
      <w:marRight w:val="0"/>
      <w:marTop w:val="0"/>
      <w:marBottom w:val="0"/>
      <w:divBdr>
        <w:top w:val="none" w:sz="0" w:space="0" w:color="auto"/>
        <w:left w:val="none" w:sz="0" w:space="0" w:color="auto"/>
        <w:bottom w:val="none" w:sz="0" w:space="0" w:color="auto"/>
        <w:right w:val="none" w:sz="0" w:space="0" w:color="auto"/>
      </w:divBdr>
    </w:div>
    <w:div w:id="521630806">
      <w:bodyDiv w:val="1"/>
      <w:marLeft w:val="0"/>
      <w:marRight w:val="0"/>
      <w:marTop w:val="0"/>
      <w:marBottom w:val="0"/>
      <w:divBdr>
        <w:top w:val="none" w:sz="0" w:space="0" w:color="auto"/>
        <w:left w:val="none" w:sz="0" w:space="0" w:color="auto"/>
        <w:bottom w:val="none" w:sz="0" w:space="0" w:color="auto"/>
        <w:right w:val="none" w:sz="0" w:space="0" w:color="auto"/>
      </w:divBdr>
    </w:div>
    <w:div w:id="525752474">
      <w:bodyDiv w:val="1"/>
      <w:marLeft w:val="0"/>
      <w:marRight w:val="0"/>
      <w:marTop w:val="0"/>
      <w:marBottom w:val="0"/>
      <w:divBdr>
        <w:top w:val="none" w:sz="0" w:space="0" w:color="auto"/>
        <w:left w:val="none" w:sz="0" w:space="0" w:color="auto"/>
        <w:bottom w:val="none" w:sz="0" w:space="0" w:color="auto"/>
        <w:right w:val="none" w:sz="0" w:space="0" w:color="auto"/>
      </w:divBdr>
    </w:div>
    <w:div w:id="530411729">
      <w:bodyDiv w:val="1"/>
      <w:marLeft w:val="0"/>
      <w:marRight w:val="0"/>
      <w:marTop w:val="0"/>
      <w:marBottom w:val="0"/>
      <w:divBdr>
        <w:top w:val="none" w:sz="0" w:space="0" w:color="auto"/>
        <w:left w:val="none" w:sz="0" w:space="0" w:color="auto"/>
        <w:bottom w:val="none" w:sz="0" w:space="0" w:color="auto"/>
        <w:right w:val="none" w:sz="0" w:space="0" w:color="auto"/>
      </w:divBdr>
    </w:div>
    <w:div w:id="546995541">
      <w:bodyDiv w:val="1"/>
      <w:marLeft w:val="0"/>
      <w:marRight w:val="0"/>
      <w:marTop w:val="0"/>
      <w:marBottom w:val="0"/>
      <w:divBdr>
        <w:top w:val="none" w:sz="0" w:space="0" w:color="auto"/>
        <w:left w:val="none" w:sz="0" w:space="0" w:color="auto"/>
        <w:bottom w:val="none" w:sz="0" w:space="0" w:color="auto"/>
        <w:right w:val="none" w:sz="0" w:space="0" w:color="auto"/>
      </w:divBdr>
    </w:div>
    <w:div w:id="552615088">
      <w:bodyDiv w:val="1"/>
      <w:marLeft w:val="0"/>
      <w:marRight w:val="0"/>
      <w:marTop w:val="0"/>
      <w:marBottom w:val="0"/>
      <w:divBdr>
        <w:top w:val="none" w:sz="0" w:space="0" w:color="auto"/>
        <w:left w:val="none" w:sz="0" w:space="0" w:color="auto"/>
        <w:bottom w:val="none" w:sz="0" w:space="0" w:color="auto"/>
        <w:right w:val="none" w:sz="0" w:space="0" w:color="auto"/>
      </w:divBdr>
      <w:divsChild>
        <w:div w:id="954293612">
          <w:marLeft w:val="0"/>
          <w:marRight w:val="0"/>
          <w:marTop w:val="0"/>
          <w:marBottom w:val="0"/>
          <w:divBdr>
            <w:top w:val="none" w:sz="0" w:space="0" w:color="auto"/>
            <w:left w:val="none" w:sz="0" w:space="0" w:color="auto"/>
            <w:bottom w:val="none" w:sz="0" w:space="0" w:color="auto"/>
            <w:right w:val="none" w:sz="0" w:space="0" w:color="auto"/>
          </w:divBdr>
          <w:divsChild>
            <w:div w:id="1919824104">
              <w:marLeft w:val="0"/>
              <w:marRight w:val="0"/>
              <w:marTop w:val="0"/>
              <w:marBottom w:val="0"/>
              <w:divBdr>
                <w:top w:val="none" w:sz="0" w:space="0" w:color="auto"/>
                <w:left w:val="none" w:sz="0" w:space="0" w:color="auto"/>
                <w:bottom w:val="none" w:sz="0" w:space="0" w:color="auto"/>
                <w:right w:val="none" w:sz="0" w:space="0" w:color="auto"/>
              </w:divBdr>
              <w:divsChild>
                <w:div w:id="917252602">
                  <w:marLeft w:val="0"/>
                  <w:marRight w:val="0"/>
                  <w:marTop w:val="0"/>
                  <w:marBottom w:val="0"/>
                  <w:divBdr>
                    <w:top w:val="none" w:sz="0" w:space="0" w:color="auto"/>
                    <w:left w:val="none" w:sz="0" w:space="0" w:color="auto"/>
                    <w:bottom w:val="none" w:sz="0" w:space="0" w:color="auto"/>
                    <w:right w:val="none" w:sz="0" w:space="0" w:color="auto"/>
                  </w:divBdr>
                  <w:divsChild>
                    <w:div w:id="6164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402257">
      <w:bodyDiv w:val="1"/>
      <w:marLeft w:val="0"/>
      <w:marRight w:val="0"/>
      <w:marTop w:val="0"/>
      <w:marBottom w:val="0"/>
      <w:divBdr>
        <w:top w:val="none" w:sz="0" w:space="0" w:color="auto"/>
        <w:left w:val="none" w:sz="0" w:space="0" w:color="auto"/>
        <w:bottom w:val="none" w:sz="0" w:space="0" w:color="auto"/>
        <w:right w:val="none" w:sz="0" w:space="0" w:color="auto"/>
      </w:divBdr>
      <w:divsChild>
        <w:div w:id="238757181">
          <w:marLeft w:val="0"/>
          <w:marRight w:val="0"/>
          <w:marTop w:val="0"/>
          <w:marBottom w:val="0"/>
          <w:divBdr>
            <w:top w:val="none" w:sz="0" w:space="0" w:color="auto"/>
            <w:left w:val="none" w:sz="0" w:space="0" w:color="auto"/>
            <w:bottom w:val="none" w:sz="0" w:space="0" w:color="auto"/>
            <w:right w:val="none" w:sz="0" w:space="0" w:color="auto"/>
          </w:divBdr>
          <w:divsChild>
            <w:div w:id="1770275448">
              <w:marLeft w:val="0"/>
              <w:marRight w:val="0"/>
              <w:marTop w:val="0"/>
              <w:marBottom w:val="0"/>
              <w:divBdr>
                <w:top w:val="none" w:sz="0" w:space="0" w:color="auto"/>
                <w:left w:val="none" w:sz="0" w:space="0" w:color="auto"/>
                <w:bottom w:val="none" w:sz="0" w:space="0" w:color="auto"/>
                <w:right w:val="none" w:sz="0" w:space="0" w:color="auto"/>
              </w:divBdr>
              <w:divsChild>
                <w:div w:id="881290218">
                  <w:marLeft w:val="0"/>
                  <w:marRight w:val="0"/>
                  <w:marTop w:val="0"/>
                  <w:marBottom w:val="0"/>
                  <w:divBdr>
                    <w:top w:val="none" w:sz="0" w:space="0" w:color="auto"/>
                    <w:left w:val="none" w:sz="0" w:space="0" w:color="auto"/>
                    <w:bottom w:val="none" w:sz="0" w:space="0" w:color="auto"/>
                    <w:right w:val="none" w:sz="0" w:space="0" w:color="auto"/>
                  </w:divBdr>
                  <w:divsChild>
                    <w:div w:id="27722406">
                      <w:marLeft w:val="0"/>
                      <w:marRight w:val="0"/>
                      <w:marTop w:val="0"/>
                      <w:marBottom w:val="0"/>
                      <w:divBdr>
                        <w:top w:val="none" w:sz="0" w:space="0" w:color="auto"/>
                        <w:left w:val="none" w:sz="0" w:space="0" w:color="auto"/>
                        <w:bottom w:val="none" w:sz="0" w:space="0" w:color="auto"/>
                        <w:right w:val="none" w:sz="0" w:space="0" w:color="auto"/>
                      </w:divBdr>
                    </w:div>
                  </w:divsChild>
                </w:div>
                <w:div w:id="892085330">
                  <w:marLeft w:val="0"/>
                  <w:marRight w:val="0"/>
                  <w:marTop w:val="0"/>
                  <w:marBottom w:val="0"/>
                  <w:divBdr>
                    <w:top w:val="none" w:sz="0" w:space="0" w:color="auto"/>
                    <w:left w:val="none" w:sz="0" w:space="0" w:color="auto"/>
                    <w:bottom w:val="none" w:sz="0" w:space="0" w:color="auto"/>
                    <w:right w:val="none" w:sz="0" w:space="0" w:color="auto"/>
                  </w:divBdr>
                  <w:divsChild>
                    <w:div w:id="1548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98793">
      <w:bodyDiv w:val="1"/>
      <w:marLeft w:val="0"/>
      <w:marRight w:val="0"/>
      <w:marTop w:val="0"/>
      <w:marBottom w:val="0"/>
      <w:divBdr>
        <w:top w:val="none" w:sz="0" w:space="0" w:color="auto"/>
        <w:left w:val="none" w:sz="0" w:space="0" w:color="auto"/>
        <w:bottom w:val="none" w:sz="0" w:space="0" w:color="auto"/>
        <w:right w:val="none" w:sz="0" w:space="0" w:color="auto"/>
      </w:divBdr>
    </w:div>
    <w:div w:id="622662056">
      <w:bodyDiv w:val="1"/>
      <w:marLeft w:val="0"/>
      <w:marRight w:val="0"/>
      <w:marTop w:val="0"/>
      <w:marBottom w:val="0"/>
      <w:divBdr>
        <w:top w:val="none" w:sz="0" w:space="0" w:color="auto"/>
        <w:left w:val="none" w:sz="0" w:space="0" w:color="auto"/>
        <w:bottom w:val="none" w:sz="0" w:space="0" w:color="auto"/>
        <w:right w:val="none" w:sz="0" w:space="0" w:color="auto"/>
      </w:divBdr>
    </w:div>
    <w:div w:id="631524876">
      <w:bodyDiv w:val="1"/>
      <w:marLeft w:val="0"/>
      <w:marRight w:val="0"/>
      <w:marTop w:val="0"/>
      <w:marBottom w:val="0"/>
      <w:divBdr>
        <w:top w:val="none" w:sz="0" w:space="0" w:color="auto"/>
        <w:left w:val="none" w:sz="0" w:space="0" w:color="auto"/>
        <w:bottom w:val="none" w:sz="0" w:space="0" w:color="auto"/>
        <w:right w:val="none" w:sz="0" w:space="0" w:color="auto"/>
      </w:divBdr>
    </w:div>
    <w:div w:id="636954640">
      <w:bodyDiv w:val="1"/>
      <w:marLeft w:val="0"/>
      <w:marRight w:val="0"/>
      <w:marTop w:val="0"/>
      <w:marBottom w:val="0"/>
      <w:divBdr>
        <w:top w:val="none" w:sz="0" w:space="0" w:color="auto"/>
        <w:left w:val="none" w:sz="0" w:space="0" w:color="auto"/>
        <w:bottom w:val="none" w:sz="0" w:space="0" w:color="auto"/>
        <w:right w:val="none" w:sz="0" w:space="0" w:color="auto"/>
      </w:divBdr>
    </w:div>
    <w:div w:id="646596715">
      <w:bodyDiv w:val="1"/>
      <w:marLeft w:val="0"/>
      <w:marRight w:val="0"/>
      <w:marTop w:val="0"/>
      <w:marBottom w:val="0"/>
      <w:divBdr>
        <w:top w:val="none" w:sz="0" w:space="0" w:color="auto"/>
        <w:left w:val="none" w:sz="0" w:space="0" w:color="auto"/>
        <w:bottom w:val="none" w:sz="0" w:space="0" w:color="auto"/>
        <w:right w:val="none" w:sz="0" w:space="0" w:color="auto"/>
      </w:divBdr>
    </w:div>
    <w:div w:id="669018745">
      <w:bodyDiv w:val="1"/>
      <w:marLeft w:val="0"/>
      <w:marRight w:val="0"/>
      <w:marTop w:val="0"/>
      <w:marBottom w:val="0"/>
      <w:divBdr>
        <w:top w:val="none" w:sz="0" w:space="0" w:color="auto"/>
        <w:left w:val="none" w:sz="0" w:space="0" w:color="auto"/>
        <w:bottom w:val="none" w:sz="0" w:space="0" w:color="auto"/>
        <w:right w:val="none" w:sz="0" w:space="0" w:color="auto"/>
      </w:divBdr>
    </w:div>
    <w:div w:id="669719324">
      <w:bodyDiv w:val="1"/>
      <w:marLeft w:val="0"/>
      <w:marRight w:val="0"/>
      <w:marTop w:val="0"/>
      <w:marBottom w:val="0"/>
      <w:divBdr>
        <w:top w:val="none" w:sz="0" w:space="0" w:color="auto"/>
        <w:left w:val="none" w:sz="0" w:space="0" w:color="auto"/>
        <w:bottom w:val="none" w:sz="0" w:space="0" w:color="auto"/>
        <w:right w:val="none" w:sz="0" w:space="0" w:color="auto"/>
      </w:divBdr>
    </w:div>
    <w:div w:id="679351289">
      <w:bodyDiv w:val="1"/>
      <w:marLeft w:val="0"/>
      <w:marRight w:val="0"/>
      <w:marTop w:val="0"/>
      <w:marBottom w:val="0"/>
      <w:divBdr>
        <w:top w:val="none" w:sz="0" w:space="0" w:color="auto"/>
        <w:left w:val="none" w:sz="0" w:space="0" w:color="auto"/>
        <w:bottom w:val="none" w:sz="0" w:space="0" w:color="auto"/>
        <w:right w:val="none" w:sz="0" w:space="0" w:color="auto"/>
      </w:divBdr>
    </w:div>
    <w:div w:id="709768472">
      <w:bodyDiv w:val="1"/>
      <w:marLeft w:val="0"/>
      <w:marRight w:val="0"/>
      <w:marTop w:val="0"/>
      <w:marBottom w:val="0"/>
      <w:divBdr>
        <w:top w:val="none" w:sz="0" w:space="0" w:color="auto"/>
        <w:left w:val="none" w:sz="0" w:space="0" w:color="auto"/>
        <w:bottom w:val="none" w:sz="0" w:space="0" w:color="auto"/>
        <w:right w:val="none" w:sz="0" w:space="0" w:color="auto"/>
      </w:divBdr>
    </w:div>
    <w:div w:id="723990124">
      <w:bodyDiv w:val="1"/>
      <w:marLeft w:val="0"/>
      <w:marRight w:val="0"/>
      <w:marTop w:val="0"/>
      <w:marBottom w:val="0"/>
      <w:divBdr>
        <w:top w:val="none" w:sz="0" w:space="0" w:color="auto"/>
        <w:left w:val="none" w:sz="0" w:space="0" w:color="auto"/>
        <w:bottom w:val="none" w:sz="0" w:space="0" w:color="auto"/>
        <w:right w:val="none" w:sz="0" w:space="0" w:color="auto"/>
      </w:divBdr>
      <w:divsChild>
        <w:div w:id="1304504124">
          <w:marLeft w:val="0"/>
          <w:marRight w:val="0"/>
          <w:marTop w:val="0"/>
          <w:marBottom w:val="0"/>
          <w:divBdr>
            <w:top w:val="none" w:sz="0" w:space="0" w:color="auto"/>
            <w:left w:val="none" w:sz="0" w:space="0" w:color="auto"/>
            <w:bottom w:val="none" w:sz="0" w:space="0" w:color="auto"/>
            <w:right w:val="none" w:sz="0" w:space="0" w:color="auto"/>
          </w:divBdr>
          <w:divsChild>
            <w:div w:id="2130929209">
              <w:marLeft w:val="0"/>
              <w:marRight w:val="0"/>
              <w:marTop w:val="0"/>
              <w:marBottom w:val="0"/>
              <w:divBdr>
                <w:top w:val="none" w:sz="0" w:space="0" w:color="auto"/>
                <w:left w:val="none" w:sz="0" w:space="0" w:color="auto"/>
                <w:bottom w:val="none" w:sz="0" w:space="0" w:color="auto"/>
                <w:right w:val="none" w:sz="0" w:space="0" w:color="auto"/>
              </w:divBdr>
              <w:divsChild>
                <w:div w:id="1200825407">
                  <w:marLeft w:val="0"/>
                  <w:marRight w:val="0"/>
                  <w:marTop w:val="0"/>
                  <w:marBottom w:val="0"/>
                  <w:divBdr>
                    <w:top w:val="none" w:sz="0" w:space="0" w:color="auto"/>
                    <w:left w:val="none" w:sz="0" w:space="0" w:color="auto"/>
                    <w:bottom w:val="none" w:sz="0" w:space="0" w:color="auto"/>
                    <w:right w:val="none" w:sz="0" w:space="0" w:color="auto"/>
                  </w:divBdr>
                  <w:divsChild>
                    <w:div w:id="24523471">
                      <w:marLeft w:val="0"/>
                      <w:marRight w:val="0"/>
                      <w:marTop w:val="0"/>
                      <w:marBottom w:val="0"/>
                      <w:divBdr>
                        <w:top w:val="none" w:sz="0" w:space="0" w:color="auto"/>
                        <w:left w:val="none" w:sz="0" w:space="0" w:color="auto"/>
                        <w:bottom w:val="none" w:sz="0" w:space="0" w:color="auto"/>
                        <w:right w:val="none" w:sz="0" w:space="0" w:color="auto"/>
                      </w:divBdr>
                    </w:div>
                  </w:divsChild>
                </w:div>
                <w:div w:id="2138453292">
                  <w:marLeft w:val="0"/>
                  <w:marRight w:val="0"/>
                  <w:marTop w:val="0"/>
                  <w:marBottom w:val="0"/>
                  <w:divBdr>
                    <w:top w:val="none" w:sz="0" w:space="0" w:color="auto"/>
                    <w:left w:val="none" w:sz="0" w:space="0" w:color="auto"/>
                    <w:bottom w:val="none" w:sz="0" w:space="0" w:color="auto"/>
                    <w:right w:val="none" w:sz="0" w:space="0" w:color="auto"/>
                  </w:divBdr>
                  <w:divsChild>
                    <w:div w:id="6963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91793">
      <w:bodyDiv w:val="1"/>
      <w:marLeft w:val="0"/>
      <w:marRight w:val="0"/>
      <w:marTop w:val="0"/>
      <w:marBottom w:val="0"/>
      <w:divBdr>
        <w:top w:val="none" w:sz="0" w:space="0" w:color="auto"/>
        <w:left w:val="none" w:sz="0" w:space="0" w:color="auto"/>
        <w:bottom w:val="none" w:sz="0" w:space="0" w:color="auto"/>
        <w:right w:val="none" w:sz="0" w:space="0" w:color="auto"/>
      </w:divBdr>
    </w:div>
    <w:div w:id="747653020">
      <w:bodyDiv w:val="1"/>
      <w:marLeft w:val="0"/>
      <w:marRight w:val="0"/>
      <w:marTop w:val="0"/>
      <w:marBottom w:val="0"/>
      <w:divBdr>
        <w:top w:val="none" w:sz="0" w:space="0" w:color="auto"/>
        <w:left w:val="none" w:sz="0" w:space="0" w:color="auto"/>
        <w:bottom w:val="none" w:sz="0" w:space="0" w:color="auto"/>
        <w:right w:val="none" w:sz="0" w:space="0" w:color="auto"/>
      </w:divBdr>
      <w:divsChild>
        <w:div w:id="775179284">
          <w:marLeft w:val="0"/>
          <w:marRight w:val="0"/>
          <w:marTop w:val="0"/>
          <w:marBottom w:val="0"/>
          <w:divBdr>
            <w:top w:val="none" w:sz="0" w:space="0" w:color="auto"/>
            <w:left w:val="none" w:sz="0" w:space="0" w:color="auto"/>
            <w:bottom w:val="none" w:sz="0" w:space="0" w:color="auto"/>
            <w:right w:val="none" w:sz="0" w:space="0" w:color="auto"/>
          </w:divBdr>
          <w:divsChild>
            <w:div w:id="2123380291">
              <w:marLeft w:val="0"/>
              <w:marRight w:val="0"/>
              <w:marTop w:val="0"/>
              <w:marBottom w:val="0"/>
              <w:divBdr>
                <w:top w:val="none" w:sz="0" w:space="0" w:color="auto"/>
                <w:left w:val="none" w:sz="0" w:space="0" w:color="auto"/>
                <w:bottom w:val="none" w:sz="0" w:space="0" w:color="auto"/>
                <w:right w:val="none" w:sz="0" w:space="0" w:color="auto"/>
              </w:divBdr>
              <w:divsChild>
                <w:div w:id="1358389001">
                  <w:marLeft w:val="0"/>
                  <w:marRight w:val="0"/>
                  <w:marTop w:val="0"/>
                  <w:marBottom w:val="0"/>
                  <w:divBdr>
                    <w:top w:val="none" w:sz="0" w:space="0" w:color="auto"/>
                    <w:left w:val="none" w:sz="0" w:space="0" w:color="auto"/>
                    <w:bottom w:val="none" w:sz="0" w:space="0" w:color="auto"/>
                    <w:right w:val="none" w:sz="0" w:space="0" w:color="auto"/>
                  </w:divBdr>
                  <w:divsChild>
                    <w:div w:id="135287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12509">
      <w:bodyDiv w:val="1"/>
      <w:marLeft w:val="0"/>
      <w:marRight w:val="0"/>
      <w:marTop w:val="0"/>
      <w:marBottom w:val="0"/>
      <w:divBdr>
        <w:top w:val="none" w:sz="0" w:space="0" w:color="auto"/>
        <w:left w:val="none" w:sz="0" w:space="0" w:color="auto"/>
        <w:bottom w:val="none" w:sz="0" w:space="0" w:color="auto"/>
        <w:right w:val="none" w:sz="0" w:space="0" w:color="auto"/>
      </w:divBdr>
      <w:divsChild>
        <w:div w:id="1014261141">
          <w:marLeft w:val="0"/>
          <w:marRight w:val="0"/>
          <w:marTop w:val="0"/>
          <w:marBottom w:val="0"/>
          <w:divBdr>
            <w:top w:val="none" w:sz="0" w:space="0" w:color="auto"/>
            <w:left w:val="none" w:sz="0" w:space="0" w:color="auto"/>
            <w:bottom w:val="none" w:sz="0" w:space="0" w:color="auto"/>
            <w:right w:val="none" w:sz="0" w:space="0" w:color="auto"/>
          </w:divBdr>
          <w:divsChild>
            <w:div w:id="1947154734">
              <w:marLeft w:val="0"/>
              <w:marRight w:val="0"/>
              <w:marTop w:val="0"/>
              <w:marBottom w:val="0"/>
              <w:divBdr>
                <w:top w:val="none" w:sz="0" w:space="0" w:color="auto"/>
                <w:left w:val="none" w:sz="0" w:space="0" w:color="auto"/>
                <w:bottom w:val="none" w:sz="0" w:space="0" w:color="auto"/>
                <w:right w:val="none" w:sz="0" w:space="0" w:color="auto"/>
              </w:divBdr>
              <w:divsChild>
                <w:div w:id="1576359698">
                  <w:marLeft w:val="0"/>
                  <w:marRight w:val="0"/>
                  <w:marTop w:val="0"/>
                  <w:marBottom w:val="0"/>
                  <w:divBdr>
                    <w:top w:val="none" w:sz="0" w:space="0" w:color="auto"/>
                    <w:left w:val="none" w:sz="0" w:space="0" w:color="auto"/>
                    <w:bottom w:val="none" w:sz="0" w:space="0" w:color="auto"/>
                    <w:right w:val="none" w:sz="0" w:space="0" w:color="auto"/>
                  </w:divBdr>
                  <w:divsChild>
                    <w:div w:id="10886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43075">
      <w:bodyDiv w:val="1"/>
      <w:marLeft w:val="0"/>
      <w:marRight w:val="0"/>
      <w:marTop w:val="0"/>
      <w:marBottom w:val="0"/>
      <w:divBdr>
        <w:top w:val="none" w:sz="0" w:space="0" w:color="auto"/>
        <w:left w:val="none" w:sz="0" w:space="0" w:color="auto"/>
        <w:bottom w:val="none" w:sz="0" w:space="0" w:color="auto"/>
        <w:right w:val="none" w:sz="0" w:space="0" w:color="auto"/>
      </w:divBdr>
      <w:divsChild>
        <w:div w:id="1065839304">
          <w:marLeft w:val="0"/>
          <w:marRight w:val="0"/>
          <w:marTop w:val="0"/>
          <w:marBottom w:val="0"/>
          <w:divBdr>
            <w:top w:val="none" w:sz="0" w:space="0" w:color="auto"/>
            <w:left w:val="none" w:sz="0" w:space="0" w:color="auto"/>
            <w:bottom w:val="none" w:sz="0" w:space="0" w:color="auto"/>
            <w:right w:val="none" w:sz="0" w:space="0" w:color="auto"/>
          </w:divBdr>
          <w:divsChild>
            <w:div w:id="1414353620">
              <w:marLeft w:val="0"/>
              <w:marRight w:val="0"/>
              <w:marTop w:val="0"/>
              <w:marBottom w:val="0"/>
              <w:divBdr>
                <w:top w:val="none" w:sz="0" w:space="0" w:color="auto"/>
                <w:left w:val="none" w:sz="0" w:space="0" w:color="auto"/>
                <w:bottom w:val="none" w:sz="0" w:space="0" w:color="auto"/>
                <w:right w:val="none" w:sz="0" w:space="0" w:color="auto"/>
              </w:divBdr>
              <w:divsChild>
                <w:div w:id="1518235364">
                  <w:marLeft w:val="0"/>
                  <w:marRight w:val="0"/>
                  <w:marTop w:val="0"/>
                  <w:marBottom w:val="0"/>
                  <w:divBdr>
                    <w:top w:val="none" w:sz="0" w:space="0" w:color="auto"/>
                    <w:left w:val="none" w:sz="0" w:space="0" w:color="auto"/>
                    <w:bottom w:val="none" w:sz="0" w:space="0" w:color="auto"/>
                    <w:right w:val="none" w:sz="0" w:space="0" w:color="auto"/>
                  </w:divBdr>
                  <w:divsChild>
                    <w:div w:id="188031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897932">
      <w:bodyDiv w:val="1"/>
      <w:marLeft w:val="0"/>
      <w:marRight w:val="0"/>
      <w:marTop w:val="0"/>
      <w:marBottom w:val="0"/>
      <w:divBdr>
        <w:top w:val="none" w:sz="0" w:space="0" w:color="auto"/>
        <w:left w:val="none" w:sz="0" w:space="0" w:color="auto"/>
        <w:bottom w:val="none" w:sz="0" w:space="0" w:color="auto"/>
        <w:right w:val="none" w:sz="0" w:space="0" w:color="auto"/>
      </w:divBdr>
    </w:div>
    <w:div w:id="777142644">
      <w:bodyDiv w:val="1"/>
      <w:marLeft w:val="0"/>
      <w:marRight w:val="0"/>
      <w:marTop w:val="0"/>
      <w:marBottom w:val="0"/>
      <w:divBdr>
        <w:top w:val="none" w:sz="0" w:space="0" w:color="auto"/>
        <w:left w:val="none" w:sz="0" w:space="0" w:color="auto"/>
        <w:bottom w:val="none" w:sz="0" w:space="0" w:color="auto"/>
        <w:right w:val="none" w:sz="0" w:space="0" w:color="auto"/>
      </w:divBdr>
    </w:div>
    <w:div w:id="789978370">
      <w:marLeft w:val="0"/>
      <w:marRight w:val="0"/>
      <w:marTop w:val="0"/>
      <w:marBottom w:val="0"/>
      <w:divBdr>
        <w:top w:val="none" w:sz="0" w:space="0" w:color="auto"/>
        <w:left w:val="none" w:sz="0" w:space="0" w:color="auto"/>
        <w:bottom w:val="none" w:sz="0" w:space="0" w:color="auto"/>
        <w:right w:val="none" w:sz="0" w:space="0" w:color="auto"/>
      </w:divBdr>
    </w:div>
    <w:div w:id="789978371">
      <w:marLeft w:val="0"/>
      <w:marRight w:val="0"/>
      <w:marTop w:val="0"/>
      <w:marBottom w:val="0"/>
      <w:divBdr>
        <w:top w:val="none" w:sz="0" w:space="0" w:color="auto"/>
        <w:left w:val="none" w:sz="0" w:space="0" w:color="auto"/>
        <w:bottom w:val="none" w:sz="0" w:space="0" w:color="auto"/>
        <w:right w:val="none" w:sz="0" w:space="0" w:color="auto"/>
      </w:divBdr>
    </w:div>
    <w:div w:id="789978372">
      <w:marLeft w:val="0"/>
      <w:marRight w:val="0"/>
      <w:marTop w:val="0"/>
      <w:marBottom w:val="0"/>
      <w:divBdr>
        <w:top w:val="none" w:sz="0" w:space="0" w:color="auto"/>
        <w:left w:val="none" w:sz="0" w:space="0" w:color="auto"/>
        <w:bottom w:val="none" w:sz="0" w:space="0" w:color="auto"/>
        <w:right w:val="none" w:sz="0" w:space="0" w:color="auto"/>
      </w:divBdr>
    </w:div>
    <w:div w:id="789978373">
      <w:marLeft w:val="0"/>
      <w:marRight w:val="0"/>
      <w:marTop w:val="0"/>
      <w:marBottom w:val="0"/>
      <w:divBdr>
        <w:top w:val="none" w:sz="0" w:space="0" w:color="auto"/>
        <w:left w:val="none" w:sz="0" w:space="0" w:color="auto"/>
        <w:bottom w:val="none" w:sz="0" w:space="0" w:color="auto"/>
        <w:right w:val="none" w:sz="0" w:space="0" w:color="auto"/>
      </w:divBdr>
    </w:div>
    <w:div w:id="789978374">
      <w:marLeft w:val="0"/>
      <w:marRight w:val="0"/>
      <w:marTop w:val="0"/>
      <w:marBottom w:val="0"/>
      <w:divBdr>
        <w:top w:val="none" w:sz="0" w:space="0" w:color="auto"/>
        <w:left w:val="none" w:sz="0" w:space="0" w:color="auto"/>
        <w:bottom w:val="none" w:sz="0" w:space="0" w:color="auto"/>
        <w:right w:val="none" w:sz="0" w:space="0" w:color="auto"/>
      </w:divBdr>
    </w:div>
    <w:div w:id="789978375">
      <w:marLeft w:val="0"/>
      <w:marRight w:val="0"/>
      <w:marTop w:val="0"/>
      <w:marBottom w:val="0"/>
      <w:divBdr>
        <w:top w:val="none" w:sz="0" w:space="0" w:color="auto"/>
        <w:left w:val="none" w:sz="0" w:space="0" w:color="auto"/>
        <w:bottom w:val="none" w:sz="0" w:space="0" w:color="auto"/>
        <w:right w:val="none" w:sz="0" w:space="0" w:color="auto"/>
      </w:divBdr>
    </w:div>
    <w:div w:id="789978376">
      <w:marLeft w:val="0"/>
      <w:marRight w:val="0"/>
      <w:marTop w:val="0"/>
      <w:marBottom w:val="0"/>
      <w:divBdr>
        <w:top w:val="none" w:sz="0" w:space="0" w:color="auto"/>
        <w:left w:val="none" w:sz="0" w:space="0" w:color="auto"/>
        <w:bottom w:val="none" w:sz="0" w:space="0" w:color="auto"/>
        <w:right w:val="none" w:sz="0" w:space="0" w:color="auto"/>
      </w:divBdr>
    </w:div>
    <w:div w:id="789978377">
      <w:marLeft w:val="0"/>
      <w:marRight w:val="0"/>
      <w:marTop w:val="0"/>
      <w:marBottom w:val="0"/>
      <w:divBdr>
        <w:top w:val="none" w:sz="0" w:space="0" w:color="auto"/>
        <w:left w:val="none" w:sz="0" w:space="0" w:color="auto"/>
        <w:bottom w:val="none" w:sz="0" w:space="0" w:color="auto"/>
        <w:right w:val="none" w:sz="0" w:space="0" w:color="auto"/>
      </w:divBdr>
    </w:div>
    <w:div w:id="789978378">
      <w:marLeft w:val="0"/>
      <w:marRight w:val="0"/>
      <w:marTop w:val="0"/>
      <w:marBottom w:val="0"/>
      <w:divBdr>
        <w:top w:val="none" w:sz="0" w:space="0" w:color="auto"/>
        <w:left w:val="none" w:sz="0" w:space="0" w:color="auto"/>
        <w:bottom w:val="none" w:sz="0" w:space="0" w:color="auto"/>
        <w:right w:val="none" w:sz="0" w:space="0" w:color="auto"/>
      </w:divBdr>
    </w:div>
    <w:div w:id="789978379">
      <w:marLeft w:val="0"/>
      <w:marRight w:val="0"/>
      <w:marTop w:val="0"/>
      <w:marBottom w:val="0"/>
      <w:divBdr>
        <w:top w:val="none" w:sz="0" w:space="0" w:color="auto"/>
        <w:left w:val="none" w:sz="0" w:space="0" w:color="auto"/>
        <w:bottom w:val="none" w:sz="0" w:space="0" w:color="auto"/>
        <w:right w:val="none" w:sz="0" w:space="0" w:color="auto"/>
      </w:divBdr>
    </w:div>
    <w:div w:id="789978380">
      <w:marLeft w:val="0"/>
      <w:marRight w:val="0"/>
      <w:marTop w:val="0"/>
      <w:marBottom w:val="0"/>
      <w:divBdr>
        <w:top w:val="none" w:sz="0" w:space="0" w:color="auto"/>
        <w:left w:val="none" w:sz="0" w:space="0" w:color="auto"/>
        <w:bottom w:val="none" w:sz="0" w:space="0" w:color="auto"/>
        <w:right w:val="none" w:sz="0" w:space="0" w:color="auto"/>
      </w:divBdr>
    </w:div>
    <w:div w:id="789978381">
      <w:marLeft w:val="0"/>
      <w:marRight w:val="0"/>
      <w:marTop w:val="0"/>
      <w:marBottom w:val="0"/>
      <w:divBdr>
        <w:top w:val="none" w:sz="0" w:space="0" w:color="auto"/>
        <w:left w:val="none" w:sz="0" w:space="0" w:color="auto"/>
        <w:bottom w:val="none" w:sz="0" w:space="0" w:color="auto"/>
        <w:right w:val="none" w:sz="0" w:space="0" w:color="auto"/>
      </w:divBdr>
    </w:div>
    <w:div w:id="789978382">
      <w:marLeft w:val="0"/>
      <w:marRight w:val="0"/>
      <w:marTop w:val="0"/>
      <w:marBottom w:val="0"/>
      <w:divBdr>
        <w:top w:val="none" w:sz="0" w:space="0" w:color="auto"/>
        <w:left w:val="none" w:sz="0" w:space="0" w:color="auto"/>
        <w:bottom w:val="none" w:sz="0" w:space="0" w:color="auto"/>
        <w:right w:val="none" w:sz="0" w:space="0" w:color="auto"/>
      </w:divBdr>
    </w:div>
    <w:div w:id="789978383">
      <w:marLeft w:val="0"/>
      <w:marRight w:val="0"/>
      <w:marTop w:val="0"/>
      <w:marBottom w:val="0"/>
      <w:divBdr>
        <w:top w:val="none" w:sz="0" w:space="0" w:color="auto"/>
        <w:left w:val="none" w:sz="0" w:space="0" w:color="auto"/>
        <w:bottom w:val="none" w:sz="0" w:space="0" w:color="auto"/>
        <w:right w:val="none" w:sz="0" w:space="0" w:color="auto"/>
      </w:divBdr>
    </w:div>
    <w:div w:id="789978384">
      <w:marLeft w:val="0"/>
      <w:marRight w:val="0"/>
      <w:marTop w:val="0"/>
      <w:marBottom w:val="0"/>
      <w:divBdr>
        <w:top w:val="none" w:sz="0" w:space="0" w:color="auto"/>
        <w:left w:val="none" w:sz="0" w:space="0" w:color="auto"/>
        <w:bottom w:val="none" w:sz="0" w:space="0" w:color="auto"/>
        <w:right w:val="none" w:sz="0" w:space="0" w:color="auto"/>
      </w:divBdr>
    </w:div>
    <w:div w:id="789978385">
      <w:marLeft w:val="0"/>
      <w:marRight w:val="0"/>
      <w:marTop w:val="0"/>
      <w:marBottom w:val="0"/>
      <w:divBdr>
        <w:top w:val="none" w:sz="0" w:space="0" w:color="auto"/>
        <w:left w:val="none" w:sz="0" w:space="0" w:color="auto"/>
        <w:bottom w:val="none" w:sz="0" w:space="0" w:color="auto"/>
        <w:right w:val="none" w:sz="0" w:space="0" w:color="auto"/>
      </w:divBdr>
    </w:div>
    <w:div w:id="789978386">
      <w:marLeft w:val="0"/>
      <w:marRight w:val="0"/>
      <w:marTop w:val="0"/>
      <w:marBottom w:val="0"/>
      <w:divBdr>
        <w:top w:val="none" w:sz="0" w:space="0" w:color="auto"/>
        <w:left w:val="none" w:sz="0" w:space="0" w:color="auto"/>
        <w:bottom w:val="none" w:sz="0" w:space="0" w:color="auto"/>
        <w:right w:val="none" w:sz="0" w:space="0" w:color="auto"/>
      </w:divBdr>
    </w:div>
    <w:div w:id="789978387">
      <w:marLeft w:val="0"/>
      <w:marRight w:val="0"/>
      <w:marTop w:val="0"/>
      <w:marBottom w:val="0"/>
      <w:divBdr>
        <w:top w:val="none" w:sz="0" w:space="0" w:color="auto"/>
        <w:left w:val="none" w:sz="0" w:space="0" w:color="auto"/>
        <w:bottom w:val="none" w:sz="0" w:space="0" w:color="auto"/>
        <w:right w:val="none" w:sz="0" w:space="0" w:color="auto"/>
      </w:divBdr>
    </w:div>
    <w:div w:id="789978388">
      <w:marLeft w:val="0"/>
      <w:marRight w:val="0"/>
      <w:marTop w:val="0"/>
      <w:marBottom w:val="0"/>
      <w:divBdr>
        <w:top w:val="none" w:sz="0" w:space="0" w:color="auto"/>
        <w:left w:val="none" w:sz="0" w:space="0" w:color="auto"/>
        <w:bottom w:val="none" w:sz="0" w:space="0" w:color="auto"/>
        <w:right w:val="none" w:sz="0" w:space="0" w:color="auto"/>
      </w:divBdr>
    </w:div>
    <w:div w:id="789978389">
      <w:marLeft w:val="0"/>
      <w:marRight w:val="0"/>
      <w:marTop w:val="0"/>
      <w:marBottom w:val="0"/>
      <w:divBdr>
        <w:top w:val="none" w:sz="0" w:space="0" w:color="auto"/>
        <w:left w:val="none" w:sz="0" w:space="0" w:color="auto"/>
        <w:bottom w:val="none" w:sz="0" w:space="0" w:color="auto"/>
        <w:right w:val="none" w:sz="0" w:space="0" w:color="auto"/>
      </w:divBdr>
    </w:div>
    <w:div w:id="789978390">
      <w:marLeft w:val="0"/>
      <w:marRight w:val="0"/>
      <w:marTop w:val="0"/>
      <w:marBottom w:val="0"/>
      <w:divBdr>
        <w:top w:val="none" w:sz="0" w:space="0" w:color="auto"/>
        <w:left w:val="none" w:sz="0" w:space="0" w:color="auto"/>
        <w:bottom w:val="none" w:sz="0" w:space="0" w:color="auto"/>
        <w:right w:val="none" w:sz="0" w:space="0" w:color="auto"/>
      </w:divBdr>
    </w:div>
    <w:div w:id="789978391">
      <w:marLeft w:val="0"/>
      <w:marRight w:val="0"/>
      <w:marTop w:val="0"/>
      <w:marBottom w:val="0"/>
      <w:divBdr>
        <w:top w:val="none" w:sz="0" w:space="0" w:color="auto"/>
        <w:left w:val="none" w:sz="0" w:space="0" w:color="auto"/>
        <w:bottom w:val="none" w:sz="0" w:space="0" w:color="auto"/>
        <w:right w:val="none" w:sz="0" w:space="0" w:color="auto"/>
      </w:divBdr>
    </w:div>
    <w:div w:id="789978392">
      <w:marLeft w:val="0"/>
      <w:marRight w:val="0"/>
      <w:marTop w:val="0"/>
      <w:marBottom w:val="0"/>
      <w:divBdr>
        <w:top w:val="none" w:sz="0" w:space="0" w:color="auto"/>
        <w:left w:val="none" w:sz="0" w:space="0" w:color="auto"/>
        <w:bottom w:val="none" w:sz="0" w:space="0" w:color="auto"/>
        <w:right w:val="none" w:sz="0" w:space="0" w:color="auto"/>
      </w:divBdr>
    </w:div>
    <w:div w:id="789978393">
      <w:marLeft w:val="0"/>
      <w:marRight w:val="0"/>
      <w:marTop w:val="0"/>
      <w:marBottom w:val="0"/>
      <w:divBdr>
        <w:top w:val="none" w:sz="0" w:space="0" w:color="auto"/>
        <w:left w:val="none" w:sz="0" w:space="0" w:color="auto"/>
        <w:bottom w:val="none" w:sz="0" w:space="0" w:color="auto"/>
        <w:right w:val="none" w:sz="0" w:space="0" w:color="auto"/>
      </w:divBdr>
    </w:div>
    <w:div w:id="789978394">
      <w:marLeft w:val="0"/>
      <w:marRight w:val="0"/>
      <w:marTop w:val="0"/>
      <w:marBottom w:val="0"/>
      <w:divBdr>
        <w:top w:val="none" w:sz="0" w:space="0" w:color="auto"/>
        <w:left w:val="none" w:sz="0" w:space="0" w:color="auto"/>
        <w:bottom w:val="none" w:sz="0" w:space="0" w:color="auto"/>
        <w:right w:val="none" w:sz="0" w:space="0" w:color="auto"/>
      </w:divBdr>
    </w:div>
    <w:div w:id="789978395">
      <w:marLeft w:val="0"/>
      <w:marRight w:val="0"/>
      <w:marTop w:val="0"/>
      <w:marBottom w:val="0"/>
      <w:divBdr>
        <w:top w:val="none" w:sz="0" w:space="0" w:color="auto"/>
        <w:left w:val="none" w:sz="0" w:space="0" w:color="auto"/>
        <w:bottom w:val="none" w:sz="0" w:space="0" w:color="auto"/>
        <w:right w:val="none" w:sz="0" w:space="0" w:color="auto"/>
      </w:divBdr>
    </w:div>
    <w:div w:id="789978396">
      <w:marLeft w:val="0"/>
      <w:marRight w:val="0"/>
      <w:marTop w:val="0"/>
      <w:marBottom w:val="0"/>
      <w:divBdr>
        <w:top w:val="none" w:sz="0" w:space="0" w:color="auto"/>
        <w:left w:val="none" w:sz="0" w:space="0" w:color="auto"/>
        <w:bottom w:val="none" w:sz="0" w:space="0" w:color="auto"/>
        <w:right w:val="none" w:sz="0" w:space="0" w:color="auto"/>
      </w:divBdr>
    </w:div>
    <w:div w:id="789978397">
      <w:marLeft w:val="0"/>
      <w:marRight w:val="0"/>
      <w:marTop w:val="0"/>
      <w:marBottom w:val="0"/>
      <w:divBdr>
        <w:top w:val="none" w:sz="0" w:space="0" w:color="auto"/>
        <w:left w:val="none" w:sz="0" w:space="0" w:color="auto"/>
        <w:bottom w:val="none" w:sz="0" w:space="0" w:color="auto"/>
        <w:right w:val="none" w:sz="0" w:space="0" w:color="auto"/>
      </w:divBdr>
    </w:div>
    <w:div w:id="789978398">
      <w:marLeft w:val="0"/>
      <w:marRight w:val="0"/>
      <w:marTop w:val="0"/>
      <w:marBottom w:val="0"/>
      <w:divBdr>
        <w:top w:val="none" w:sz="0" w:space="0" w:color="auto"/>
        <w:left w:val="none" w:sz="0" w:space="0" w:color="auto"/>
        <w:bottom w:val="none" w:sz="0" w:space="0" w:color="auto"/>
        <w:right w:val="none" w:sz="0" w:space="0" w:color="auto"/>
      </w:divBdr>
    </w:div>
    <w:div w:id="789978399">
      <w:marLeft w:val="0"/>
      <w:marRight w:val="0"/>
      <w:marTop w:val="0"/>
      <w:marBottom w:val="0"/>
      <w:divBdr>
        <w:top w:val="none" w:sz="0" w:space="0" w:color="auto"/>
        <w:left w:val="none" w:sz="0" w:space="0" w:color="auto"/>
        <w:bottom w:val="none" w:sz="0" w:space="0" w:color="auto"/>
        <w:right w:val="none" w:sz="0" w:space="0" w:color="auto"/>
      </w:divBdr>
    </w:div>
    <w:div w:id="789978400">
      <w:marLeft w:val="0"/>
      <w:marRight w:val="0"/>
      <w:marTop w:val="0"/>
      <w:marBottom w:val="0"/>
      <w:divBdr>
        <w:top w:val="none" w:sz="0" w:space="0" w:color="auto"/>
        <w:left w:val="none" w:sz="0" w:space="0" w:color="auto"/>
        <w:bottom w:val="none" w:sz="0" w:space="0" w:color="auto"/>
        <w:right w:val="none" w:sz="0" w:space="0" w:color="auto"/>
      </w:divBdr>
    </w:div>
    <w:div w:id="789978401">
      <w:marLeft w:val="0"/>
      <w:marRight w:val="0"/>
      <w:marTop w:val="0"/>
      <w:marBottom w:val="0"/>
      <w:divBdr>
        <w:top w:val="none" w:sz="0" w:space="0" w:color="auto"/>
        <w:left w:val="none" w:sz="0" w:space="0" w:color="auto"/>
        <w:bottom w:val="none" w:sz="0" w:space="0" w:color="auto"/>
        <w:right w:val="none" w:sz="0" w:space="0" w:color="auto"/>
      </w:divBdr>
    </w:div>
    <w:div w:id="789978402">
      <w:marLeft w:val="0"/>
      <w:marRight w:val="0"/>
      <w:marTop w:val="0"/>
      <w:marBottom w:val="0"/>
      <w:divBdr>
        <w:top w:val="none" w:sz="0" w:space="0" w:color="auto"/>
        <w:left w:val="none" w:sz="0" w:space="0" w:color="auto"/>
        <w:bottom w:val="none" w:sz="0" w:space="0" w:color="auto"/>
        <w:right w:val="none" w:sz="0" w:space="0" w:color="auto"/>
      </w:divBdr>
    </w:div>
    <w:div w:id="789978403">
      <w:marLeft w:val="0"/>
      <w:marRight w:val="0"/>
      <w:marTop w:val="0"/>
      <w:marBottom w:val="0"/>
      <w:divBdr>
        <w:top w:val="none" w:sz="0" w:space="0" w:color="auto"/>
        <w:left w:val="none" w:sz="0" w:space="0" w:color="auto"/>
        <w:bottom w:val="none" w:sz="0" w:space="0" w:color="auto"/>
        <w:right w:val="none" w:sz="0" w:space="0" w:color="auto"/>
      </w:divBdr>
    </w:div>
    <w:div w:id="789978404">
      <w:marLeft w:val="0"/>
      <w:marRight w:val="0"/>
      <w:marTop w:val="0"/>
      <w:marBottom w:val="0"/>
      <w:divBdr>
        <w:top w:val="none" w:sz="0" w:space="0" w:color="auto"/>
        <w:left w:val="none" w:sz="0" w:space="0" w:color="auto"/>
        <w:bottom w:val="none" w:sz="0" w:space="0" w:color="auto"/>
        <w:right w:val="none" w:sz="0" w:space="0" w:color="auto"/>
      </w:divBdr>
    </w:div>
    <w:div w:id="789978405">
      <w:marLeft w:val="0"/>
      <w:marRight w:val="0"/>
      <w:marTop w:val="0"/>
      <w:marBottom w:val="0"/>
      <w:divBdr>
        <w:top w:val="none" w:sz="0" w:space="0" w:color="auto"/>
        <w:left w:val="none" w:sz="0" w:space="0" w:color="auto"/>
        <w:bottom w:val="none" w:sz="0" w:space="0" w:color="auto"/>
        <w:right w:val="none" w:sz="0" w:space="0" w:color="auto"/>
      </w:divBdr>
    </w:div>
    <w:div w:id="789978406">
      <w:marLeft w:val="0"/>
      <w:marRight w:val="0"/>
      <w:marTop w:val="0"/>
      <w:marBottom w:val="0"/>
      <w:divBdr>
        <w:top w:val="none" w:sz="0" w:space="0" w:color="auto"/>
        <w:left w:val="none" w:sz="0" w:space="0" w:color="auto"/>
        <w:bottom w:val="none" w:sz="0" w:space="0" w:color="auto"/>
        <w:right w:val="none" w:sz="0" w:space="0" w:color="auto"/>
      </w:divBdr>
    </w:div>
    <w:div w:id="789978407">
      <w:marLeft w:val="0"/>
      <w:marRight w:val="0"/>
      <w:marTop w:val="0"/>
      <w:marBottom w:val="0"/>
      <w:divBdr>
        <w:top w:val="none" w:sz="0" w:space="0" w:color="auto"/>
        <w:left w:val="none" w:sz="0" w:space="0" w:color="auto"/>
        <w:bottom w:val="none" w:sz="0" w:space="0" w:color="auto"/>
        <w:right w:val="none" w:sz="0" w:space="0" w:color="auto"/>
      </w:divBdr>
    </w:div>
    <w:div w:id="789978408">
      <w:marLeft w:val="0"/>
      <w:marRight w:val="0"/>
      <w:marTop w:val="0"/>
      <w:marBottom w:val="0"/>
      <w:divBdr>
        <w:top w:val="none" w:sz="0" w:space="0" w:color="auto"/>
        <w:left w:val="none" w:sz="0" w:space="0" w:color="auto"/>
        <w:bottom w:val="none" w:sz="0" w:space="0" w:color="auto"/>
        <w:right w:val="none" w:sz="0" w:space="0" w:color="auto"/>
      </w:divBdr>
    </w:div>
    <w:div w:id="789978409">
      <w:marLeft w:val="0"/>
      <w:marRight w:val="0"/>
      <w:marTop w:val="0"/>
      <w:marBottom w:val="0"/>
      <w:divBdr>
        <w:top w:val="none" w:sz="0" w:space="0" w:color="auto"/>
        <w:left w:val="none" w:sz="0" w:space="0" w:color="auto"/>
        <w:bottom w:val="none" w:sz="0" w:space="0" w:color="auto"/>
        <w:right w:val="none" w:sz="0" w:space="0" w:color="auto"/>
      </w:divBdr>
    </w:div>
    <w:div w:id="789978410">
      <w:marLeft w:val="0"/>
      <w:marRight w:val="0"/>
      <w:marTop w:val="0"/>
      <w:marBottom w:val="0"/>
      <w:divBdr>
        <w:top w:val="none" w:sz="0" w:space="0" w:color="auto"/>
        <w:left w:val="none" w:sz="0" w:space="0" w:color="auto"/>
        <w:bottom w:val="none" w:sz="0" w:space="0" w:color="auto"/>
        <w:right w:val="none" w:sz="0" w:space="0" w:color="auto"/>
      </w:divBdr>
    </w:div>
    <w:div w:id="789978411">
      <w:marLeft w:val="0"/>
      <w:marRight w:val="0"/>
      <w:marTop w:val="0"/>
      <w:marBottom w:val="0"/>
      <w:divBdr>
        <w:top w:val="none" w:sz="0" w:space="0" w:color="auto"/>
        <w:left w:val="none" w:sz="0" w:space="0" w:color="auto"/>
        <w:bottom w:val="none" w:sz="0" w:space="0" w:color="auto"/>
        <w:right w:val="none" w:sz="0" w:space="0" w:color="auto"/>
      </w:divBdr>
    </w:div>
    <w:div w:id="789978412">
      <w:marLeft w:val="0"/>
      <w:marRight w:val="0"/>
      <w:marTop w:val="0"/>
      <w:marBottom w:val="0"/>
      <w:divBdr>
        <w:top w:val="none" w:sz="0" w:space="0" w:color="auto"/>
        <w:left w:val="none" w:sz="0" w:space="0" w:color="auto"/>
        <w:bottom w:val="none" w:sz="0" w:space="0" w:color="auto"/>
        <w:right w:val="none" w:sz="0" w:space="0" w:color="auto"/>
      </w:divBdr>
    </w:div>
    <w:div w:id="789978413">
      <w:marLeft w:val="0"/>
      <w:marRight w:val="0"/>
      <w:marTop w:val="0"/>
      <w:marBottom w:val="0"/>
      <w:divBdr>
        <w:top w:val="none" w:sz="0" w:space="0" w:color="auto"/>
        <w:left w:val="none" w:sz="0" w:space="0" w:color="auto"/>
        <w:bottom w:val="none" w:sz="0" w:space="0" w:color="auto"/>
        <w:right w:val="none" w:sz="0" w:space="0" w:color="auto"/>
      </w:divBdr>
    </w:div>
    <w:div w:id="789978414">
      <w:marLeft w:val="0"/>
      <w:marRight w:val="0"/>
      <w:marTop w:val="0"/>
      <w:marBottom w:val="0"/>
      <w:divBdr>
        <w:top w:val="none" w:sz="0" w:space="0" w:color="auto"/>
        <w:left w:val="none" w:sz="0" w:space="0" w:color="auto"/>
        <w:bottom w:val="none" w:sz="0" w:space="0" w:color="auto"/>
        <w:right w:val="none" w:sz="0" w:space="0" w:color="auto"/>
      </w:divBdr>
    </w:div>
    <w:div w:id="789978415">
      <w:marLeft w:val="0"/>
      <w:marRight w:val="0"/>
      <w:marTop w:val="0"/>
      <w:marBottom w:val="0"/>
      <w:divBdr>
        <w:top w:val="none" w:sz="0" w:space="0" w:color="auto"/>
        <w:left w:val="none" w:sz="0" w:space="0" w:color="auto"/>
        <w:bottom w:val="none" w:sz="0" w:space="0" w:color="auto"/>
        <w:right w:val="none" w:sz="0" w:space="0" w:color="auto"/>
      </w:divBdr>
    </w:div>
    <w:div w:id="789978416">
      <w:marLeft w:val="0"/>
      <w:marRight w:val="0"/>
      <w:marTop w:val="0"/>
      <w:marBottom w:val="0"/>
      <w:divBdr>
        <w:top w:val="none" w:sz="0" w:space="0" w:color="auto"/>
        <w:left w:val="none" w:sz="0" w:space="0" w:color="auto"/>
        <w:bottom w:val="none" w:sz="0" w:space="0" w:color="auto"/>
        <w:right w:val="none" w:sz="0" w:space="0" w:color="auto"/>
      </w:divBdr>
    </w:div>
    <w:div w:id="789978417">
      <w:marLeft w:val="0"/>
      <w:marRight w:val="0"/>
      <w:marTop w:val="0"/>
      <w:marBottom w:val="0"/>
      <w:divBdr>
        <w:top w:val="none" w:sz="0" w:space="0" w:color="auto"/>
        <w:left w:val="none" w:sz="0" w:space="0" w:color="auto"/>
        <w:bottom w:val="none" w:sz="0" w:space="0" w:color="auto"/>
        <w:right w:val="none" w:sz="0" w:space="0" w:color="auto"/>
      </w:divBdr>
    </w:div>
    <w:div w:id="789978418">
      <w:marLeft w:val="0"/>
      <w:marRight w:val="0"/>
      <w:marTop w:val="0"/>
      <w:marBottom w:val="0"/>
      <w:divBdr>
        <w:top w:val="none" w:sz="0" w:space="0" w:color="auto"/>
        <w:left w:val="none" w:sz="0" w:space="0" w:color="auto"/>
        <w:bottom w:val="none" w:sz="0" w:space="0" w:color="auto"/>
        <w:right w:val="none" w:sz="0" w:space="0" w:color="auto"/>
      </w:divBdr>
    </w:div>
    <w:div w:id="789978419">
      <w:marLeft w:val="0"/>
      <w:marRight w:val="0"/>
      <w:marTop w:val="0"/>
      <w:marBottom w:val="0"/>
      <w:divBdr>
        <w:top w:val="none" w:sz="0" w:space="0" w:color="auto"/>
        <w:left w:val="none" w:sz="0" w:space="0" w:color="auto"/>
        <w:bottom w:val="none" w:sz="0" w:space="0" w:color="auto"/>
        <w:right w:val="none" w:sz="0" w:space="0" w:color="auto"/>
      </w:divBdr>
    </w:div>
    <w:div w:id="789978420">
      <w:marLeft w:val="0"/>
      <w:marRight w:val="0"/>
      <w:marTop w:val="0"/>
      <w:marBottom w:val="0"/>
      <w:divBdr>
        <w:top w:val="none" w:sz="0" w:space="0" w:color="auto"/>
        <w:left w:val="none" w:sz="0" w:space="0" w:color="auto"/>
        <w:bottom w:val="none" w:sz="0" w:space="0" w:color="auto"/>
        <w:right w:val="none" w:sz="0" w:space="0" w:color="auto"/>
      </w:divBdr>
    </w:div>
    <w:div w:id="789978421">
      <w:marLeft w:val="0"/>
      <w:marRight w:val="0"/>
      <w:marTop w:val="0"/>
      <w:marBottom w:val="0"/>
      <w:divBdr>
        <w:top w:val="none" w:sz="0" w:space="0" w:color="auto"/>
        <w:left w:val="none" w:sz="0" w:space="0" w:color="auto"/>
        <w:bottom w:val="none" w:sz="0" w:space="0" w:color="auto"/>
        <w:right w:val="none" w:sz="0" w:space="0" w:color="auto"/>
      </w:divBdr>
    </w:div>
    <w:div w:id="789978422">
      <w:marLeft w:val="0"/>
      <w:marRight w:val="0"/>
      <w:marTop w:val="0"/>
      <w:marBottom w:val="0"/>
      <w:divBdr>
        <w:top w:val="none" w:sz="0" w:space="0" w:color="auto"/>
        <w:left w:val="none" w:sz="0" w:space="0" w:color="auto"/>
        <w:bottom w:val="none" w:sz="0" w:space="0" w:color="auto"/>
        <w:right w:val="none" w:sz="0" w:space="0" w:color="auto"/>
      </w:divBdr>
    </w:div>
    <w:div w:id="789978423">
      <w:marLeft w:val="0"/>
      <w:marRight w:val="0"/>
      <w:marTop w:val="0"/>
      <w:marBottom w:val="0"/>
      <w:divBdr>
        <w:top w:val="none" w:sz="0" w:space="0" w:color="auto"/>
        <w:left w:val="none" w:sz="0" w:space="0" w:color="auto"/>
        <w:bottom w:val="none" w:sz="0" w:space="0" w:color="auto"/>
        <w:right w:val="none" w:sz="0" w:space="0" w:color="auto"/>
      </w:divBdr>
    </w:div>
    <w:div w:id="789978424">
      <w:marLeft w:val="0"/>
      <w:marRight w:val="0"/>
      <w:marTop w:val="0"/>
      <w:marBottom w:val="0"/>
      <w:divBdr>
        <w:top w:val="none" w:sz="0" w:space="0" w:color="auto"/>
        <w:left w:val="none" w:sz="0" w:space="0" w:color="auto"/>
        <w:bottom w:val="none" w:sz="0" w:space="0" w:color="auto"/>
        <w:right w:val="none" w:sz="0" w:space="0" w:color="auto"/>
      </w:divBdr>
    </w:div>
    <w:div w:id="789978425">
      <w:marLeft w:val="0"/>
      <w:marRight w:val="0"/>
      <w:marTop w:val="0"/>
      <w:marBottom w:val="0"/>
      <w:divBdr>
        <w:top w:val="none" w:sz="0" w:space="0" w:color="auto"/>
        <w:left w:val="none" w:sz="0" w:space="0" w:color="auto"/>
        <w:bottom w:val="none" w:sz="0" w:space="0" w:color="auto"/>
        <w:right w:val="none" w:sz="0" w:space="0" w:color="auto"/>
      </w:divBdr>
    </w:div>
    <w:div w:id="789978426">
      <w:marLeft w:val="0"/>
      <w:marRight w:val="0"/>
      <w:marTop w:val="0"/>
      <w:marBottom w:val="0"/>
      <w:divBdr>
        <w:top w:val="none" w:sz="0" w:space="0" w:color="auto"/>
        <w:left w:val="none" w:sz="0" w:space="0" w:color="auto"/>
        <w:bottom w:val="none" w:sz="0" w:space="0" w:color="auto"/>
        <w:right w:val="none" w:sz="0" w:space="0" w:color="auto"/>
      </w:divBdr>
    </w:div>
    <w:div w:id="789978427">
      <w:marLeft w:val="0"/>
      <w:marRight w:val="0"/>
      <w:marTop w:val="0"/>
      <w:marBottom w:val="0"/>
      <w:divBdr>
        <w:top w:val="none" w:sz="0" w:space="0" w:color="auto"/>
        <w:left w:val="none" w:sz="0" w:space="0" w:color="auto"/>
        <w:bottom w:val="none" w:sz="0" w:space="0" w:color="auto"/>
        <w:right w:val="none" w:sz="0" w:space="0" w:color="auto"/>
      </w:divBdr>
    </w:div>
    <w:div w:id="789978428">
      <w:marLeft w:val="0"/>
      <w:marRight w:val="0"/>
      <w:marTop w:val="0"/>
      <w:marBottom w:val="0"/>
      <w:divBdr>
        <w:top w:val="none" w:sz="0" w:space="0" w:color="auto"/>
        <w:left w:val="none" w:sz="0" w:space="0" w:color="auto"/>
        <w:bottom w:val="none" w:sz="0" w:space="0" w:color="auto"/>
        <w:right w:val="none" w:sz="0" w:space="0" w:color="auto"/>
      </w:divBdr>
    </w:div>
    <w:div w:id="789978429">
      <w:marLeft w:val="0"/>
      <w:marRight w:val="0"/>
      <w:marTop w:val="0"/>
      <w:marBottom w:val="0"/>
      <w:divBdr>
        <w:top w:val="none" w:sz="0" w:space="0" w:color="auto"/>
        <w:left w:val="none" w:sz="0" w:space="0" w:color="auto"/>
        <w:bottom w:val="none" w:sz="0" w:space="0" w:color="auto"/>
        <w:right w:val="none" w:sz="0" w:space="0" w:color="auto"/>
      </w:divBdr>
    </w:div>
    <w:div w:id="789978430">
      <w:marLeft w:val="0"/>
      <w:marRight w:val="0"/>
      <w:marTop w:val="0"/>
      <w:marBottom w:val="0"/>
      <w:divBdr>
        <w:top w:val="none" w:sz="0" w:space="0" w:color="auto"/>
        <w:left w:val="none" w:sz="0" w:space="0" w:color="auto"/>
        <w:bottom w:val="none" w:sz="0" w:space="0" w:color="auto"/>
        <w:right w:val="none" w:sz="0" w:space="0" w:color="auto"/>
      </w:divBdr>
    </w:div>
    <w:div w:id="789978431">
      <w:marLeft w:val="0"/>
      <w:marRight w:val="0"/>
      <w:marTop w:val="0"/>
      <w:marBottom w:val="0"/>
      <w:divBdr>
        <w:top w:val="none" w:sz="0" w:space="0" w:color="auto"/>
        <w:left w:val="none" w:sz="0" w:space="0" w:color="auto"/>
        <w:bottom w:val="none" w:sz="0" w:space="0" w:color="auto"/>
        <w:right w:val="none" w:sz="0" w:space="0" w:color="auto"/>
      </w:divBdr>
    </w:div>
    <w:div w:id="789978432">
      <w:marLeft w:val="0"/>
      <w:marRight w:val="0"/>
      <w:marTop w:val="0"/>
      <w:marBottom w:val="0"/>
      <w:divBdr>
        <w:top w:val="none" w:sz="0" w:space="0" w:color="auto"/>
        <w:left w:val="none" w:sz="0" w:space="0" w:color="auto"/>
        <w:bottom w:val="none" w:sz="0" w:space="0" w:color="auto"/>
        <w:right w:val="none" w:sz="0" w:space="0" w:color="auto"/>
      </w:divBdr>
    </w:div>
    <w:div w:id="789978433">
      <w:marLeft w:val="0"/>
      <w:marRight w:val="0"/>
      <w:marTop w:val="0"/>
      <w:marBottom w:val="0"/>
      <w:divBdr>
        <w:top w:val="none" w:sz="0" w:space="0" w:color="auto"/>
        <w:left w:val="none" w:sz="0" w:space="0" w:color="auto"/>
        <w:bottom w:val="none" w:sz="0" w:space="0" w:color="auto"/>
        <w:right w:val="none" w:sz="0" w:space="0" w:color="auto"/>
      </w:divBdr>
    </w:div>
    <w:div w:id="789978434">
      <w:marLeft w:val="0"/>
      <w:marRight w:val="0"/>
      <w:marTop w:val="0"/>
      <w:marBottom w:val="0"/>
      <w:divBdr>
        <w:top w:val="none" w:sz="0" w:space="0" w:color="auto"/>
        <w:left w:val="none" w:sz="0" w:space="0" w:color="auto"/>
        <w:bottom w:val="none" w:sz="0" w:space="0" w:color="auto"/>
        <w:right w:val="none" w:sz="0" w:space="0" w:color="auto"/>
      </w:divBdr>
    </w:div>
    <w:div w:id="789978435">
      <w:marLeft w:val="0"/>
      <w:marRight w:val="0"/>
      <w:marTop w:val="0"/>
      <w:marBottom w:val="0"/>
      <w:divBdr>
        <w:top w:val="none" w:sz="0" w:space="0" w:color="auto"/>
        <w:left w:val="none" w:sz="0" w:space="0" w:color="auto"/>
        <w:bottom w:val="none" w:sz="0" w:space="0" w:color="auto"/>
        <w:right w:val="none" w:sz="0" w:space="0" w:color="auto"/>
      </w:divBdr>
    </w:div>
    <w:div w:id="789978436">
      <w:marLeft w:val="0"/>
      <w:marRight w:val="0"/>
      <w:marTop w:val="0"/>
      <w:marBottom w:val="0"/>
      <w:divBdr>
        <w:top w:val="none" w:sz="0" w:space="0" w:color="auto"/>
        <w:left w:val="none" w:sz="0" w:space="0" w:color="auto"/>
        <w:bottom w:val="none" w:sz="0" w:space="0" w:color="auto"/>
        <w:right w:val="none" w:sz="0" w:space="0" w:color="auto"/>
      </w:divBdr>
    </w:div>
    <w:div w:id="789978437">
      <w:marLeft w:val="0"/>
      <w:marRight w:val="0"/>
      <w:marTop w:val="0"/>
      <w:marBottom w:val="0"/>
      <w:divBdr>
        <w:top w:val="none" w:sz="0" w:space="0" w:color="auto"/>
        <w:left w:val="none" w:sz="0" w:space="0" w:color="auto"/>
        <w:bottom w:val="none" w:sz="0" w:space="0" w:color="auto"/>
        <w:right w:val="none" w:sz="0" w:space="0" w:color="auto"/>
      </w:divBdr>
    </w:div>
    <w:div w:id="789978438">
      <w:marLeft w:val="0"/>
      <w:marRight w:val="0"/>
      <w:marTop w:val="0"/>
      <w:marBottom w:val="0"/>
      <w:divBdr>
        <w:top w:val="none" w:sz="0" w:space="0" w:color="auto"/>
        <w:left w:val="none" w:sz="0" w:space="0" w:color="auto"/>
        <w:bottom w:val="none" w:sz="0" w:space="0" w:color="auto"/>
        <w:right w:val="none" w:sz="0" w:space="0" w:color="auto"/>
      </w:divBdr>
    </w:div>
    <w:div w:id="789978439">
      <w:marLeft w:val="0"/>
      <w:marRight w:val="0"/>
      <w:marTop w:val="0"/>
      <w:marBottom w:val="0"/>
      <w:divBdr>
        <w:top w:val="none" w:sz="0" w:space="0" w:color="auto"/>
        <w:left w:val="none" w:sz="0" w:space="0" w:color="auto"/>
        <w:bottom w:val="none" w:sz="0" w:space="0" w:color="auto"/>
        <w:right w:val="none" w:sz="0" w:space="0" w:color="auto"/>
      </w:divBdr>
    </w:div>
    <w:div w:id="789978440">
      <w:marLeft w:val="0"/>
      <w:marRight w:val="0"/>
      <w:marTop w:val="0"/>
      <w:marBottom w:val="0"/>
      <w:divBdr>
        <w:top w:val="none" w:sz="0" w:space="0" w:color="auto"/>
        <w:left w:val="none" w:sz="0" w:space="0" w:color="auto"/>
        <w:bottom w:val="none" w:sz="0" w:space="0" w:color="auto"/>
        <w:right w:val="none" w:sz="0" w:space="0" w:color="auto"/>
      </w:divBdr>
    </w:div>
    <w:div w:id="789978441">
      <w:marLeft w:val="0"/>
      <w:marRight w:val="0"/>
      <w:marTop w:val="0"/>
      <w:marBottom w:val="0"/>
      <w:divBdr>
        <w:top w:val="none" w:sz="0" w:space="0" w:color="auto"/>
        <w:left w:val="none" w:sz="0" w:space="0" w:color="auto"/>
        <w:bottom w:val="none" w:sz="0" w:space="0" w:color="auto"/>
        <w:right w:val="none" w:sz="0" w:space="0" w:color="auto"/>
      </w:divBdr>
    </w:div>
    <w:div w:id="789978442">
      <w:marLeft w:val="0"/>
      <w:marRight w:val="0"/>
      <w:marTop w:val="0"/>
      <w:marBottom w:val="0"/>
      <w:divBdr>
        <w:top w:val="none" w:sz="0" w:space="0" w:color="auto"/>
        <w:left w:val="none" w:sz="0" w:space="0" w:color="auto"/>
        <w:bottom w:val="none" w:sz="0" w:space="0" w:color="auto"/>
        <w:right w:val="none" w:sz="0" w:space="0" w:color="auto"/>
      </w:divBdr>
    </w:div>
    <w:div w:id="789978443">
      <w:marLeft w:val="0"/>
      <w:marRight w:val="0"/>
      <w:marTop w:val="0"/>
      <w:marBottom w:val="0"/>
      <w:divBdr>
        <w:top w:val="none" w:sz="0" w:space="0" w:color="auto"/>
        <w:left w:val="none" w:sz="0" w:space="0" w:color="auto"/>
        <w:bottom w:val="none" w:sz="0" w:space="0" w:color="auto"/>
        <w:right w:val="none" w:sz="0" w:space="0" w:color="auto"/>
      </w:divBdr>
    </w:div>
    <w:div w:id="789978444">
      <w:marLeft w:val="0"/>
      <w:marRight w:val="0"/>
      <w:marTop w:val="0"/>
      <w:marBottom w:val="0"/>
      <w:divBdr>
        <w:top w:val="none" w:sz="0" w:space="0" w:color="auto"/>
        <w:left w:val="none" w:sz="0" w:space="0" w:color="auto"/>
        <w:bottom w:val="none" w:sz="0" w:space="0" w:color="auto"/>
        <w:right w:val="none" w:sz="0" w:space="0" w:color="auto"/>
      </w:divBdr>
    </w:div>
    <w:div w:id="789978445">
      <w:marLeft w:val="0"/>
      <w:marRight w:val="0"/>
      <w:marTop w:val="0"/>
      <w:marBottom w:val="0"/>
      <w:divBdr>
        <w:top w:val="none" w:sz="0" w:space="0" w:color="auto"/>
        <w:left w:val="none" w:sz="0" w:space="0" w:color="auto"/>
        <w:bottom w:val="none" w:sz="0" w:space="0" w:color="auto"/>
        <w:right w:val="none" w:sz="0" w:space="0" w:color="auto"/>
      </w:divBdr>
    </w:div>
    <w:div w:id="789978446">
      <w:marLeft w:val="0"/>
      <w:marRight w:val="0"/>
      <w:marTop w:val="0"/>
      <w:marBottom w:val="0"/>
      <w:divBdr>
        <w:top w:val="none" w:sz="0" w:space="0" w:color="auto"/>
        <w:left w:val="none" w:sz="0" w:space="0" w:color="auto"/>
        <w:bottom w:val="none" w:sz="0" w:space="0" w:color="auto"/>
        <w:right w:val="none" w:sz="0" w:space="0" w:color="auto"/>
      </w:divBdr>
    </w:div>
    <w:div w:id="789978447">
      <w:marLeft w:val="0"/>
      <w:marRight w:val="0"/>
      <w:marTop w:val="0"/>
      <w:marBottom w:val="0"/>
      <w:divBdr>
        <w:top w:val="none" w:sz="0" w:space="0" w:color="auto"/>
        <w:left w:val="none" w:sz="0" w:space="0" w:color="auto"/>
        <w:bottom w:val="none" w:sz="0" w:space="0" w:color="auto"/>
        <w:right w:val="none" w:sz="0" w:space="0" w:color="auto"/>
      </w:divBdr>
    </w:div>
    <w:div w:id="789978448">
      <w:marLeft w:val="0"/>
      <w:marRight w:val="0"/>
      <w:marTop w:val="0"/>
      <w:marBottom w:val="0"/>
      <w:divBdr>
        <w:top w:val="none" w:sz="0" w:space="0" w:color="auto"/>
        <w:left w:val="none" w:sz="0" w:space="0" w:color="auto"/>
        <w:bottom w:val="none" w:sz="0" w:space="0" w:color="auto"/>
        <w:right w:val="none" w:sz="0" w:space="0" w:color="auto"/>
      </w:divBdr>
    </w:div>
    <w:div w:id="789978449">
      <w:marLeft w:val="0"/>
      <w:marRight w:val="0"/>
      <w:marTop w:val="0"/>
      <w:marBottom w:val="0"/>
      <w:divBdr>
        <w:top w:val="none" w:sz="0" w:space="0" w:color="auto"/>
        <w:left w:val="none" w:sz="0" w:space="0" w:color="auto"/>
        <w:bottom w:val="none" w:sz="0" w:space="0" w:color="auto"/>
        <w:right w:val="none" w:sz="0" w:space="0" w:color="auto"/>
      </w:divBdr>
    </w:div>
    <w:div w:id="789978450">
      <w:marLeft w:val="0"/>
      <w:marRight w:val="0"/>
      <w:marTop w:val="0"/>
      <w:marBottom w:val="0"/>
      <w:divBdr>
        <w:top w:val="none" w:sz="0" w:space="0" w:color="auto"/>
        <w:left w:val="none" w:sz="0" w:space="0" w:color="auto"/>
        <w:bottom w:val="none" w:sz="0" w:space="0" w:color="auto"/>
        <w:right w:val="none" w:sz="0" w:space="0" w:color="auto"/>
      </w:divBdr>
    </w:div>
    <w:div w:id="789978451">
      <w:marLeft w:val="0"/>
      <w:marRight w:val="0"/>
      <w:marTop w:val="0"/>
      <w:marBottom w:val="0"/>
      <w:divBdr>
        <w:top w:val="none" w:sz="0" w:space="0" w:color="auto"/>
        <w:left w:val="none" w:sz="0" w:space="0" w:color="auto"/>
        <w:bottom w:val="none" w:sz="0" w:space="0" w:color="auto"/>
        <w:right w:val="none" w:sz="0" w:space="0" w:color="auto"/>
      </w:divBdr>
    </w:div>
    <w:div w:id="789978452">
      <w:marLeft w:val="0"/>
      <w:marRight w:val="0"/>
      <w:marTop w:val="0"/>
      <w:marBottom w:val="0"/>
      <w:divBdr>
        <w:top w:val="none" w:sz="0" w:space="0" w:color="auto"/>
        <w:left w:val="none" w:sz="0" w:space="0" w:color="auto"/>
        <w:bottom w:val="none" w:sz="0" w:space="0" w:color="auto"/>
        <w:right w:val="none" w:sz="0" w:space="0" w:color="auto"/>
      </w:divBdr>
    </w:div>
    <w:div w:id="789978453">
      <w:marLeft w:val="0"/>
      <w:marRight w:val="0"/>
      <w:marTop w:val="0"/>
      <w:marBottom w:val="0"/>
      <w:divBdr>
        <w:top w:val="none" w:sz="0" w:space="0" w:color="auto"/>
        <w:left w:val="none" w:sz="0" w:space="0" w:color="auto"/>
        <w:bottom w:val="none" w:sz="0" w:space="0" w:color="auto"/>
        <w:right w:val="none" w:sz="0" w:space="0" w:color="auto"/>
      </w:divBdr>
    </w:div>
    <w:div w:id="789978454">
      <w:marLeft w:val="0"/>
      <w:marRight w:val="0"/>
      <w:marTop w:val="0"/>
      <w:marBottom w:val="0"/>
      <w:divBdr>
        <w:top w:val="none" w:sz="0" w:space="0" w:color="auto"/>
        <w:left w:val="none" w:sz="0" w:space="0" w:color="auto"/>
        <w:bottom w:val="none" w:sz="0" w:space="0" w:color="auto"/>
        <w:right w:val="none" w:sz="0" w:space="0" w:color="auto"/>
      </w:divBdr>
    </w:div>
    <w:div w:id="789978455">
      <w:marLeft w:val="0"/>
      <w:marRight w:val="0"/>
      <w:marTop w:val="0"/>
      <w:marBottom w:val="0"/>
      <w:divBdr>
        <w:top w:val="none" w:sz="0" w:space="0" w:color="auto"/>
        <w:left w:val="none" w:sz="0" w:space="0" w:color="auto"/>
        <w:bottom w:val="none" w:sz="0" w:space="0" w:color="auto"/>
        <w:right w:val="none" w:sz="0" w:space="0" w:color="auto"/>
      </w:divBdr>
    </w:div>
    <w:div w:id="789978456">
      <w:marLeft w:val="0"/>
      <w:marRight w:val="0"/>
      <w:marTop w:val="0"/>
      <w:marBottom w:val="0"/>
      <w:divBdr>
        <w:top w:val="none" w:sz="0" w:space="0" w:color="auto"/>
        <w:left w:val="none" w:sz="0" w:space="0" w:color="auto"/>
        <w:bottom w:val="none" w:sz="0" w:space="0" w:color="auto"/>
        <w:right w:val="none" w:sz="0" w:space="0" w:color="auto"/>
      </w:divBdr>
    </w:div>
    <w:div w:id="789978457">
      <w:marLeft w:val="0"/>
      <w:marRight w:val="0"/>
      <w:marTop w:val="0"/>
      <w:marBottom w:val="0"/>
      <w:divBdr>
        <w:top w:val="none" w:sz="0" w:space="0" w:color="auto"/>
        <w:left w:val="none" w:sz="0" w:space="0" w:color="auto"/>
        <w:bottom w:val="none" w:sz="0" w:space="0" w:color="auto"/>
        <w:right w:val="none" w:sz="0" w:space="0" w:color="auto"/>
      </w:divBdr>
    </w:div>
    <w:div w:id="789978458">
      <w:marLeft w:val="0"/>
      <w:marRight w:val="0"/>
      <w:marTop w:val="0"/>
      <w:marBottom w:val="0"/>
      <w:divBdr>
        <w:top w:val="none" w:sz="0" w:space="0" w:color="auto"/>
        <w:left w:val="none" w:sz="0" w:space="0" w:color="auto"/>
        <w:bottom w:val="none" w:sz="0" w:space="0" w:color="auto"/>
        <w:right w:val="none" w:sz="0" w:space="0" w:color="auto"/>
      </w:divBdr>
    </w:div>
    <w:div w:id="789978459">
      <w:marLeft w:val="0"/>
      <w:marRight w:val="0"/>
      <w:marTop w:val="0"/>
      <w:marBottom w:val="0"/>
      <w:divBdr>
        <w:top w:val="none" w:sz="0" w:space="0" w:color="auto"/>
        <w:left w:val="none" w:sz="0" w:space="0" w:color="auto"/>
        <w:bottom w:val="none" w:sz="0" w:space="0" w:color="auto"/>
        <w:right w:val="none" w:sz="0" w:space="0" w:color="auto"/>
      </w:divBdr>
    </w:div>
    <w:div w:id="789978460">
      <w:marLeft w:val="0"/>
      <w:marRight w:val="0"/>
      <w:marTop w:val="0"/>
      <w:marBottom w:val="0"/>
      <w:divBdr>
        <w:top w:val="none" w:sz="0" w:space="0" w:color="auto"/>
        <w:left w:val="none" w:sz="0" w:space="0" w:color="auto"/>
        <w:bottom w:val="none" w:sz="0" w:space="0" w:color="auto"/>
        <w:right w:val="none" w:sz="0" w:space="0" w:color="auto"/>
      </w:divBdr>
    </w:div>
    <w:div w:id="789978461">
      <w:marLeft w:val="0"/>
      <w:marRight w:val="0"/>
      <w:marTop w:val="0"/>
      <w:marBottom w:val="0"/>
      <w:divBdr>
        <w:top w:val="none" w:sz="0" w:space="0" w:color="auto"/>
        <w:left w:val="none" w:sz="0" w:space="0" w:color="auto"/>
        <w:bottom w:val="none" w:sz="0" w:space="0" w:color="auto"/>
        <w:right w:val="none" w:sz="0" w:space="0" w:color="auto"/>
      </w:divBdr>
    </w:div>
    <w:div w:id="789978462">
      <w:marLeft w:val="0"/>
      <w:marRight w:val="0"/>
      <w:marTop w:val="0"/>
      <w:marBottom w:val="0"/>
      <w:divBdr>
        <w:top w:val="none" w:sz="0" w:space="0" w:color="auto"/>
        <w:left w:val="none" w:sz="0" w:space="0" w:color="auto"/>
        <w:bottom w:val="none" w:sz="0" w:space="0" w:color="auto"/>
        <w:right w:val="none" w:sz="0" w:space="0" w:color="auto"/>
      </w:divBdr>
    </w:div>
    <w:div w:id="789978463">
      <w:marLeft w:val="0"/>
      <w:marRight w:val="0"/>
      <w:marTop w:val="0"/>
      <w:marBottom w:val="0"/>
      <w:divBdr>
        <w:top w:val="none" w:sz="0" w:space="0" w:color="auto"/>
        <w:left w:val="none" w:sz="0" w:space="0" w:color="auto"/>
        <w:bottom w:val="none" w:sz="0" w:space="0" w:color="auto"/>
        <w:right w:val="none" w:sz="0" w:space="0" w:color="auto"/>
      </w:divBdr>
    </w:div>
    <w:div w:id="789978464">
      <w:marLeft w:val="0"/>
      <w:marRight w:val="0"/>
      <w:marTop w:val="0"/>
      <w:marBottom w:val="0"/>
      <w:divBdr>
        <w:top w:val="none" w:sz="0" w:space="0" w:color="auto"/>
        <w:left w:val="none" w:sz="0" w:space="0" w:color="auto"/>
        <w:bottom w:val="none" w:sz="0" w:space="0" w:color="auto"/>
        <w:right w:val="none" w:sz="0" w:space="0" w:color="auto"/>
      </w:divBdr>
    </w:div>
    <w:div w:id="789978465">
      <w:marLeft w:val="0"/>
      <w:marRight w:val="0"/>
      <w:marTop w:val="0"/>
      <w:marBottom w:val="0"/>
      <w:divBdr>
        <w:top w:val="none" w:sz="0" w:space="0" w:color="auto"/>
        <w:left w:val="none" w:sz="0" w:space="0" w:color="auto"/>
        <w:bottom w:val="none" w:sz="0" w:space="0" w:color="auto"/>
        <w:right w:val="none" w:sz="0" w:space="0" w:color="auto"/>
      </w:divBdr>
    </w:div>
    <w:div w:id="789978466">
      <w:marLeft w:val="0"/>
      <w:marRight w:val="0"/>
      <w:marTop w:val="0"/>
      <w:marBottom w:val="0"/>
      <w:divBdr>
        <w:top w:val="none" w:sz="0" w:space="0" w:color="auto"/>
        <w:left w:val="none" w:sz="0" w:space="0" w:color="auto"/>
        <w:bottom w:val="none" w:sz="0" w:space="0" w:color="auto"/>
        <w:right w:val="none" w:sz="0" w:space="0" w:color="auto"/>
      </w:divBdr>
    </w:div>
    <w:div w:id="789978467">
      <w:marLeft w:val="0"/>
      <w:marRight w:val="0"/>
      <w:marTop w:val="0"/>
      <w:marBottom w:val="0"/>
      <w:divBdr>
        <w:top w:val="none" w:sz="0" w:space="0" w:color="auto"/>
        <w:left w:val="none" w:sz="0" w:space="0" w:color="auto"/>
        <w:bottom w:val="none" w:sz="0" w:space="0" w:color="auto"/>
        <w:right w:val="none" w:sz="0" w:space="0" w:color="auto"/>
      </w:divBdr>
    </w:div>
    <w:div w:id="795757659">
      <w:bodyDiv w:val="1"/>
      <w:marLeft w:val="0"/>
      <w:marRight w:val="0"/>
      <w:marTop w:val="0"/>
      <w:marBottom w:val="0"/>
      <w:divBdr>
        <w:top w:val="none" w:sz="0" w:space="0" w:color="auto"/>
        <w:left w:val="none" w:sz="0" w:space="0" w:color="auto"/>
        <w:bottom w:val="none" w:sz="0" w:space="0" w:color="auto"/>
        <w:right w:val="none" w:sz="0" w:space="0" w:color="auto"/>
      </w:divBdr>
    </w:div>
    <w:div w:id="809131509">
      <w:bodyDiv w:val="1"/>
      <w:marLeft w:val="0"/>
      <w:marRight w:val="0"/>
      <w:marTop w:val="0"/>
      <w:marBottom w:val="0"/>
      <w:divBdr>
        <w:top w:val="none" w:sz="0" w:space="0" w:color="auto"/>
        <w:left w:val="none" w:sz="0" w:space="0" w:color="auto"/>
        <w:bottom w:val="none" w:sz="0" w:space="0" w:color="auto"/>
        <w:right w:val="none" w:sz="0" w:space="0" w:color="auto"/>
      </w:divBdr>
    </w:div>
    <w:div w:id="814880752">
      <w:bodyDiv w:val="1"/>
      <w:marLeft w:val="0"/>
      <w:marRight w:val="0"/>
      <w:marTop w:val="0"/>
      <w:marBottom w:val="0"/>
      <w:divBdr>
        <w:top w:val="none" w:sz="0" w:space="0" w:color="auto"/>
        <w:left w:val="none" w:sz="0" w:space="0" w:color="auto"/>
        <w:bottom w:val="none" w:sz="0" w:space="0" w:color="auto"/>
        <w:right w:val="none" w:sz="0" w:space="0" w:color="auto"/>
      </w:divBdr>
    </w:div>
    <w:div w:id="816804025">
      <w:bodyDiv w:val="1"/>
      <w:marLeft w:val="0"/>
      <w:marRight w:val="0"/>
      <w:marTop w:val="0"/>
      <w:marBottom w:val="0"/>
      <w:divBdr>
        <w:top w:val="none" w:sz="0" w:space="0" w:color="auto"/>
        <w:left w:val="none" w:sz="0" w:space="0" w:color="auto"/>
        <w:bottom w:val="none" w:sz="0" w:space="0" w:color="auto"/>
        <w:right w:val="none" w:sz="0" w:space="0" w:color="auto"/>
      </w:divBdr>
    </w:div>
    <w:div w:id="841511630">
      <w:bodyDiv w:val="1"/>
      <w:marLeft w:val="0"/>
      <w:marRight w:val="0"/>
      <w:marTop w:val="0"/>
      <w:marBottom w:val="0"/>
      <w:divBdr>
        <w:top w:val="none" w:sz="0" w:space="0" w:color="auto"/>
        <w:left w:val="none" w:sz="0" w:space="0" w:color="auto"/>
        <w:bottom w:val="none" w:sz="0" w:space="0" w:color="auto"/>
        <w:right w:val="none" w:sz="0" w:space="0" w:color="auto"/>
      </w:divBdr>
    </w:div>
    <w:div w:id="860320878">
      <w:bodyDiv w:val="1"/>
      <w:marLeft w:val="0"/>
      <w:marRight w:val="0"/>
      <w:marTop w:val="0"/>
      <w:marBottom w:val="0"/>
      <w:divBdr>
        <w:top w:val="none" w:sz="0" w:space="0" w:color="auto"/>
        <w:left w:val="none" w:sz="0" w:space="0" w:color="auto"/>
        <w:bottom w:val="none" w:sz="0" w:space="0" w:color="auto"/>
        <w:right w:val="none" w:sz="0" w:space="0" w:color="auto"/>
      </w:divBdr>
    </w:div>
    <w:div w:id="863788067">
      <w:bodyDiv w:val="1"/>
      <w:marLeft w:val="0"/>
      <w:marRight w:val="0"/>
      <w:marTop w:val="0"/>
      <w:marBottom w:val="0"/>
      <w:divBdr>
        <w:top w:val="none" w:sz="0" w:space="0" w:color="auto"/>
        <w:left w:val="none" w:sz="0" w:space="0" w:color="auto"/>
        <w:bottom w:val="none" w:sz="0" w:space="0" w:color="auto"/>
        <w:right w:val="none" w:sz="0" w:space="0" w:color="auto"/>
      </w:divBdr>
    </w:div>
    <w:div w:id="884676254">
      <w:bodyDiv w:val="1"/>
      <w:marLeft w:val="0"/>
      <w:marRight w:val="0"/>
      <w:marTop w:val="0"/>
      <w:marBottom w:val="0"/>
      <w:divBdr>
        <w:top w:val="none" w:sz="0" w:space="0" w:color="auto"/>
        <w:left w:val="none" w:sz="0" w:space="0" w:color="auto"/>
        <w:bottom w:val="none" w:sz="0" w:space="0" w:color="auto"/>
        <w:right w:val="none" w:sz="0" w:space="0" w:color="auto"/>
      </w:divBdr>
      <w:divsChild>
        <w:div w:id="459030427">
          <w:marLeft w:val="0"/>
          <w:marRight w:val="0"/>
          <w:marTop w:val="0"/>
          <w:marBottom w:val="0"/>
          <w:divBdr>
            <w:top w:val="none" w:sz="0" w:space="0" w:color="auto"/>
            <w:left w:val="none" w:sz="0" w:space="0" w:color="auto"/>
            <w:bottom w:val="none" w:sz="0" w:space="0" w:color="auto"/>
            <w:right w:val="none" w:sz="0" w:space="0" w:color="auto"/>
          </w:divBdr>
          <w:divsChild>
            <w:div w:id="1067146818">
              <w:marLeft w:val="0"/>
              <w:marRight w:val="0"/>
              <w:marTop w:val="0"/>
              <w:marBottom w:val="0"/>
              <w:divBdr>
                <w:top w:val="none" w:sz="0" w:space="0" w:color="auto"/>
                <w:left w:val="none" w:sz="0" w:space="0" w:color="auto"/>
                <w:bottom w:val="none" w:sz="0" w:space="0" w:color="auto"/>
                <w:right w:val="none" w:sz="0" w:space="0" w:color="auto"/>
              </w:divBdr>
              <w:divsChild>
                <w:div w:id="641885676">
                  <w:marLeft w:val="0"/>
                  <w:marRight w:val="0"/>
                  <w:marTop w:val="0"/>
                  <w:marBottom w:val="0"/>
                  <w:divBdr>
                    <w:top w:val="none" w:sz="0" w:space="0" w:color="auto"/>
                    <w:left w:val="none" w:sz="0" w:space="0" w:color="auto"/>
                    <w:bottom w:val="none" w:sz="0" w:space="0" w:color="auto"/>
                    <w:right w:val="none" w:sz="0" w:space="0" w:color="auto"/>
                  </w:divBdr>
                  <w:divsChild>
                    <w:div w:id="8893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5502">
      <w:bodyDiv w:val="1"/>
      <w:marLeft w:val="0"/>
      <w:marRight w:val="0"/>
      <w:marTop w:val="0"/>
      <w:marBottom w:val="0"/>
      <w:divBdr>
        <w:top w:val="none" w:sz="0" w:space="0" w:color="auto"/>
        <w:left w:val="none" w:sz="0" w:space="0" w:color="auto"/>
        <w:bottom w:val="none" w:sz="0" w:space="0" w:color="auto"/>
        <w:right w:val="none" w:sz="0" w:space="0" w:color="auto"/>
      </w:divBdr>
    </w:div>
    <w:div w:id="905456798">
      <w:bodyDiv w:val="1"/>
      <w:marLeft w:val="0"/>
      <w:marRight w:val="0"/>
      <w:marTop w:val="0"/>
      <w:marBottom w:val="0"/>
      <w:divBdr>
        <w:top w:val="none" w:sz="0" w:space="0" w:color="auto"/>
        <w:left w:val="none" w:sz="0" w:space="0" w:color="auto"/>
        <w:bottom w:val="none" w:sz="0" w:space="0" w:color="auto"/>
        <w:right w:val="none" w:sz="0" w:space="0" w:color="auto"/>
      </w:divBdr>
    </w:div>
    <w:div w:id="926617948">
      <w:bodyDiv w:val="1"/>
      <w:marLeft w:val="0"/>
      <w:marRight w:val="0"/>
      <w:marTop w:val="0"/>
      <w:marBottom w:val="0"/>
      <w:divBdr>
        <w:top w:val="none" w:sz="0" w:space="0" w:color="auto"/>
        <w:left w:val="none" w:sz="0" w:space="0" w:color="auto"/>
        <w:bottom w:val="none" w:sz="0" w:space="0" w:color="auto"/>
        <w:right w:val="none" w:sz="0" w:space="0" w:color="auto"/>
      </w:divBdr>
      <w:divsChild>
        <w:div w:id="1527327448">
          <w:marLeft w:val="0"/>
          <w:marRight w:val="0"/>
          <w:marTop w:val="0"/>
          <w:marBottom w:val="0"/>
          <w:divBdr>
            <w:top w:val="none" w:sz="0" w:space="0" w:color="auto"/>
            <w:left w:val="none" w:sz="0" w:space="0" w:color="auto"/>
            <w:bottom w:val="none" w:sz="0" w:space="0" w:color="auto"/>
            <w:right w:val="none" w:sz="0" w:space="0" w:color="auto"/>
          </w:divBdr>
          <w:divsChild>
            <w:div w:id="556084720">
              <w:marLeft w:val="0"/>
              <w:marRight w:val="0"/>
              <w:marTop w:val="0"/>
              <w:marBottom w:val="0"/>
              <w:divBdr>
                <w:top w:val="none" w:sz="0" w:space="0" w:color="auto"/>
                <w:left w:val="none" w:sz="0" w:space="0" w:color="auto"/>
                <w:bottom w:val="none" w:sz="0" w:space="0" w:color="auto"/>
                <w:right w:val="none" w:sz="0" w:space="0" w:color="auto"/>
              </w:divBdr>
              <w:divsChild>
                <w:div w:id="2095740106">
                  <w:marLeft w:val="0"/>
                  <w:marRight w:val="0"/>
                  <w:marTop w:val="0"/>
                  <w:marBottom w:val="0"/>
                  <w:divBdr>
                    <w:top w:val="none" w:sz="0" w:space="0" w:color="auto"/>
                    <w:left w:val="none" w:sz="0" w:space="0" w:color="auto"/>
                    <w:bottom w:val="none" w:sz="0" w:space="0" w:color="auto"/>
                    <w:right w:val="none" w:sz="0" w:space="0" w:color="auto"/>
                  </w:divBdr>
                  <w:divsChild>
                    <w:div w:id="135013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2231">
      <w:bodyDiv w:val="1"/>
      <w:marLeft w:val="0"/>
      <w:marRight w:val="0"/>
      <w:marTop w:val="0"/>
      <w:marBottom w:val="0"/>
      <w:divBdr>
        <w:top w:val="none" w:sz="0" w:space="0" w:color="auto"/>
        <w:left w:val="none" w:sz="0" w:space="0" w:color="auto"/>
        <w:bottom w:val="none" w:sz="0" w:space="0" w:color="auto"/>
        <w:right w:val="none" w:sz="0" w:space="0" w:color="auto"/>
      </w:divBdr>
    </w:div>
    <w:div w:id="950010919">
      <w:bodyDiv w:val="1"/>
      <w:marLeft w:val="0"/>
      <w:marRight w:val="0"/>
      <w:marTop w:val="0"/>
      <w:marBottom w:val="0"/>
      <w:divBdr>
        <w:top w:val="none" w:sz="0" w:space="0" w:color="auto"/>
        <w:left w:val="none" w:sz="0" w:space="0" w:color="auto"/>
        <w:bottom w:val="none" w:sz="0" w:space="0" w:color="auto"/>
        <w:right w:val="none" w:sz="0" w:space="0" w:color="auto"/>
      </w:divBdr>
    </w:div>
    <w:div w:id="954796405">
      <w:bodyDiv w:val="1"/>
      <w:marLeft w:val="0"/>
      <w:marRight w:val="0"/>
      <w:marTop w:val="0"/>
      <w:marBottom w:val="0"/>
      <w:divBdr>
        <w:top w:val="none" w:sz="0" w:space="0" w:color="auto"/>
        <w:left w:val="none" w:sz="0" w:space="0" w:color="auto"/>
        <w:bottom w:val="none" w:sz="0" w:space="0" w:color="auto"/>
        <w:right w:val="none" w:sz="0" w:space="0" w:color="auto"/>
      </w:divBdr>
    </w:div>
    <w:div w:id="975910780">
      <w:bodyDiv w:val="1"/>
      <w:marLeft w:val="0"/>
      <w:marRight w:val="0"/>
      <w:marTop w:val="0"/>
      <w:marBottom w:val="0"/>
      <w:divBdr>
        <w:top w:val="none" w:sz="0" w:space="0" w:color="auto"/>
        <w:left w:val="none" w:sz="0" w:space="0" w:color="auto"/>
        <w:bottom w:val="none" w:sz="0" w:space="0" w:color="auto"/>
        <w:right w:val="none" w:sz="0" w:space="0" w:color="auto"/>
      </w:divBdr>
    </w:div>
    <w:div w:id="977102989">
      <w:bodyDiv w:val="1"/>
      <w:marLeft w:val="0"/>
      <w:marRight w:val="0"/>
      <w:marTop w:val="0"/>
      <w:marBottom w:val="0"/>
      <w:divBdr>
        <w:top w:val="none" w:sz="0" w:space="0" w:color="auto"/>
        <w:left w:val="none" w:sz="0" w:space="0" w:color="auto"/>
        <w:bottom w:val="none" w:sz="0" w:space="0" w:color="auto"/>
        <w:right w:val="none" w:sz="0" w:space="0" w:color="auto"/>
      </w:divBdr>
      <w:divsChild>
        <w:div w:id="492189127">
          <w:marLeft w:val="0"/>
          <w:marRight w:val="0"/>
          <w:marTop w:val="0"/>
          <w:marBottom w:val="0"/>
          <w:divBdr>
            <w:top w:val="none" w:sz="0" w:space="0" w:color="auto"/>
            <w:left w:val="none" w:sz="0" w:space="0" w:color="auto"/>
            <w:bottom w:val="none" w:sz="0" w:space="0" w:color="auto"/>
            <w:right w:val="none" w:sz="0" w:space="0" w:color="auto"/>
          </w:divBdr>
          <w:divsChild>
            <w:div w:id="2050451247">
              <w:marLeft w:val="0"/>
              <w:marRight w:val="0"/>
              <w:marTop w:val="0"/>
              <w:marBottom w:val="0"/>
              <w:divBdr>
                <w:top w:val="none" w:sz="0" w:space="0" w:color="auto"/>
                <w:left w:val="none" w:sz="0" w:space="0" w:color="auto"/>
                <w:bottom w:val="none" w:sz="0" w:space="0" w:color="auto"/>
                <w:right w:val="none" w:sz="0" w:space="0" w:color="auto"/>
              </w:divBdr>
              <w:divsChild>
                <w:div w:id="62028571">
                  <w:marLeft w:val="0"/>
                  <w:marRight w:val="0"/>
                  <w:marTop w:val="0"/>
                  <w:marBottom w:val="0"/>
                  <w:divBdr>
                    <w:top w:val="none" w:sz="0" w:space="0" w:color="auto"/>
                    <w:left w:val="none" w:sz="0" w:space="0" w:color="auto"/>
                    <w:bottom w:val="none" w:sz="0" w:space="0" w:color="auto"/>
                    <w:right w:val="none" w:sz="0" w:space="0" w:color="auto"/>
                  </w:divBdr>
                  <w:divsChild>
                    <w:div w:id="5649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83531">
      <w:bodyDiv w:val="1"/>
      <w:marLeft w:val="0"/>
      <w:marRight w:val="0"/>
      <w:marTop w:val="0"/>
      <w:marBottom w:val="0"/>
      <w:divBdr>
        <w:top w:val="none" w:sz="0" w:space="0" w:color="auto"/>
        <w:left w:val="none" w:sz="0" w:space="0" w:color="auto"/>
        <w:bottom w:val="none" w:sz="0" w:space="0" w:color="auto"/>
        <w:right w:val="none" w:sz="0" w:space="0" w:color="auto"/>
      </w:divBdr>
    </w:div>
    <w:div w:id="1044016041">
      <w:bodyDiv w:val="1"/>
      <w:marLeft w:val="0"/>
      <w:marRight w:val="0"/>
      <w:marTop w:val="0"/>
      <w:marBottom w:val="0"/>
      <w:divBdr>
        <w:top w:val="none" w:sz="0" w:space="0" w:color="auto"/>
        <w:left w:val="none" w:sz="0" w:space="0" w:color="auto"/>
        <w:bottom w:val="none" w:sz="0" w:space="0" w:color="auto"/>
        <w:right w:val="none" w:sz="0" w:space="0" w:color="auto"/>
      </w:divBdr>
    </w:div>
    <w:div w:id="1056049388">
      <w:bodyDiv w:val="1"/>
      <w:marLeft w:val="0"/>
      <w:marRight w:val="0"/>
      <w:marTop w:val="0"/>
      <w:marBottom w:val="0"/>
      <w:divBdr>
        <w:top w:val="none" w:sz="0" w:space="0" w:color="auto"/>
        <w:left w:val="none" w:sz="0" w:space="0" w:color="auto"/>
        <w:bottom w:val="none" w:sz="0" w:space="0" w:color="auto"/>
        <w:right w:val="none" w:sz="0" w:space="0" w:color="auto"/>
      </w:divBdr>
    </w:div>
    <w:div w:id="1062564905">
      <w:bodyDiv w:val="1"/>
      <w:marLeft w:val="0"/>
      <w:marRight w:val="0"/>
      <w:marTop w:val="0"/>
      <w:marBottom w:val="0"/>
      <w:divBdr>
        <w:top w:val="none" w:sz="0" w:space="0" w:color="auto"/>
        <w:left w:val="none" w:sz="0" w:space="0" w:color="auto"/>
        <w:bottom w:val="none" w:sz="0" w:space="0" w:color="auto"/>
        <w:right w:val="none" w:sz="0" w:space="0" w:color="auto"/>
      </w:divBdr>
    </w:div>
    <w:div w:id="1102336758">
      <w:bodyDiv w:val="1"/>
      <w:marLeft w:val="0"/>
      <w:marRight w:val="0"/>
      <w:marTop w:val="0"/>
      <w:marBottom w:val="0"/>
      <w:divBdr>
        <w:top w:val="none" w:sz="0" w:space="0" w:color="auto"/>
        <w:left w:val="none" w:sz="0" w:space="0" w:color="auto"/>
        <w:bottom w:val="none" w:sz="0" w:space="0" w:color="auto"/>
        <w:right w:val="none" w:sz="0" w:space="0" w:color="auto"/>
      </w:divBdr>
    </w:div>
    <w:div w:id="1116101267">
      <w:bodyDiv w:val="1"/>
      <w:marLeft w:val="0"/>
      <w:marRight w:val="0"/>
      <w:marTop w:val="0"/>
      <w:marBottom w:val="0"/>
      <w:divBdr>
        <w:top w:val="none" w:sz="0" w:space="0" w:color="auto"/>
        <w:left w:val="none" w:sz="0" w:space="0" w:color="auto"/>
        <w:bottom w:val="none" w:sz="0" w:space="0" w:color="auto"/>
        <w:right w:val="none" w:sz="0" w:space="0" w:color="auto"/>
      </w:divBdr>
      <w:divsChild>
        <w:div w:id="160897921">
          <w:marLeft w:val="0"/>
          <w:marRight w:val="0"/>
          <w:marTop w:val="0"/>
          <w:marBottom w:val="0"/>
          <w:divBdr>
            <w:top w:val="none" w:sz="0" w:space="0" w:color="auto"/>
            <w:left w:val="none" w:sz="0" w:space="0" w:color="auto"/>
            <w:bottom w:val="none" w:sz="0" w:space="0" w:color="auto"/>
            <w:right w:val="none" w:sz="0" w:space="0" w:color="auto"/>
          </w:divBdr>
          <w:divsChild>
            <w:div w:id="1674526104">
              <w:marLeft w:val="0"/>
              <w:marRight w:val="0"/>
              <w:marTop w:val="0"/>
              <w:marBottom w:val="0"/>
              <w:divBdr>
                <w:top w:val="none" w:sz="0" w:space="0" w:color="auto"/>
                <w:left w:val="none" w:sz="0" w:space="0" w:color="auto"/>
                <w:bottom w:val="none" w:sz="0" w:space="0" w:color="auto"/>
                <w:right w:val="none" w:sz="0" w:space="0" w:color="auto"/>
              </w:divBdr>
              <w:divsChild>
                <w:div w:id="18310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14803">
      <w:bodyDiv w:val="1"/>
      <w:marLeft w:val="0"/>
      <w:marRight w:val="0"/>
      <w:marTop w:val="0"/>
      <w:marBottom w:val="0"/>
      <w:divBdr>
        <w:top w:val="none" w:sz="0" w:space="0" w:color="auto"/>
        <w:left w:val="none" w:sz="0" w:space="0" w:color="auto"/>
        <w:bottom w:val="none" w:sz="0" w:space="0" w:color="auto"/>
        <w:right w:val="none" w:sz="0" w:space="0" w:color="auto"/>
      </w:divBdr>
    </w:div>
    <w:div w:id="1133866331">
      <w:bodyDiv w:val="1"/>
      <w:marLeft w:val="0"/>
      <w:marRight w:val="0"/>
      <w:marTop w:val="0"/>
      <w:marBottom w:val="0"/>
      <w:divBdr>
        <w:top w:val="none" w:sz="0" w:space="0" w:color="auto"/>
        <w:left w:val="none" w:sz="0" w:space="0" w:color="auto"/>
        <w:bottom w:val="none" w:sz="0" w:space="0" w:color="auto"/>
        <w:right w:val="none" w:sz="0" w:space="0" w:color="auto"/>
      </w:divBdr>
    </w:div>
    <w:div w:id="1158810500">
      <w:bodyDiv w:val="1"/>
      <w:marLeft w:val="0"/>
      <w:marRight w:val="0"/>
      <w:marTop w:val="0"/>
      <w:marBottom w:val="0"/>
      <w:divBdr>
        <w:top w:val="none" w:sz="0" w:space="0" w:color="auto"/>
        <w:left w:val="none" w:sz="0" w:space="0" w:color="auto"/>
        <w:bottom w:val="none" w:sz="0" w:space="0" w:color="auto"/>
        <w:right w:val="none" w:sz="0" w:space="0" w:color="auto"/>
      </w:divBdr>
      <w:divsChild>
        <w:div w:id="1282033047">
          <w:marLeft w:val="0"/>
          <w:marRight w:val="0"/>
          <w:marTop w:val="0"/>
          <w:marBottom w:val="0"/>
          <w:divBdr>
            <w:top w:val="none" w:sz="0" w:space="0" w:color="auto"/>
            <w:left w:val="none" w:sz="0" w:space="0" w:color="auto"/>
            <w:bottom w:val="none" w:sz="0" w:space="0" w:color="auto"/>
            <w:right w:val="none" w:sz="0" w:space="0" w:color="auto"/>
          </w:divBdr>
          <w:divsChild>
            <w:div w:id="2070615077">
              <w:marLeft w:val="0"/>
              <w:marRight w:val="0"/>
              <w:marTop w:val="0"/>
              <w:marBottom w:val="0"/>
              <w:divBdr>
                <w:top w:val="none" w:sz="0" w:space="0" w:color="auto"/>
                <w:left w:val="none" w:sz="0" w:space="0" w:color="auto"/>
                <w:bottom w:val="none" w:sz="0" w:space="0" w:color="auto"/>
                <w:right w:val="none" w:sz="0" w:space="0" w:color="auto"/>
              </w:divBdr>
              <w:divsChild>
                <w:div w:id="2038893362">
                  <w:marLeft w:val="0"/>
                  <w:marRight w:val="0"/>
                  <w:marTop w:val="0"/>
                  <w:marBottom w:val="0"/>
                  <w:divBdr>
                    <w:top w:val="none" w:sz="0" w:space="0" w:color="auto"/>
                    <w:left w:val="none" w:sz="0" w:space="0" w:color="auto"/>
                    <w:bottom w:val="none" w:sz="0" w:space="0" w:color="auto"/>
                    <w:right w:val="none" w:sz="0" w:space="0" w:color="auto"/>
                  </w:divBdr>
                  <w:divsChild>
                    <w:div w:id="15104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20987">
      <w:bodyDiv w:val="1"/>
      <w:marLeft w:val="0"/>
      <w:marRight w:val="0"/>
      <w:marTop w:val="0"/>
      <w:marBottom w:val="0"/>
      <w:divBdr>
        <w:top w:val="none" w:sz="0" w:space="0" w:color="auto"/>
        <w:left w:val="none" w:sz="0" w:space="0" w:color="auto"/>
        <w:bottom w:val="none" w:sz="0" w:space="0" w:color="auto"/>
        <w:right w:val="none" w:sz="0" w:space="0" w:color="auto"/>
      </w:divBdr>
    </w:div>
    <w:div w:id="1191532852">
      <w:bodyDiv w:val="1"/>
      <w:marLeft w:val="0"/>
      <w:marRight w:val="0"/>
      <w:marTop w:val="0"/>
      <w:marBottom w:val="0"/>
      <w:divBdr>
        <w:top w:val="none" w:sz="0" w:space="0" w:color="auto"/>
        <w:left w:val="none" w:sz="0" w:space="0" w:color="auto"/>
        <w:bottom w:val="none" w:sz="0" w:space="0" w:color="auto"/>
        <w:right w:val="none" w:sz="0" w:space="0" w:color="auto"/>
      </w:divBdr>
    </w:div>
    <w:div w:id="1199468629">
      <w:bodyDiv w:val="1"/>
      <w:marLeft w:val="0"/>
      <w:marRight w:val="0"/>
      <w:marTop w:val="0"/>
      <w:marBottom w:val="0"/>
      <w:divBdr>
        <w:top w:val="none" w:sz="0" w:space="0" w:color="auto"/>
        <w:left w:val="none" w:sz="0" w:space="0" w:color="auto"/>
        <w:bottom w:val="none" w:sz="0" w:space="0" w:color="auto"/>
        <w:right w:val="none" w:sz="0" w:space="0" w:color="auto"/>
      </w:divBdr>
    </w:div>
    <w:div w:id="1205101907">
      <w:bodyDiv w:val="1"/>
      <w:marLeft w:val="0"/>
      <w:marRight w:val="0"/>
      <w:marTop w:val="0"/>
      <w:marBottom w:val="0"/>
      <w:divBdr>
        <w:top w:val="none" w:sz="0" w:space="0" w:color="auto"/>
        <w:left w:val="none" w:sz="0" w:space="0" w:color="auto"/>
        <w:bottom w:val="none" w:sz="0" w:space="0" w:color="auto"/>
        <w:right w:val="none" w:sz="0" w:space="0" w:color="auto"/>
      </w:divBdr>
      <w:divsChild>
        <w:div w:id="1472362359">
          <w:marLeft w:val="0"/>
          <w:marRight w:val="0"/>
          <w:marTop w:val="0"/>
          <w:marBottom w:val="0"/>
          <w:divBdr>
            <w:top w:val="none" w:sz="0" w:space="0" w:color="auto"/>
            <w:left w:val="none" w:sz="0" w:space="0" w:color="auto"/>
            <w:bottom w:val="none" w:sz="0" w:space="0" w:color="auto"/>
            <w:right w:val="none" w:sz="0" w:space="0" w:color="auto"/>
          </w:divBdr>
          <w:divsChild>
            <w:div w:id="23948902">
              <w:marLeft w:val="0"/>
              <w:marRight w:val="0"/>
              <w:marTop w:val="0"/>
              <w:marBottom w:val="0"/>
              <w:divBdr>
                <w:top w:val="none" w:sz="0" w:space="0" w:color="auto"/>
                <w:left w:val="none" w:sz="0" w:space="0" w:color="auto"/>
                <w:bottom w:val="none" w:sz="0" w:space="0" w:color="auto"/>
                <w:right w:val="none" w:sz="0" w:space="0" w:color="auto"/>
              </w:divBdr>
              <w:divsChild>
                <w:div w:id="1726681232">
                  <w:marLeft w:val="0"/>
                  <w:marRight w:val="0"/>
                  <w:marTop w:val="0"/>
                  <w:marBottom w:val="0"/>
                  <w:divBdr>
                    <w:top w:val="none" w:sz="0" w:space="0" w:color="auto"/>
                    <w:left w:val="none" w:sz="0" w:space="0" w:color="auto"/>
                    <w:bottom w:val="none" w:sz="0" w:space="0" w:color="auto"/>
                    <w:right w:val="none" w:sz="0" w:space="0" w:color="auto"/>
                  </w:divBdr>
                  <w:divsChild>
                    <w:div w:id="11233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075025">
      <w:bodyDiv w:val="1"/>
      <w:marLeft w:val="0"/>
      <w:marRight w:val="0"/>
      <w:marTop w:val="0"/>
      <w:marBottom w:val="0"/>
      <w:divBdr>
        <w:top w:val="none" w:sz="0" w:space="0" w:color="auto"/>
        <w:left w:val="none" w:sz="0" w:space="0" w:color="auto"/>
        <w:bottom w:val="none" w:sz="0" w:space="0" w:color="auto"/>
        <w:right w:val="none" w:sz="0" w:space="0" w:color="auto"/>
      </w:divBdr>
    </w:div>
    <w:div w:id="1223516784">
      <w:bodyDiv w:val="1"/>
      <w:marLeft w:val="0"/>
      <w:marRight w:val="0"/>
      <w:marTop w:val="0"/>
      <w:marBottom w:val="0"/>
      <w:divBdr>
        <w:top w:val="none" w:sz="0" w:space="0" w:color="auto"/>
        <w:left w:val="none" w:sz="0" w:space="0" w:color="auto"/>
        <w:bottom w:val="none" w:sz="0" w:space="0" w:color="auto"/>
        <w:right w:val="none" w:sz="0" w:space="0" w:color="auto"/>
      </w:divBdr>
    </w:div>
    <w:div w:id="1230384266">
      <w:bodyDiv w:val="1"/>
      <w:marLeft w:val="0"/>
      <w:marRight w:val="0"/>
      <w:marTop w:val="0"/>
      <w:marBottom w:val="0"/>
      <w:divBdr>
        <w:top w:val="none" w:sz="0" w:space="0" w:color="auto"/>
        <w:left w:val="none" w:sz="0" w:space="0" w:color="auto"/>
        <w:bottom w:val="none" w:sz="0" w:space="0" w:color="auto"/>
        <w:right w:val="none" w:sz="0" w:space="0" w:color="auto"/>
      </w:divBdr>
    </w:div>
    <w:div w:id="1233662563">
      <w:bodyDiv w:val="1"/>
      <w:marLeft w:val="0"/>
      <w:marRight w:val="0"/>
      <w:marTop w:val="0"/>
      <w:marBottom w:val="0"/>
      <w:divBdr>
        <w:top w:val="none" w:sz="0" w:space="0" w:color="auto"/>
        <w:left w:val="none" w:sz="0" w:space="0" w:color="auto"/>
        <w:bottom w:val="none" w:sz="0" w:space="0" w:color="auto"/>
        <w:right w:val="none" w:sz="0" w:space="0" w:color="auto"/>
      </w:divBdr>
    </w:div>
    <w:div w:id="1245453589">
      <w:bodyDiv w:val="1"/>
      <w:marLeft w:val="0"/>
      <w:marRight w:val="0"/>
      <w:marTop w:val="0"/>
      <w:marBottom w:val="0"/>
      <w:divBdr>
        <w:top w:val="none" w:sz="0" w:space="0" w:color="auto"/>
        <w:left w:val="none" w:sz="0" w:space="0" w:color="auto"/>
        <w:bottom w:val="none" w:sz="0" w:space="0" w:color="auto"/>
        <w:right w:val="none" w:sz="0" w:space="0" w:color="auto"/>
      </w:divBdr>
    </w:div>
    <w:div w:id="1255699842">
      <w:bodyDiv w:val="1"/>
      <w:marLeft w:val="0"/>
      <w:marRight w:val="0"/>
      <w:marTop w:val="0"/>
      <w:marBottom w:val="0"/>
      <w:divBdr>
        <w:top w:val="none" w:sz="0" w:space="0" w:color="auto"/>
        <w:left w:val="none" w:sz="0" w:space="0" w:color="auto"/>
        <w:bottom w:val="none" w:sz="0" w:space="0" w:color="auto"/>
        <w:right w:val="none" w:sz="0" w:space="0" w:color="auto"/>
      </w:divBdr>
    </w:div>
    <w:div w:id="1264651650">
      <w:bodyDiv w:val="1"/>
      <w:marLeft w:val="0"/>
      <w:marRight w:val="0"/>
      <w:marTop w:val="0"/>
      <w:marBottom w:val="0"/>
      <w:divBdr>
        <w:top w:val="none" w:sz="0" w:space="0" w:color="auto"/>
        <w:left w:val="none" w:sz="0" w:space="0" w:color="auto"/>
        <w:bottom w:val="none" w:sz="0" w:space="0" w:color="auto"/>
        <w:right w:val="none" w:sz="0" w:space="0" w:color="auto"/>
      </w:divBdr>
    </w:div>
    <w:div w:id="1280332342">
      <w:bodyDiv w:val="1"/>
      <w:marLeft w:val="0"/>
      <w:marRight w:val="0"/>
      <w:marTop w:val="0"/>
      <w:marBottom w:val="0"/>
      <w:divBdr>
        <w:top w:val="none" w:sz="0" w:space="0" w:color="auto"/>
        <w:left w:val="none" w:sz="0" w:space="0" w:color="auto"/>
        <w:bottom w:val="none" w:sz="0" w:space="0" w:color="auto"/>
        <w:right w:val="none" w:sz="0" w:space="0" w:color="auto"/>
      </w:divBdr>
      <w:divsChild>
        <w:div w:id="1773085003">
          <w:marLeft w:val="0"/>
          <w:marRight w:val="0"/>
          <w:marTop w:val="0"/>
          <w:marBottom w:val="0"/>
          <w:divBdr>
            <w:top w:val="none" w:sz="0" w:space="0" w:color="auto"/>
            <w:left w:val="none" w:sz="0" w:space="0" w:color="auto"/>
            <w:bottom w:val="none" w:sz="0" w:space="0" w:color="auto"/>
            <w:right w:val="none" w:sz="0" w:space="0" w:color="auto"/>
          </w:divBdr>
          <w:divsChild>
            <w:div w:id="446048014">
              <w:marLeft w:val="0"/>
              <w:marRight w:val="0"/>
              <w:marTop w:val="0"/>
              <w:marBottom w:val="0"/>
              <w:divBdr>
                <w:top w:val="none" w:sz="0" w:space="0" w:color="auto"/>
                <w:left w:val="none" w:sz="0" w:space="0" w:color="auto"/>
                <w:bottom w:val="none" w:sz="0" w:space="0" w:color="auto"/>
                <w:right w:val="none" w:sz="0" w:space="0" w:color="auto"/>
              </w:divBdr>
              <w:divsChild>
                <w:div w:id="730150660">
                  <w:marLeft w:val="0"/>
                  <w:marRight w:val="0"/>
                  <w:marTop w:val="0"/>
                  <w:marBottom w:val="0"/>
                  <w:divBdr>
                    <w:top w:val="none" w:sz="0" w:space="0" w:color="auto"/>
                    <w:left w:val="none" w:sz="0" w:space="0" w:color="auto"/>
                    <w:bottom w:val="none" w:sz="0" w:space="0" w:color="auto"/>
                    <w:right w:val="none" w:sz="0" w:space="0" w:color="auto"/>
                  </w:divBdr>
                  <w:divsChild>
                    <w:div w:id="4581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348138">
      <w:bodyDiv w:val="1"/>
      <w:marLeft w:val="0"/>
      <w:marRight w:val="0"/>
      <w:marTop w:val="0"/>
      <w:marBottom w:val="0"/>
      <w:divBdr>
        <w:top w:val="none" w:sz="0" w:space="0" w:color="auto"/>
        <w:left w:val="none" w:sz="0" w:space="0" w:color="auto"/>
        <w:bottom w:val="none" w:sz="0" w:space="0" w:color="auto"/>
        <w:right w:val="none" w:sz="0" w:space="0" w:color="auto"/>
      </w:divBdr>
    </w:div>
    <w:div w:id="1296372245">
      <w:bodyDiv w:val="1"/>
      <w:marLeft w:val="0"/>
      <w:marRight w:val="0"/>
      <w:marTop w:val="0"/>
      <w:marBottom w:val="0"/>
      <w:divBdr>
        <w:top w:val="none" w:sz="0" w:space="0" w:color="auto"/>
        <w:left w:val="none" w:sz="0" w:space="0" w:color="auto"/>
        <w:bottom w:val="none" w:sz="0" w:space="0" w:color="auto"/>
        <w:right w:val="none" w:sz="0" w:space="0" w:color="auto"/>
      </w:divBdr>
      <w:divsChild>
        <w:div w:id="1535994132">
          <w:marLeft w:val="0"/>
          <w:marRight w:val="0"/>
          <w:marTop w:val="0"/>
          <w:marBottom w:val="0"/>
          <w:divBdr>
            <w:top w:val="none" w:sz="0" w:space="0" w:color="auto"/>
            <w:left w:val="none" w:sz="0" w:space="0" w:color="auto"/>
            <w:bottom w:val="none" w:sz="0" w:space="0" w:color="auto"/>
            <w:right w:val="none" w:sz="0" w:space="0" w:color="auto"/>
          </w:divBdr>
          <w:divsChild>
            <w:div w:id="1947418654">
              <w:marLeft w:val="0"/>
              <w:marRight w:val="0"/>
              <w:marTop w:val="0"/>
              <w:marBottom w:val="0"/>
              <w:divBdr>
                <w:top w:val="none" w:sz="0" w:space="0" w:color="auto"/>
                <w:left w:val="none" w:sz="0" w:space="0" w:color="auto"/>
                <w:bottom w:val="none" w:sz="0" w:space="0" w:color="auto"/>
                <w:right w:val="none" w:sz="0" w:space="0" w:color="auto"/>
              </w:divBdr>
              <w:divsChild>
                <w:div w:id="193462408">
                  <w:marLeft w:val="0"/>
                  <w:marRight w:val="0"/>
                  <w:marTop w:val="0"/>
                  <w:marBottom w:val="0"/>
                  <w:divBdr>
                    <w:top w:val="none" w:sz="0" w:space="0" w:color="auto"/>
                    <w:left w:val="none" w:sz="0" w:space="0" w:color="auto"/>
                    <w:bottom w:val="none" w:sz="0" w:space="0" w:color="auto"/>
                    <w:right w:val="none" w:sz="0" w:space="0" w:color="auto"/>
                  </w:divBdr>
                  <w:divsChild>
                    <w:div w:id="10482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058562">
      <w:bodyDiv w:val="1"/>
      <w:marLeft w:val="0"/>
      <w:marRight w:val="0"/>
      <w:marTop w:val="0"/>
      <w:marBottom w:val="0"/>
      <w:divBdr>
        <w:top w:val="none" w:sz="0" w:space="0" w:color="auto"/>
        <w:left w:val="none" w:sz="0" w:space="0" w:color="auto"/>
        <w:bottom w:val="none" w:sz="0" w:space="0" w:color="auto"/>
        <w:right w:val="none" w:sz="0" w:space="0" w:color="auto"/>
      </w:divBdr>
    </w:div>
    <w:div w:id="1344865989">
      <w:bodyDiv w:val="1"/>
      <w:marLeft w:val="0"/>
      <w:marRight w:val="0"/>
      <w:marTop w:val="0"/>
      <w:marBottom w:val="0"/>
      <w:divBdr>
        <w:top w:val="none" w:sz="0" w:space="0" w:color="auto"/>
        <w:left w:val="none" w:sz="0" w:space="0" w:color="auto"/>
        <w:bottom w:val="none" w:sz="0" w:space="0" w:color="auto"/>
        <w:right w:val="none" w:sz="0" w:space="0" w:color="auto"/>
      </w:divBdr>
    </w:div>
    <w:div w:id="1363631114">
      <w:bodyDiv w:val="1"/>
      <w:marLeft w:val="0"/>
      <w:marRight w:val="0"/>
      <w:marTop w:val="0"/>
      <w:marBottom w:val="0"/>
      <w:divBdr>
        <w:top w:val="none" w:sz="0" w:space="0" w:color="auto"/>
        <w:left w:val="none" w:sz="0" w:space="0" w:color="auto"/>
        <w:bottom w:val="none" w:sz="0" w:space="0" w:color="auto"/>
        <w:right w:val="none" w:sz="0" w:space="0" w:color="auto"/>
      </w:divBdr>
      <w:divsChild>
        <w:div w:id="2112893517">
          <w:marLeft w:val="0"/>
          <w:marRight w:val="0"/>
          <w:marTop w:val="0"/>
          <w:marBottom w:val="0"/>
          <w:divBdr>
            <w:top w:val="none" w:sz="0" w:space="0" w:color="auto"/>
            <w:left w:val="none" w:sz="0" w:space="0" w:color="auto"/>
            <w:bottom w:val="none" w:sz="0" w:space="0" w:color="auto"/>
            <w:right w:val="none" w:sz="0" w:space="0" w:color="auto"/>
          </w:divBdr>
          <w:divsChild>
            <w:div w:id="2072993819">
              <w:marLeft w:val="0"/>
              <w:marRight w:val="0"/>
              <w:marTop w:val="0"/>
              <w:marBottom w:val="0"/>
              <w:divBdr>
                <w:top w:val="none" w:sz="0" w:space="0" w:color="auto"/>
                <w:left w:val="none" w:sz="0" w:space="0" w:color="auto"/>
                <w:bottom w:val="none" w:sz="0" w:space="0" w:color="auto"/>
                <w:right w:val="none" w:sz="0" w:space="0" w:color="auto"/>
              </w:divBdr>
              <w:divsChild>
                <w:div w:id="791675504">
                  <w:marLeft w:val="0"/>
                  <w:marRight w:val="0"/>
                  <w:marTop w:val="0"/>
                  <w:marBottom w:val="0"/>
                  <w:divBdr>
                    <w:top w:val="none" w:sz="0" w:space="0" w:color="auto"/>
                    <w:left w:val="none" w:sz="0" w:space="0" w:color="auto"/>
                    <w:bottom w:val="none" w:sz="0" w:space="0" w:color="auto"/>
                    <w:right w:val="none" w:sz="0" w:space="0" w:color="auto"/>
                  </w:divBdr>
                  <w:divsChild>
                    <w:div w:id="20435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98536">
      <w:bodyDiv w:val="1"/>
      <w:marLeft w:val="0"/>
      <w:marRight w:val="0"/>
      <w:marTop w:val="0"/>
      <w:marBottom w:val="0"/>
      <w:divBdr>
        <w:top w:val="none" w:sz="0" w:space="0" w:color="auto"/>
        <w:left w:val="none" w:sz="0" w:space="0" w:color="auto"/>
        <w:bottom w:val="none" w:sz="0" w:space="0" w:color="auto"/>
        <w:right w:val="none" w:sz="0" w:space="0" w:color="auto"/>
      </w:divBdr>
    </w:div>
    <w:div w:id="1399283043">
      <w:bodyDiv w:val="1"/>
      <w:marLeft w:val="0"/>
      <w:marRight w:val="0"/>
      <w:marTop w:val="0"/>
      <w:marBottom w:val="0"/>
      <w:divBdr>
        <w:top w:val="none" w:sz="0" w:space="0" w:color="auto"/>
        <w:left w:val="none" w:sz="0" w:space="0" w:color="auto"/>
        <w:bottom w:val="none" w:sz="0" w:space="0" w:color="auto"/>
        <w:right w:val="none" w:sz="0" w:space="0" w:color="auto"/>
      </w:divBdr>
      <w:divsChild>
        <w:div w:id="890268415">
          <w:marLeft w:val="0"/>
          <w:marRight w:val="0"/>
          <w:marTop w:val="0"/>
          <w:marBottom w:val="0"/>
          <w:divBdr>
            <w:top w:val="none" w:sz="0" w:space="0" w:color="auto"/>
            <w:left w:val="none" w:sz="0" w:space="0" w:color="auto"/>
            <w:bottom w:val="none" w:sz="0" w:space="0" w:color="auto"/>
            <w:right w:val="none" w:sz="0" w:space="0" w:color="auto"/>
          </w:divBdr>
          <w:divsChild>
            <w:div w:id="337537353">
              <w:marLeft w:val="0"/>
              <w:marRight w:val="0"/>
              <w:marTop w:val="0"/>
              <w:marBottom w:val="0"/>
              <w:divBdr>
                <w:top w:val="none" w:sz="0" w:space="0" w:color="auto"/>
                <w:left w:val="none" w:sz="0" w:space="0" w:color="auto"/>
                <w:bottom w:val="none" w:sz="0" w:space="0" w:color="auto"/>
                <w:right w:val="none" w:sz="0" w:space="0" w:color="auto"/>
              </w:divBdr>
              <w:divsChild>
                <w:div w:id="2075622189">
                  <w:marLeft w:val="0"/>
                  <w:marRight w:val="0"/>
                  <w:marTop w:val="0"/>
                  <w:marBottom w:val="0"/>
                  <w:divBdr>
                    <w:top w:val="none" w:sz="0" w:space="0" w:color="auto"/>
                    <w:left w:val="none" w:sz="0" w:space="0" w:color="auto"/>
                    <w:bottom w:val="none" w:sz="0" w:space="0" w:color="auto"/>
                    <w:right w:val="none" w:sz="0" w:space="0" w:color="auto"/>
                  </w:divBdr>
                  <w:divsChild>
                    <w:div w:id="674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039895">
      <w:bodyDiv w:val="1"/>
      <w:marLeft w:val="0"/>
      <w:marRight w:val="0"/>
      <w:marTop w:val="0"/>
      <w:marBottom w:val="0"/>
      <w:divBdr>
        <w:top w:val="none" w:sz="0" w:space="0" w:color="auto"/>
        <w:left w:val="none" w:sz="0" w:space="0" w:color="auto"/>
        <w:bottom w:val="none" w:sz="0" w:space="0" w:color="auto"/>
        <w:right w:val="none" w:sz="0" w:space="0" w:color="auto"/>
      </w:divBdr>
      <w:divsChild>
        <w:div w:id="1631983199">
          <w:marLeft w:val="0"/>
          <w:marRight w:val="0"/>
          <w:marTop w:val="0"/>
          <w:marBottom w:val="0"/>
          <w:divBdr>
            <w:top w:val="none" w:sz="0" w:space="0" w:color="auto"/>
            <w:left w:val="none" w:sz="0" w:space="0" w:color="auto"/>
            <w:bottom w:val="none" w:sz="0" w:space="0" w:color="auto"/>
            <w:right w:val="none" w:sz="0" w:space="0" w:color="auto"/>
          </w:divBdr>
          <w:divsChild>
            <w:div w:id="620652907">
              <w:marLeft w:val="0"/>
              <w:marRight w:val="0"/>
              <w:marTop w:val="0"/>
              <w:marBottom w:val="0"/>
              <w:divBdr>
                <w:top w:val="none" w:sz="0" w:space="0" w:color="auto"/>
                <w:left w:val="none" w:sz="0" w:space="0" w:color="auto"/>
                <w:bottom w:val="none" w:sz="0" w:space="0" w:color="auto"/>
                <w:right w:val="none" w:sz="0" w:space="0" w:color="auto"/>
              </w:divBdr>
              <w:divsChild>
                <w:div w:id="99691057">
                  <w:marLeft w:val="0"/>
                  <w:marRight w:val="0"/>
                  <w:marTop w:val="0"/>
                  <w:marBottom w:val="0"/>
                  <w:divBdr>
                    <w:top w:val="none" w:sz="0" w:space="0" w:color="auto"/>
                    <w:left w:val="none" w:sz="0" w:space="0" w:color="auto"/>
                    <w:bottom w:val="none" w:sz="0" w:space="0" w:color="auto"/>
                    <w:right w:val="none" w:sz="0" w:space="0" w:color="auto"/>
                  </w:divBdr>
                  <w:divsChild>
                    <w:div w:id="99275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98268">
      <w:bodyDiv w:val="1"/>
      <w:marLeft w:val="0"/>
      <w:marRight w:val="0"/>
      <w:marTop w:val="0"/>
      <w:marBottom w:val="0"/>
      <w:divBdr>
        <w:top w:val="none" w:sz="0" w:space="0" w:color="auto"/>
        <w:left w:val="none" w:sz="0" w:space="0" w:color="auto"/>
        <w:bottom w:val="none" w:sz="0" w:space="0" w:color="auto"/>
        <w:right w:val="none" w:sz="0" w:space="0" w:color="auto"/>
      </w:divBdr>
      <w:divsChild>
        <w:div w:id="1774856440">
          <w:marLeft w:val="0"/>
          <w:marRight w:val="0"/>
          <w:marTop w:val="0"/>
          <w:marBottom w:val="0"/>
          <w:divBdr>
            <w:top w:val="none" w:sz="0" w:space="0" w:color="auto"/>
            <w:left w:val="none" w:sz="0" w:space="0" w:color="auto"/>
            <w:bottom w:val="none" w:sz="0" w:space="0" w:color="auto"/>
            <w:right w:val="none" w:sz="0" w:space="0" w:color="auto"/>
          </w:divBdr>
          <w:divsChild>
            <w:div w:id="1433358978">
              <w:marLeft w:val="0"/>
              <w:marRight w:val="0"/>
              <w:marTop w:val="0"/>
              <w:marBottom w:val="0"/>
              <w:divBdr>
                <w:top w:val="none" w:sz="0" w:space="0" w:color="auto"/>
                <w:left w:val="none" w:sz="0" w:space="0" w:color="auto"/>
                <w:bottom w:val="none" w:sz="0" w:space="0" w:color="auto"/>
                <w:right w:val="none" w:sz="0" w:space="0" w:color="auto"/>
              </w:divBdr>
              <w:divsChild>
                <w:div w:id="363405473">
                  <w:marLeft w:val="0"/>
                  <w:marRight w:val="0"/>
                  <w:marTop w:val="0"/>
                  <w:marBottom w:val="0"/>
                  <w:divBdr>
                    <w:top w:val="none" w:sz="0" w:space="0" w:color="auto"/>
                    <w:left w:val="none" w:sz="0" w:space="0" w:color="auto"/>
                    <w:bottom w:val="none" w:sz="0" w:space="0" w:color="auto"/>
                    <w:right w:val="none" w:sz="0" w:space="0" w:color="auto"/>
                  </w:divBdr>
                  <w:divsChild>
                    <w:div w:id="2001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59703">
      <w:bodyDiv w:val="1"/>
      <w:marLeft w:val="0"/>
      <w:marRight w:val="0"/>
      <w:marTop w:val="0"/>
      <w:marBottom w:val="0"/>
      <w:divBdr>
        <w:top w:val="none" w:sz="0" w:space="0" w:color="auto"/>
        <w:left w:val="none" w:sz="0" w:space="0" w:color="auto"/>
        <w:bottom w:val="none" w:sz="0" w:space="0" w:color="auto"/>
        <w:right w:val="none" w:sz="0" w:space="0" w:color="auto"/>
      </w:divBdr>
    </w:div>
    <w:div w:id="1459177615">
      <w:bodyDiv w:val="1"/>
      <w:marLeft w:val="0"/>
      <w:marRight w:val="0"/>
      <w:marTop w:val="0"/>
      <w:marBottom w:val="0"/>
      <w:divBdr>
        <w:top w:val="none" w:sz="0" w:space="0" w:color="auto"/>
        <w:left w:val="none" w:sz="0" w:space="0" w:color="auto"/>
        <w:bottom w:val="none" w:sz="0" w:space="0" w:color="auto"/>
        <w:right w:val="none" w:sz="0" w:space="0" w:color="auto"/>
      </w:divBdr>
    </w:div>
    <w:div w:id="1461997288">
      <w:bodyDiv w:val="1"/>
      <w:marLeft w:val="0"/>
      <w:marRight w:val="0"/>
      <w:marTop w:val="0"/>
      <w:marBottom w:val="0"/>
      <w:divBdr>
        <w:top w:val="none" w:sz="0" w:space="0" w:color="auto"/>
        <w:left w:val="none" w:sz="0" w:space="0" w:color="auto"/>
        <w:bottom w:val="none" w:sz="0" w:space="0" w:color="auto"/>
        <w:right w:val="none" w:sz="0" w:space="0" w:color="auto"/>
      </w:divBdr>
    </w:div>
    <w:div w:id="1479565532">
      <w:bodyDiv w:val="1"/>
      <w:marLeft w:val="0"/>
      <w:marRight w:val="0"/>
      <w:marTop w:val="0"/>
      <w:marBottom w:val="0"/>
      <w:divBdr>
        <w:top w:val="none" w:sz="0" w:space="0" w:color="auto"/>
        <w:left w:val="none" w:sz="0" w:space="0" w:color="auto"/>
        <w:bottom w:val="none" w:sz="0" w:space="0" w:color="auto"/>
        <w:right w:val="none" w:sz="0" w:space="0" w:color="auto"/>
      </w:divBdr>
    </w:div>
    <w:div w:id="1514107287">
      <w:bodyDiv w:val="1"/>
      <w:marLeft w:val="0"/>
      <w:marRight w:val="0"/>
      <w:marTop w:val="0"/>
      <w:marBottom w:val="0"/>
      <w:divBdr>
        <w:top w:val="none" w:sz="0" w:space="0" w:color="auto"/>
        <w:left w:val="none" w:sz="0" w:space="0" w:color="auto"/>
        <w:bottom w:val="none" w:sz="0" w:space="0" w:color="auto"/>
        <w:right w:val="none" w:sz="0" w:space="0" w:color="auto"/>
      </w:divBdr>
    </w:div>
    <w:div w:id="1542859679">
      <w:bodyDiv w:val="1"/>
      <w:marLeft w:val="0"/>
      <w:marRight w:val="0"/>
      <w:marTop w:val="0"/>
      <w:marBottom w:val="0"/>
      <w:divBdr>
        <w:top w:val="none" w:sz="0" w:space="0" w:color="auto"/>
        <w:left w:val="none" w:sz="0" w:space="0" w:color="auto"/>
        <w:bottom w:val="none" w:sz="0" w:space="0" w:color="auto"/>
        <w:right w:val="none" w:sz="0" w:space="0" w:color="auto"/>
      </w:divBdr>
    </w:div>
    <w:div w:id="1556551405">
      <w:bodyDiv w:val="1"/>
      <w:marLeft w:val="0"/>
      <w:marRight w:val="0"/>
      <w:marTop w:val="0"/>
      <w:marBottom w:val="0"/>
      <w:divBdr>
        <w:top w:val="none" w:sz="0" w:space="0" w:color="auto"/>
        <w:left w:val="none" w:sz="0" w:space="0" w:color="auto"/>
        <w:bottom w:val="none" w:sz="0" w:space="0" w:color="auto"/>
        <w:right w:val="none" w:sz="0" w:space="0" w:color="auto"/>
      </w:divBdr>
    </w:div>
    <w:div w:id="1556771593">
      <w:bodyDiv w:val="1"/>
      <w:marLeft w:val="0"/>
      <w:marRight w:val="0"/>
      <w:marTop w:val="0"/>
      <w:marBottom w:val="0"/>
      <w:divBdr>
        <w:top w:val="none" w:sz="0" w:space="0" w:color="auto"/>
        <w:left w:val="none" w:sz="0" w:space="0" w:color="auto"/>
        <w:bottom w:val="none" w:sz="0" w:space="0" w:color="auto"/>
        <w:right w:val="none" w:sz="0" w:space="0" w:color="auto"/>
      </w:divBdr>
    </w:div>
    <w:div w:id="1557469869">
      <w:bodyDiv w:val="1"/>
      <w:marLeft w:val="0"/>
      <w:marRight w:val="0"/>
      <w:marTop w:val="0"/>
      <w:marBottom w:val="0"/>
      <w:divBdr>
        <w:top w:val="none" w:sz="0" w:space="0" w:color="auto"/>
        <w:left w:val="none" w:sz="0" w:space="0" w:color="auto"/>
        <w:bottom w:val="none" w:sz="0" w:space="0" w:color="auto"/>
        <w:right w:val="none" w:sz="0" w:space="0" w:color="auto"/>
      </w:divBdr>
    </w:div>
    <w:div w:id="1566377109">
      <w:bodyDiv w:val="1"/>
      <w:marLeft w:val="0"/>
      <w:marRight w:val="0"/>
      <w:marTop w:val="0"/>
      <w:marBottom w:val="0"/>
      <w:divBdr>
        <w:top w:val="none" w:sz="0" w:space="0" w:color="auto"/>
        <w:left w:val="none" w:sz="0" w:space="0" w:color="auto"/>
        <w:bottom w:val="none" w:sz="0" w:space="0" w:color="auto"/>
        <w:right w:val="none" w:sz="0" w:space="0" w:color="auto"/>
      </w:divBdr>
    </w:div>
    <w:div w:id="1581212622">
      <w:bodyDiv w:val="1"/>
      <w:marLeft w:val="0"/>
      <w:marRight w:val="0"/>
      <w:marTop w:val="0"/>
      <w:marBottom w:val="0"/>
      <w:divBdr>
        <w:top w:val="none" w:sz="0" w:space="0" w:color="auto"/>
        <w:left w:val="none" w:sz="0" w:space="0" w:color="auto"/>
        <w:bottom w:val="none" w:sz="0" w:space="0" w:color="auto"/>
        <w:right w:val="none" w:sz="0" w:space="0" w:color="auto"/>
      </w:divBdr>
    </w:div>
    <w:div w:id="1596088642">
      <w:bodyDiv w:val="1"/>
      <w:marLeft w:val="0"/>
      <w:marRight w:val="0"/>
      <w:marTop w:val="0"/>
      <w:marBottom w:val="0"/>
      <w:divBdr>
        <w:top w:val="none" w:sz="0" w:space="0" w:color="auto"/>
        <w:left w:val="none" w:sz="0" w:space="0" w:color="auto"/>
        <w:bottom w:val="none" w:sz="0" w:space="0" w:color="auto"/>
        <w:right w:val="none" w:sz="0" w:space="0" w:color="auto"/>
      </w:divBdr>
    </w:div>
    <w:div w:id="1600068453">
      <w:bodyDiv w:val="1"/>
      <w:marLeft w:val="0"/>
      <w:marRight w:val="0"/>
      <w:marTop w:val="0"/>
      <w:marBottom w:val="0"/>
      <w:divBdr>
        <w:top w:val="none" w:sz="0" w:space="0" w:color="auto"/>
        <w:left w:val="none" w:sz="0" w:space="0" w:color="auto"/>
        <w:bottom w:val="none" w:sz="0" w:space="0" w:color="auto"/>
        <w:right w:val="none" w:sz="0" w:space="0" w:color="auto"/>
      </w:divBdr>
      <w:divsChild>
        <w:div w:id="1037118516">
          <w:marLeft w:val="0"/>
          <w:marRight w:val="0"/>
          <w:marTop w:val="0"/>
          <w:marBottom w:val="0"/>
          <w:divBdr>
            <w:top w:val="none" w:sz="0" w:space="0" w:color="auto"/>
            <w:left w:val="none" w:sz="0" w:space="0" w:color="auto"/>
            <w:bottom w:val="none" w:sz="0" w:space="0" w:color="auto"/>
            <w:right w:val="none" w:sz="0" w:space="0" w:color="auto"/>
          </w:divBdr>
          <w:divsChild>
            <w:div w:id="1258827294">
              <w:marLeft w:val="0"/>
              <w:marRight w:val="0"/>
              <w:marTop w:val="0"/>
              <w:marBottom w:val="0"/>
              <w:divBdr>
                <w:top w:val="none" w:sz="0" w:space="0" w:color="auto"/>
                <w:left w:val="none" w:sz="0" w:space="0" w:color="auto"/>
                <w:bottom w:val="none" w:sz="0" w:space="0" w:color="auto"/>
                <w:right w:val="none" w:sz="0" w:space="0" w:color="auto"/>
              </w:divBdr>
              <w:divsChild>
                <w:div w:id="483085815">
                  <w:marLeft w:val="0"/>
                  <w:marRight w:val="0"/>
                  <w:marTop w:val="0"/>
                  <w:marBottom w:val="0"/>
                  <w:divBdr>
                    <w:top w:val="none" w:sz="0" w:space="0" w:color="auto"/>
                    <w:left w:val="none" w:sz="0" w:space="0" w:color="auto"/>
                    <w:bottom w:val="none" w:sz="0" w:space="0" w:color="auto"/>
                    <w:right w:val="none" w:sz="0" w:space="0" w:color="auto"/>
                  </w:divBdr>
                  <w:divsChild>
                    <w:div w:id="927154298">
                      <w:marLeft w:val="0"/>
                      <w:marRight w:val="0"/>
                      <w:marTop w:val="0"/>
                      <w:marBottom w:val="0"/>
                      <w:divBdr>
                        <w:top w:val="none" w:sz="0" w:space="0" w:color="auto"/>
                        <w:left w:val="none" w:sz="0" w:space="0" w:color="auto"/>
                        <w:bottom w:val="none" w:sz="0" w:space="0" w:color="auto"/>
                        <w:right w:val="none" w:sz="0" w:space="0" w:color="auto"/>
                      </w:divBdr>
                    </w:div>
                  </w:divsChild>
                </w:div>
                <w:div w:id="1030499163">
                  <w:marLeft w:val="0"/>
                  <w:marRight w:val="0"/>
                  <w:marTop w:val="0"/>
                  <w:marBottom w:val="0"/>
                  <w:divBdr>
                    <w:top w:val="none" w:sz="0" w:space="0" w:color="auto"/>
                    <w:left w:val="none" w:sz="0" w:space="0" w:color="auto"/>
                    <w:bottom w:val="none" w:sz="0" w:space="0" w:color="auto"/>
                    <w:right w:val="none" w:sz="0" w:space="0" w:color="auto"/>
                  </w:divBdr>
                  <w:divsChild>
                    <w:div w:id="5383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348086">
      <w:bodyDiv w:val="1"/>
      <w:marLeft w:val="0"/>
      <w:marRight w:val="0"/>
      <w:marTop w:val="0"/>
      <w:marBottom w:val="0"/>
      <w:divBdr>
        <w:top w:val="none" w:sz="0" w:space="0" w:color="auto"/>
        <w:left w:val="none" w:sz="0" w:space="0" w:color="auto"/>
        <w:bottom w:val="none" w:sz="0" w:space="0" w:color="auto"/>
        <w:right w:val="none" w:sz="0" w:space="0" w:color="auto"/>
      </w:divBdr>
    </w:div>
    <w:div w:id="1625888873">
      <w:bodyDiv w:val="1"/>
      <w:marLeft w:val="0"/>
      <w:marRight w:val="0"/>
      <w:marTop w:val="0"/>
      <w:marBottom w:val="0"/>
      <w:divBdr>
        <w:top w:val="none" w:sz="0" w:space="0" w:color="auto"/>
        <w:left w:val="none" w:sz="0" w:space="0" w:color="auto"/>
        <w:bottom w:val="none" w:sz="0" w:space="0" w:color="auto"/>
        <w:right w:val="none" w:sz="0" w:space="0" w:color="auto"/>
      </w:divBdr>
      <w:divsChild>
        <w:div w:id="1898198306">
          <w:marLeft w:val="0"/>
          <w:marRight w:val="0"/>
          <w:marTop w:val="0"/>
          <w:marBottom w:val="0"/>
          <w:divBdr>
            <w:top w:val="none" w:sz="0" w:space="0" w:color="auto"/>
            <w:left w:val="none" w:sz="0" w:space="0" w:color="auto"/>
            <w:bottom w:val="none" w:sz="0" w:space="0" w:color="auto"/>
            <w:right w:val="none" w:sz="0" w:space="0" w:color="auto"/>
          </w:divBdr>
          <w:divsChild>
            <w:div w:id="133107786">
              <w:marLeft w:val="0"/>
              <w:marRight w:val="0"/>
              <w:marTop w:val="0"/>
              <w:marBottom w:val="0"/>
              <w:divBdr>
                <w:top w:val="none" w:sz="0" w:space="0" w:color="auto"/>
                <w:left w:val="none" w:sz="0" w:space="0" w:color="auto"/>
                <w:bottom w:val="none" w:sz="0" w:space="0" w:color="auto"/>
                <w:right w:val="none" w:sz="0" w:space="0" w:color="auto"/>
              </w:divBdr>
              <w:divsChild>
                <w:div w:id="74400498">
                  <w:marLeft w:val="0"/>
                  <w:marRight w:val="0"/>
                  <w:marTop w:val="0"/>
                  <w:marBottom w:val="0"/>
                  <w:divBdr>
                    <w:top w:val="none" w:sz="0" w:space="0" w:color="auto"/>
                    <w:left w:val="none" w:sz="0" w:space="0" w:color="auto"/>
                    <w:bottom w:val="none" w:sz="0" w:space="0" w:color="auto"/>
                    <w:right w:val="none" w:sz="0" w:space="0" w:color="auto"/>
                  </w:divBdr>
                  <w:divsChild>
                    <w:div w:id="123155213">
                      <w:marLeft w:val="0"/>
                      <w:marRight w:val="0"/>
                      <w:marTop w:val="0"/>
                      <w:marBottom w:val="0"/>
                      <w:divBdr>
                        <w:top w:val="none" w:sz="0" w:space="0" w:color="auto"/>
                        <w:left w:val="none" w:sz="0" w:space="0" w:color="auto"/>
                        <w:bottom w:val="none" w:sz="0" w:space="0" w:color="auto"/>
                        <w:right w:val="none" w:sz="0" w:space="0" w:color="auto"/>
                      </w:divBdr>
                    </w:div>
                  </w:divsChild>
                </w:div>
                <w:div w:id="1063333044">
                  <w:marLeft w:val="0"/>
                  <w:marRight w:val="0"/>
                  <w:marTop w:val="0"/>
                  <w:marBottom w:val="0"/>
                  <w:divBdr>
                    <w:top w:val="none" w:sz="0" w:space="0" w:color="auto"/>
                    <w:left w:val="none" w:sz="0" w:space="0" w:color="auto"/>
                    <w:bottom w:val="none" w:sz="0" w:space="0" w:color="auto"/>
                    <w:right w:val="none" w:sz="0" w:space="0" w:color="auto"/>
                  </w:divBdr>
                  <w:divsChild>
                    <w:div w:id="1676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14811">
      <w:bodyDiv w:val="1"/>
      <w:marLeft w:val="0"/>
      <w:marRight w:val="0"/>
      <w:marTop w:val="0"/>
      <w:marBottom w:val="0"/>
      <w:divBdr>
        <w:top w:val="none" w:sz="0" w:space="0" w:color="auto"/>
        <w:left w:val="none" w:sz="0" w:space="0" w:color="auto"/>
        <w:bottom w:val="none" w:sz="0" w:space="0" w:color="auto"/>
        <w:right w:val="none" w:sz="0" w:space="0" w:color="auto"/>
      </w:divBdr>
    </w:div>
    <w:div w:id="1662125928">
      <w:bodyDiv w:val="1"/>
      <w:marLeft w:val="0"/>
      <w:marRight w:val="0"/>
      <w:marTop w:val="0"/>
      <w:marBottom w:val="0"/>
      <w:divBdr>
        <w:top w:val="none" w:sz="0" w:space="0" w:color="auto"/>
        <w:left w:val="none" w:sz="0" w:space="0" w:color="auto"/>
        <w:bottom w:val="none" w:sz="0" w:space="0" w:color="auto"/>
        <w:right w:val="none" w:sz="0" w:space="0" w:color="auto"/>
      </w:divBdr>
    </w:div>
    <w:div w:id="1684621872">
      <w:bodyDiv w:val="1"/>
      <w:marLeft w:val="0"/>
      <w:marRight w:val="0"/>
      <w:marTop w:val="0"/>
      <w:marBottom w:val="0"/>
      <w:divBdr>
        <w:top w:val="none" w:sz="0" w:space="0" w:color="auto"/>
        <w:left w:val="none" w:sz="0" w:space="0" w:color="auto"/>
        <w:bottom w:val="none" w:sz="0" w:space="0" w:color="auto"/>
        <w:right w:val="none" w:sz="0" w:space="0" w:color="auto"/>
      </w:divBdr>
      <w:divsChild>
        <w:div w:id="1641613462">
          <w:marLeft w:val="0"/>
          <w:marRight w:val="0"/>
          <w:marTop w:val="0"/>
          <w:marBottom w:val="0"/>
          <w:divBdr>
            <w:top w:val="none" w:sz="0" w:space="0" w:color="auto"/>
            <w:left w:val="none" w:sz="0" w:space="0" w:color="auto"/>
            <w:bottom w:val="none" w:sz="0" w:space="0" w:color="auto"/>
            <w:right w:val="none" w:sz="0" w:space="0" w:color="auto"/>
          </w:divBdr>
          <w:divsChild>
            <w:div w:id="706640580">
              <w:marLeft w:val="0"/>
              <w:marRight w:val="0"/>
              <w:marTop w:val="0"/>
              <w:marBottom w:val="0"/>
              <w:divBdr>
                <w:top w:val="none" w:sz="0" w:space="0" w:color="auto"/>
                <w:left w:val="none" w:sz="0" w:space="0" w:color="auto"/>
                <w:bottom w:val="none" w:sz="0" w:space="0" w:color="auto"/>
                <w:right w:val="none" w:sz="0" w:space="0" w:color="auto"/>
              </w:divBdr>
              <w:divsChild>
                <w:div w:id="1204371652">
                  <w:marLeft w:val="0"/>
                  <w:marRight w:val="0"/>
                  <w:marTop w:val="0"/>
                  <w:marBottom w:val="0"/>
                  <w:divBdr>
                    <w:top w:val="none" w:sz="0" w:space="0" w:color="auto"/>
                    <w:left w:val="none" w:sz="0" w:space="0" w:color="auto"/>
                    <w:bottom w:val="none" w:sz="0" w:space="0" w:color="auto"/>
                    <w:right w:val="none" w:sz="0" w:space="0" w:color="auto"/>
                  </w:divBdr>
                  <w:divsChild>
                    <w:div w:id="213509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714692">
      <w:bodyDiv w:val="1"/>
      <w:marLeft w:val="0"/>
      <w:marRight w:val="0"/>
      <w:marTop w:val="0"/>
      <w:marBottom w:val="0"/>
      <w:divBdr>
        <w:top w:val="none" w:sz="0" w:space="0" w:color="auto"/>
        <w:left w:val="none" w:sz="0" w:space="0" w:color="auto"/>
        <w:bottom w:val="none" w:sz="0" w:space="0" w:color="auto"/>
        <w:right w:val="none" w:sz="0" w:space="0" w:color="auto"/>
      </w:divBdr>
    </w:div>
    <w:div w:id="1689215407">
      <w:bodyDiv w:val="1"/>
      <w:marLeft w:val="0"/>
      <w:marRight w:val="0"/>
      <w:marTop w:val="0"/>
      <w:marBottom w:val="0"/>
      <w:divBdr>
        <w:top w:val="none" w:sz="0" w:space="0" w:color="auto"/>
        <w:left w:val="none" w:sz="0" w:space="0" w:color="auto"/>
        <w:bottom w:val="none" w:sz="0" w:space="0" w:color="auto"/>
        <w:right w:val="none" w:sz="0" w:space="0" w:color="auto"/>
      </w:divBdr>
      <w:divsChild>
        <w:div w:id="1642224545">
          <w:marLeft w:val="0"/>
          <w:marRight w:val="0"/>
          <w:marTop w:val="0"/>
          <w:marBottom w:val="0"/>
          <w:divBdr>
            <w:top w:val="none" w:sz="0" w:space="0" w:color="auto"/>
            <w:left w:val="none" w:sz="0" w:space="0" w:color="auto"/>
            <w:bottom w:val="none" w:sz="0" w:space="0" w:color="auto"/>
            <w:right w:val="none" w:sz="0" w:space="0" w:color="auto"/>
          </w:divBdr>
          <w:divsChild>
            <w:div w:id="425149290">
              <w:marLeft w:val="0"/>
              <w:marRight w:val="0"/>
              <w:marTop w:val="0"/>
              <w:marBottom w:val="0"/>
              <w:divBdr>
                <w:top w:val="none" w:sz="0" w:space="0" w:color="auto"/>
                <w:left w:val="none" w:sz="0" w:space="0" w:color="auto"/>
                <w:bottom w:val="none" w:sz="0" w:space="0" w:color="auto"/>
                <w:right w:val="none" w:sz="0" w:space="0" w:color="auto"/>
              </w:divBdr>
              <w:divsChild>
                <w:div w:id="496726582">
                  <w:marLeft w:val="0"/>
                  <w:marRight w:val="0"/>
                  <w:marTop w:val="0"/>
                  <w:marBottom w:val="0"/>
                  <w:divBdr>
                    <w:top w:val="none" w:sz="0" w:space="0" w:color="auto"/>
                    <w:left w:val="none" w:sz="0" w:space="0" w:color="auto"/>
                    <w:bottom w:val="none" w:sz="0" w:space="0" w:color="auto"/>
                    <w:right w:val="none" w:sz="0" w:space="0" w:color="auto"/>
                  </w:divBdr>
                  <w:divsChild>
                    <w:div w:id="31877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845000">
      <w:bodyDiv w:val="1"/>
      <w:marLeft w:val="0"/>
      <w:marRight w:val="0"/>
      <w:marTop w:val="0"/>
      <w:marBottom w:val="0"/>
      <w:divBdr>
        <w:top w:val="none" w:sz="0" w:space="0" w:color="auto"/>
        <w:left w:val="none" w:sz="0" w:space="0" w:color="auto"/>
        <w:bottom w:val="none" w:sz="0" w:space="0" w:color="auto"/>
        <w:right w:val="none" w:sz="0" w:space="0" w:color="auto"/>
      </w:divBdr>
    </w:div>
    <w:div w:id="1716850249">
      <w:bodyDiv w:val="1"/>
      <w:marLeft w:val="0"/>
      <w:marRight w:val="0"/>
      <w:marTop w:val="0"/>
      <w:marBottom w:val="0"/>
      <w:divBdr>
        <w:top w:val="none" w:sz="0" w:space="0" w:color="auto"/>
        <w:left w:val="none" w:sz="0" w:space="0" w:color="auto"/>
        <w:bottom w:val="none" w:sz="0" w:space="0" w:color="auto"/>
        <w:right w:val="none" w:sz="0" w:space="0" w:color="auto"/>
      </w:divBdr>
      <w:divsChild>
        <w:div w:id="2110805498">
          <w:marLeft w:val="0"/>
          <w:marRight w:val="0"/>
          <w:marTop w:val="0"/>
          <w:marBottom w:val="0"/>
          <w:divBdr>
            <w:top w:val="none" w:sz="0" w:space="0" w:color="auto"/>
            <w:left w:val="none" w:sz="0" w:space="0" w:color="auto"/>
            <w:bottom w:val="none" w:sz="0" w:space="0" w:color="auto"/>
            <w:right w:val="none" w:sz="0" w:space="0" w:color="auto"/>
          </w:divBdr>
          <w:divsChild>
            <w:div w:id="1831749660">
              <w:marLeft w:val="0"/>
              <w:marRight w:val="0"/>
              <w:marTop w:val="0"/>
              <w:marBottom w:val="0"/>
              <w:divBdr>
                <w:top w:val="none" w:sz="0" w:space="0" w:color="auto"/>
                <w:left w:val="none" w:sz="0" w:space="0" w:color="auto"/>
                <w:bottom w:val="none" w:sz="0" w:space="0" w:color="auto"/>
                <w:right w:val="none" w:sz="0" w:space="0" w:color="auto"/>
              </w:divBdr>
              <w:divsChild>
                <w:div w:id="24252270">
                  <w:marLeft w:val="0"/>
                  <w:marRight w:val="0"/>
                  <w:marTop w:val="0"/>
                  <w:marBottom w:val="0"/>
                  <w:divBdr>
                    <w:top w:val="none" w:sz="0" w:space="0" w:color="auto"/>
                    <w:left w:val="none" w:sz="0" w:space="0" w:color="auto"/>
                    <w:bottom w:val="none" w:sz="0" w:space="0" w:color="auto"/>
                    <w:right w:val="none" w:sz="0" w:space="0" w:color="auto"/>
                  </w:divBdr>
                  <w:divsChild>
                    <w:div w:id="7017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993946">
      <w:bodyDiv w:val="1"/>
      <w:marLeft w:val="0"/>
      <w:marRight w:val="0"/>
      <w:marTop w:val="0"/>
      <w:marBottom w:val="0"/>
      <w:divBdr>
        <w:top w:val="none" w:sz="0" w:space="0" w:color="auto"/>
        <w:left w:val="none" w:sz="0" w:space="0" w:color="auto"/>
        <w:bottom w:val="none" w:sz="0" w:space="0" w:color="auto"/>
        <w:right w:val="none" w:sz="0" w:space="0" w:color="auto"/>
      </w:divBdr>
    </w:div>
    <w:div w:id="1732998990">
      <w:bodyDiv w:val="1"/>
      <w:marLeft w:val="0"/>
      <w:marRight w:val="0"/>
      <w:marTop w:val="0"/>
      <w:marBottom w:val="0"/>
      <w:divBdr>
        <w:top w:val="none" w:sz="0" w:space="0" w:color="auto"/>
        <w:left w:val="none" w:sz="0" w:space="0" w:color="auto"/>
        <w:bottom w:val="none" w:sz="0" w:space="0" w:color="auto"/>
        <w:right w:val="none" w:sz="0" w:space="0" w:color="auto"/>
      </w:divBdr>
      <w:divsChild>
        <w:div w:id="1360204547">
          <w:marLeft w:val="0"/>
          <w:marRight w:val="0"/>
          <w:marTop w:val="0"/>
          <w:marBottom w:val="0"/>
          <w:divBdr>
            <w:top w:val="none" w:sz="0" w:space="0" w:color="auto"/>
            <w:left w:val="none" w:sz="0" w:space="0" w:color="auto"/>
            <w:bottom w:val="none" w:sz="0" w:space="0" w:color="auto"/>
            <w:right w:val="none" w:sz="0" w:space="0" w:color="auto"/>
          </w:divBdr>
          <w:divsChild>
            <w:div w:id="1776906260">
              <w:marLeft w:val="0"/>
              <w:marRight w:val="0"/>
              <w:marTop w:val="0"/>
              <w:marBottom w:val="0"/>
              <w:divBdr>
                <w:top w:val="none" w:sz="0" w:space="0" w:color="auto"/>
                <w:left w:val="none" w:sz="0" w:space="0" w:color="auto"/>
                <w:bottom w:val="none" w:sz="0" w:space="0" w:color="auto"/>
                <w:right w:val="none" w:sz="0" w:space="0" w:color="auto"/>
              </w:divBdr>
              <w:divsChild>
                <w:div w:id="1855653778">
                  <w:marLeft w:val="0"/>
                  <w:marRight w:val="0"/>
                  <w:marTop w:val="0"/>
                  <w:marBottom w:val="0"/>
                  <w:divBdr>
                    <w:top w:val="none" w:sz="0" w:space="0" w:color="auto"/>
                    <w:left w:val="none" w:sz="0" w:space="0" w:color="auto"/>
                    <w:bottom w:val="none" w:sz="0" w:space="0" w:color="auto"/>
                    <w:right w:val="none" w:sz="0" w:space="0" w:color="auto"/>
                  </w:divBdr>
                  <w:divsChild>
                    <w:div w:id="3945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067765">
      <w:bodyDiv w:val="1"/>
      <w:marLeft w:val="0"/>
      <w:marRight w:val="0"/>
      <w:marTop w:val="0"/>
      <w:marBottom w:val="0"/>
      <w:divBdr>
        <w:top w:val="none" w:sz="0" w:space="0" w:color="auto"/>
        <w:left w:val="none" w:sz="0" w:space="0" w:color="auto"/>
        <w:bottom w:val="none" w:sz="0" w:space="0" w:color="auto"/>
        <w:right w:val="none" w:sz="0" w:space="0" w:color="auto"/>
      </w:divBdr>
    </w:div>
    <w:div w:id="1776706023">
      <w:bodyDiv w:val="1"/>
      <w:marLeft w:val="0"/>
      <w:marRight w:val="0"/>
      <w:marTop w:val="0"/>
      <w:marBottom w:val="0"/>
      <w:divBdr>
        <w:top w:val="none" w:sz="0" w:space="0" w:color="auto"/>
        <w:left w:val="none" w:sz="0" w:space="0" w:color="auto"/>
        <w:bottom w:val="none" w:sz="0" w:space="0" w:color="auto"/>
        <w:right w:val="none" w:sz="0" w:space="0" w:color="auto"/>
      </w:divBdr>
      <w:divsChild>
        <w:div w:id="565798848">
          <w:marLeft w:val="0"/>
          <w:marRight w:val="0"/>
          <w:marTop w:val="0"/>
          <w:marBottom w:val="0"/>
          <w:divBdr>
            <w:top w:val="none" w:sz="0" w:space="0" w:color="auto"/>
            <w:left w:val="none" w:sz="0" w:space="0" w:color="auto"/>
            <w:bottom w:val="none" w:sz="0" w:space="0" w:color="auto"/>
            <w:right w:val="none" w:sz="0" w:space="0" w:color="auto"/>
          </w:divBdr>
          <w:divsChild>
            <w:div w:id="2079396045">
              <w:marLeft w:val="0"/>
              <w:marRight w:val="0"/>
              <w:marTop w:val="0"/>
              <w:marBottom w:val="0"/>
              <w:divBdr>
                <w:top w:val="none" w:sz="0" w:space="0" w:color="auto"/>
                <w:left w:val="none" w:sz="0" w:space="0" w:color="auto"/>
                <w:bottom w:val="none" w:sz="0" w:space="0" w:color="auto"/>
                <w:right w:val="none" w:sz="0" w:space="0" w:color="auto"/>
              </w:divBdr>
              <w:divsChild>
                <w:div w:id="247202362">
                  <w:marLeft w:val="0"/>
                  <w:marRight w:val="0"/>
                  <w:marTop w:val="0"/>
                  <w:marBottom w:val="0"/>
                  <w:divBdr>
                    <w:top w:val="none" w:sz="0" w:space="0" w:color="auto"/>
                    <w:left w:val="none" w:sz="0" w:space="0" w:color="auto"/>
                    <w:bottom w:val="none" w:sz="0" w:space="0" w:color="auto"/>
                    <w:right w:val="none" w:sz="0" w:space="0" w:color="auto"/>
                  </w:divBdr>
                  <w:divsChild>
                    <w:div w:id="547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42476">
      <w:bodyDiv w:val="1"/>
      <w:marLeft w:val="0"/>
      <w:marRight w:val="0"/>
      <w:marTop w:val="0"/>
      <w:marBottom w:val="0"/>
      <w:divBdr>
        <w:top w:val="none" w:sz="0" w:space="0" w:color="auto"/>
        <w:left w:val="none" w:sz="0" w:space="0" w:color="auto"/>
        <w:bottom w:val="none" w:sz="0" w:space="0" w:color="auto"/>
        <w:right w:val="none" w:sz="0" w:space="0" w:color="auto"/>
      </w:divBdr>
    </w:div>
    <w:div w:id="1781560111">
      <w:bodyDiv w:val="1"/>
      <w:marLeft w:val="0"/>
      <w:marRight w:val="0"/>
      <w:marTop w:val="0"/>
      <w:marBottom w:val="0"/>
      <w:divBdr>
        <w:top w:val="none" w:sz="0" w:space="0" w:color="auto"/>
        <w:left w:val="none" w:sz="0" w:space="0" w:color="auto"/>
        <w:bottom w:val="none" w:sz="0" w:space="0" w:color="auto"/>
        <w:right w:val="none" w:sz="0" w:space="0" w:color="auto"/>
      </w:divBdr>
    </w:div>
    <w:div w:id="1846632407">
      <w:bodyDiv w:val="1"/>
      <w:marLeft w:val="0"/>
      <w:marRight w:val="0"/>
      <w:marTop w:val="0"/>
      <w:marBottom w:val="0"/>
      <w:divBdr>
        <w:top w:val="none" w:sz="0" w:space="0" w:color="auto"/>
        <w:left w:val="none" w:sz="0" w:space="0" w:color="auto"/>
        <w:bottom w:val="none" w:sz="0" w:space="0" w:color="auto"/>
        <w:right w:val="none" w:sz="0" w:space="0" w:color="auto"/>
      </w:divBdr>
    </w:div>
    <w:div w:id="1884632998">
      <w:bodyDiv w:val="1"/>
      <w:marLeft w:val="0"/>
      <w:marRight w:val="0"/>
      <w:marTop w:val="0"/>
      <w:marBottom w:val="0"/>
      <w:divBdr>
        <w:top w:val="none" w:sz="0" w:space="0" w:color="auto"/>
        <w:left w:val="none" w:sz="0" w:space="0" w:color="auto"/>
        <w:bottom w:val="none" w:sz="0" w:space="0" w:color="auto"/>
        <w:right w:val="none" w:sz="0" w:space="0" w:color="auto"/>
      </w:divBdr>
    </w:div>
    <w:div w:id="1886720462">
      <w:bodyDiv w:val="1"/>
      <w:marLeft w:val="0"/>
      <w:marRight w:val="0"/>
      <w:marTop w:val="0"/>
      <w:marBottom w:val="0"/>
      <w:divBdr>
        <w:top w:val="none" w:sz="0" w:space="0" w:color="auto"/>
        <w:left w:val="none" w:sz="0" w:space="0" w:color="auto"/>
        <w:bottom w:val="none" w:sz="0" w:space="0" w:color="auto"/>
        <w:right w:val="none" w:sz="0" w:space="0" w:color="auto"/>
      </w:divBdr>
    </w:div>
    <w:div w:id="1887524226">
      <w:bodyDiv w:val="1"/>
      <w:marLeft w:val="0"/>
      <w:marRight w:val="0"/>
      <w:marTop w:val="0"/>
      <w:marBottom w:val="0"/>
      <w:divBdr>
        <w:top w:val="none" w:sz="0" w:space="0" w:color="auto"/>
        <w:left w:val="none" w:sz="0" w:space="0" w:color="auto"/>
        <w:bottom w:val="none" w:sz="0" w:space="0" w:color="auto"/>
        <w:right w:val="none" w:sz="0" w:space="0" w:color="auto"/>
      </w:divBdr>
    </w:div>
    <w:div w:id="1893539418">
      <w:bodyDiv w:val="1"/>
      <w:marLeft w:val="0"/>
      <w:marRight w:val="0"/>
      <w:marTop w:val="0"/>
      <w:marBottom w:val="0"/>
      <w:divBdr>
        <w:top w:val="none" w:sz="0" w:space="0" w:color="auto"/>
        <w:left w:val="none" w:sz="0" w:space="0" w:color="auto"/>
        <w:bottom w:val="none" w:sz="0" w:space="0" w:color="auto"/>
        <w:right w:val="none" w:sz="0" w:space="0" w:color="auto"/>
      </w:divBdr>
    </w:div>
    <w:div w:id="1916237994">
      <w:bodyDiv w:val="1"/>
      <w:marLeft w:val="0"/>
      <w:marRight w:val="0"/>
      <w:marTop w:val="0"/>
      <w:marBottom w:val="0"/>
      <w:divBdr>
        <w:top w:val="none" w:sz="0" w:space="0" w:color="auto"/>
        <w:left w:val="none" w:sz="0" w:space="0" w:color="auto"/>
        <w:bottom w:val="none" w:sz="0" w:space="0" w:color="auto"/>
        <w:right w:val="none" w:sz="0" w:space="0" w:color="auto"/>
      </w:divBdr>
    </w:div>
    <w:div w:id="1918854835">
      <w:bodyDiv w:val="1"/>
      <w:marLeft w:val="0"/>
      <w:marRight w:val="0"/>
      <w:marTop w:val="0"/>
      <w:marBottom w:val="0"/>
      <w:divBdr>
        <w:top w:val="none" w:sz="0" w:space="0" w:color="auto"/>
        <w:left w:val="none" w:sz="0" w:space="0" w:color="auto"/>
        <w:bottom w:val="none" w:sz="0" w:space="0" w:color="auto"/>
        <w:right w:val="none" w:sz="0" w:space="0" w:color="auto"/>
      </w:divBdr>
    </w:div>
    <w:div w:id="1932397314">
      <w:bodyDiv w:val="1"/>
      <w:marLeft w:val="0"/>
      <w:marRight w:val="0"/>
      <w:marTop w:val="0"/>
      <w:marBottom w:val="0"/>
      <w:divBdr>
        <w:top w:val="none" w:sz="0" w:space="0" w:color="auto"/>
        <w:left w:val="none" w:sz="0" w:space="0" w:color="auto"/>
        <w:bottom w:val="none" w:sz="0" w:space="0" w:color="auto"/>
        <w:right w:val="none" w:sz="0" w:space="0" w:color="auto"/>
      </w:divBdr>
    </w:div>
    <w:div w:id="1933514611">
      <w:bodyDiv w:val="1"/>
      <w:marLeft w:val="0"/>
      <w:marRight w:val="0"/>
      <w:marTop w:val="0"/>
      <w:marBottom w:val="0"/>
      <w:divBdr>
        <w:top w:val="none" w:sz="0" w:space="0" w:color="auto"/>
        <w:left w:val="none" w:sz="0" w:space="0" w:color="auto"/>
        <w:bottom w:val="none" w:sz="0" w:space="0" w:color="auto"/>
        <w:right w:val="none" w:sz="0" w:space="0" w:color="auto"/>
      </w:divBdr>
    </w:div>
    <w:div w:id="19397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0273">
          <w:marLeft w:val="0"/>
          <w:marRight w:val="0"/>
          <w:marTop w:val="0"/>
          <w:marBottom w:val="0"/>
          <w:divBdr>
            <w:top w:val="none" w:sz="0" w:space="0" w:color="auto"/>
            <w:left w:val="none" w:sz="0" w:space="0" w:color="auto"/>
            <w:bottom w:val="none" w:sz="0" w:space="0" w:color="auto"/>
            <w:right w:val="none" w:sz="0" w:space="0" w:color="auto"/>
          </w:divBdr>
          <w:divsChild>
            <w:div w:id="521209510">
              <w:marLeft w:val="0"/>
              <w:marRight w:val="0"/>
              <w:marTop w:val="0"/>
              <w:marBottom w:val="0"/>
              <w:divBdr>
                <w:top w:val="none" w:sz="0" w:space="0" w:color="auto"/>
                <w:left w:val="none" w:sz="0" w:space="0" w:color="auto"/>
                <w:bottom w:val="none" w:sz="0" w:space="0" w:color="auto"/>
                <w:right w:val="none" w:sz="0" w:space="0" w:color="auto"/>
              </w:divBdr>
              <w:divsChild>
                <w:div w:id="1246691892">
                  <w:marLeft w:val="0"/>
                  <w:marRight w:val="0"/>
                  <w:marTop w:val="0"/>
                  <w:marBottom w:val="0"/>
                  <w:divBdr>
                    <w:top w:val="none" w:sz="0" w:space="0" w:color="auto"/>
                    <w:left w:val="none" w:sz="0" w:space="0" w:color="auto"/>
                    <w:bottom w:val="none" w:sz="0" w:space="0" w:color="auto"/>
                    <w:right w:val="none" w:sz="0" w:space="0" w:color="auto"/>
                  </w:divBdr>
                  <w:divsChild>
                    <w:div w:id="4653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12622">
      <w:bodyDiv w:val="1"/>
      <w:marLeft w:val="0"/>
      <w:marRight w:val="0"/>
      <w:marTop w:val="0"/>
      <w:marBottom w:val="0"/>
      <w:divBdr>
        <w:top w:val="none" w:sz="0" w:space="0" w:color="auto"/>
        <w:left w:val="none" w:sz="0" w:space="0" w:color="auto"/>
        <w:bottom w:val="none" w:sz="0" w:space="0" w:color="auto"/>
        <w:right w:val="none" w:sz="0" w:space="0" w:color="auto"/>
      </w:divBdr>
    </w:div>
    <w:div w:id="1952974536">
      <w:bodyDiv w:val="1"/>
      <w:marLeft w:val="0"/>
      <w:marRight w:val="0"/>
      <w:marTop w:val="0"/>
      <w:marBottom w:val="0"/>
      <w:divBdr>
        <w:top w:val="none" w:sz="0" w:space="0" w:color="auto"/>
        <w:left w:val="none" w:sz="0" w:space="0" w:color="auto"/>
        <w:bottom w:val="none" w:sz="0" w:space="0" w:color="auto"/>
        <w:right w:val="none" w:sz="0" w:space="0" w:color="auto"/>
      </w:divBdr>
      <w:divsChild>
        <w:div w:id="734162401">
          <w:marLeft w:val="0"/>
          <w:marRight w:val="0"/>
          <w:marTop w:val="0"/>
          <w:marBottom w:val="0"/>
          <w:divBdr>
            <w:top w:val="none" w:sz="0" w:space="0" w:color="auto"/>
            <w:left w:val="none" w:sz="0" w:space="0" w:color="auto"/>
            <w:bottom w:val="none" w:sz="0" w:space="0" w:color="auto"/>
            <w:right w:val="none" w:sz="0" w:space="0" w:color="auto"/>
          </w:divBdr>
          <w:divsChild>
            <w:div w:id="992298363">
              <w:marLeft w:val="0"/>
              <w:marRight w:val="0"/>
              <w:marTop w:val="0"/>
              <w:marBottom w:val="0"/>
              <w:divBdr>
                <w:top w:val="none" w:sz="0" w:space="0" w:color="auto"/>
                <w:left w:val="none" w:sz="0" w:space="0" w:color="auto"/>
                <w:bottom w:val="none" w:sz="0" w:space="0" w:color="auto"/>
                <w:right w:val="none" w:sz="0" w:space="0" w:color="auto"/>
              </w:divBdr>
              <w:divsChild>
                <w:div w:id="2087998488">
                  <w:marLeft w:val="0"/>
                  <w:marRight w:val="0"/>
                  <w:marTop w:val="0"/>
                  <w:marBottom w:val="0"/>
                  <w:divBdr>
                    <w:top w:val="none" w:sz="0" w:space="0" w:color="auto"/>
                    <w:left w:val="none" w:sz="0" w:space="0" w:color="auto"/>
                    <w:bottom w:val="none" w:sz="0" w:space="0" w:color="auto"/>
                    <w:right w:val="none" w:sz="0" w:space="0" w:color="auto"/>
                  </w:divBdr>
                  <w:divsChild>
                    <w:div w:id="11850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561391">
      <w:bodyDiv w:val="1"/>
      <w:marLeft w:val="0"/>
      <w:marRight w:val="0"/>
      <w:marTop w:val="0"/>
      <w:marBottom w:val="0"/>
      <w:divBdr>
        <w:top w:val="none" w:sz="0" w:space="0" w:color="auto"/>
        <w:left w:val="none" w:sz="0" w:space="0" w:color="auto"/>
        <w:bottom w:val="none" w:sz="0" w:space="0" w:color="auto"/>
        <w:right w:val="none" w:sz="0" w:space="0" w:color="auto"/>
      </w:divBdr>
    </w:div>
    <w:div w:id="1972250672">
      <w:bodyDiv w:val="1"/>
      <w:marLeft w:val="0"/>
      <w:marRight w:val="0"/>
      <w:marTop w:val="0"/>
      <w:marBottom w:val="0"/>
      <w:divBdr>
        <w:top w:val="none" w:sz="0" w:space="0" w:color="auto"/>
        <w:left w:val="none" w:sz="0" w:space="0" w:color="auto"/>
        <w:bottom w:val="none" w:sz="0" w:space="0" w:color="auto"/>
        <w:right w:val="none" w:sz="0" w:space="0" w:color="auto"/>
      </w:divBdr>
      <w:divsChild>
        <w:div w:id="1100881179">
          <w:marLeft w:val="0"/>
          <w:marRight w:val="0"/>
          <w:marTop w:val="0"/>
          <w:marBottom w:val="0"/>
          <w:divBdr>
            <w:top w:val="none" w:sz="0" w:space="0" w:color="auto"/>
            <w:left w:val="none" w:sz="0" w:space="0" w:color="auto"/>
            <w:bottom w:val="none" w:sz="0" w:space="0" w:color="auto"/>
            <w:right w:val="none" w:sz="0" w:space="0" w:color="auto"/>
          </w:divBdr>
        </w:div>
        <w:div w:id="731470436">
          <w:marLeft w:val="0"/>
          <w:marRight w:val="0"/>
          <w:marTop w:val="0"/>
          <w:marBottom w:val="0"/>
          <w:divBdr>
            <w:top w:val="none" w:sz="0" w:space="0" w:color="auto"/>
            <w:left w:val="none" w:sz="0" w:space="0" w:color="auto"/>
            <w:bottom w:val="none" w:sz="0" w:space="0" w:color="auto"/>
            <w:right w:val="none" w:sz="0" w:space="0" w:color="auto"/>
          </w:divBdr>
        </w:div>
        <w:div w:id="1562522050">
          <w:marLeft w:val="0"/>
          <w:marRight w:val="0"/>
          <w:marTop w:val="0"/>
          <w:marBottom w:val="0"/>
          <w:divBdr>
            <w:top w:val="none" w:sz="0" w:space="0" w:color="auto"/>
            <w:left w:val="none" w:sz="0" w:space="0" w:color="auto"/>
            <w:bottom w:val="none" w:sz="0" w:space="0" w:color="auto"/>
            <w:right w:val="none" w:sz="0" w:space="0" w:color="auto"/>
          </w:divBdr>
        </w:div>
        <w:div w:id="1881243303">
          <w:marLeft w:val="0"/>
          <w:marRight w:val="0"/>
          <w:marTop w:val="0"/>
          <w:marBottom w:val="0"/>
          <w:divBdr>
            <w:top w:val="none" w:sz="0" w:space="0" w:color="auto"/>
            <w:left w:val="none" w:sz="0" w:space="0" w:color="auto"/>
            <w:bottom w:val="none" w:sz="0" w:space="0" w:color="auto"/>
            <w:right w:val="none" w:sz="0" w:space="0" w:color="auto"/>
          </w:divBdr>
        </w:div>
        <w:div w:id="162430581">
          <w:marLeft w:val="0"/>
          <w:marRight w:val="0"/>
          <w:marTop w:val="0"/>
          <w:marBottom w:val="0"/>
          <w:divBdr>
            <w:top w:val="none" w:sz="0" w:space="0" w:color="auto"/>
            <w:left w:val="none" w:sz="0" w:space="0" w:color="auto"/>
            <w:bottom w:val="none" w:sz="0" w:space="0" w:color="auto"/>
            <w:right w:val="none" w:sz="0" w:space="0" w:color="auto"/>
          </w:divBdr>
        </w:div>
      </w:divsChild>
    </w:div>
    <w:div w:id="1984846649">
      <w:bodyDiv w:val="1"/>
      <w:marLeft w:val="0"/>
      <w:marRight w:val="0"/>
      <w:marTop w:val="0"/>
      <w:marBottom w:val="0"/>
      <w:divBdr>
        <w:top w:val="none" w:sz="0" w:space="0" w:color="auto"/>
        <w:left w:val="none" w:sz="0" w:space="0" w:color="auto"/>
        <w:bottom w:val="none" w:sz="0" w:space="0" w:color="auto"/>
        <w:right w:val="none" w:sz="0" w:space="0" w:color="auto"/>
      </w:divBdr>
    </w:div>
    <w:div w:id="1987202953">
      <w:bodyDiv w:val="1"/>
      <w:marLeft w:val="0"/>
      <w:marRight w:val="0"/>
      <w:marTop w:val="0"/>
      <w:marBottom w:val="0"/>
      <w:divBdr>
        <w:top w:val="none" w:sz="0" w:space="0" w:color="auto"/>
        <w:left w:val="none" w:sz="0" w:space="0" w:color="auto"/>
        <w:bottom w:val="none" w:sz="0" w:space="0" w:color="auto"/>
        <w:right w:val="none" w:sz="0" w:space="0" w:color="auto"/>
      </w:divBdr>
      <w:divsChild>
        <w:div w:id="1454901795">
          <w:marLeft w:val="0"/>
          <w:marRight w:val="0"/>
          <w:marTop w:val="0"/>
          <w:marBottom w:val="0"/>
          <w:divBdr>
            <w:top w:val="none" w:sz="0" w:space="0" w:color="auto"/>
            <w:left w:val="none" w:sz="0" w:space="0" w:color="auto"/>
            <w:bottom w:val="none" w:sz="0" w:space="0" w:color="auto"/>
            <w:right w:val="none" w:sz="0" w:space="0" w:color="auto"/>
          </w:divBdr>
          <w:divsChild>
            <w:div w:id="179705640">
              <w:marLeft w:val="0"/>
              <w:marRight w:val="0"/>
              <w:marTop w:val="0"/>
              <w:marBottom w:val="0"/>
              <w:divBdr>
                <w:top w:val="none" w:sz="0" w:space="0" w:color="auto"/>
                <w:left w:val="none" w:sz="0" w:space="0" w:color="auto"/>
                <w:bottom w:val="none" w:sz="0" w:space="0" w:color="auto"/>
                <w:right w:val="none" w:sz="0" w:space="0" w:color="auto"/>
              </w:divBdr>
              <w:divsChild>
                <w:div w:id="1210923506">
                  <w:marLeft w:val="0"/>
                  <w:marRight w:val="0"/>
                  <w:marTop w:val="0"/>
                  <w:marBottom w:val="0"/>
                  <w:divBdr>
                    <w:top w:val="none" w:sz="0" w:space="0" w:color="auto"/>
                    <w:left w:val="none" w:sz="0" w:space="0" w:color="auto"/>
                    <w:bottom w:val="none" w:sz="0" w:space="0" w:color="auto"/>
                    <w:right w:val="none" w:sz="0" w:space="0" w:color="auto"/>
                  </w:divBdr>
                  <w:divsChild>
                    <w:div w:id="1467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888814">
      <w:bodyDiv w:val="1"/>
      <w:marLeft w:val="0"/>
      <w:marRight w:val="0"/>
      <w:marTop w:val="0"/>
      <w:marBottom w:val="0"/>
      <w:divBdr>
        <w:top w:val="none" w:sz="0" w:space="0" w:color="auto"/>
        <w:left w:val="none" w:sz="0" w:space="0" w:color="auto"/>
        <w:bottom w:val="none" w:sz="0" w:space="0" w:color="auto"/>
        <w:right w:val="none" w:sz="0" w:space="0" w:color="auto"/>
      </w:divBdr>
    </w:div>
    <w:div w:id="2046446622">
      <w:bodyDiv w:val="1"/>
      <w:marLeft w:val="0"/>
      <w:marRight w:val="0"/>
      <w:marTop w:val="0"/>
      <w:marBottom w:val="0"/>
      <w:divBdr>
        <w:top w:val="none" w:sz="0" w:space="0" w:color="auto"/>
        <w:left w:val="none" w:sz="0" w:space="0" w:color="auto"/>
        <w:bottom w:val="none" w:sz="0" w:space="0" w:color="auto"/>
        <w:right w:val="none" w:sz="0" w:space="0" w:color="auto"/>
      </w:divBdr>
    </w:div>
    <w:div w:id="2059818321">
      <w:bodyDiv w:val="1"/>
      <w:marLeft w:val="0"/>
      <w:marRight w:val="0"/>
      <w:marTop w:val="0"/>
      <w:marBottom w:val="0"/>
      <w:divBdr>
        <w:top w:val="none" w:sz="0" w:space="0" w:color="auto"/>
        <w:left w:val="none" w:sz="0" w:space="0" w:color="auto"/>
        <w:bottom w:val="none" w:sz="0" w:space="0" w:color="auto"/>
        <w:right w:val="none" w:sz="0" w:space="0" w:color="auto"/>
      </w:divBdr>
    </w:div>
    <w:div w:id="2063209383">
      <w:bodyDiv w:val="1"/>
      <w:marLeft w:val="0"/>
      <w:marRight w:val="0"/>
      <w:marTop w:val="0"/>
      <w:marBottom w:val="0"/>
      <w:divBdr>
        <w:top w:val="none" w:sz="0" w:space="0" w:color="auto"/>
        <w:left w:val="none" w:sz="0" w:space="0" w:color="auto"/>
        <w:bottom w:val="none" w:sz="0" w:space="0" w:color="auto"/>
        <w:right w:val="none" w:sz="0" w:space="0" w:color="auto"/>
      </w:divBdr>
    </w:div>
    <w:div w:id="2068020546">
      <w:bodyDiv w:val="1"/>
      <w:marLeft w:val="0"/>
      <w:marRight w:val="0"/>
      <w:marTop w:val="0"/>
      <w:marBottom w:val="0"/>
      <w:divBdr>
        <w:top w:val="none" w:sz="0" w:space="0" w:color="auto"/>
        <w:left w:val="none" w:sz="0" w:space="0" w:color="auto"/>
        <w:bottom w:val="none" w:sz="0" w:space="0" w:color="auto"/>
        <w:right w:val="none" w:sz="0" w:space="0" w:color="auto"/>
      </w:divBdr>
    </w:div>
    <w:div w:id="2068140086">
      <w:bodyDiv w:val="1"/>
      <w:marLeft w:val="0"/>
      <w:marRight w:val="0"/>
      <w:marTop w:val="0"/>
      <w:marBottom w:val="0"/>
      <w:divBdr>
        <w:top w:val="none" w:sz="0" w:space="0" w:color="auto"/>
        <w:left w:val="none" w:sz="0" w:space="0" w:color="auto"/>
        <w:bottom w:val="none" w:sz="0" w:space="0" w:color="auto"/>
        <w:right w:val="none" w:sz="0" w:space="0" w:color="auto"/>
      </w:divBdr>
    </w:div>
    <w:div w:id="2073693073">
      <w:bodyDiv w:val="1"/>
      <w:marLeft w:val="0"/>
      <w:marRight w:val="0"/>
      <w:marTop w:val="0"/>
      <w:marBottom w:val="0"/>
      <w:divBdr>
        <w:top w:val="none" w:sz="0" w:space="0" w:color="auto"/>
        <w:left w:val="none" w:sz="0" w:space="0" w:color="auto"/>
        <w:bottom w:val="none" w:sz="0" w:space="0" w:color="auto"/>
        <w:right w:val="none" w:sz="0" w:space="0" w:color="auto"/>
      </w:divBdr>
      <w:divsChild>
        <w:div w:id="1159537676">
          <w:marLeft w:val="0"/>
          <w:marRight w:val="0"/>
          <w:marTop w:val="0"/>
          <w:marBottom w:val="0"/>
          <w:divBdr>
            <w:top w:val="none" w:sz="0" w:space="0" w:color="auto"/>
            <w:left w:val="none" w:sz="0" w:space="0" w:color="auto"/>
            <w:bottom w:val="none" w:sz="0" w:space="0" w:color="auto"/>
            <w:right w:val="none" w:sz="0" w:space="0" w:color="auto"/>
          </w:divBdr>
          <w:divsChild>
            <w:div w:id="1785226078">
              <w:marLeft w:val="0"/>
              <w:marRight w:val="0"/>
              <w:marTop w:val="0"/>
              <w:marBottom w:val="0"/>
              <w:divBdr>
                <w:top w:val="none" w:sz="0" w:space="0" w:color="auto"/>
                <w:left w:val="none" w:sz="0" w:space="0" w:color="auto"/>
                <w:bottom w:val="none" w:sz="0" w:space="0" w:color="auto"/>
                <w:right w:val="none" w:sz="0" w:space="0" w:color="auto"/>
              </w:divBdr>
              <w:divsChild>
                <w:div w:id="951741159">
                  <w:marLeft w:val="0"/>
                  <w:marRight w:val="0"/>
                  <w:marTop w:val="0"/>
                  <w:marBottom w:val="0"/>
                  <w:divBdr>
                    <w:top w:val="none" w:sz="0" w:space="0" w:color="auto"/>
                    <w:left w:val="none" w:sz="0" w:space="0" w:color="auto"/>
                    <w:bottom w:val="none" w:sz="0" w:space="0" w:color="auto"/>
                    <w:right w:val="none" w:sz="0" w:space="0" w:color="auto"/>
                  </w:divBdr>
                  <w:divsChild>
                    <w:div w:id="1025405835">
                      <w:marLeft w:val="0"/>
                      <w:marRight w:val="0"/>
                      <w:marTop w:val="0"/>
                      <w:marBottom w:val="0"/>
                      <w:divBdr>
                        <w:top w:val="none" w:sz="0" w:space="0" w:color="auto"/>
                        <w:left w:val="none" w:sz="0" w:space="0" w:color="auto"/>
                        <w:bottom w:val="none" w:sz="0" w:space="0" w:color="auto"/>
                        <w:right w:val="none" w:sz="0" w:space="0" w:color="auto"/>
                      </w:divBdr>
                    </w:div>
                  </w:divsChild>
                </w:div>
                <w:div w:id="393434568">
                  <w:marLeft w:val="0"/>
                  <w:marRight w:val="0"/>
                  <w:marTop w:val="0"/>
                  <w:marBottom w:val="0"/>
                  <w:divBdr>
                    <w:top w:val="none" w:sz="0" w:space="0" w:color="auto"/>
                    <w:left w:val="none" w:sz="0" w:space="0" w:color="auto"/>
                    <w:bottom w:val="none" w:sz="0" w:space="0" w:color="auto"/>
                    <w:right w:val="none" w:sz="0" w:space="0" w:color="auto"/>
                  </w:divBdr>
                  <w:divsChild>
                    <w:div w:id="133722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665988">
      <w:bodyDiv w:val="1"/>
      <w:marLeft w:val="0"/>
      <w:marRight w:val="0"/>
      <w:marTop w:val="0"/>
      <w:marBottom w:val="0"/>
      <w:divBdr>
        <w:top w:val="none" w:sz="0" w:space="0" w:color="auto"/>
        <w:left w:val="none" w:sz="0" w:space="0" w:color="auto"/>
        <w:bottom w:val="none" w:sz="0" w:space="0" w:color="auto"/>
        <w:right w:val="none" w:sz="0" w:space="0" w:color="auto"/>
      </w:divBdr>
      <w:divsChild>
        <w:div w:id="581186700">
          <w:marLeft w:val="0"/>
          <w:marRight w:val="0"/>
          <w:marTop w:val="0"/>
          <w:marBottom w:val="0"/>
          <w:divBdr>
            <w:top w:val="none" w:sz="0" w:space="0" w:color="auto"/>
            <w:left w:val="none" w:sz="0" w:space="0" w:color="auto"/>
            <w:bottom w:val="none" w:sz="0" w:space="0" w:color="auto"/>
            <w:right w:val="none" w:sz="0" w:space="0" w:color="auto"/>
          </w:divBdr>
          <w:divsChild>
            <w:div w:id="1895307250">
              <w:marLeft w:val="0"/>
              <w:marRight w:val="0"/>
              <w:marTop w:val="0"/>
              <w:marBottom w:val="0"/>
              <w:divBdr>
                <w:top w:val="none" w:sz="0" w:space="0" w:color="auto"/>
                <w:left w:val="none" w:sz="0" w:space="0" w:color="auto"/>
                <w:bottom w:val="none" w:sz="0" w:space="0" w:color="auto"/>
                <w:right w:val="none" w:sz="0" w:space="0" w:color="auto"/>
              </w:divBdr>
              <w:divsChild>
                <w:div w:id="1412964237">
                  <w:marLeft w:val="0"/>
                  <w:marRight w:val="0"/>
                  <w:marTop w:val="0"/>
                  <w:marBottom w:val="0"/>
                  <w:divBdr>
                    <w:top w:val="none" w:sz="0" w:space="0" w:color="auto"/>
                    <w:left w:val="none" w:sz="0" w:space="0" w:color="auto"/>
                    <w:bottom w:val="none" w:sz="0" w:space="0" w:color="auto"/>
                    <w:right w:val="none" w:sz="0" w:space="0" w:color="auto"/>
                  </w:divBdr>
                  <w:divsChild>
                    <w:div w:id="40449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23729">
      <w:bodyDiv w:val="1"/>
      <w:marLeft w:val="0"/>
      <w:marRight w:val="0"/>
      <w:marTop w:val="0"/>
      <w:marBottom w:val="0"/>
      <w:divBdr>
        <w:top w:val="none" w:sz="0" w:space="0" w:color="auto"/>
        <w:left w:val="none" w:sz="0" w:space="0" w:color="auto"/>
        <w:bottom w:val="none" w:sz="0" w:space="0" w:color="auto"/>
        <w:right w:val="none" w:sz="0" w:space="0" w:color="auto"/>
      </w:divBdr>
    </w:div>
    <w:div w:id="2113355121">
      <w:bodyDiv w:val="1"/>
      <w:marLeft w:val="0"/>
      <w:marRight w:val="0"/>
      <w:marTop w:val="0"/>
      <w:marBottom w:val="0"/>
      <w:divBdr>
        <w:top w:val="none" w:sz="0" w:space="0" w:color="auto"/>
        <w:left w:val="none" w:sz="0" w:space="0" w:color="auto"/>
        <w:bottom w:val="none" w:sz="0" w:space="0" w:color="auto"/>
        <w:right w:val="none" w:sz="0" w:space="0" w:color="auto"/>
      </w:divBdr>
      <w:divsChild>
        <w:div w:id="318726601">
          <w:marLeft w:val="0"/>
          <w:marRight w:val="0"/>
          <w:marTop w:val="0"/>
          <w:marBottom w:val="0"/>
          <w:divBdr>
            <w:top w:val="none" w:sz="0" w:space="0" w:color="auto"/>
            <w:left w:val="none" w:sz="0" w:space="0" w:color="auto"/>
            <w:bottom w:val="none" w:sz="0" w:space="0" w:color="auto"/>
            <w:right w:val="none" w:sz="0" w:space="0" w:color="auto"/>
          </w:divBdr>
          <w:divsChild>
            <w:div w:id="2129663305">
              <w:marLeft w:val="0"/>
              <w:marRight w:val="0"/>
              <w:marTop w:val="0"/>
              <w:marBottom w:val="0"/>
              <w:divBdr>
                <w:top w:val="none" w:sz="0" w:space="0" w:color="auto"/>
                <w:left w:val="none" w:sz="0" w:space="0" w:color="auto"/>
                <w:bottom w:val="none" w:sz="0" w:space="0" w:color="auto"/>
                <w:right w:val="none" w:sz="0" w:space="0" w:color="auto"/>
              </w:divBdr>
              <w:divsChild>
                <w:div w:id="1760443346">
                  <w:marLeft w:val="0"/>
                  <w:marRight w:val="0"/>
                  <w:marTop w:val="0"/>
                  <w:marBottom w:val="0"/>
                  <w:divBdr>
                    <w:top w:val="none" w:sz="0" w:space="0" w:color="auto"/>
                    <w:left w:val="none" w:sz="0" w:space="0" w:color="auto"/>
                    <w:bottom w:val="none" w:sz="0" w:space="0" w:color="auto"/>
                    <w:right w:val="none" w:sz="0" w:space="0" w:color="auto"/>
                  </w:divBdr>
                  <w:divsChild>
                    <w:div w:id="16417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12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istat.it" TargetMode="External"/><Relationship Id="rId18" Type="http://schemas.openxmlformats.org/officeDocument/2006/relationships/image" Target="media/image5.png"/><Relationship Id="rId26" Type="http://schemas.openxmlformats.org/officeDocument/2006/relationships/chart" Target="charts/chart4.xml"/><Relationship Id="rId39" Type="http://schemas.openxmlformats.org/officeDocument/2006/relationships/hyperlink" Target="http://www.istat.it/it/archivio/esportazioni+delle+regioni" TargetMode="External"/><Relationship Id="rId3" Type="http://schemas.openxmlformats.org/officeDocument/2006/relationships/customXml" Target="../customXml/item3.xml"/><Relationship Id="rId21" Type="http://schemas.openxmlformats.org/officeDocument/2006/relationships/hyperlink" Target="https://www.coeweb.istat.it/" TargetMode="External"/><Relationship Id="rId34" Type="http://schemas.openxmlformats.org/officeDocument/2006/relationships/hyperlink" Target="https://www.coeweb.istat.it/note_metodologiche/note_diffusione.htm" TargetMode="External"/><Relationship Id="rId42" Type="http://schemas.openxmlformats.org/officeDocument/2006/relationships/hyperlink" Target="mailto:soriani@istat.i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chart" Target="charts/chart3.xml"/><Relationship Id="rId33" Type="http://schemas.openxmlformats.org/officeDocument/2006/relationships/hyperlink" Target="http://www.istat.it/it/files/2016/07/scheda-CommercioEsteroextraUE.pdf" TargetMode="External"/><Relationship Id="rId38" Type="http://schemas.openxmlformats.org/officeDocument/2006/relationships/hyperlink" Target="http://www.istat.it/it/archivio/commercio+estero+extra+u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istat.it/it/congiuntura" TargetMode="External"/><Relationship Id="rId29" Type="http://schemas.openxmlformats.org/officeDocument/2006/relationships/footer" Target="footer1.xml"/><Relationship Id="rId41" Type="http://schemas.openxmlformats.org/officeDocument/2006/relationships/hyperlink" Target="mailto:mimorron@istat.i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hart" Target="charts/chart2.xml"/><Relationship Id="rId32" Type="http://schemas.openxmlformats.org/officeDocument/2006/relationships/hyperlink" Target="http://www.istat.it/it/congiuntura/revisioni" TargetMode="External"/><Relationship Id="rId37" Type="http://schemas.openxmlformats.org/officeDocument/2006/relationships/hyperlink" Target="http://www.istat.it/it/archivio/commercio+estero+e+prezzi+import" TargetMode="External"/><Relationship Id="rId40" Type="http://schemas.openxmlformats.org/officeDocument/2006/relationships/hyperlink" Target="http://www.istat.it/it/archivio/45225"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file:///C:\Users\enzalucia.vaccaro\My%20Documents\TESTATINE\ufficiostampa@istat.it" TargetMode="External"/><Relationship Id="rId23" Type="http://schemas.openxmlformats.org/officeDocument/2006/relationships/chart" Target="charts/chart1.xml"/><Relationship Id="rId28" Type="http://schemas.openxmlformats.org/officeDocument/2006/relationships/header" Target="header2.xml"/><Relationship Id="rId36" Type="http://schemas.openxmlformats.org/officeDocument/2006/relationships/hyperlink" Target="https://www.coeweb.istat.it/" TargetMode="External"/><Relationship Id="rId10" Type="http://schemas.openxmlformats.org/officeDocument/2006/relationships/webSettings" Target="webSettings.xml"/><Relationship Id="rId19" Type="http://schemas.openxmlformats.org/officeDocument/2006/relationships/hyperlink" Target="http://dati.istat.it" TargetMode="External"/><Relationship Id="rId31" Type="http://schemas.openxmlformats.org/officeDocument/2006/relationships/hyperlink" Target="http://www.istat.it/it/archivio/45225"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ntact.istat.it/s/?language=it" TargetMode="External"/><Relationship Id="rId22" Type="http://schemas.openxmlformats.org/officeDocument/2006/relationships/header" Target="header1.xml"/><Relationship Id="rId27" Type="http://schemas.openxmlformats.org/officeDocument/2006/relationships/chart" Target="charts/chart5.xml"/><Relationship Id="rId30" Type="http://schemas.openxmlformats.org/officeDocument/2006/relationships/header" Target="header3.xml"/><Relationship Id="rId35" Type="http://schemas.openxmlformats.org/officeDocument/2006/relationships/hyperlink" Target="https://www.coeweb.istat.it/" TargetMode="External"/><Relationship Id="rId43"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Nas-repo1\share2\COE_documentazione_servizio\DIFFUSIONE\COMUNICATO%20STAMPA\CS%20Extra\CS_COE_Extra_Ue_marzo_2024\coe_extraue_3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as-repo1\share2\COE_documentazione_servizio\DIFFUSIONE\COMUNICATO%20STAMPA\CS%20Extra\CS_COE_Extra_Ue_marzo_2024\coe_extraue_3202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as-repo1\share2\COE_documentazione_servizio\DIFFUSIONE\COMUNICATO%20STAMPA\CS%20Extra\CS_COE_Extra_Ue_marzo_2024\coe_extraue_3202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as-repo1\share2\COE_documentazione_servizio\DIFFUSIONE\COMUNICATO%20STAMPA\CS%20Extra\CS_COE_Extra_Ue_marzo_2024\coe_extraue_3202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as-repo1\share2\COE_documentazione_servizio\DIFFUSIONE\COMUNICATO%20STAMPA\CS%20Extra\CS_COE_Extra_Ue_marzo_2024\coe_extraue_3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chart>
    <c:autoTitleDeleted val="1"/>
    <c:plotArea>
      <c:layout/>
      <c:barChart>
        <c:barDir val="col"/>
        <c:grouping val="clustered"/>
        <c:ser>
          <c:idx val="5"/>
          <c:order val="4"/>
          <c:tx>
            <c:strRef>
              <c:f>'[coe_extraue_32024.xlsx]Figura 1'!$G$4</c:f>
              <c:strCache>
                <c:ptCount val="1"/>
                <c:pt idx="0">
                  <c:v>Saldi (scala destra)</c:v>
                </c:pt>
              </c:strCache>
            </c:strRef>
          </c:tx>
          <c:spPr>
            <a:solidFill>
              <a:srgbClr val="A6A6A6"/>
            </a:solidFill>
            <a:ln w="6350" cap="flat" cmpd="sng" algn="ctr">
              <a:solidFill>
                <a:schemeClr val="bg1"/>
              </a:solidFill>
              <a:prstDash val="solid"/>
              <a:round/>
              <a:headEnd type="none" w="med" len="med"/>
              <a:tailEnd type="none" w="med" len="med"/>
            </a:ln>
            <a:effectLst/>
          </c:spPr>
          <c:val>
            <c:numRef>
              <c:f>'[coe_extraue_32024.xlsx]Figura 1'!$G$89:$G$160</c:f>
              <c:numCache>
                <c:formatCode>0</c:formatCode>
                <c:ptCount val="72"/>
                <c:pt idx="0">
                  <c:v>4132</c:v>
                </c:pt>
                <c:pt idx="1">
                  <c:v>4031</c:v>
                </c:pt>
                <c:pt idx="2">
                  <c:v>4249</c:v>
                </c:pt>
                <c:pt idx="3">
                  <c:v>3924</c:v>
                </c:pt>
                <c:pt idx="4">
                  <c:v>3604</c:v>
                </c:pt>
                <c:pt idx="5">
                  <c:v>4532</c:v>
                </c:pt>
                <c:pt idx="6">
                  <c:v>4139</c:v>
                </c:pt>
                <c:pt idx="7">
                  <c:v>4407</c:v>
                </c:pt>
                <c:pt idx="8">
                  <c:v>4305</c:v>
                </c:pt>
                <c:pt idx="9">
                  <c:v>6165</c:v>
                </c:pt>
                <c:pt idx="10">
                  <c:v>4481</c:v>
                </c:pt>
                <c:pt idx="11">
                  <c:v>4914</c:v>
                </c:pt>
                <c:pt idx="12">
                  <c:v>4243</c:v>
                </c:pt>
                <c:pt idx="13">
                  <c:v>5450</c:v>
                </c:pt>
                <c:pt idx="14">
                  <c:v>4574</c:v>
                </c:pt>
                <c:pt idx="15">
                  <c:v>242</c:v>
                </c:pt>
                <c:pt idx="16">
                  <c:v>3859</c:v>
                </c:pt>
                <c:pt idx="17">
                  <c:v>4052</c:v>
                </c:pt>
                <c:pt idx="18">
                  <c:v>5016</c:v>
                </c:pt>
                <c:pt idx="19">
                  <c:v>5195</c:v>
                </c:pt>
                <c:pt idx="20">
                  <c:v>6387</c:v>
                </c:pt>
                <c:pt idx="21">
                  <c:v>5694</c:v>
                </c:pt>
                <c:pt idx="22">
                  <c:v>5869</c:v>
                </c:pt>
                <c:pt idx="23">
                  <c:v>5306</c:v>
                </c:pt>
                <c:pt idx="24">
                  <c:v>4936</c:v>
                </c:pt>
                <c:pt idx="25">
                  <c:v>4556</c:v>
                </c:pt>
                <c:pt idx="26">
                  <c:v>4108</c:v>
                </c:pt>
                <c:pt idx="27">
                  <c:v>5158</c:v>
                </c:pt>
                <c:pt idx="28">
                  <c:v>4027</c:v>
                </c:pt>
                <c:pt idx="29">
                  <c:v>3876</c:v>
                </c:pt>
                <c:pt idx="30">
                  <c:v>4855</c:v>
                </c:pt>
                <c:pt idx="31">
                  <c:v>2238</c:v>
                </c:pt>
                <c:pt idx="32">
                  <c:v>1867</c:v>
                </c:pt>
                <c:pt idx="33">
                  <c:v>1216</c:v>
                </c:pt>
                <c:pt idx="34">
                  <c:v>1009</c:v>
                </c:pt>
                <c:pt idx="35">
                  <c:v>-1022</c:v>
                </c:pt>
                <c:pt idx="36">
                  <c:v>-1572</c:v>
                </c:pt>
                <c:pt idx="37">
                  <c:v>-1222</c:v>
                </c:pt>
                <c:pt idx="38">
                  <c:v>-1554</c:v>
                </c:pt>
                <c:pt idx="39">
                  <c:v>-1913</c:v>
                </c:pt>
                <c:pt idx="40">
                  <c:v>-832</c:v>
                </c:pt>
                <c:pt idx="41">
                  <c:v>-3859</c:v>
                </c:pt>
                <c:pt idx="42">
                  <c:v>-3526</c:v>
                </c:pt>
                <c:pt idx="43">
                  <c:v>-5885</c:v>
                </c:pt>
                <c:pt idx="44">
                  <c:v>-4157</c:v>
                </c:pt>
                <c:pt idx="45">
                  <c:v>-2857</c:v>
                </c:pt>
                <c:pt idx="46">
                  <c:v>223</c:v>
                </c:pt>
                <c:pt idx="47">
                  <c:v>501</c:v>
                </c:pt>
                <c:pt idx="48">
                  <c:v>2721</c:v>
                </c:pt>
                <c:pt idx="49">
                  <c:v>4379</c:v>
                </c:pt>
                <c:pt idx="50">
                  <c:v>2938</c:v>
                </c:pt>
                <c:pt idx="51">
                  <c:v>2310</c:v>
                </c:pt>
                <c:pt idx="52">
                  <c:v>3713</c:v>
                </c:pt>
                <c:pt idx="53">
                  <c:v>4280</c:v>
                </c:pt>
                <c:pt idx="54">
                  <c:v>4284</c:v>
                </c:pt>
                <c:pt idx="55">
                  <c:v>5284</c:v>
                </c:pt>
                <c:pt idx="56">
                  <c:v>3860</c:v>
                </c:pt>
                <c:pt idx="57">
                  <c:v>4734</c:v>
                </c:pt>
                <c:pt idx="58">
                  <c:v>4724</c:v>
                </c:pt>
                <c:pt idx="59">
                  <c:v>5590</c:v>
                </c:pt>
                <c:pt idx="60">
                  <c:v>6147</c:v>
                </c:pt>
                <c:pt idx="61">
                  <c:v>6868</c:v>
                </c:pt>
                <c:pt idx="62">
                  <c:v>5074</c:v>
                </c:pt>
              </c:numCache>
            </c:numRef>
          </c:val>
          <c:extLst xmlns:c16r2="http://schemas.microsoft.com/office/drawing/2015/06/chart">
            <c:ext xmlns:c16="http://schemas.microsoft.com/office/drawing/2014/chart" uri="{C3380CC4-5D6E-409C-BE32-E72D297353CC}">
              <c16:uniqueId val="{00000000-1D8F-4219-AED8-F479F61111D7}"/>
            </c:ext>
          </c:extLst>
        </c:ser>
        <c:gapWidth val="0"/>
        <c:axId val="183534336"/>
        <c:axId val="165135872"/>
      </c:barChart>
      <c:lineChart>
        <c:grouping val="standard"/>
        <c:ser>
          <c:idx val="2"/>
          <c:order val="0"/>
          <c:tx>
            <c:strRef>
              <c:f>'[coe_extraue_32024.xlsx]Figura 1'!$C$4</c:f>
              <c:strCache>
                <c:ptCount val="1"/>
                <c:pt idx="0">
                  <c:v>Export - mensile</c:v>
                </c:pt>
              </c:strCache>
            </c:strRef>
          </c:tx>
          <c:spPr>
            <a:ln w="12700" cap="flat" cmpd="sng" algn="ctr">
              <a:solidFill>
                <a:srgbClr val="003B5C"/>
              </a:solidFill>
              <a:prstDash val="sysDash"/>
              <a:round/>
              <a:headEnd type="none" w="med" len="med"/>
              <a:tailEnd type="none" w="med" len="med"/>
            </a:ln>
            <a:effectLst/>
          </c:spPr>
          <c:marker>
            <c:symbol val="none"/>
          </c:marker>
          <c:cat>
            <c:numRef>
              <c:f>'[coe_extraue_32024.xlsx]Figura 1'!$B$89:$B$160</c:f>
              <c:numCache>
                <c:formatCode>General</c:formatCode>
                <c:ptCount val="72"/>
                <c:pt idx="5" formatCode="0">
                  <c:v>2019</c:v>
                </c:pt>
                <c:pt idx="17" formatCode="0">
                  <c:v>2020</c:v>
                </c:pt>
                <c:pt idx="29" formatCode="0">
                  <c:v>2021</c:v>
                </c:pt>
                <c:pt idx="41" formatCode="0">
                  <c:v>2022</c:v>
                </c:pt>
                <c:pt idx="53" formatCode="0">
                  <c:v>2023</c:v>
                </c:pt>
                <c:pt idx="65" formatCode="0">
                  <c:v>2024</c:v>
                </c:pt>
              </c:numCache>
            </c:numRef>
          </c:cat>
          <c:val>
            <c:numRef>
              <c:f>'[coe_extraue_32024.xlsx]Figura 1'!$C$89:$C$160</c:f>
              <c:numCache>
                <c:formatCode>0</c:formatCode>
                <c:ptCount val="72"/>
                <c:pt idx="0">
                  <c:v>19558</c:v>
                </c:pt>
                <c:pt idx="1">
                  <c:v>19380</c:v>
                </c:pt>
                <c:pt idx="2">
                  <c:v>19710</c:v>
                </c:pt>
                <c:pt idx="3">
                  <c:v>19283</c:v>
                </c:pt>
                <c:pt idx="4">
                  <c:v>19393</c:v>
                </c:pt>
                <c:pt idx="5">
                  <c:v>20056</c:v>
                </c:pt>
                <c:pt idx="6">
                  <c:v>19571</c:v>
                </c:pt>
                <c:pt idx="7">
                  <c:v>19446</c:v>
                </c:pt>
                <c:pt idx="8">
                  <c:v>19882</c:v>
                </c:pt>
                <c:pt idx="9">
                  <c:v>20868</c:v>
                </c:pt>
                <c:pt idx="10">
                  <c:v>18970</c:v>
                </c:pt>
                <c:pt idx="11">
                  <c:v>19562</c:v>
                </c:pt>
                <c:pt idx="12">
                  <c:v>20127</c:v>
                </c:pt>
                <c:pt idx="13">
                  <c:v>19905</c:v>
                </c:pt>
                <c:pt idx="14">
                  <c:v>16602</c:v>
                </c:pt>
                <c:pt idx="15">
                  <c:v>10375</c:v>
                </c:pt>
                <c:pt idx="16">
                  <c:v>14200</c:v>
                </c:pt>
                <c:pt idx="17">
                  <c:v>16544</c:v>
                </c:pt>
                <c:pt idx="18">
                  <c:v>18019</c:v>
                </c:pt>
                <c:pt idx="19">
                  <c:v>18016</c:v>
                </c:pt>
                <c:pt idx="20">
                  <c:v>19361</c:v>
                </c:pt>
                <c:pt idx="21">
                  <c:v>19029</c:v>
                </c:pt>
                <c:pt idx="22">
                  <c:v>19740</c:v>
                </c:pt>
                <c:pt idx="23">
                  <c:v>19000</c:v>
                </c:pt>
                <c:pt idx="24">
                  <c:v>18950</c:v>
                </c:pt>
                <c:pt idx="25">
                  <c:v>19019</c:v>
                </c:pt>
                <c:pt idx="26">
                  <c:v>19484</c:v>
                </c:pt>
                <c:pt idx="27">
                  <c:v>21228</c:v>
                </c:pt>
                <c:pt idx="28">
                  <c:v>19946</c:v>
                </c:pt>
                <c:pt idx="29">
                  <c:v>20094</c:v>
                </c:pt>
                <c:pt idx="30">
                  <c:v>21782</c:v>
                </c:pt>
                <c:pt idx="31">
                  <c:v>20644</c:v>
                </c:pt>
                <c:pt idx="32">
                  <c:v>20322</c:v>
                </c:pt>
                <c:pt idx="33">
                  <c:v>20779</c:v>
                </c:pt>
                <c:pt idx="34">
                  <c:v>21419</c:v>
                </c:pt>
                <c:pt idx="35">
                  <c:v>21019</c:v>
                </c:pt>
                <c:pt idx="36">
                  <c:v>22140</c:v>
                </c:pt>
                <c:pt idx="37">
                  <c:v>23019</c:v>
                </c:pt>
                <c:pt idx="38">
                  <c:v>23501</c:v>
                </c:pt>
                <c:pt idx="39">
                  <c:v>24440</c:v>
                </c:pt>
                <c:pt idx="40">
                  <c:v>25026</c:v>
                </c:pt>
                <c:pt idx="41">
                  <c:v>24669</c:v>
                </c:pt>
                <c:pt idx="42">
                  <c:v>26282</c:v>
                </c:pt>
                <c:pt idx="43">
                  <c:v>24263</c:v>
                </c:pt>
                <c:pt idx="44">
                  <c:v>25796</c:v>
                </c:pt>
                <c:pt idx="45">
                  <c:v>24278</c:v>
                </c:pt>
                <c:pt idx="46">
                  <c:v>26572</c:v>
                </c:pt>
                <c:pt idx="47">
                  <c:v>25860</c:v>
                </c:pt>
                <c:pt idx="48">
                  <c:v>26101</c:v>
                </c:pt>
                <c:pt idx="49">
                  <c:v>27004</c:v>
                </c:pt>
                <c:pt idx="50">
                  <c:v>25216</c:v>
                </c:pt>
                <c:pt idx="51">
                  <c:v>24717</c:v>
                </c:pt>
                <c:pt idx="52">
                  <c:v>24950</c:v>
                </c:pt>
                <c:pt idx="53">
                  <c:v>25061</c:v>
                </c:pt>
                <c:pt idx="54">
                  <c:v>24452</c:v>
                </c:pt>
                <c:pt idx="55">
                  <c:v>26239</c:v>
                </c:pt>
                <c:pt idx="56">
                  <c:v>24499</c:v>
                </c:pt>
                <c:pt idx="57">
                  <c:v>26075</c:v>
                </c:pt>
                <c:pt idx="58">
                  <c:v>25317</c:v>
                </c:pt>
                <c:pt idx="59">
                  <c:v>25580</c:v>
                </c:pt>
                <c:pt idx="60">
                  <c:v>24569</c:v>
                </c:pt>
                <c:pt idx="61">
                  <c:v>26429</c:v>
                </c:pt>
                <c:pt idx="62">
                  <c:v>25249</c:v>
                </c:pt>
              </c:numCache>
            </c:numRef>
          </c:val>
          <c:extLst xmlns:c16r2="http://schemas.microsoft.com/office/drawing/2015/06/chart">
            <c:ext xmlns:c16="http://schemas.microsoft.com/office/drawing/2014/chart" uri="{C3380CC4-5D6E-409C-BE32-E72D297353CC}">
              <c16:uniqueId val="{00000001-1D8F-4219-AED8-F479F61111D7}"/>
            </c:ext>
          </c:extLst>
        </c:ser>
        <c:ser>
          <c:idx val="4"/>
          <c:order val="1"/>
          <c:tx>
            <c:strRef>
              <c:f>'[coe_extraue_32024.xlsx]Figura 1'!$D$4</c:f>
              <c:strCache>
                <c:ptCount val="1"/>
                <c:pt idx="0">
                  <c:v>Export - media 3m</c:v>
                </c:pt>
              </c:strCache>
            </c:strRef>
          </c:tx>
          <c:spPr>
            <a:ln w="28575" cap="rnd">
              <a:solidFill>
                <a:srgbClr val="003B5C"/>
              </a:solidFill>
              <a:round/>
            </a:ln>
            <a:effectLst/>
          </c:spPr>
          <c:marker>
            <c:symbol val="none"/>
          </c:marker>
          <c:cat>
            <c:numRef>
              <c:f>'[coe_extraue_32024.xlsx]Figura 1'!$B$89:$B$160</c:f>
              <c:numCache>
                <c:formatCode>General</c:formatCode>
                <c:ptCount val="72"/>
                <c:pt idx="5" formatCode="0">
                  <c:v>2019</c:v>
                </c:pt>
                <c:pt idx="17" formatCode="0">
                  <c:v>2020</c:v>
                </c:pt>
                <c:pt idx="29" formatCode="0">
                  <c:v>2021</c:v>
                </c:pt>
                <c:pt idx="41" formatCode="0">
                  <c:v>2022</c:v>
                </c:pt>
                <c:pt idx="53" formatCode="0">
                  <c:v>2023</c:v>
                </c:pt>
                <c:pt idx="65" formatCode="0">
                  <c:v>2024</c:v>
                </c:pt>
              </c:numCache>
            </c:numRef>
          </c:cat>
          <c:val>
            <c:numRef>
              <c:f>'[coe_extraue_32024.xlsx]Figura 1'!$D$89:$D$160</c:f>
              <c:numCache>
                <c:formatCode>0</c:formatCode>
                <c:ptCount val="72"/>
                <c:pt idx="0">
                  <c:v>19230</c:v>
                </c:pt>
                <c:pt idx="1">
                  <c:v>19549.333333333321</c:v>
                </c:pt>
                <c:pt idx="2">
                  <c:v>19457.666666666661</c:v>
                </c:pt>
                <c:pt idx="3">
                  <c:v>19462</c:v>
                </c:pt>
                <c:pt idx="4">
                  <c:v>19577.333333333321</c:v>
                </c:pt>
                <c:pt idx="5">
                  <c:v>19673.333333333321</c:v>
                </c:pt>
                <c:pt idx="6">
                  <c:v>19691</c:v>
                </c:pt>
                <c:pt idx="7">
                  <c:v>19633</c:v>
                </c:pt>
                <c:pt idx="8">
                  <c:v>20065.333333333321</c:v>
                </c:pt>
                <c:pt idx="9">
                  <c:v>19906.666666666661</c:v>
                </c:pt>
                <c:pt idx="10">
                  <c:v>19800</c:v>
                </c:pt>
                <c:pt idx="11">
                  <c:v>19553</c:v>
                </c:pt>
                <c:pt idx="12">
                  <c:v>19864.666666666661</c:v>
                </c:pt>
                <c:pt idx="13">
                  <c:v>18878</c:v>
                </c:pt>
                <c:pt idx="14">
                  <c:v>15627.33333333333</c:v>
                </c:pt>
                <c:pt idx="15">
                  <c:v>13725.666666666662</c:v>
                </c:pt>
                <c:pt idx="16">
                  <c:v>13706.33333333333</c:v>
                </c:pt>
                <c:pt idx="17">
                  <c:v>16254.33333333333</c:v>
                </c:pt>
                <c:pt idx="18">
                  <c:v>17526.333333333321</c:v>
                </c:pt>
                <c:pt idx="19">
                  <c:v>18465.333333333321</c:v>
                </c:pt>
                <c:pt idx="20">
                  <c:v>18802</c:v>
                </c:pt>
                <c:pt idx="21">
                  <c:v>19376.666666666661</c:v>
                </c:pt>
                <c:pt idx="22">
                  <c:v>19256.333333333321</c:v>
                </c:pt>
                <c:pt idx="23">
                  <c:v>19230</c:v>
                </c:pt>
                <c:pt idx="24">
                  <c:v>18989.666666666661</c:v>
                </c:pt>
                <c:pt idx="25">
                  <c:v>19151</c:v>
                </c:pt>
                <c:pt idx="26">
                  <c:v>19910.333333333321</c:v>
                </c:pt>
                <c:pt idx="27">
                  <c:v>20219.333333333321</c:v>
                </c:pt>
                <c:pt idx="28">
                  <c:v>20422.666666666661</c:v>
                </c:pt>
                <c:pt idx="29">
                  <c:v>20607.333333333321</c:v>
                </c:pt>
                <c:pt idx="30">
                  <c:v>20840</c:v>
                </c:pt>
                <c:pt idx="31">
                  <c:v>20916</c:v>
                </c:pt>
                <c:pt idx="32">
                  <c:v>20581.666666666661</c:v>
                </c:pt>
                <c:pt idx="33">
                  <c:v>20840</c:v>
                </c:pt>
                <c:pt idx="34">
                  <c:v>21072.333333333321</c:v>
                </c:pt>
                <c:pt idx="35">
                  <c:v>21526</c:v>
                </c:pt>
                <c:pt idx="36">
                  <c:v>22059.333333333321</c:v>
                </c:pt>
                <c:pt idx="37">
                  <c:v>22886.666666666661</c:v>
                </c:pt>
                <c:pt idx="38">
                  <c:v>23653.333333333321</c:v>
                </c:pt>
                <c:pt idx="39">
                  <c:v>24322.333333333321</c:v>
                </c:pt>
                <c:pt idx="40">
                  <c:v>24711.666666666661</c:v>
                </c:pt>
                <c:pt idx="41">
                  <c:v>25325.666666666661</c:v>
                </c:pt>
                <c:pt idx="42">
                  <c:v>25071.333333333321</c:v>
                </c:pt>
                <c:pt idx="43">
                  <c:v>25447</c:v>
                </c:pt>
                <c:pt idx="44">
                  <c:v>24779</c:v>
                </c:pt>
                <c:pt idx="45">
                  <c:v>25548.666666666661</c:v>
                </c:pt>
                <c:pt idx="46">
                  <c:v>25570</c:v>
                </c:pt>
                <c:pt idx="47">
                  <c:v>26177.666666666661</c:v>
                </c:pt>
                <c:pt idx="48">
                  <c:v>26321.666666666661</c:v>
                </c:pt>
                <c:pt idx="49">
                  <c:v>26107</c:v>
                </c:pt>
                <c:pt idx="50">
                  <c:v>25645.666666666661</c:v>
                </c:pt>
                <c:pt idx="51">
                  <c:v>24961</c:v>
                </c:pt>
                <c:pt idx="52">
                  <c:v>24909.333333333321</c:v>
                </c:pt>
                <c:pt idx="53">
                  <c:v>24821</c:v>
                </c:pt>
                <c:pt idx="54">
                  <c:v>25250.666666666661</c:v>
                </c:pt>
                <c:pt idx="55">
                  <c:v>25063.333333333321</c:v>
                </c:pt>
                <c:pt idx="56">
                  <c:v>25604.333333333321</c:v>
                </c:pt>
                <c:pt idx="57">
                  <c:v>25297</c:v>
                </c:pt>
                <c:pt idx="58">
                  <c:v>25657.333333333321</c:v>
                </c:pt>
                <c:pt idx="59">
                  <c:v>25155.333333333321</c:v>
                </c:pt>
                <c:pt idx="60">
                  <c:v>25526</c:v>
                </c:pt>
                <c:pt idx="61">
                  <c:v>25415.666666666661</c:v>
                </c:pt>
              </c:numCache>
            </c:numRef>
          </c:val>
          <c:extLst xmlns:c16r2="http://schemas.microsoft.com/office/drawing/2015/06/chart">
            <c:ext xmlns:c16="http://schemas.microsoft.com/office/drawing/2014/chart" uri="{C3380CC4-5D6E-409C-BE32-E72D297353CC}">
              <c16:uniqueId val="{00000002-1D8F-4219-AED8-F479F61111D7}"/>
            </c:ext>
          </c:extLst>
        </c:ser>
        <c:ser>
          <c:idx val="1"/>
          <c:order val="2"/>
          <c:tx>
            <c:strRef>
              <c:f>'[coe_extraue_32024.xlsx]Figura 1'!$E$4</c:f>
              <c:strCache>
                <c:ptCount val="1"/>
                <c:pt idx="0">
                  <c:v>Import - mensile</c:v>
                </c:pt>
              </c:strCache>
            </c:strRef>
          </c:tx>
          <c:spPr>
            <a:ln w="12700" cap="flat" cmpd="sng" algn="ctr">
              <a:solidFill>
                <a:srgbClr val="D22630"/>
              </a:solidFill>
              <a:prstDash val="sysDash"/>
              <a:round/>
              <a:headEnd type="none" w="med" len="med"/>
              <a:tailEnd type="none" w="med" len="med"/>
            </a:ln>
            <a:effectLst/>
          </c:spPr>
          <c:marker>
            <c:symbol val="none"/>
          </c:marker>
          <c:cat>
            <c:numRef>
              <c:f>'[coe_extraue_32024.xlsx]Figura 1'!$B$89:$B$160</c:f>
              <c:numCache>
                <c:formatCode>General</c:formatCode>
                <c:ptCount val="72"/>
                <c:pt idx="5" formatCode="0">
                  <c:v>2019</c:v>
                </c:pt>
                <c:pt idx="17" formatCode="0">
                  <c:v>2020</c:v>
                </c:pt>
                <c:pt idx="29" formatCode="0">
                  <c:v>2021</c:v>
                </c:pt>
                <c:pt idx="41" formatCode="0">
                  <c:v>2022</c:v>
                </c:pt>
                <c:pt idx="53" formatCode="0">
                  <c:v>2023</c:v>
                </c:pt>
                <c:pt idx="65" formatCode="0">
                  <c:v>2024</c:v>
                </c:pt>
              </c:numCache>
            </c:numRef>
          </c:cat>
          <c:val>
            <c:numRef>
              <c:f>'[coe_extraue_32024.xlsx]Figura 1'!$E$89:$E$160</c:f>
              <c:numCache>
                <c:formatCode>0</c:formatCode>
                <c:ptCount val="72"/>
                <c:pt idx="0">
                  <c:v>15426</c:v>
                </c:pt>
                <c:pt idx="1">
                  <c:v>15349</c:v>
                </c:pt>
                <c:pt idx="2">
                  <c:v>15461</c:v>
                </c:pt>
                <c:pt idx="3">
                  <c:v>15359</c:v>
                </c:pt>
                <c:pt idx="4">
                  <c:v>15789</c:v>
                </c:pt>
                <c:pt idx="5">
                  <c:v>15524</c:v>
                </c:pt>
                <c:pt idx="6">
                  <c:v>15432</c:v>
                </c:pt>
                <c:pt idx="7">
                  <c:v>15039</c:v>
                </c:pt>
                <c:pt idx="8">
                  <c:v>15577</c:v>
                </c:pt>
                <c:pt idx="9">
                  <c:v>14703</c:v>
                </c:pt>
                <c:pt idx="10">
                  <c:v>14489</c:v>
                </c:pt>
                <c:pt idx="11">
                  <c:v>14648</c:v>
                </c:pt>
                <c:pt idx="12">
                  <c:v>15884</c:v>
                </c:pt>
                <c:pt idx="13">
                  <c:v>14455</c:v>
                </c:pt>
                <c:pt idx="14">
                  <c:v>12028</c:v>
                </c:pt>
                <c:pt idx="15">
                  <c:v>10133</c:v>
                </c:pt>
                <c:pt idx="16">
                  <c:v>10341</c:v>
                </c:pt>
                <c:pt idx="17">
                  <c:v>12492</c:v>
                </c:pt>
                <c:pt idx="18">
                  <c:v>13003</c:v>
                </c:pt>
                <c:pt idx="19">
                  <c:v>12821</c:v>
                </c:pt>
                <c:pt idx="20">
                  <c:v>12974</c:v>
                </c:pt>
                <c:pt idx="21">
                  <c:v>13335</c:v>
                </c:pt>
                <c:pt idx="22">
                  <c:v>13871</c:v>
                </c:pt>
                <c:pt idx="23">
                  <c:v>13694</c:v>
                </c:pt>
                <c:pt idx="24">
                  <c:v>14014</c:v>
                </c:pt>
                <c:pt idx="25">
                  <c:v>14463</c:v>
                </c:pt>
                <c:pt idx="26">
                  <c:v>15376</c:v>
                </c:pt>
                <c:pt idx="27">
                  <c:v>16070</c:v>
                </c:pt>
                <c:pt idx="28">
                  <c:v>15919</c:v>
                </c:pt>
                <c:pt idx="29">
                  <c:v>16218</c:v>
                </c:pt>
                <c:pt idx="30">
                  <c:v>16927</c:v>
                </c:pt>
                <c:pt idx="31">
                  <c:v>18406</c:v>
                </c:pt>
                <c:pt idx="32">
                  <c:v>18455</c:v>
                </c:pt>
                <c:pt idx="33">
                  <c:v>19563</c:v>
                </c:pt>
                <c:pt idx="34">
                  <c:v>20410</c:v>
                </c:pt>
                <c:pt idx="35">
                  <c:v>22041</c:v>
                </c:pt>
                <c:pt idx="36">
                  <c:v>23712</c:v>
                </c:pt>
                <c:pt idx="37">
                  <c:v>24241</c:v>
                </c:pt>
                <c:pt idx="38">
                  <c:v>25055</c:v>
                </c:pt>
                <c:pt idx="39">
                  <c:v>26353</c:v>
                </c:pt>
                <c:pt idx="40">
                  <c:v>25858</c:v>
                </c:pt>
                <c:pt idx="41">
                  <c:v>28528</c:v>
                </c:pt>
                <c:pt idx="42">
                  <c:v>29808</c:v>
                </c:pt>
                <c:pt idx="43">
                  <c:v>30148</c:v>
                </c:pt>
                <c:pt idx="44">
                  <c:v>29953</c:v>
                </c:pt>
                <c:pt idx="45">
                  <c:v>27135</c:v>
                </c:pt>
                <c:pt idx="46">
                  <c:v>26349</c:v>
                </c:pt>
                <c:pt idx="47">
                  <c:v>25359</c:v>
                </c:pt>
                <c:pt idx="48">
                  <c:v>23380</c:v>
                </c:pt>
                <c:pt idx="49">
                  <c:v>22625</c:v>
                </c:pt>
                <c:pt idx="50">
                  <c:v>22278</c:v>
                </c:pt>
                <c:pt idx="51">
                  <c:v>22407</c:v>
                </c:pt>
                <c:pt idx="52">
                  <c:v>21237</c:v>
                </c:pt>
                <c:pt idx="53">
                  <c:v>20781</c:v>
                </c:pt>
                <c:pt idx="54">
                  <c:v>20168</c:v>
                </c:pt>
                <c:pt idx="55">
                  <c:v>20955</c:v>
                </c:pt>
                <c:pt idx="56">
                  <c:v>20639</c:v>
                </c:pt>
                <c:pt idx="57">
                  <c:v>21341</c:v>
                </c:pt>
                <c:pt idx="58">
                  <c:v>20593</c:v>
                </c:pt>
                <c:pt idx="59">
                  <c:v>19990</c:v>
                </c:pt>
                <c:pt idx="60">
                  <c:v>18422</c:v>
                </c:pt>
                <c:pt idx="61">
                  <c:v>19561</c:v>
                </c:pt>
                <c:pt idx="62">
                  <c:v>20175</c:v>
                </c:pt>
              </c:numCache>
            </c:numRef>
          </c:val>
          <c:extLst xmlns:c16r2="http://schemas.microsoft.com/office/drawing/2015/06/chart">
            <c:ext xmlns:c16="http://schemas.microsoft.com/office/drawing/2014/chart" uri="{C3380CC4-5D6E-409C-BE32-E72D297353CC}">
              <c16:uniqueId val="{00000003-1D8F-4219-AED8-F479F61111D7}"/>
            </c:ext>
          </c:extLst>
        </c:ser>
        <c:ser>
          <c:idx val="3"/>
          <c:order val="3"/>
          <c:tx>
            <c:strRef>
              <c:f>'[coe_extraue_32024.xlsx]Figura 1'!$F$4</c:f>
              <c:strCache>
                <c:ptCount val="1"/>
                <c:pt idx="0">
                  <c:v>Import - media 3m</c:v>
                </c:pt>
              </c:strCache>
            </c:strRef>
          </c:tx>
          <c:spPr>
            <a:ln w="28575" cap="rnd">
              <a:solidFill>
                <a:srgbClr val="D22630"/>
              </a:solidFill>
              <a:round/>
            </a:ln>
            <a:effectLst/>
          </c:spPr>
          <c:marker>
            <c:symbol val="none"/>
          </c:marker>
          <c:cat>
            <c:numRef>
              <c:f>'[coe_extraue_32024.xlsx]Figura 1'!$B$89:$B$160</c:f>
              <c:numCache>
                <c:formatCode>General</c:formatCode>
                <c:ptCount val="72"/>
                <c:pt idx="5" formatCode="0">
                  <c:v>2019</c:v>
                </c:pt>
                <c:pt idx="17" formatCode="0">
                  <c:v>2020</c:v>
                </c:pt>
                <c:pt idx="29" formatCode="0">
                  <c:v>2021</c:v>
                </c:pt>
                <c:pt idx="41" formatCode="0">
                  <c:v>2022</c:v>
                </c:pt>
                <c:pt idx="53" formatCode="0">
                  <c:v>2023</c:v>
                </c:pt>
                <c:pt idx="65" formatCode="0">
                  <c:v>2024</c:v>
                </c:pt>
              </c:numCache>
            </c:numRef>
          </c:cat>
          <c:val>
            <c:numRef>
              <c:f>'[coe_extraue_32024.xlsx]Figura 1'!$F$89:$F$160</c:f>
              <c:numCache>
                <c:formatCode>0</c:formatCode>
                <c:ptCount val="72"/>
                <c:pt idx="0">
                  <c:v>15593.666666666662</c:v>
                </c:pt>
                <c:pt idx="1">
                  <c:v>15412</c:v>
                </c:pt>
                <c:pt idx="2">
                  <c:v>15389.666666666662</c:v>
                </c:pt>
                <c:pt idx="3">
                  <c:v>15536.33333333333</c:v>
                </c:pt>
                <c:pt idx="4">
                  <c:v>15557.33333333333</c:v>
                </c:pt>
                <c:pt idx="5">
                  <c:v>15581.666666666662</c:v>
                </c:pt>
                <c:pt idx="6">
                  <c:v>15331.666666666662</c:v>
                </c:pt>
                <c:pt idx="7">
                  <c:v>15349.33333333333</c:v>
                </c:pt>
                <c:pt idx="8">
                  <c:v>15106.33333333333</c:v>
                </c:pt>
                <c:pt idx="9">
                  <c:v>14923</c:v>
                </c:pt>
                <c:pt idx="10">
                  <c:v>14613.33333333333</c:v>
                </c:pt>
                <c:pt idx="11">
                  <c:v>15007</c:v>
                </c:pt>
                <c:pt idx="12">
                  <c:v>14995.666666666662</c:v>
                </c:pt>
                <c:pt idx="13">
                  <c:v>14122.33333333333</c:v>
                </c:pt>
                <c:pt idx="14">
                  <c:v>12205.33333333333</c:v>
                </c:pt>
                <c:pt idx="15">
                  <c:v>10834</c:v>
                </c:pt>
                <c:pt idx="16">
                  <c:v>10988.666666666662</c:v>
                </c:pt>
                <c:pt idx="17">
                  <c:v>11945.33333333333</c:v>
                </c:pt>
                <c:pt idx="18">
                  <c:v>12772</c:v>
                </c:pt>
                <c:pt idx="19">
                  <c:v>12932.666666666662</c:v>
                </c:pt>
                <c:pt idx="20">
                  <c:v>13043.33333333333</c:v>
                </c:pt>
                <c:pt idx="21">
                  <c:v>13393.33333333333</c:v>
                </c:pt>
                <c:pt idx="22">
                  <c:v>13633.33333333333</c:v>
                </c:pt>
                <c:pt idx="23">
                  <c:v>13859.666666666662</c:v>
                </c:pt>
                <c:pt idx="24">
                  <c:v>14057</c:v>
                </c:pt>
                <c:pt idx="25">
                  <c:v>14617.666666666662</c:v>
                </c:pt>
                <c:pt idx="26">
                  <c:v>15303</c:v>
                </c:pt>
                <c:pt idx="27">
                  <c:v>15788.33333333333</c:v>
                </c:pt>
                <c:pt idx="28">
                  <c:v>16069</c:v>
                </c:pt>
                <c:pt idx="29">
                  <c:v>16354.666666666662</c:v>
                </c:pt>
                <c:pt idx="30">
                  <c:v>17183.666666666661</c:v>
                </c:pt>
                <c:pt idx="31">
                  <c:v>17929.333333333321</c:v>
                </c:pt>
                <c:pt idx="32">
                  <c:v>18808</c:v>
                </c:pt>
                <c:pt idx="33">
                  <c:v>19476</c:v>
                </c:pt>
                <c:pt idx="34">
                  <c:v>20671.333333333321</c:v>
                </c:pt>
                <c:pt idx="35">
                  <c:v>22054.333333333321</c:v>
                </c:pt>
                <c:pt idx="36">
                  <c:v>23331.333333333321</c:v>
                </c:pt>
                <c:pt idx="37">
                  <c:v>24336</c:v>
                </c:pt>
                <c:pt idx="38">
                  <c:v>25216.333333333321</c:v>
                </c:pt>
                <c:pt idx="39">
                  <c:v>25755.333333333321</c:v>
                </c:pt>
                <c:pt idx="40">
                  <c:v>26913</c:v>
                </c:pt>
                <c:pt idx="41">
                  <c:v>28064.666666666661</c:v>
                </c:pt>
                <c:pt idx="42">
                  <c:v>29494.666666666661</c:v>
                </c:pt>
                <c:pt idx="43">
                  <c:v>29969.666666666661</c:v>
                </c:pt>
                <c:pt idx="44">
                  <c:v>29078.666666666661</c:v>
                </c:pt>
                <c:pt idx="45">
                  <c:v>27812.333333333321</c:v>
                </c:pt>
                <c:pt idx="46">
                  <c:v>26281</c:v>
                </c:pt>
                <c:pt idx="47">
                  <c:v>25029.333333333321</c:v>
                </c:pt>
                <c:pt idx="48">
                  <c:v>23788</c:v>
                </c:pt>
                <c:pt idx="49">
                  <c:v>22761</c:v>
                </c:pt>
                <c:pt idx="50">
                  <c:v>22436.666666666661</c:v>
                </c:pt>
                <c:pt idx="51">
                  <c:v>21974</c:v>
                </c:pt>
                <c:pt idx="52">
                  <c:v>21475</c:v>
                </c:pt>
                <c:pt idx="53">
                  <c:v>20728.666666666661</c:v>
                </c:pt>
                <c:pt idx="54">
                  <c:v>20634.666666666661</c:v>
                </c:pt>
                <c:pt idx="55">
                  <c:v>20587.333333333321</c:v>
                </c:pt>
                <c:pt idx="56">
                  <c:v>20978.333333333321</c:v>
                </c:pt>
                <c:pt idx="57">
                  <c:v>20857.666666666661</c:v>
                </c:pt>
                <c:pt idx="58">
                  <c:v>20641.333333333321</c:v>
                </c:pt>
                <c:pt idx="59">
                  <c:v>19668.333333333321</c:v>
                </c:pt>
                <c:pt idx="60">
                  <c:v>19324.333333333321</c:v>
                </c:pt>
                <c:pt idx="61">
                  <c:v>19386</c:v>
                </c:pt>
              </c:numCache>
            </c:numRef>
          </c:val>
          <c:extLst xmlns:c16r2="http://schemas.microsoft.com/office/drawing/2015/06/chart">
            <c:ext xmlns:c16="http://schemas.microsoft.com/office/drawing/2014/chart" uri="{C3380CC4-5D6E-409C-BE32-E72D297353CC}">
              <c16:uniqueId val="{00000004-1D8F-4219-AED8-F479F61111D7}"/>
            </c:ext>
          </c:extLst>
        </c:ser>
        <c:marker val="1"/>
        <c:axId val="164699136"/>
        <c:axId val="164783232"/>
      </c:lineChart>
      <c:catAx>
        <c:axId val="164699136"/>
        <c:scaling>
          <c:orientation val="minMax"/>
        </c:scaling>
        <c:axPos val="b"/>
        <c:majorGridlines>
          <c:spPr>
            <a:ln w="6350" cap="flat" cmpd="sng" algn="ctr">
              <a:solidFill>
                <a:srgbClr val="FFFFFF"/>
              </a:solidFill>
              <a:prstDash val="solid"/>
              <a:round/>
              <a:headEnd type="none" w="med" len="med"/>
              <a:tailEnd type="none" w="med" len="med"/>
            </a:ln>
            <a:effectLst/>
          </c:spPr>
        </c:majorGridlines>
        <c:numFmt formatCode="General" sourceLinked="1"/>
        <c:maj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sz="1000" b="1" i="0" u="none" strike="noStrike" kern="1200" baseline="0">
                <a:solidFill>
                  <a:srgbClr val="000000"/>
                </a:solidFill>
                <a:latin typeface="Arial Narrow"/>
                <a:ea typeface="Arial Narrow"/>
                <a:cs typeface="Arial Narrow"/>
              </a:defRPr>
            </a:pPr>
            <a:endParaRPr lang="it-IT"/>
          </a:p>
        </c:txPr>
        <c:crossAx val="164783232"/>
        <c:crosses val="autoZero"/>
        <c:auto val="1"/>
        <c:lblAlgn val="ctr"/>
        <c:lblOffset val="0"/>
        <c:tickMarkSkip val="3"/>
      </c:catAx>
      <c:valAx>
        <c:axId val="164783232"/>
        <c:scaling>
          <c:orientation val="minMax"/>
          <c:max val="32000"/>
          <c:min val="8000"/>
        </c:scaling>
        <c:axPos val="l"/>
        <c:majorGridlines>
          <c:spPr>
            <a:ln w="9525" cap="flat" cmpd="sng" algn="ctr">
              <a:solidFill>
                <a:srgbClr val="FFFFFF">
                  <a:lumMod val="100000"/>
                </a:srgbClr>
              </a:solidFill>
              <a:round/>
            </a:ln>
            <a:effectLst/>
          </c:spPr>
        </c:majorGridlines>
        <c:numFmt formatCode="0" sourceLinked="1"/>
        <c:majorTickMark val="none"/>
        <c:tickLblPos val="nextTo"/>
        <c:spPr>
          <a:noFill/>
          <a:ln>
            <a:noFill/>
          </a:ln>
          <a:effectLst/>
          <a:extLst>
            <a:ext uri="{91240B29-F687-4F45-9708-019B960494DF}">
              <a14:hiddenLine xmlns="" xmlns:r="http://schemas.openxmlformats.org/officeDocument/2006/relationships" xmlns:c16r2="http://schemas.microsoft.com/office/drawing/2015/06/chart" xmlns:a14="http://schemas.microsoft.com/office/drawing/2010/main">
                <a:noFill/>
              </a14:hiddenLine>
            </a:ext>
          </a:extLst>
        </c:spPr>
        <c:txPr>
          <a:bodyPr rot="-60000000" spcFirstLastPara="1" vertOverflow="ellipsis" vert="horz" wrap="square" anchor="ctr" anchorCtr="1"/>
          <a:lstStyle/>
          <a:p>
            <a:pPr>
              <a:defRPr sz="900" b="0" i="0" u="none" strike="noStrike" kern="1200" baseline="0">
                <a:solidFill>
                  <a:srgbClr val="000000"/>
                </a:solidFill>
                <a:latin typeface="Arial Narrow"/>
                <a:ea typeface="Arial Narrow"/>
                <a:cs typeface="Arial Narrow"/>
              </a:defRPr>
            </a:pPr>
            <a:endParaRPr lang="it-IT"/>
          </a:p>
        </c:txPr>
        <c:crossAx val="164699136"/>
        <c:crosses val="autoZero"/>
        <c:crossBetween val="between"/>
        <c:majorUnit val="3000"/>
        <c:dispUnits>
          <c:builtInUnit val="thousands"/>
        </c:dispUnits>
      </c:valAx>
      <c:valAx>
        <c:axId val="165135872"/>
        <c:scaling>
          <c:orientation val="minMax"/>
          <c:max val="10000"/>
          <c:min val="-10000"/>
        </c:scaling>
        <c:axPos val="r"/>
        <c:numFmt formatCode="0" sourceLinked="0"/>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Arial Narrow"/>
                <a:ea typeface="Arial Narrow"/>
                <a:cs typeface="Arial Narrow"/>
              </a:defRPr>
            </a:pPr>
            <a:endParaRPr lang="it-IT"/>
          </a:p>
        </c:txPr>
        <c:crossAx val="183534336"/>
        <c:crosses val="max"/>
        <c:crossBetween val="between"/>
        <c:majorUnit val="2000"/>
        <c:dispUnits>
          <c:builtInUnit val="thousands"/>
        </c:dispUnits>
      </c:valAx>
      <c:catAx>
        <c:axId val="183534336"/>
        <c:scaling>
          <c:orientation val="minMax"/>
        </c:scaling>
        <c:delete val="1"/>
        <c:axPos val="b"/>
        <c:majorGridlines>
          <c:spPr>
            <a:ln w="15875" cap="flat" cmpd="sng" algn="ctr">
              <a:solidFill>
                <a:schemeClr val="bg1"/>
              </a:solidFill>
              <a:round/>
            </a:ln>
            <a:effectLst/>
          </c:spPr>
        </c:majorGridlines>
        <c:tickLblPos val="nextTo"/>
        <c:crossAx val="165135872"/>
        <c:crossesAt val="0"/>
        <c:auto val="1"/>
        <c:lblAlgn val="ctr"/>
        <c:lblOffset val="100"/>
        <c:tickMarkSkip val="12"/>
      </c:catAx>
      <c:spPr>
        <a:solidFill>
          <a:srgbClr val="DDDDDD"/>
        </a:solidFill>
        <a:ln w="9525" cap="flat" cmpd="sng" algn="ctr">
          <a:solidFill>
            <a:schemeClr val="bg1"/>
          </a:solidFill>
          <a:prstDash val="solid"/>
          <a:round/>
          <a:headEnd type="none" w="med" len="med"/>
          <a:tailEnd type="none" w="med" len="med"/>
        </a:ln>
        <a:effectLst/>
      </c:spPr>
    </c:plotArea>
    <c:legend>
      <c:legendPos val="t"/>
      <c:layout>
        <c:manualLayout>
          <c:xMode val="edge"/>
          <c:yMode val="edge"/>
          <c:x val="5.0000000000000017E-2"/>
          <c:y val="1.5679012345679012E-2"/>
          <c:w val="0.9"/>
          <c:h val="6.3061419753086434E-2"/>
        </c:manualLayout>
      </c:layout>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Arial Narrow"/>
              <a:ea typeface="Arial Narrow"/>
              <a:cs typeface="Arial Narrow"/>
            </a:defRPr>
          </a:pPr>
          <a:endParaRPr lang="it-IT"/>
        </a:p>
      </c:txPr>
    </c:legend>
    <c:plotVisOnly val="1"/>
    <c:dispBlanksAs val="gap"/>
  </c:chart>
  <c:spPr>
    <a:solidFill>
      <a:srgbClr val="DDDDDD"/>
    </a:solidFill>
    <a:ln w="9525" cap="flat" cmpd="sng" algn="ctr">
      <a:noFill/>
      <a:round/>
    </a:ln>
    <a:effectLst/>
    <a:extLst>
      <a:ext uri="{91240B29-F687-4F45-9708-019B960494DF}">
        <a14:hiddenLine xmlns="" xmlns:r="http://schemas.openxmlformats.org/officeDocument/2006/relationships" xmlns:c16r2="http://schemas.microsoft.com/office/drawing/2015/06/chart" xmlns:a14="http://schemas.microsoft.com/office/drawing/2010/main" w="9525" cap="flat" cmpd="sng" algn="ctr">
          <a:solidFill>
            <a:sysClr val="windowText" lastClr="000000">
              <a:lumMod val="15000"/>
              <a:lumOff val="85000"/>
            </a:sysClr>
          </a:solidFill>
          <a:round/>
        </a14:hiddenLine>
      </a:ext>
    </a:extLst>
  </c:spPr>
  <c:txPr>
    <a:bodyPr/>
    <a:lstStyle/>
    <a:p>
      <a:pPr>
        <a:defRPr sz="900">
          <a:solidFill>
            <a:srgbClr val="000000"/>
          </a:solidFill>
          <a:latin typeface="Arial Narrow"/>
          <a:ea typeface="Arial Narrow"/>
          <a:cs typeface="Arial Narrow"/>
        </a:defRPr>
      </a:pPr>
      <a:endParaRPr lang="it-IT"/>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t-IT"/>
  <c:chart>
    <c:autoTitleDeleted val="1"/>
    <c:plotArea>
      <c:layout>
        <c:manualLayout>
          <c:layoutTarget val="inner"/>
          <c:xMode val="edge"/>
          <c:yMode val="edge"/>
          <c:x val="5.9183694927270707E-2"/>
          <c:y val="0.11324074074074077"/>
          <c:w val="0.89221035935087312"/>
          <c:h val="0.79182222222222221"/>
        </c:manualLayout>
      </c:layout>
      <c:lineChart>
        <c:grouping val="standard"/>
        <c:ser>
          <c:idx val="0"/>
          <c:order val="0"/>
          <c:tx>
            <c:strRef>
              <c:f>'[coe_extraue_32024.xlsx]Figura 2'!$F$4</c:f>
              <c:strCache>
                <c:ptCount val="1"/>
                <c:pt idx="0">
                  <c:v>Export</c:v>
                </c:pt>
              </c:strCache>
            </c:strRef>
          </c:tx>
          <c:spPr>
            <a:ln w="28575" cap="rnd">
              <a:solidFill>
                <a:srgbClr val="191B6D"/>
              </a:solidFill>
              <a:round/>
            </a:ln>
            <a:effectLst/>
          </c:spPr>
          <c:marker>
            <c:symbol val="none"/>
          </c:marker>
          <c:cat>
            <c:numRef>
              <c:f>'[coe_extraue_32024.xlsx]Figura 2'!$B$101:$B$160</c:f>
              <c:numCache>
                <c:formatCode>General</c:formatCode>
                <c:ptCount val="60"/>
                <c:pt idx="5">
                  <c:v>2020</c:v>
                </c:pt>
                <c:pt idx="17">
                  <c:v>2021</c:v>
                </c:pt>
                <c:pt idx="29">
                  <c:v>2022</c:v>
                </c:pt>
                <c:pt idx="41">
                  <c:v>2023</c:v>
                </c:pt>
                <c:pt idx="53">
                  <c:v>2024</c:v>
                </c:pt>
              </c:numCache>
            </c:numRef>
          </c:cat>
          <c:val>
            <c:numRef>
              <c:f>'[coe_extraue_32024.xlsx]Figura 2'!$F$101:$F$160</c:f>
              <c:numCache>
                <c:formatCode>0.0</c:formatCode>
                <c:ptCount val="60"/>
                <c:pt idx="0">
                  <c:v>3.8658239626795821</c:v>
                </c:pt>
                <c:pt idx="1">
                  <c:v>5.8587180972453394</c:v>
                </c:pt>
                <c:pt idx="2">
                  <c:v>-14.929446814390223</c:v>
                </c:pt>
                <c:pt idx="3">
                  <c:v>-44.239127429985679</c:v>
                </c:pt>
                <c:pt idx="4">
                  <c:v>-31.300789433710872</c:v>
                </c:pt>
                <c:pt idx="5">
                  <c:v>-14.848893412894533</c:v>
                </c:pt>
                <c:pt idx="6">
                  <c:v>-8.1399165401759976</c:v>
                </c:pt>
                <c:pt idx="7">
                  <c:v>-9.6571792060637041</c:v>
                </c:pt>
                <c:pt idx="8">
                  <c:v>2.9196267013243959</c:v>
                </c:pt>
                <c:pt idx="9">
                  <c:v>-9.7218764977904328</c:v>
                </c:pt>
                <c:pt idx="10">
                  <c:v>1.976493436396987</c:v>
                </c:pt>
                <c:pt idx="11">
                  <c:v>4.0022126239266154</c:v>
                </c:pt>
                <c:pt idx="12">
                  <c:v>-12.853373612774089</c:v>
                </c:pt>
                <c:pt idx="13">
                  <c:v>-7.2655640228326286</c:v>
                </c:pt>
                <c:pt idx="14">
                  <c:v>23.196234809580211</c:v>
                </c:pt>
                <c:pt idx="15">
                  <c:v>104.37710606729271</c:v>
                </c:pt>
                <c:pt idx="16">
                  <c:v>43.707077384998151</c:v>
                </c:pt>
                <c:pt idx="17">
                  <c:v>23.152851917854672</c:v>
                </c:pt>
                <c:pt idx="18">
                  <c:v>17.180581305768289</c:v>
                </c:pt>
                <c:pt idx="19">
                  <c:v>15.465848340812265</c:v>
                </c:pt>
                <c:pt idx="20">
                  <c:v>5.0379008053023764</c:v>
                </c:pt>
                <c:pt idx="21">
                  <c:v>3.9795764145832617</c:v>
                </c:pt>
                <c:pt idx="22">
                  <c:v>13.212633212415126</c:v>
                </c:pt>
                <c:pt idx="23">
                  <c:v>12.477295681206702</c:v>
                </c:pt>
                <c:pt idx="24">
                  <c:v>19.11553981473196</c:v>
                </c:pt>
                <c:pt idx="25">
                  <c:v>21.115268511101704</c:v>
                </c:pt>
                <c:pt idx="26">
                  <c:v>22.181031890337984</c:v>
                </c:pt>
                <c:pt idx="27">
                  <c:v>11.869110368838403</c:v>
                </c:pt>
                <c:pt idx="28">
                  <c:v>26.21100112464773</c:v>
                </c:pt>
                <c:pt idx="29">
                  <c:v>21.287471244995498</c:v>
                </c:pt>
                <c:pt idx="30">
                  <c:v>14.753633350693086</c:v>
                </c:pt>
                <c:pt idx="31">
                  <c:v>22.82457177834619</c:v>
                </c:pt>
                <c:pt idx="32">
                  <c:v>27.062749675621994</c:v>
                </c:pt>
                <c:pt idx="33">
                  <c:v>16.614233350596155</c:v>
                </c:pt>
                <c:pt idx="34">
                  <c:v>22.376338365363651</c:v>
                </c:pt>
                <c:pt idx="35">
                  <c:v>18.112931076634545</c:v>
                </c:pt>
                <c:pt idx="36">
                  <c:v>20.715894032630324</c:v>
                </c:pt>
                <c:pt idx="37">
                  <c:v>17.476739801765586</c:v>
                </c:pt>
                <c:pt idx="38">
                  <c:v>6.9204923178351363</c:v>
                </c:pt>
                <c:pt idx="39">
                  <c:v>-4.8786357904551334</c:v>
                </c:pt>
                <c:pt idx="40">
                  <c:v>4.07715411605691</c:v>
                </c:pt>
                <c:pt idx="41">
                  <c:v>2.9557845999495398</c:v>
                </c:pt>
                <c:pt idx="42">
                  <c:v>-7.0443824755166196</c:v>
                </c:pt>
                <c:pt idx="43">
                  <c:v>8.4380969577452696</c:v>
                </c:pt>
                <c:pt idx="44">
                  <c:v>-6.8943835027609133</c:v>
                </c:pt>
                <c:pt idx="45">
                  <c:v>9.3508022544158518</c:v>
                </c:pt>
                <c:pt idx="46">
                  <c:v>-3.4437492783893306</c:v>
                </c:pt>
                <c:pt idx="47">
                  <c:v>-6.9805549713957102</c:v>
                </c:pt>
                <c:pt idx="48">
                  <c:v>-0.4228759581289655</c:v>
                </c:pt>
                <c:pt idx="49">
                  <c:v>2.8085396352524272</c:v>
                </c:pt>
                <c:pt idx="50">
                  <c:v>-5.7083241246815088</c:v>
                </c:pt>
              </c:numCache>
            </c:numRef>
          </c:val>
          <c:extLst xmlns:c16r2="http://schemas.microsoft.com/office/drawing/2015/06/chart">
            <c:ext xmlns:c16="http://schemas.microsoft.com/office/drawing/2014/chart" uri="{C3380CC4-5D6E-409C-BE32-E72D297353CC}">
              <c16:uniqueId val="{00000000-0C58-451C-B825-F238EDBAD301}"/>
            </c:ext>
          </c:extLst>
        </c:ser>
        <c:ser>
          <c:idx val="1"/>
          <c:order val="1"/>
          <c:tx>
            <c:strRef>
              <c:f>'[coe_extraue_32024.xlsx]Figura 2'!$G$4</c:f>
              <c:strCache>
                <c:ptCount val="1"/>
                <c:pt idx="0">
                  <c:v>Import</c:v>
                </c:pt>
              </c:strCache>
            </c:strRef>
          </c:tx>
          <c:spPr>
            <a:ln w="25400" cap="rnd">
              <a:solidFill>
                <a:srgbClr val="D22630"/>
              </a:solidFill>
              <a:round/>
            </a:ln>
            <a:effectLst/>
          </c:spPr>
          <c:marker>
            <c:symbol val="none"/>
          </c:marker>
          <c:cat>
            <c:numRef>
              <c:f>'[coe_extraue_32024.xlsx]Figura 2'!$B$101:$B$160</c:f>
              <c:numCache>
                <c:formatCode>General</c:formatCode>
                <c:ptCount val="60"/>
                <c:pt idx="5">
                  <c:v>2020</c:v>
                </c:pt>
                <c:pt idx="17">
                  <c:v>2021</c:v>
                </c:pt>
                <c:pt idx="29">
                  <c:v>2022</c:v>
                </c:pt>
                <c:pt idx="41">
                  <c:v>2023</c:v>
                </c:pt>
                <c:pt idx="53">
                  <c:v>2024</c:v>
                </c:pt>
              </c:numCache>
            </c:numRef>
          </c:cat>
          <c:val>
            <c:numRef>
              <c:f>'[coe_extraue_32024.xlsx]Figura 2'!$G$101:$G$160</c:f>
              <c:numCache>
                <c:formatCode>0.0</c:formatCode>
                <c:ptCount val="60"/>
                <c:pt idx="0">
                  <c:v>1.7247626228211739</c:v>
                </c:pt>
                <c:pt idx="1">
                  <c:v>-3.6046606351410206</c:v>
                </c:pt>
                <c:pt idx="2">
                  <c:v>-20.559123097327753</c:v>
                </c:pt>
                <c:pt idx="3">
                  <c:v>-32.490922090320787</c:v>
                </c:pt>
                <c:pt idx="4">
                  <c:v>-37.184184768752623</c:v>
                </c:pt>
                <c:pt idx="5">
                  <c:v>-17.189715951347598</c:v>
                </c:pt>
                <c:pt idx="6">
                  <c:v>-16.944493728968304</c:v>
                </c:pt>
                <c:pt idx="7">
                  <c:v>-15.713436156043873</c:v>
                </c:pt>
                <c:pt idx="8">
                  <c:v>-11.941219925591122</c:v>
                </c:pt>
                <c:pt idx="9">
                  <c:v>-11.41316265329062</c:v>
                </c:pt>
                <c:pt idx="10">
                  <c:v>-5.6335575097105384</c:v>
                </c:pt>
                <c:pt idx="11">
                  <c:v>-2.8363674970368948</c:v>
                </c:pt>
                <c:pt idx="12">
                  <c:v>-17.539843000177502</c:v>
                </c:pt>
                <c:pt idx="13">
                  <c:v>-2.5469590966528233</c:v>
                </c:pt>
                <c:pt idx="14">
                  <c:v>35.191634289789285</c:v>
                </c:pt>
                <c:pt idx="15">
                  <c:v>56.719774856433226</c:v>
                </c:pt>
                <c:pt idx="16">
                  <c:v>55.865728341956455</c:v>
                </c:pt>
                <c:pt idx="17">
                  <c:v>32.796660504811832</c:v>
                </c:pt>
                <c:pt idx="18">
                  <c:v>28.127302277322467</c:v>
                </c:pt>
                <c:pt idx="19">
                  <c:v>47.183519620310086</c:v>
                </c:pt>
                <c:pt idx="20">
                  <c:v>39.867624177578108</c:v>
                </c:pt>
                <c:pt idx="21">
                  <c:v>41.657349522390071</c:v>
                </c:pt>
                <c:pt idx="22">
                  <c:v>51.4318087922099</c:v>
                </c:pt>
                <c:pt idx="23">
                  <c:v>65.264343961331591</c:v>
                </c:pt>
                <c:pt idx="24">
                  <c:v>72.129696364711819</c:v>
                </c:pt>
                <c:pt idx="25">
                  <c:v>65.721363042512294</c:v>
                </c:pt>
                <c:pt idx="26">
                  <c:v>61.375924728392228</c:v>
                </c:pt>
                <c:pt idx="27">
                  <c:v>60.40038718354009</c:v>
                </c:pt>
                <c:pt idx="28">
                  <c:v>62.752978882162729</c:v>
                </c:pt>
                <c:pt idx="29">
                  <c:v>72.208212927961711</c:v>
                </c:pt>
                <c:pt idx="30">
                  <c:v>69.040515941356787</c:v>
                </c:pt>
                <c:pt idx="31">
                  <c:v>77.658267210557398</c:v>
                </c:pt>
                <c:pt idx="32">
                  <c:v>59.443272449880858</c:v>
                </c:pt>
                <c:pt idx="33">
                  <c:v>38.953215468823856</c:v>
                </c:pt>
                <c:pt idx="34">
                  <c:v>27.455250726456878</c:v>
                </c:pt>
                <c:pt idx="35">
                  <c:v>11.573217298992748</c:v>
                </c:pt>
                <c:pt idx="36">
                  <c:v>-0.85596485680599099</c:v>
                </c:pt>
                <c:pt idx="37">
                  <c:v>-6.5972010795329217</c:v>
                </c:pt>
                <c:pt idx="38">
                  <c:v>-12.03853220435982</c:v>
                </c:pt>
                <c:pt idx="39">
                  <c:v>-19.48965960472507</c:v>
                </c:pt>
                <c:pt idx="40">
                  <c:v>-13.91071708485031</c:v>
                </c:pt>
                <c:pt idx="41">
                  <c:v>-26.321715104787092</c:v>
                </c:pt>
                <c:pt idx="42">
                  <c:v>-31.795090797107882</c:v>
                </c:pt>
                <c:pt idx="43">
                  <c:v>-32.674377075562347</c:v>
                </c:pt>
                <c:pt idx="44">
                  <c:v>-32.392720752132185</c:v>
                </c:pt>
                <c:pt idx="45">
                  <c:v>-18.611722778155286</c:v>
                </c:pt>
                <c:pt idx="46">
                  <c:v>-20.732660765221226</c:v>
                </c:pt>
                <c:pt idx="47">
                  <c:v>-26.66549092685694</c:v>
                </c:pt>
                <c:pt idx="48">
                  <c:v>-19.300410099651046</c:v>
                </c:pt>
                <c:pt idx="49">
                  <c:v>-10.320930971711062</c:v>
                </c:pt>
                <c:pt idx="50">
                  <c:v>-12.841829062871991</c:v>
                </c:pt>
              </c:numCache>
            </c:numRef>
          </c:val>
          <c:extLst xmlns:c16r2="http://schemas.microsoft.com/office/drawing/2015/06/chart">
            <c:ext xmlns:c16="http://schemas.microsoft.com/office/drawing/2014/chart" uri="{C3380CC4-5D6E-409C-BE32-E72D297353CC}">
              <c16:uniqueId val="{00000001-0C58-451C-B825-F238EDBAD301}"/>
            </c:ext>
          </c:extLst>
        </c:ser>
        <c:marker val="1"/>
        <c:axId val="183740672"/>
        <c:axId val="129040384"/>
      </c:lineChart>
      <c:lineChart>
        <c:grouping val="standard"/>
        <c:ser>
          <c:idx val="2"/>
          <c:order val="2"/>
          <c:spPr>
            <a:ln w="28575" cap="rnd">
              <a:solidFill>
                <a:srgbClr val="FFFFFF"/>
              </a:solidFill>
              <a:round/>
            </a:ln>
            <a:effectLst/>
          </c:spPr>
          <c:marker>
            <c:symbol val="none"/>
          </c:marker>
          <c:cat>
            <c:numLit>
              <c:formatCode>General</c:formatCode>
              <c:ptCount val="60"/>
              <c:pt idx="0">
                <c:v>0</c:v>
              </c:pt>
              <c:pt idx="1">
                <c:v>0</c:v>
              </c:pt>
              <c:pt idx="2">
                <c:v>0</c:v>
              </c:pt>
              <c:pt idx="3">
                <c:v>0</c:v>
              </c:pt>
              <c:pt idx="4">
                <c:v>0</c:v>
              </c:pt>
              <c:pt idx="5">
                <c:v>2013</c:v>
              </c:pt>
              <c:pt idx="6">
                <c:v>0</c:v>
              </c:pt>
              <c:pt idx="7">
                <c:v>0</c:v>
              </c:pt>
              <c:pt idx="8">
                <c:v>0</c:v>
              </c:pt>
              <c:pt idx="9">
                <c:v>0</c:v>
              </c:pt>
              <c:pt idx="10">
                <c:v>0</c:v>
              </c:pt>
              <c:pt idx="11">
                <c:v>0</c:v>
              </c:pt>
              <c:pt idx="12">
                <c:v>0</c:v>
              </c:pt>
              <c:pt idx="13">
                <c:v>0</c:v>
              </c:pt>
              <c:pt idx="14">
                <c:v>0</c:v>
              </c:pt>
              <c:pt idx="15">
                <c:v>0</c:v>
              </c:pt>
              <c:pt idx="16">
                <c:v>0</c:v>
              </c:pt>
              <c:pt idx="17">
                <c:v>2014</c:v>
              </c:pt>
              <c:pt idx="18">
                <c:v>0</c:v>
              </c:pt>
              <c:pt idx="19">
                <c:v>0</c:v>
              </c:pt>
              <c:pt idx="20">
                <c:v>0</c:v>
              </c:pt>
              <c:pt idx="21">
                <c:v>0</c:v>
              </c:pt>
              <c:pt idx="22">
                <c:v>0</c:v>
              </c:pt>
              <c:pt idx="23">
                <c:v>0</c:v>
              </c:pt>
              <c:pt idx="24">
                <c:v>0</c:v>
              </c:pt>
              <c:pt idx="25">
                <c:v>0</c:v>
              </c:pt>
              <c:pt idx="26">
                <c:v>0</c:v>
              </c:pt>
              <c:pt idx="27">
                <c:v>0</c:v>
              </c:pt>
              <c:pt idx="28">
                <c:v>0</c:v>
              </c:pt>
              <c:pt idx="29">
                <c:v>2015</c:v>
              </c:pt>
              <c:pt idx="30">
                <c:v>0</c:v>
              </c:pt>
              <c:pt idx="31">
                <c:v>0</c:v>
              </c:pt>
              <c:pt idx="32">
                <c:v>0</c:v>
              </c:pt>
              <c:pt idx="33">
                <c:v>0</c:v>
              </c:pt>
              <c:pt idx="34">
                <c:v>0</c:v>
              </c:pt>
              <c:pt idx="35">
                <c:v>0</c:v>
              </c:pt>
              <c:pt idx="36">
                <c:v>0</c:v>
              </c:pt>
              <c:pt idx="37">
                <c:v>0</c:v>
              </c:pt>
              <c:pt idx="38">
                <c:v>0</c:v>
              </c:pt>
              <c:pt idx="39">
                <c:v>0</c:v>
              </c:pt>
              <c:pt idx="40">
                <c:v>0</c:v>
              </c:pt>
              <c:pt idx="41">
                <c:v>2016</c:v>
              </c:pt>
              <c:pt idx="42">
                <c:v>0</c:v>
              </c:pt>
              <c:pt idx="43">
                <c:v>0</c:v>
              </c:pt>
              <c:pt idx="44">
                <c:v>0</c:v>
              </c:pt>
              <c:pt idx="45">
                <c:v>0</c:v>
              </c:pt>
              <c:pt idx="46">
                <c:v>0</c:v>
              </c:pt>
              <c:pt idx="47">
                <c:v>0</c:v>
              </c:pt>
              <c:pt idx="48">
                <c:v>0</c:v>
              </c:pt>
              <c:pt idx="49">
                <c:v>0</c:v>
              </c:pt>
              <c:pt idx="50">
                <c:v>0</c:v>
              </c:pt>
              <c:pt idx="51">
                <c:v>0</c:v>
              </c:pt>
              <c:pt idx="52">
                <c:v>0</c:v>
              </c:pt>
              <c:pt idx="53">
                <c:v>2017</c:v>
              </c:pt>
              <c:pt idx="54">
                <c:v>0</c:v>
              </c:pt>
              <c:pt idx="55">
                <c:v>0</c:v>
              </c:pt>
              <c:pt idx="56">
                <c:v>0</c:v>
              </c:pt>
              <c:pt idx="57">
                <c:v>0</c:v>
              </c:pt>
              <c:pt idx="59">
                <c:v>0</c:v>
              </c:pt>
            </c:numLit>
          </c:cat>
          <c:val>
            <c:numLit>
              <c:formatCode>General</c:formatCode>
              <c:ptCount val="60"/>
            </c:numLit>
          </c:val>
          <c:extLst xmlns:c16r2="http://schemas.microsoft.com/office/drawing/2015/06/chart">
            <c:ext xmlns:c16="http://schemas.microsoft.com/office/drawing/2014/chart" uri="{C3380CC4-5D6E-409C-BE32-E72D297353CC}">
              <c16:uniqueId val="{00000002-0C58-451C-B825-F238EDBAD301}"/>
            </c:ext>
          </c:extLst>
        </c:ser>
        <c:marker val="1"/>
        <c:axId val="129043840"/>
        <c:axId val="129042304"/>
      </c:lineChart>
      <c:catAx>
        <c:axId val="183740672"/>
        <c:scaling>
          <c:orientation val="minMax"/>
        </c:scaling>
        <c:axPos val="b"/>
        <c:majorGridlines>
          <c:spPr>
            <a:ln w="6350" cap="flat" cmpd="sng" algn="ctr">
              <a:solidFill>
                <a:srgbClr val="A6A6A6"/>
              </a:solidFill>
              <a:prstDash val="sysDash"/>
              <a:round/>
              <a:headEnd type="none" w="med" len="med"/>
              <a:tailEnd type="none" w="med" len="med"/>
            </a:ln>
            <a:effectLst/>
          </c:spPr>
        </c:majorGridlines>
        <c:numFmt formatCode="General" sourceLinked="1"/>
        <c:majorTickMark val="none"/>
        <c:tickLblPos val="low"/>
        <c:spPr>
          <a:noFill/>
          <a:ln w="9525" cap="flat" cmpd="sng" algn="ctr">
            <a:solidFill>
              <a:schemeClr val="tx1"/>
            </a:solidFill>
            <a:round/>
          </a:ln>
          <a:effectLst/>
          <a:extLst/>
        </c:spPr>
        <c:txPr>
          <a:bodyPr rot="-60000000" spcFirstLastPara="1" vertOverflow="ellipsis" vert="horz" wrap="square" anchor="ctr" anchorCtr="1"/>
          <a:lstStyle/>
          <a:p>
            <a:pPr>
              <a:defRPr sz="1000" b="1" i="0" u="none" strike="noStrike" kern="1200" baseline="0">
                <a:solidFill>
                  <a:srgbClr val="000000"/>
                </a:solidFill>
                <a:latin typeface="Arial Narrow" panose="020B0606020202030204" pitchFamily="34" charset="0"/>
                <a:ea typeface="+mn-ea"/>
                <a:cs typeface="+mn-cs"/>
              </a:defRPr>
            </a:pPr>
            <a:endParaRPr lang="it-IT"/>
          </a:p>
        </c:txPr>
        <c:crossAx val="129040384"/>
        <c:crosses val="autoZero"/>
        <c:auto val="1"/>
        <c:lblAlgn val="l"/>
        <c:lblOffset val="0"/>
        <c:tickMarkSkip val="3"/>
      </c:catAx>
      <c:valAx>
        <c:axId val="129040384"/>
        <c:scaling>
          <c:orientation val="minMax"/>
          <c:max val="120"/>
          <c:min val="-60"/>
        </c:scaling>
        <c:axPos val="l"/>
        <c:majorGridlines>
          <c:spPr>
            <a:ln w="6350" cap="flat" cmpd="sng" algn="ctr">
              <a:solidFill>
                <a:srgbClr val="A6A6A6"/>
              </a:solidFill>
              <a:prstDash val="sysDash"/>
              <a:round/>
              <a:headEnd type="none" w="med" len="med"/>
              <a:tailEnd type="none" w="med" len="med"/>
            </a:ln>
            <a:effectLst/>
          </c:spPr>
        </c:majorGridlines>
        <c:title>
          <c:tx>
            <c:rich>
              <a:bodyPr rot="0" spcFirstLastPara="1" vertOverflow="ellipsis" wrap="square" anchor="ctr" anchorCtr="1"/>
              <a:lstStyle/>
              <a:p>
                <a:pPr>
                  <a:defRPr sz="900" b="0" i="0" u="none" strike="noStrike" kern="1200" baseline="0">
                    <a:solidFill>
                      <a:srgbClr val="000000"/>
                    </a:solidFill>
                    <a:latin typeface="Arial Narrow" panose="020B0606020202030204" pitchFamily="34" charset="0"/>
                    <a:ea typeface="+mn-ea"/>
                    <a:cs typeface="+mn-cs"/>
                  </a:defRPr>
                </a:pPr>
                <a:r>
                  <a:rPr lang="it-IT"/>
                  <a:t>%</a:t>
                </a:r>
              </a:p>
            </c:rich>
          </c:tx>
          <c:layout>
            <c:manualLayout>
              <c:xMode val="edge"/>
              <c:yMode val="edge"/>
              <c:x val="2.2965615615615626E-2"/>
              <c:y val="5.0319444444444483E-3"/>
            </c:manualLayout>
          </c:layout>
          <c:spPr>
            <a:noFill/>
            <a:ln>
              <a:noFill/>
            </a:ln>
            <a:effectLst/>
          </c:spPr>
        </c:title>
        <c:numFmt formatCode="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crossAx val="183740672"/>
        <c:crosses val="autoZero"/>
        <c:crossBetween val="between"/>
        <c:majorUnit val="30"/>
      </c:valAx>
      <c:valAx>
        <c:axId val="129042304"/>
        <c:scaling>
          <c:orientation val="minMax"/>
        </c:scaling>
        <c:delete val="1"/>
        <c:axPos val="r"/>
        <c:numFmt formatCode="General" sourceLinked="1"/>
        <c:tickLblPos val="nextTo"/>
        <c:crossAx val="129043840"/>
        <c:crosses val="max"/>
        <c:crossBetween val="between"/>
      </c:valAx>
      <c:catAx>
        <c:axId val="129043840"/>
        <c:scaling>
          <c:orientation val="minMax"/>
        </c:scaling>
        <c:delete val="1"/>
        <c:axPos val="t"/>
        <c:majorGridlines>
          <c:spPr>
            <a:ln w="15875" cap="flat" cmpd="sng" algn="ctr">
              <a:solidFill>
                <a:srgbClr val="A6A6A6"/>
              </a:solidFill>
              <a:prstDash val="solid"/>
              <a:round/>
              <a:headEnd type="none" w="med" len="med"/>
              <a:tailEnd type="none" w="med" len="med"/>
            </a:ln>
            <a:effectLst/>
          </c:spPr>
        </c:majorGridlines>
        <c:numFmt formatCode="General" sourceLinked="1"/>
        <c:tickLblPos val="nextTo"/>
        <c:crossAx val="129042304"/>
        <c:crosses val="max"/>
        <c:auto val="1"/>
        <c:lblAlgn val="ctr"/>
        <c:lblOffset val="100"/>
        <c:tickMarkSkip val="12"/>
      </c:catAx>
      <c:spPr>
        <a:solidFill>
          <a:srgbClr val="FFFFFF"/>
        </a:solidFill>
        <a:ln w="9525" cap="flat" cmpd="sng" algn="ctr">
          <a:solidFill>
            <a:schemeClr val="bg1">
              <a:lumMod val="85000"/>
            </a:schemeClr>
          </a:solidFill>
          <a:prstDash val="solid"/>
          <a:round/>
          <a:headEnd type="none" w="med" len="med"/>
          <a:tailEnd type="none" w="med" len="med"/>
        </a:ln>
        <a:effectLst/>
      </c:spPr>
    </c:plotArea>
    <c:legend>
      <c:legendPos val="t"/>
      <c:legendEntry>
        <c:idx val="2"/>
        <c:delete val="1"/>
      </c:legendEntry>
      <c:layout>
        <c:manualLayout>
          <c:xMode val="edge"/>
          <c:yMode val="edge"/>
          <c:x val="0.40577148384693484"/>
          <c:y val="0"/>
          <c:w val="0.20465482770961785"/>
          <c:h val="8.992949355873335E-2"/>
        </c:manualLayout>
      </c:layout>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legend>
    <c:plotVisOnly val="1"/>
    <c:dispBlanksAs val="gap"/>
  </c:chart>
  <c:spPr>
    <a:solidFill>
      <a:srgbClr val="FFFFFF"/>
    </a:solidFill>
    <a:ln w="6350" cap="flat" cmpd="sng" algn="ctr">
      <a:noFill/>
      <a:round/>
    </a:ln>
    <a:effectLst/>
  </c:spPr>
  <c:txPr>
    <a:bodyPr/>
    <a:lstStyle/>
    <a:p>
      <a:pPr>
        <a:defRPr sz="900">
          <a:solidFill>
            <a:srgbClr val="000000"/>
          </a:solidFill>
          <a:latin typeface="Arial Narrow" panose="020B0606020202030204" pitchFamily="34" charset="0"/>
        </a:defRPr>
      </a:pPr>
      <a:endParaRPr lang="it-IT"/>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t-IT"/>
  <c:chart>
    <c:autoTitleDeleted val="1"/>
    <c:plotArea>
      <c:layout>
        <c:manualLayout>
          <c:layoutTarget val="inner"/>
          <c:xMode val="edge"/>
          <c:yMode val="edge"/>
          <c:x val="5.3651591158394213E-2"/>
          <c:y val="0.12186898148148154"/>
          <c:w val="0.89947552894285965"/>
          <c:h val="0.600240277777778"/>
        </c:manualLayout>
      </c:layout>
      <c:barChart>
        <c:barDir val="col"/>
        <c:grouping val="clustered"/>
        <c:ser>
          <c:idx val="0"/>
          <c:order val="0"/>
          <c:tx>
            <c:strRef>
              <c:f>'Figura 3 - 4'!$D$35</c:f>
              <c:strCache>
                <c:ptCount val="1"/>
                <c:pt idx="0">
                  <c:v>Contributi alla variazione (punti percentuali - scala sinistra)</c:v>
                </c:pt>
              </c:strCache>
            </c:strRef>
          </c:tx>
          <c:spPr>
            <a:solidFill>
              <a:srgbClr val="003B5C"/>
            </a:solidFill>
            <a:ln w="9525" cap="flat" cmpd="sng" algn="ctr">
              <a:solidFill>
                <a:srgbClr val="FFFFFF"/>
              </a:solidFill>
              <a:prstDash val="solid"/>
              <a:round/>
              <a:headEnd type="none" w="med" len="med"/>
              <a:tailEnd type="none" w="med" len="med"/>
            </a:ln>
            <a:effectLst/>
          </c:spPr>
          <c:cat>
            <c:strRef>
              <c:f>'Figura 3 - 4'!$A$37:$A$45</c:f>
              <c:strCache>
                <c:ptCount val="9"/>
                <c:pt idx="0">
                  <c:v>Turchia</c:v>
                </c:pt>
                <c:pt idx="1">
                  <c:v>OPEC</c:v>
                </c:pt>
                <c:pt idx="2">
                  <c:v>Giappone</c:v>
                </c:pt>
                <c:pt idx="3">
                  <c:v>ASEAN</c:v>
                </c:pt>
                <c:pt idx="4">
                  <c:v>MERCOSUR</c:v>
                </c:pt>
                <c:pt idx="5">
                  <c:v>Svizzera</c:v>
                </c:pt>
                <c:pt idx="6">
                  <c:v>Regno Unito</c:v>
                </c:pt>
                <c:pt idx="7">
                  <c:v>Stati Uniti</c:v>
                </c:pt>
                <c:pt idx="8">
                  <c:v>Cina</c:v>
                </c:pt>
              </c:strCache>
              <c:extLst xmlns:c16r2="http://schemas.microsoft.com/office/drawing/2015/06/chart"/>
            </c:strRef>
          </c:cat>
          <c:val>
            <c:numRef>
              <c:f>'Figura 3 - 4'!$D$37:$D$45</c:f>
              <c:numCache>
                <c:formatCode>0.0</c:formatCode>
                <c:ptCount val="9"/>
                <c:pt idx="0">
                  <c:v>1.6988269328001899</c:v>
                </c:pt>
                <c:pt idx="1">
                  <c:v>0.38885868250202443</c:v>
                </c:pt>
                <c:pt idx="2">
                  <c:v>-0.15725010237871584</c:v>
                </c:pt>
                <c:pt idx="3">
                  <c:v>-0.25973666485228031</c:v>
                </c:pt>
                <c:pt idx="4">
                  <c:v>-0.3305340911935209</c:v>
                </c:pt>
                <c:pt idx="5">
                  <c:v>-1.1617885240255703</c:v>
                </c:pt>
                <c:pt idx="6">
                  <c:v>-1.2066459594171912</c:v>
                </c:pt>
                <c:pt idx="7">
                  <c:v>-1.4341588297926373</c:v>
                </c:pt>
                <c:pt idx="8">
                  <c:v>-1.6965693460376563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FF21-491F-A9FD-76CFD12F664C}"/>
            </c:ext>
          </c:extLst>
        </c:ser>
        <c:gapWidth val="0"/>
        <c:axId val="129079552"/>
        <c:axId val="129114112"/>
      </c:barChart>
      <c:lineChart>
        <c:grouping val="standard"/>
        <c:ser>
          <c:idx val="1"/>
          <c:order val="1"/>
          <c:tx>
            <c:strRef>
              <c:f>'Figura 3 - 4'!$B$35</c:f>
              <c:strCache>
                <c:ptCount val="1"/>
                <c:pt idx="0">
                  <c:v>Variazioni percentuali (scala destra)</c:v>
                </c:pt>
              </c:strCache>
            </c:strRef>
          </c:tx>
          <c:spPr>
            <a:ln w="25400" cap="rnd">
              <a:noFill/>
              <a:round/>
            </a:ln>
            <a:effectLst/>
            <a:extLst>
              <a:ext uri="{91240B29-F687-4F45-9708-019B960494DF}">
                <a14:hiddenLine xmlns="" xmlns:r="http://schemas.openxmlformats.org/officeDocument/2006/relationships" xmlns:c16r2="http://schemas.microsoft.com/office/drawing/2015/06/chart" xmlns:a14="http://schemas.microsoft.com/office/drawing/2010/main" w="9525" cap="flat" cmpd="sng" algn="ctr">
                  <a:solidFill>
                    <a:srgbClr val="FFFFFF"/>
                  </a:solidFill>
                  <a:prstDash val="solid"/>
                  <a:round/>
                  <a:headEnd type="none" w="med" len="med"/>
                  <a:tailEnd type="none" w="med" len="med"/>
                </a14:hiddenLine>
              </a:ext>
            </a:extLst>
          </c:spPr>
          <c:marker>
            <c:symbol val="diamond"/>
            <c:size val="6"/>
            <c:spPr>
              <a:solidFill>
                <a:srgbClr val="FFFFFF"/>
              </a:solidFill>
              <a:ln w="3175">
                <a:solidFill>
                  <a:srgbClr val="141E28"/>
                </a:solidFill>
                <a:prstDash val="solid"/>
              </a:ln>
              <a:effectLst/>
            </c:spPr>
          </c:marker>
          <c:dLbls>
            <c:dLbl>
              <c:idx val="0"/>
              <c:layout>
                <c:manualLayout>
                  <c:x val="-3.0654130157492781E-2"/>
                  <c:y val="-6.466990740740738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F21-491F-A9FD-76CFD12F664C}"/>
                </c:ext>
              </c:extLst>
            </c:dLbl>
            <c:dLbl>
              <c:idx val="1"/>
              <c:layout>
                <c:manualLayout>
                  <c:x val="-3.2570446967621743E-2"/>
                  <c:y val="-5.291666666666673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F21-491F-A9FD-76CFD12F664C}"/>
                </c:ext>
              </c:extLst>
            </c:dLbl>
            <c:dLbl>
              <c:idx val="2"/>
              <c:layout>
                <c:manualLayout>
                  <c:x val="-3.0658202934088597E-2"/>
                  <c:y val="4.887638888888889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F21-491F-A9FD-76CFD12F664C}"/>
                </c:ext>
              </c:extLst>
            </c:dLbl>
            <c:dLbl>
              <c:idx val="3"/>
              <c:layout>
                <c:manualLayout>
                  <c:x val="-3.0626224095632402E-2"/>
                  <c:y val="5.404953703703706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F21-491F-A9FD-76CFD12F664C}"/>
                </c:ext>
              </c:extLst>
            </c:dLbl>
            <c:dLbl>
              <c:idx val="4"/>
              <c:layout>
                <c:manualLayout>
                  <c:x val="-3.6398555280550957E-2"/>
                  <c:y val="5.87458333333333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F21-491F-A9FD-76CFD12F664C}"/>
                </c:ext>
              </c:extLst>
            </c:dLbl>
            <c:dLbl>
              <c:idx val="5"/>
              <c:layout>
                <c:manualLayout>
                  <c:x val="-3.4499585481848692E-2"/>
                  <c:y val="6.466944444444440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F21-491F-A9FD-76CFD12F664C}"/>
                </c:ext>
              </c:extLst>
            </c:dLbl>
            <c:dLbl>
              <c:idx val="6"/>
              <c:layout>
                <c:manualLayout>
                  <c:x val="-3.8305821476022524E-2"/>
                  <c:y val="5.290416666666660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F21-491F-A9FD-76CFD12F664C}"/>
                </c:ext>
              </c:extLst>
            </c:dLbl>
            <c:dLbl>
              <c:idx val="7"/>
              <c:layout>
                <c:manualLayout>
                  <c:x val="-3.2567103311170784E-2"/>
                  <c:y val="7.083650709494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F21-491F-A9FD-76CFD12F664C}"/>
                </c:ext>
              </c:extLst>
            </c:dLbl>
            <c:dLbl>
              <c:idx val="8"/>
              <c:layout>
                <c:manualLayout>
                  <c:x val="-3.2570597811199364E-2"/>
                  <c:y val="8.328564814814806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F21-491F-A9FD-76CFD12F664C}"/>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'Figura 3 - 4'!$A$37:$A$46</c:f>
              <c:strCache>
                <c:ptCount val="9"/>
                <c:pt idx="0">
                  <c:v>Turchia</c:v>
                </c:pt>
                <c:pt idx="1">
                  <c:v>OPEC</c:v>
                </c:pt>
                <c:pt idx="2">
                  <c:v>Giappone</c:v>
                </c:pt>
                <c:pt idx="3">
                  <c:v>ASEAN</c:v>
                </c:pt>
                <c:pt idx="4">
                  <c:v>MERCOSUR</c:v>
                </c:pt>
                <c:pt idx="5">
                  <c:v>Svizzera</c:v>
                </c:pt>
                <c:pt idx="6">
                  <c:v>Regno Unito</c:v>
                </c:pt>
                <c:pt idx="7">
                  <c:v>Stati Uniti</c:v>
                </c:pt>
                <c:pt idx="8">
                  <c:v>Cina</c:v>
                </c:pt>
              </c:strCache>
              <c:extLst xmlns:c16r2="http://schemas.microsoft.com/office/drawing/2015/06/chart"/>
            </c:strRef>
          </c:cat>
          <c:val>
            <c:numRef>
              <c:f>'Figura 3 - 4'!$B$37:$B$46</c:f>
              <c:numCache>
                <c:formatCode>0.0</c:formatCode>
                <c:ptCount val="9"/>
                <c:pt idx="0">
                  <c:v>33.911863035469224</c:v>
                </c:pt>
                <c:pt idx="1">
                  <c:v>5.7808744625321404</c:v>
                </c:pt>
                <c:pt idx="2">
                  <c:v>-5.8272293908701887</c:v>
                </c:pt>
                <c:pt idx="3">
                  <c:v>-7.7599133487955205</c:v>
                </c:pt>
                <c:pt idx="4">
                  <c:v>-13.00001188648433</c:v>
                </c:pt>
                <c:pt idx="5">
                  <c:v>-11.546905158609022</c:v>
                </c:pt>
                <c:pt idx="6">
                  <c:v>-13.258124187855085</c:v>
                </c:pt>
                <c:pt idx="7">
                  <c:v>-6.7209201656690851</c:v>
                </c:pt>
                <c:pt idx="8">
                  <c:v>-26.035131327560887</c:v>
                </c:pt>
              </c:numCache>
              <c:extLst xmlns:c16r2="http://schemas.microsoft.com/office/drawing/2015/06/chart"/>
            </c:numRef>
          </c:val>
          <c:extLst xmlns:c16r2="http://schemas.microsoft.com/office/drawing/2015/06/chart">
            <c:ext xmlns:c16="http://schemas.microsoft.com/office/drawing/2014/chart" uri="{C3380CC4-5D6E-409C-BE32-E72D297353CC}">
              <c16:uniqueId val="{0000000A-FF21-491F-A9FD-76CFD12F664C}"/>
            </c:ext>
          </c:extLst>
        </c:ser>
        <c:dropLines>
          <c:spPr>
            <a:ln w="9525" cap="flat" cmpd="sng" algn="ctr">
              <a:solidFill>
                <a:schemeClr val="tx1">
                  <a:lumMod val="35000"/>
                  <a:lumOff val="65000"/>
                </a:schemeClr>
              </a:solidFill>
              <a:round/>
            </a:ln>
            <a:effectLst/>
          </c:spPr>
        </c:dropLines>
        <c:marker val="1"/>
        <c:axId val="129117568"/>
        <c:axId val="129115648"/>
      </c:lineChart>
      <c:catAx>
        <c:axId val="129079552"/>
        <c:scaling>
          <c:orientation val="minMax"/>
        </c:scaling>
        <c:axPos val="b"/>
        <c:majorGridlines>
          <c:spPr>
            <a:ln w="6350" cap="flat" cmpd="sng" algn="ctr">
              <a:solidFill>
                <a:srgbClr val="A6A6A6"/>
              </a:solidFill>
              <a:prstDash val="sysDash"/>
              <a:round/>
              <a:headEnd type="none" w="med" len="med"/>
              <a:tailEnd type="none" w="med" len="med"/>
            </a:ln>
            <a:effectLst/>
          </c:spPr>
        </c:majorGridlines>
        <c:numFmt formatCode="General" sourceLinked="1"/>
        <c:majorTickMark val="none"/>
        <c:tickLblPos val="low"/>
        <c:spPr>
          <a:noFill/>
          <a:ln w="9525" cap="flat" cmpd="sng" algn="ctr">
            <a:solidFill>
              <a:schemeClr val="tx1"/>
            </a:solidFill>
            <a:round/>
          </a:ln>
          <a:effectLst/>
        </c:spPr>
        <c:txPr>
          <a:bodyPr rot="-2700000"/>
          <a:lstStyle/>
          <a:p>
            <a:pPr>
              <a:defRPr sz="1000" b="1"/>
            </a:pPr>
            <a:endParaRPr lang="it-IT"/>
          </a:p>
        </c:txPr>
        <c:crossAx val="129114112"/>
        <c:crosses val="autoZero"/>
        <c:auto val="1"/>
        <c:lblAlgn val="ctr"/>
        <c:lblOffset val="0"/>
        <c:tickLblSkip val="1"/>
      </c:catAx>
      <c:valAx>
        <c:axId val="129114112"/>
        <c:scaling>
          <c:orientation val="minMax"/>
          <c:max val="5"/>
          <c:min val="-5"/>
        </c:scaling>
        <c:axPos val="l"/>
        <c:majorGridlines>
          <c:spPr>
            <a:ln w="6350" cap="flat" cmpd="sng" algn="ctr">
              <a:solidFill>
                <a:srgbClr val="A6A6A6"/>
              </a:solidFill>
              <a:prstDash val="sysDash"/>
              <a:round/>
              <a:headEnd type="none" w="med" len="med"/>
              <a:tailEnd type="none" w="med" len="med"/>
            </a:ln>
            <a:effectLst/>
          </c:spPr>
        </c:majorGridlines>
        <c:numFmt formatCode="0.0" sourceLinked="0"/>
        <c:majorTickMark val="none"/>
        <c:tickLblPos val="nextTo"/>
        <c:spPr>
          <a:noFill/>
          <a:ln>
            <a:noFill/>
          </a:ln>
          <a:effectLst/>
        </c:spPr>
        <c:txPr>
          <a:bodyPr rot="-60000000" vert="horz"/>
          <a:lstStyle/>
          <a:p>
            <a:pPr>
              <a:defRPr/>
            </a:pPr>
            <a:endParaRPr lang="it-IT"/>
          </a:p>
        </c:txPr>
        <c:crossAx val="129079552"/>
        <c:crosses val="autoZero"/>
        <c:crossBetween val="between"/>
        <c:majorUnit val="2.5"/>
      </c:valAx>
      <c:valAx>
        <c:axId val="129115648"/>
        <c:scaling>
          <c:orientation val="minMax"/>
          <c:max val="50"/>
          <c:min val="-50"/>
        </c:scaling>
        <c:axPos val="r"/>
        <c:title>
          <c:tx>
            <c:rich>
              <a:bodyPr rot="0" vert="wordArtVert"/>
              <a:lstStyle/>
              <a:p>
                <a:pPr>
                  <a:defRPr b="0"/>
                </a:pPr>
                <a:r>
                  <a:rPr lang="en-US" b="0"/>
                  <a:t>%</a:t>
                </a:r>
              </a:p>
            </c:rich>
          </c:tx>
          <c:layout>
            <c:manualLayout>
              <c:xMode val="edge"/>
              <c:yMode val="edge"/>
              <c:x val="0.96277254003128843"/>
              <c:y val="1.4840935968361743E-4"/>
            </c:manualLayout>
          </c:layout>
        </c:title>
        <c:numFmt formatCode="0" sourceLinked="0"/>
        <c:tickLblPos val="nextTo"/>
        <c:spPr>
          <a:noFill/>
          <a:ln>
            <a:noFill/>
          </a:ln>
          <a:effectLst/>
        </c:spPr>
        <c:txPr>
          <a:bodyPr rot="-60000000" vert="horz"/>
          <a:lstStyle/>
          <a:p>
            <a:pPr>
              <a:defRPr/>
            </a:pPr>
            <a:endParaRPr lang="it-IT"/>
          </a:p>
        </c:txPr>
        <c:crossAx val="129117568"/>
        <c:crosses val="max"/>
        <c:crossBetween val="between"/>
        <c:majorUnit val="25"/>
      </c:valAx>
      <c:catAx>
        <c:axId val="129117568"/>
        <c:scaling>
          <c:orientation val="minMax"/>
        </c:scaling>
        <c:delete val="1"/>
        <c:axPos val="b"/>
        <c:numFmt formatCode="General" sourceLinked="1"/>
        <c:tickLblPos val="nextTo"/>
        <c:crossAx val="129115648"/>
        <c:crosses val="autoZero"/>
        <c:auto val="1"/>
        <c:lblAlgn val="ctr"/>
        <c:lblOffset val="100"/>
      </c:catAx>
      <c:spPr>
        <a:solidFill>
          <a:srgbClr val="FFFFFF"/>
        </a:solidFill>
        <a:ln w="9525" cap="flat" cmpd="sng" algn="ctr">
          <a:solidFill>
            <a:srgbClr val="DDDDDD"/>
          </a:solidFill>
          <a:prstDash val="solid"/>
          <a:round/>
          <a:headEnd type="none" w="med" len="med"/>
          <a:tailEnd type="none" w="med" len="med"/>
        </a:ln>
        <a:effectLst/>
      </c:spPr>
    </c:plotArea>
    <c:legend>
      <c:legendPos val="t"/>
      <c:layout>
        <c:manualLayout>
          <c:xMode val="edge"/>
          <c:yMode val="edge"/>
          <c:x val="0.12765401234567897"/>
          <c:y val="0"/>
          <c:w val="0.77088595679012384"/>
          <c:h val="9.1890712840116934E-2"/>
        </c:manualLayout>
      </c:layout>
      <c:spPr>
        <a:noFill/>
        <a:ln>
          <a:noFill/>
        </a:ln>
        <a:effectLst/>
      </c:spPr>
      <c:txPr>
        <a:bodyPr rot="0" vert="horz"/>
        <a:lstStyle/>
        <a:p>
          <a:pPr>
            <a:defRPr/>
          </a:pPr>
          <a:endParaRPr lang="it-IT"/>
        </a:p>
      </c:txPr>
    </c:legend>
    <c:plotVisOnly val="1"/>
    <c:dispBlanksAs val="gap"/>
  </c:chart>
  <c:spPr>
    <a:solidFill>
      <a:srgbClr val="FFFFFF"/>
    </a:solidFill>
    <a:ln w="9525" cap="flat" cmpd="sng" algn="ctr">
      <a:noFill/>
      <a:round/>
    </a:ln>
    <a:effectLst/>
    <a:extLst>
      <a:ext uri="{91240B29-F687-4F45-9708-019B960494DF}">
        <a14:hiddenLine xmlns="" xmlns:r="http://schemas.openxmlformats.org/officeDocument/2006/relationships" xmlns:c16r2="http://schemas.microsoft.com/office/drawing/2015/06/chart" xmlns:a14="http://schemas.microsoft.com/office/drawing/2010/main" w="9525" cap="flat" cmpd="sng" algn="ctr">
          <a:solidFill>
            <a:sysClr val="windowText" lastClr="000000">
              <a:lumMod val="15000"/>
              <a:lumOff val="85000"/>
            </a:sysClr>
          </a:solidFill>
          <a:round/>
        </a14:hiddenLine>
      </a:ext>
    </a:extLst>
  </c:spPr>
  <c:txPr>
    <a:bodyPr/>
    <a:lstStyle/>
    <a:p>
      <a:pPr>
        <a:defRPr sz="900">
          <a:solidFill>
            <a:srgbClr val="000000"/>
          </a:solidFill>
          <a:latin typeface="Arial Narrow" panose="020B0606020202030204" pitchFamily="34" charset="0"/>
        </a:defRPr>
      </a:pPr>
      <a:endParaRPr lang="it-IT"/>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t-IT"/>
  <c:chart>
    <c:autoTitleDeleted val="1"/>
    <c:plotArea>
      <c:layout>
        <c:manualLayout>
          <c:layoutTarget val="inner"/>
          <c:xMode val="edge"/>
          <c:yMode val="edge"/>
          <c:x val="4.9837185941119036E-2"/>
          <c:y val="0.11249133321855183"/>
          <c:w val="0.89947552894285965"/>
          <c:h val="0.61199953703703724"/>
        </c:manualLayout>
      </c:layout>
      <c:barChart>
        <c:barDir val="col"/>
        <c:grouping val="clustered"/>
        <c:ser>
          <c:idx val="0"/>
          <c:order val="0"/>
          <c:tx>
            <c:strRef>
              <c:f>'Figura 3 - 4'!$D$35</c:f>
              <c:strCache>
                <c:ptCount val="1"/>
                <c:pt idx="0">
                  <c:v>Contributi alla variazione (punti percentuali - scala sinistra)</c:v>
                </c:pt>
              </c:strCache>
            </c:strRef>
          </c:tx>
          <c:spPr>
            <a:solidFill>
              <a:srgbClr val="C00000"/>
            </a:solidFill>
            <a:ln w="9525" cap="flat" cmpd="sng" algn="ctr">
              <a:solidFill>
                <a:srgbClr val="FFFFFF"/>
              </a:solidFill>
              <a:prstDash val="solid"/>
              <a:round/>
              <a:headEnd type="none" w="med" len="med"/>
              <a:tailEnd type="none" w="med" len="med"/>
            </a:ln>
            <a:effectLst/>
          </c:spPr>
          <c:cat>
            <c:strRef>
              <c:f>'Figura 3 - 4'!$A$51:$A$59</c:f>
              <c:strCache>
                <c:ptCount val="9"/>
                <c:pt idx="0">
                  <c:v>Stati Uniti</c:v>
                </c:pt>
                <c:pt idx="1">
                  <c:v>Cina</c:v>
                </c:pt>
                <c:pt idx="2">
                  <c:v>India</c:v>
                </c:pt>
                <c:pt idx="3">
                  <c:v>Turchia</c:v>
                </c:pt>
                <c:pt idx="4">
                  <c:v>Svizzera</c:v>
                </c:pt>
                <c:pt idx="5">
                  <c:v>Regno Unito</c:v>
                </c:pt>
                <c:pt idx="6">
                  <c:v>ASEAN</c:v>
                </c:pt>
                <c:pt idx="7">
                  <c:v>MERCOSUR</c:v>
                </c:pt>
                <c:pt idx="8">
                  <c:v>OPEC</c:v>
                </c:pt>
              </c:strCache>
            </c:strRef>
          </c:cat>
          <c:val>
            <c:numRef>
              <c:f>'Figura 3 - 4'!$D$51:$D$59</c:f>
              <c:numCache>
                <c:formatCode>0.0</c:formatCode>
                <c:ptCount val="9"/>
                <c:pt idx="0">
                  <c:v>0.87002809119443991</c:v>
                </c:pt>
                <c:pt idx="1">
                  <c:v>0.55383180067303095</c:v>
                </c:pt>
                <c:pt idx="2">
                  <c:v>0.17875472337585818</c:v>
                </c:pt>
                <c:pt idx="3">
                  <c:v>-0.17787437168253206</c:v>
                </c:pt>
                <c:pt idx="4">
                  <c:v>-0.33037963343165389</c:v>
                </c:pt>
                <c:pt idx="5">
                  <c:v>-0.56676682784510091</c:v>
                </c:pt>
                <c:pt idx="6">
                  <c:v>-0.86893648789894651</c:v>
                </c:pt>
                <c:pt idx="7">
                  <c:v>-0.87177254968769802</c:v>
                </c:pt>
                <c:pt idx="8">
                  <c:v>-4.9351825721736784</c:v>
                </c:pt>
              </c:numCache>
            </c:numRef>
          </c:val>
          <c:extLst xmlns:c16r2="http://schemas.microsoft.com/office/drawing/2015/06/chart">
            <c:ext xmlns:c16="http://schemas.microsoft.com/office/drawing/2014/chart" uri="{C3380CC4-5D6E-409C-BE32-E72D297353CC}">
              <c16:uniqueId val="{00000000-DE52-4170-ACAF-C0AA7988FFFA}"/>
            </c:ext>
          </c:extLst>
        </c:ser>
        <c:gapWidth val="0"/>
        <c:axId val="129185664"/>
        <c:axId val="129187200"/>
      </c:barChart>
      <c:lineChart>
        <c:grouping val="standard"/>
        <c:ser>
          <c:idx val="1"/>
          <c:order val="1"/>
          <c:tx>
            <c:strRef>
              <c:f>'Figura 3 - 4'!$B$35</c:f>
              <c:strCache>
                <c:ptCount val="1"/>
                <c:pt idx="0">
                  <c:v>Variazioni percentuali (scala destra)</c:v>
                </c:pt>
              </c:strCache>
            </c:strRef>
          </c:tx>
          <c:spPr>
            <a:ln w="25400" cap="rnd">
              <a:noFill/>
              <a:round/>
            </a:ln>
            <a:effectLst/>
            <a:extLst>
              <a:ext uri="{91240B29-F687-4F45-9708-019B960494DF}">
                <a14:hiddenLine xmlns="" xmlns:r="http://schemas.openxmlformats.org/officeDocument/2006/relationships" xmlns:c16r2="http://schemas.microsoft.com/office/drawing/2015/06/chart" xmlns:a14="http://schemas.microsoft.com/office/drawing/2010/main" w="9525" cap="flat" cmpd="sng" algn="ctr">
                  <a:solidFill>
                    <a:srgbClr val="FFFFFF"/>
                  </a:solidFill>
                  <a:prstDash val="solid"/>
                  <a:round/>
                  <a:headEnd type="none" w="med" len="med"/>
                  <a:tailEnd type="none" w="med" len="med"/>
                </a14:hiddenLine>
              </a:ext>
            </a:extLst>
          </c:spPr>
          <c:marker>
            <c:symbol val="diamond"/>
            <c:size val="6"/>
            <c:spPr>
              <a:solidFill>
                <a:srgbClr val="FFFFFF"/>
              </a:solidFill>
              <a:ln w="3175">
                <a:solidFill>
                  <a:srgbClr val="141E28"/>
                </a:solidFill>
                <a:prstDash val="solid"/>
              </a:ln>
              <a:effectLst/>
            </c:spPr>
          </c:marker>
          <c:dLbls>
            <c:dLbl>
              <c:idx val="0"/>
              <c:layout>
                <c:manualLayout>
                  <c:x val="-2.8587190909658375E-2"/>
                  <c:y val="-5.872499999999999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E52-4170-ACAF-C0AA7988FFFA}"/>
                </c:ext>
              </c:extLst>
            </c:dLbl>
            <c:dLbl>
              <c:idx val="1"/>
              <c:layout>
                <c:manualLayout>
                  <c:x val="-2.6693621026089052E-2"/>
                  <c:y val="-5.921481481481483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E52-4170-ACAF-C0AA7988FFFA}"/>
                </c:ext>
              </c:extLst>
            </c:dLbl>
            <c:dLbl>
              <c:idx val="2"/>
              <c:layout>
                <c:manualLayout>
                  <c:x val="-2.8576787507957096E-2"/>
                  <c:y val="-7.084537037037040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E52-4170-ACAF-C0AA7988FFFA}"/>
                </c:ext>
              </c:extLst>
            </c:dLbl>
            <c:dLbl>
              <c:idx val="3"/>
              <c:layout>
                <c:manualLayout>
                  <c:x val="-3.8167668458966734E-2"/>
                  <c:y val="4.788055555555545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E52-4170-ACAF-C0AA7988FFFA}"/>
                </c:ext>
              </c:extLst>
            </c:dLbl>
            <c:dLbl>
              <c:idx val="4"/>
              <c:layout>
                <c:manualLayout>
                  <c:x val="-3.8175207155851786E-2"/>
                  <c:y val="4.785046296296296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E52-4170-ACAF-C0AA7988FFFA}"/>
                </c:ext>
              </c:extLst>
            </c:dLbl>
            <c:dLbl>
              <c:idx val="5"/>
              <c:layout>
                <c:manualLayout>
                  <c:x val="-3.6252688676244045E-2"/>
                  <c:y val="5.412222222222224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E52-4170-ACAF-C0AA7988FFFA}"/>
                </c:ext>
              </c:extLst>
            </c:dLbl>
            <c:dLbl>
              <c:idx val="6"/>
              <c:layout>
                <c:manualLayout>
                  <c:x val="-3.2415642735726849E-2"/>
                  <c:y val="5.321250000000000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E52-4170-ACAF-C0AA7988FFFA}"/>
                </c:ext>
              </c:extLst>
            </c:dLbl>
            <c:dLbl>
              <c:idx val="7"/>
              <c:layout>
                <c:manualLayout>
                  <c:x val="-3.4337859667459045E-2"/>
                  <c:y val="5.316435185185187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E52-4170-ACAF-C0AA7988FFFA}"/>
                </c:ext>
              </c:extLst>
            </c:dLbl>
            <c:dLbl>
              <c:idx val="8"/>
              <c:layout>
                <c:manualLayout>
                  <c:x val="-3.6260378147066723E-2"/>
                  <c:y val="7.690648148148139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E52-4170-ACAF-C0AA7988FFFA}"/>
                </c:ext>
              </c:extLst>
            </c:dLbl>
            <c:dLbl>
              <c:idx val="9"/>
              <c:layout>
                <c:manualLayout>
                  <c:x val="-3.4353087835166697E-2"/>
                  <c:y val="3.55486111111111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E52-4170-ACAF-C0AA7988FFF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'Figura 3 - 4'!$A$51:$A$59</c:f>
              <c:strCache>
                <c:ptCount val="9"/>
                <c:pt idx="0">
                  <c:v>Stati Uniti</c:v>
                </c:pt>
                <c:pt idx="1">
                  <c:v>Cina</c:v>
                </c:pt>
                <c:pt idx="2">
                  <c:v>India</c:v>
                </c:pt>
                <c:pt idx="3">
                  <c:v>Turchia</c:v>
                </c:pt>
                <c:pt idx="4">
                  <c:v>Svizzera</c:v>
                </c:pt>
                <c:pt idx="5">
                  <c:v>Regno Unito</c:v>
                </c:pt>
                <c:pt idx="6">
                  <c:v>ASEAN</c:v>
                </c:pt>
                <c:pt idx="7">
                  <c:v>MERCOSUR</c:v>
                </c:pt>
                <c:pt idx="8">
                  <c:v>OPEC</c:v>
                </c:pt>
              </c:strCache>
            </c:strRef>
          </c:cat>
          <c:val>
            <c:numRef>
              <c:f>'Figura 3 - 4'!$B$51:$B$59</c:f>
              <c:numCache>
                <c:formatCode>0.0</c:formatCode>
                <c:ptCount val="9"/>
                <c:pt idx="0">
                  <c:v>9.8452192077735958</c:v>
                </c:pt>
                <c:pt idx="1">
                  <c:v>3.1772232507701412</c:v>
                </c:pt>
                <c:pt idx="2">
                  <c:v>5.0624972017308068</c:v>
                </c:pt>
                <c:pt idx="3">
                  <c:v>-3.6722286099895589</c:v>
                </c:pt>
                <c:pt idx="4">
                  <c:v>-5.459662492452015</c:v>
                </c:pt>
                <c:pt idx="5">
                  <c:v>-15.489739991021303</c:v>
                </c:pt>
                <c:pt idx="6">
                  <c:v>-18.705189015181489</c:v>
                </c:pt>
                <c:pt idx="7">
                  <c:v>-33.386839432048092</c:v>
                </c:pt>
                <c:pt idx="8">
                  <c:v>-30.612654399764331</c:v>
                </c:pt>
              </c:numCache>
            </c:numRef>
          </c:val>
          <c:extLst xmlns:c16r2="http://schemas.microsoft.com/office/drawing/2015/06/chart">
            <c:ext xmlns:c16="http://schemas.microsoft.com/office/drawing/2014/chart" uri="{C3380CC4-5D6E-409C-BE32-E72D297353CC}">
              <c16:uniqueId val="{0000000B-DE52-4170-ACAF-C0AA7988FFFA}"/>
            </c:ext>
          </c:extLst>
        </c:ser>
        <c:dropLines>
          <c:spPr>
            <a:ln w="9525" cap="flat" cmpd="sng" algn="ctr">
              <a:solidFill>
                <a:schemeClr val="tx1">
                  <a:lumMod val="35000"/>
                  <a:lumOff val="65000"/>
                </a:schemeClr>
              </a:solidFill>
              <a:round/>
            </a:ln>
            <a:effectLst/>
          </c:spPr>
        </c:dropLines>
        <c:marker val="1"/>
        <c:axId val="129215488"/>
        <c:axId val="129213568"/>
      </c:lineChart>
      <c:catAx>
        <c:axId val="129185664"/>
        <c:scaling>
          <c:orientation val="minMax"/>
        </c:scaling>
        <c:axPos val="b"/>
        <c:majorGridlines>
          <c:spPr>
            <a:ln w="6350" cap="flat" cmpd="sng" algn="ctr">
              <a:solidFill>
                <a:srgbClr val="A6A6A6"/>
              </a:solidFill>
              <a:prstDash val="sysDash"/>
              <a:round/>
              <a:headEnd type="none" w="med" len="med"/>
              <a:tailEnd type="none" w="med" len="med"/>
            </a:ln>
            <a:effectLst/>
          </c:spPr>
        </c:majorGridlines>
        <c:numFmt formatCode="General" sourceLinked="1"/>
        <c:majorTickMark val="none"/>
        <c:tickLblPos val="low"/>
        <c:spPr>
          <a:noFill/>
          <a:ln w="9525" cap="flat" cmpd="sng" algn="ctr">
            <a:solidFill>
              <a:schemeClr val="tx1"/>
            </a:solidFill>
            <a:round/>
          </a:ln>
          <a:effectLst/>
        </c:spPr>
        <c:txPr>
          <a:bodyPr rot="-2700000" spcFirstLastPara="1" vertOverflow="ellipsis" wrap="square" anchor="ctr" anchorCtr="1"/>
          <a:lstStyle/>
          <a:p>
            <a:pPr>
              <a:defRPr sz="1000" b="1" i="0" u="none" strike="noStrike" kern="1200" baseline="0">
                <a:solidFill>
                  <a:srgbClr val="000000"/>
                </a:solidFill>
                <a:latin typeface="Arial Narrow" panose="020B0606020202030204" pitchFamily="34" charset="0"/>
                <a:ea typeface="+mn-ea"/>
                <a:cs typeface="+mn-cs"/>
              </a:defRPr>
            </a:pPr>
            <a:endParaRPr lang="it-IT"/>
          </a:p>
        </c:txPr>
        <c:crossAx val="129187200"/>
        <c:crosses val="autoZero"/>
        <c:auto val="1"/>
        <c:lblAlgn val="ctr"/>
        <c:lblOffset val="0"/>
        <c:tickLblSkip val="1"/>
      </c:catAx>
      <c:valAx>
        <c:axId val="129187200"/>
        <c:scaling>
          <c:orientation val="minMax"/>
          <c:max val="5"/>
          <c:min val="-5"/>
        </c:scaling>
        <c:axPos val="l"/>
        <c:majorGridlines>
          <c:spPr>
            <a:ln w="6350" cap="flat" cmpd="sng" algn="ctr">
              <a:solidFill>
                <a:srgbClr val="A6A6A6"/>
              </a:solidFill>
              <a:prstDash val="sysDash"/>
              <a:round/>
              <a:headEnd type="none" w="med" len="med"/>
              <a:tailEnd type="none" w="med" len="med"/>
            </a:ln>
            <a:effectLst/>
          </c:spPr>
        </c:majorGridlines>
        <c:numFmt formatCode="0.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crossAx val="129185664"/>
        <c:crosses val="autoZero"/>
        <c:crossBetween val="between"/>
        <c:majorUnit val="2.5"/>
      </c:valAx>
      <c:valAx>
        <c:axId val="129213568"/>
        <c:scaling>
          <c:orientation val="minMax"/>
          <c:max val="50"/>
          <c:min val="-50"/>
        </c:scaling>
        <c:axPos val="r"/>
        <c:title>
          <c:tx>
            <c:rich>
              <a:bodyPr rot="0" vert="horz"/>
              <a:lstStyle/>
              <a:p>
                <a:pPr>
                  <a:defRPr b="0"/>
                </a:pPr>
                <a:r>
                  <a:rPr lang="it-IT" b="0"/>
                  <a:t>%</a:t>
                </a:r>
              </a:p>
            </c:rich>
          </c:tx>
          <c:layout>
            <c:manualLayout>
              <c:xMode val="edge"/>
              <c:yMode val="edge"/>
              <c:x val="0.96166481481481503"/>
              <c:y val="3.151587301587302E-3"/>
            </c:manualLayout>
          </c:layout>
        </c:title>
        <c:numFmt formatCode="0" sourceLinked="0"/>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crossAx val="129215488"/>
        <c:crosses val="max"/>
        <c:crossBetween val="between"/>
        <c:majorUnit val="25"/>
      </c:valAx>
      <c:catAx>
        <c:axId val="129215488"/>
        <c:scaling>
          <c:orientation val="minMax"/>
        </c:scaling>
        <c:delete val="1"/>
        <c:axPos val="b"/>
        <c:numFmt formatCode="General" sourceLinked="1"/>
        <c:tickLblPos val="nextTo"/>
        <c:crossAx val="129213568"/>
        <c:crosses val="autoZero"/>
        <c:auto val="1"/>
        <c:lblAlgn val="ctr"/>
        <c:lblOffset val="100"/>
      </c:catAx>
      <c:spPr>
        <a:solidFill>
          <a:srgbClr val="FFFFFF"/>
        </a:solidFill>
        <a:ln w="9525" cap="flat" cmpd="sng" algn="ctr">
          <a:solidFill>
            <a:srgbClr val="DDDDDD"/>
          </a:solidFill>
          <a:prstDash val="solid"/>
          <a:round/>
          <a:headEnd type="none" w="med" len="med"/>
          <a:tailEnd type="none" w="med" len="med"/>
        </a:ln>
        <a:effectLst/>
      </c:spPr>
    </c:plotArea>
    <c:legend>
      <c:legendPos val="t"/>
      <c:layout>
        <c:manualLayout>
          <c:xMode val="edge"/>
          <c:yMode val="edge"/>
          <c:x val="0.12747378568932191"/>
          <c:y val="0"/>
          <c:w val="0.76322656829772872"/>
          <c:h val="9.1890712840116934E-2"/>
        </c:manualLayout>
      </c:layout>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legend>
    <c:plotVisOnly val="1"/>
    <c:dispBlanksAs val="gap"/>
  </c:chart>
  <c:spPr>
    <a:solidFill>
      <a:srgbClr val="FFFFFF"/>
    </a:solidFill>
    <a:ln w="9525" cap="flat" cmpd="sng" algn="ctr">
      <a:noFill/>
      <a:round/>
    </a:ln>
    <a:effectLst/>
    <a:extLst>
      <a:ext uri="{91240B29-F687-4F45-9708-019B960494DF}">
        <a14:hiddenLine xmlns="" xmlns:r="http://schemas.openxmlformats.org/officeDocument/2006/relationships" xmlns:c16r2="http://schemas.microsoft.com/office/drawing/2015/06/chart" xmlns:a14="http://schemas.microsoft.com/office/drawing/2010/main" w="9525" cap="flat" cmpd="sng" algn="ctr">
          <a:solidFill>
            <a:sysClr val="windowText" lastClr="000000">
              <a:lumMod val="15000"/>
              <a:lumOff val="85000"/>
            </a:sysClr>
          </a:solidFill>
          <a:round/>
        </a14:hiddenLine>
      </a:ext>
    </a:extLst>
  </c:spPr>
  <c:txPr>
    <a:bodyPr/>
    <a:lstStyle/>
    <a:p>
      <a:pPr>
        <a:defRPr sz="900">
          <a:solidFill>
            <a:srgbClr val="000000"/>
          </a:solidFill>
          <a:latin typeface="Arial Narrow" panose="020B0606020202030204" pitchFamily="34" charset="0"/>
        </a:defRPr>
      </a:pPr>
      <a:endParaRPr lang="it-IT"/>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t-IT"/>
  <c:chart>
    <c:autoTitleDeleted val="1"/>
    <c:plotArea>
      <c:layout>
        <c:manualLayout>
          <c:layoutTarget val="inner"/>
          <c:xMode val="edge"/>
          <c:yMode val="edge"/>
          <c:x val="5.3651638137696113E-2"/>
          <c:y val="0.10801342592592596"/>
          <c:w val="0.89947552894285965"/>
          <c:h val="0.61787916666666665"/>
        </c:manualLayout>
      </c:layout>
      <c:barChart>
        <c:barDir val="col"/>
        <c:grouping val="clustered"/>
        <c:ser>
          <c:idx val="0"/>
          <c:order val="0"/>
          <c:tx>
            <c:strRef>
              <c:f>'Figura 5'!$B$34</c:f>
              <c:strCache>
                <c:ptCount val="1"/>
                <c:pt idx="0">
                  <c:v>Saldi mar.2024</c:v>
                </c:pt>
              </c:strCache>
            </c:strRef>
          </c:tx>
          <c:spPr>
            <a:solidFill>
              <a:srgbClr val="008264"/>
            </a:solidFill>
            <a:ln w="9525" cap="flat" cmpd="sng" algn="ctr">
              <a:solidFill>
                <a:srgbClr val="FFFFFF"/>
              </a:solidFill>
              <a:prstDash val="solid"/>
              <a:round/>
              <a:headEnd type="none" w="med" len="med"/>
              <a:tailEnd type="none" w="med" len="med"/>
            </a:ln>
            <a:effectLst/>
          </c:spPr>
          <c:dLbls>
            <c:dLbl>
              <c:idx val="0"/>
              <c:layout>
                <c:manualLayout>
                  <c:x val="0"/>
                  <c:y val="1.798251306800080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9C5-43B1-BFBF-FA332DBD2983}"/>
                </c:ext>
              </c:extLst>
            </c:dLbl>
            <c:dLbl>
              <c:idx val="4"/>
              <c:layout>
                <c:manualLayout>
                  <c:x val="1.9151888044396197E-3"/>
                  <c:y val="1.763888888888884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9C5-43B1-BFBF-FA332DBD2983}"/>
                </c:ext>
              </c:extLst>
            </c:dLbl>
            <c:dLbl>
              <c:idx val="5"/>
              <c:layout>
                <c:manualLayout>
                  <c:x val="0"/>
                  <c:y val="5.9333345480317469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9C5-43B1-BFBF-FA332DBD2983}"/>
                </c:ext>
              </c:extLst>
            </c:dLbl>
            <c:dLbl>
              <c:idx val="9"/>
              <c:layout>
                <c:manualLayout>
                  <c:x val="-1.4092629816719753E-16"/>
                  <c:y val="2.997085511333467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9C5-43B1-BFBF-FA332DBD2983}"/>
                </c:ext>
              </c:extLst>
            </c:dLbl>
            <c:dLbl>
              <c:idx val="37"/>
              <c:tx>
                <c:strRef>
                  <c:f>Foglio1!#REF!</c:f>
                  <c:strCache>
                    <c:ptCount val="1"/>
                    <c:pt idx="0">
                      <c:v>#REF!</c:v>
                    </c:pt>
                  </c:strCache>
                </c:strRef>
              </c:tx>
              <c:dLblPos val="outEnd"/>
              <c:showVal val="1"/>
              <c:extLst xmlns:c16r2="http://schemas.microsoft.com/office/drawing/2015/06/chart">
                <c:ext xmlns:c15="http://schemas.microsoft.com/office/drawing/2012/chart" uri="{CE6537A1-D6FC-4f65-9D91-7224C49458BB}">
                  <c15:dlblFieldTable>
                    <c15:dlblFTEntry>
                      <c15:txfldGUID>{8FF4316C-2EAE-496D-B6E3-A7A524FCBC2B}</c15:txfldGUID>
                      <c15:f>Foglio1!#REF!</c15:f>
                      <c15:dlblFieldTableCache>
                        <c:ptCount val="1"/>
                        <c:pt idx="0">
                          <c:v>#REF!</c:v>
                        </c:pt>
                      </c15:dlblFieldTableCache>
                    </c15:dlblFTEntry>
                  </c15:dlblFieldTable>
                  <c15:showDataLabelsRange val="0"/>
                </c:ext>
                <c:ext xmlns:c16="http://schemas.microsoft.com/office/drawing/2014/chart" uri="{C3380CC4-5D6E-409C-BE32-E72D297353CC}">
                  <c16:uniqueId val="{00000004-E9C5-43B1-BFBF-FA332DBD2983}"/>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0000"/>
                    </a:solidFill>
                    <a:latin typeface="Arial Narrow" panose="020B0606020202030204" pitchFamily="34" charset="0"/>
                    <a:ea typeface="+mn-ea"/>
                    <a:cs typeface="+mn-cs"/>
                  </a:defRPr>
                </a:pPr>
                <a:endParaRPr lang="it-IT"/>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'Figura 5'!$A$36:$A$44</c:f>
              <c:strCache>
                <c:ptCount val="9"/>
                <c:pt idx="0">
                  <c:v>Stati Uniti</c:v>
                </c:pt>
                <c:pt idx="1">
                  <c:v>Regno Unito</c:v>
                </c:pt>
                <c:pt idx="2">
                  <c:v>Svizzera</c:v>
                </c:pt>
                <c:pt idx="3">
                  <c:v>Turchia</c:v>
                </c:pt>
                <c:pt idx="4">
                  <c:v>MERCOSUR</c:v>
                </c:pt>
                <c:pt idx="5">
                  <c:v>ASEAN</c:v>
                </c:pt>
                <c:pt idx="6">
                  <c:v>India</c:v>
                </c:pt>
                <c:pt idx="7">
                  <c:v>OPEC</c:v>
                </c:pt>
                <c:pt idx="8">
                  <c:v>Cina</c:v>
                </c:pt>
              </c:strCache>
            </c:strRef>
          </c:cat>
          <c:val>
            <c:numRef>
              <c:f>'Figura 5'!$B$36:$B$44</c:f>
              <c:numCache>
                <c:formatCode>#,##0</c:formatCode>
                <c:ptCount val="9"/>
                <c:pt idx="0">
                  <c:v>3228.1241009999999</c:v>
                </c:pt>
                <c:pt idx="1">
                  <c:v>1458.6743379999994</c:v>
                </c:pt>
                <c:pt idx="2">
                  <c:v>1118.424986</c:v>
                </c:pt>
                <c:pt idx="3">
                  <c:v>759.82192499999962</c:v>
                </c:pt>
                <c:pt idx="4">
                  <c:v>203.28840600000007</c:v>
                </c:pt>
                <c:pt idx="5">
                  <c:v>-33.684914000000006</c:v>
                </c:pt>
                <c:pt idx="6">
                  <c:v>-429.13328100000001</c:v>
                </c:pt>
                <c:pt idx="7">
                  <c:v>-661.88014099999998</c:v>
                </c:pt>
                <c:pt idx="8">
                  <c:v>-2897.6799449999999</c:v>
                </c:pt>
              </c:numCache>
            </c:numRef>
          </c:val>
          <c:extLst xmlns:c16r2="http://schemas.microsoft.com/office/drawing/2015/06/chart">
            <c:ext xmlns:c16="http://schemas.microsoft.com/office/drawing/2014/chart" uri="{C3380CC4-5D6E-409C-BE32-E72D297353CC}">
              <c16:uniqueId val="{00000005-E9C5-43B1-BFBF-FA332DBD2983}"/>
            </c:ext>
          </c:extLst>
        </c:ser>
        <c:gapWidth val="0"/>
        <c:axId val="129231488"/>
        <c:axId val="129245568"/>
      </c:barChart>
      <c:catAx>
        <c:axId val="129231488"/>
        <c:scaling>
          <c:orientation val="minMax"/>
        </c:scaling>
        <c:axPos val="b"/>
        <c:majorGridlines>
          <c:spPr>
            <a:ln w="6350" cap="flat" cmpd="sng" algn="ctr">
              <a:solidFill>
                <a:srgbClr val="A6A6A6"/>
              </a:solidFill>
              <a:prstDash val="sysDash"/>
              <a:round/>
              <a:headEnd type="none" w="med" len="med"/>
              <a:tailEnd type="none" w="med" len="med"/>
            </a:ln>
            <a:effectLst/>
          </c:spPr>
        </c:majorGridlines>
        <c:numFmt formatCode="General" sourceLinked="1"/>
        <c:majorTickMark val="none"/>
        <c:tickLblPos val="low"/>
        <c:spPr>
          <a:noFill/>
          <a:ln w="9525" cap="flat" cmpd="sng" algn="ctr">
            <a:solidFill>
              <a:sysClr val="windowText" lastClr="000000"/>
            </a:solidFill>
            <a:round/>
          </a:ln>
          <a:effectLst/>
          <a:extLst/>
        </c:spPr>
        <c:txPr>
          <a:bodyPr rot="-2700000" spcFirstLastPara="1" vertOverflow="ellipsis" wrap="square" anchor="ctr" anchorCtr="1"/>
          <a:lstStyle/>
          <a:p>
            <a:pPr>
              <a:defRPr sz="1000" b="1" i="0" u="none" strike="noStrike" kern="1200" baseline="0">
                <a:solidFill>
                  <a:srgbClr val="000000"/>
                </a:solidFill>
                <a:latin typeface="Arial Narrow" panose="020B0606020202030204" pitchFamily="34" charset="0"/>
                <a:ea typeface="+mn-ea"/>
                <a:cs typeface="+mn-cs"/>
              </a:defRPr>
            </a:pPr>
            <a:endParaRPr lang="it-IT"/>
          </a:p>
        </c:txPr>
        <c:crossAx val="129245568"/>
        <c:crosses val="autoZero"/>
        <c:auto val="1"/>
        <c:lblAlgn val="ctr"/>
        <c:lblOffset val="0"/>
      </c:catAx>
      <c:valAx>
        <c:axId val="129245568"/>
        <c:scaling>
          <c:orientation val="minMax"/>
          <c:max val="6000"/>
          <c:min val="-6000"/>
        </c:scaling>
        <c:axPos val="l"/>
        <c:majorGridlines>
          <c:spPr>
            <a:ln w="6350" cap="flat" cmpd="sng" algn="ctr">
              <a:solidFill>
                <a:srgbClr val="A6A6A6"/>
              </a:solidFill>
              <a:prstDash val="sysDash"/>
              <a:round/>
              <a:headEnd type="none" w="med" len="med"/>
              <a:tailEnd type="none" w="med" len="me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crossAx val="129231488"/>
        <c:crosses val="autoZero"/>
        <c:crossBetween val="between"/>
        <c:majorUnit val="2000"/>
      </c:valAx>
      <c:spPr>
        <a:solidFill>
          <a:srgbClr val="FFFFFF"/>
        </a:solidFill>
        <a:ln w="9525" cap="flat" cmpd="sng" algn="ctr">
          <a:solidFill>
            <a:srgbClr val="DDDDDD"/>
          </a:solidFill>
          <a:prstDash val="solid"/>
          <a:round/>
          <a:headEnd type="none" w="med" len="med"/>
          <a:tailEnd type="none" w="med" len="med"/>
        </a:ln>
        <a:effectLst/>
      </c:spPr>
    </c:plotArea>
    <c:legend>
      <c:legendPos val="t"/>
      <c:layout>
        <c:manualLayout>
          <c:xMode val="edge"/>
          <c:yMode val="edge"/>
          <c:x val="0.38869375567024567"/>
          <c:y val="0"/>
          <c:w val="0.20886360768810192"/>
          <c:h val="9.1890712840116934E-2"/>
        </c:manualLayout>
      </c:layout>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Arial Narrow" panose="020B0606020202030204" pitchFamily="34" charset="0"/>
              <a:ea typeface="+mn-ea"/>
              <a:cs typeface="+mn-cs"/>
            </a:defRPr>
          </a:pPr>
          <a:endParaRPr lang="it-IT"/>
        </a:p>
      </c:txPr>
    </c:legend>
    <c:plotVisOnly val="1"/>
    <c:dispBlanksAs val="gap"/>
  </c:chart>
  <c:spPr>
    <a:solidFill>
      <a:srgbClr val="FFFFFF"/>
    </a:solidFill>
    <a:ln w="9525" cap="flat" cmpd="sng" algn="ctr">
      <a:noFill/>
      <a:round/>
    </a:ln>
    <a:effectLst/>
    <a:extLst>
      <a:ext uri="{91240B29-F687-4F45-9708-019B960494DF}">
        <a14:hiddenLine xmlns="" xmlns:r="http://schemas.openxmlformats.org/officeDocument/2006/relationships" xmlns:c16r2="http://schemas.microsoft.com/office/drawing/2015/06/chart" xmlns:a14="http://schemas.microsoft.com/office/drawing/2010/main" w="9525" cap="flat" cmpd="sng" algn="ctr">
          <a:solidFill>
            <a:sysClr val="windowText" lastClr="000000">
              <a:lumMod val="15000"/>
              <a:lumOff val="85000"/>
            </a:sysClr>
          </a:solidFill>
          <a:round/>
        </a14:hiddenLine>
      </a:ext>
    </a:extLst>
  </c:spPr>
  <c:txPr>
    <a:bodyPr/>
    <a:lstStyle/>
    <a:p>
      <a:pPr>
        <a:defRPr sz="900">
          <a:solidFill>
            <a:srgbClr val="000000"/>
          </a:solidFill>
          <a:latin typeface="Arial Narrow" panose="020B0606020202030204" pitchFamily="34" charset="0"/>
        </a:defRPr>
      </a:pPr>
      <a:endParaRPr lang="it-IT"/>
    </a:p>
  </c:txPr>
  <c:externalData r:id="rId1"/>
</c:chartSpace>
</file>

<file path=word/drawings/drawing1.xml><?xml version="1.0" encoding="utf-8"?>
<c:userShapes xmlns:c="http://schemas.openxmlformats.org/drawingml/2006/chart">
  <cdr:relSizeAnchor xmlns:cdr="http://schemas.openxmlformats.org/drawingml/2006/chartDrawing">
    <cdr:from>
      <cdr:x>0</cdr:x>
      <cdr:y>0.03106</cdr:y>
    </cdr:from>
    <cdr:to>
      <cdr:x>0.06614</cdr:x>
      <cdr:y>0.09514</cdr:y>
    </cdr:to>
    <cdr:sp macro="" textlink="">
      <cdr:nvSpPr>
        <cdr:cNvPr id="2" name="CasellaDiTesto 5"/>
        <cdr:cNvSpPr txBox="1"/>
      </cdr:nvSpPr>
      <cdr:spPr>
        <a:xfrm xmlns:a="http://schemas.openxmlformats.org/drawingml/2006/main">
          <a:off x="0" y="100619"/>
          <a:ext cx="428587" cy="20761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it-IT" sz="900">
              <a:latin typeface="Arial Narrow" panose="020B0606020202030204" pitchFamily="34" charset="0"/>
            </a:rPr>
            <a:t>Flussi</a:t>
          </a:r>
        </a:p>
      </cdr:txBody>
    </cdr:sp>
  </cdr:relSizeAnchor>
  <cdr:relSizeAnchor xmlns:cdr="http://schemas.openxmlformats.org/drawingml/2006/chartDrawing">
    <cdr:from>
      <cdr:x>0.93949</cdr:x>
      <cdr:y>0.03903</cdr:y>
    </cdr:from>
    <cdr:to>
      <cdr:x>1</cdr:x>
      <cdr:y>0.10311</cdr:y>
    </cdr:to>
    <cdr:sp macro="" textlink="">
      <cdr:nvSpPr>
        <cdr:cNvPr id="3" name="CasellaDiTesto 6"/>
        <cdr:cNvSpPr txBox="1"/>
      </cdr:nvSpPr>
      <cdr:spPr>
        <a:xfrm xmlns:a="http://schemas.openxmlformats.org/drawingml/2006/main">
          <a:off x="6087895" y="126442"/>
          <a:ext cx="392105" cy="20761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it-IT" sz="900">
              <a:latin typeface="Arial Narrow" panose="020B0606020202030204" pitchFamily="34" charset="0"/>
            </a:rPr>
            <a:t>Saldi</a:t>
          </a:r>
        </a:p>
      </cdr:txBody>
    </cdr:sp>
  </cdr:relSizeAnchor>
</c:userShape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Nota o comunicato" ma:contentTypeID="0x010100B795A82E90F7744F8BBD5BCEA1E47B9D00412BB8B24175FB4599016A296A388103" ma:contentTypeVersion="2" ma:contentTypeDescription="" ma:contentTypeScope="" ma:versionID="fef993d87c238cc71779350178681a56">
  <xsd:schema xmlns:xsd="http://www.w3.org/2001/XMLSchema" xmlns:xs="http://www.w3.org/2001/XMLSchema" xmlns:p="http://schemas.microsoft.com/office/2006/metadata/properties" xmlns:ns2="2886d22a-1eb9-406b-961e-e52bb60f5915" targetNamespace="http://schemas.microsoft.com/office/2006/metadata/properties" ma:root="true" ma:fieldsID="6a986a9c8108b3d7a67e5da413ff238a" ns2:_="">
    <xsd:import namespace="2886d22a-1eb9-406b-961e-e52bb60f59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6d22a-1eb9-406b-961e-e52bb60f5915"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99B82D3-774F-45B9-9412-3FAAF08C49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1540C7-411D-4144-955F-3350F5699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6d22a-1eb9-406b-961e-e52bb60f5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8F325F-EA70-436F-8D86-72521ECB0E2D}">
  <ds:schemaRefs>
    <ds:schemaRef ds:uri="http://schemas.microsoft.com/sharepoint/events"/>
  </ds:schemaRefs>
</ds:datastoreItem>
</file>

<file path=customXml/itemProps4.xml><?xml version="1.0" encoding="utf-8"?>
<ds:datastoreItem xmlns:ds="http://schemas.openxmlformats.org/officeDocument/2006/customXml" ds:itemID="{DFC39059-96F1-401E-92B1-C18A595DEE9C}">
  <ds:schemaRefs>
    <ds:schemaRef ds:uri="http://schemas.openxmlformats.org/officeDocument/2006/bibliography"/>
  </ds:schemaRefs>
</ds:datastoreItem>
</file>

<file path=customXml/itemProps5.xml><?xml version="1.0" encoding="utf-8"?>
<ds:datastoreItem xmlns:ds="http://schemas.openxmlformats.org/officeDocument/2006/customXml" ds:itemID="{BC18B7C5-48CB-4D8F-B2CA-BDF055C20707}">
  <ds:schemaRefs>
    <ds:schemaRef ds:uri="http://schemas.microsoft.com/sharepoint/v3/contenttype/forms"/>
  </ds:schemaRefs>
</ds:datastoreItem>
</file>

<file path=customXml/itemProps6.xml><?xml version="1.0" encoding="utf-8"?>
<ds:datastoreItem xmlns:ds="http://schemas.openxmlformats.org/officeDocument/2006/customXml" ds:itemID="{B00D97CF-20CD-4046-A670-09B1A9EBF51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3908</Words>
  <Characters>22281</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Commercio estero extra-UE</vt:lpstr>
    </vt:vector>
  </TitlesOfParts>
  <Manager/>
  <Company>HP</Company>
  <LinksUpToDate>false</LinksUpToDate>
  <CharactersWithSpaces>26137</CharactersWithSpaces>
  <SharedDoc>false</SharedDoc>
  <HyperlinkBase/>
  <HLinks>
    <vt:vector size="72" baseType="variant">
      <vt:variant>
        <vt:i4>5898331</vt:i4>
      </vt:variant>
      <vt:variant>
        <vt:i4>33</vt:i4>
      </vt:variant>
      <vt:variant>
        <vt:i4>0</vt:i4>
      </vt:variant>
      <vt:variant>
        <vt:i4>5</vt:i4>
      </vt:variant>
      <vt:variant>
        <vt:lpwstr>http://www.istat.it/it/archivio/45225</vt:lpwstr>
      </vt:variant>
      <vt:variant>
        <vt:lpwstr/>
      </vt:variant>
      <vt:variant>
        <vt:i4>3604535</vt:i4>
      </vt:variant>
      <vt:variant>
        <vt:i4>30</vt:i4>
      </vt:variant>
      <vt:variant>
        <vt:i4>0</vt:i4>
      </vt:variant>
      <vt:variant>
        <vt:i4>5</vt:i4>
      </vt:variant>
      <vt:variant>
        <vt:lpwstr>http://www.istat.it/it/archivio/esportazioni+delle+regioni</vt:lpwstr>
      </vt:variant>
      <vt:variant>
        <vt:lpwstr/>
      </vt:variant>
      <vt:variant>
        <vt:i4>1245267</vt:i4>
      </vt:variant>
      <vt:variant>
        <vt:i4>27</vt:i4>
      </vt:variant>
      <vt:variant>
        <vt:i4>0</vt:i4>
      </vt:variant>
      <vt:variant>
        <vt:i4>5</vt:i4>
      </vt:variant>
      <vt:variant>
        <vt:lpwstr>http://www.istat.it/it/archivio/commercio+estero+extra+ue</vt:lpwstr>
      </vt:variant>
      <vt:variant>
        <vt:lpwstr/>
      </vt:variant>
      <vt:variant>
        <vt:i4>4259923</vt:i4>
      </vt:variant>
      <vt:variant>
        <vt:i4>24</vt:i4>
      </vt:variant>
      <vt:variant>
        <vt:i4>0</vt:i4>
      </vt:variant>
      <vt:variant>
        <vt:i4>5</vt:i4>
      </vt:variant>
      <vt:variant>
        <vt:lpwstr>http://www.istat.it/it/archivio/commercio+estero+e+prezzi+import</vt:lpwstr>
      </vt:variant>
      <vt:variant>
        <vt:lpwstr/>
      </vt:variant>
      <vt:variant>
        <vt:i4>1900613</vt:i4>
      </vt:variant>
      <vt:variant>
        <vt:i4>21</vt:i4>
      </vt:variant>
      <vt:variant>
        <vt:i4>0</vt:i4>
      </vt:variant>
      <vt:variant>
        <vt:i4>5</vt:i4>
      </vt:variant>
      <vt:variant>
        <vt:lpwstr>https://www.coeweb.istat.it/</vt:lpwstr>
      </vt:variant>
      <vt:variant>
        <vt:lpwstr/>
      </vt:variant>
      <vt:variant>
        <vt:i4>1900613</vt:i4>
      </vt:variant>
      <vt:variant>
        <vt:i4>18</vt:i4>
      </vt:variant>
      <vt:variant>
        <vt:i4>0</vt:i4>
      </vt:variant>
      <vt:variant>
        <vt:i4>5</vt:i4>
      </vt:variant>
      <vt:variant>
        <vt:lpwstr>https://www.coeweb.istat.it/</vt:lpwstr>
      </vt:variant>
      <vt:variant>
        <vt:lpwstr/>
      </vt:variant>
      <vt:variant>
        <vt:i4>5308420</vt:i4>
      </vt:variant>
      <vt:variant>
        <vt:i4>15</vt:i4>
      </vt:variant>
      <vt:variant>
        <vt:i4>0</vt:i4>
      </vt:variant>
      <vt:variant>
        <vt:i4>5</vt:i4>
      </vt:variant>
      <vt:variant>
        <vt:lpwstr>https://www.coeweb.istat.it/note_metodologiche/note_diffusione.htm</vt:lpwstr>
      </vt:variant>
      <vt:variant>
        <vt:lpwstr/>
      </vt:variant>
      <vt:variant>
        <vt:i4>3735592</vt:i4>
      </vt:variant>
      <vt:variant>
        <vt:i4>12</vt:i4>
      </vt:variant>
      <vt:variant>
        <vt:i4>0</vt:i4>
      </vt:variant>
      <vt:variant>
        <vt:i4>5</vt:i4>
      </vt:variant>
      <vt:variant>
        <vt:lpwstr>http://www.istat.it/it/files/2016/07/scheda-CommercioEsteroextraUE.pdf</vt:lpwstr>
      </vt:variant>
      <vt:variant>
        <vt:lpwstr/>
      </vt:variant>
      <vt:variant>
        <vt:i4>2031617</vt:i4>
      </vt:variant>
      <vt:variant>
        <vt:i4>9</vt:i4>
      </vt:variant>
      <vt:variant>
        <vt:i4>0</vt:i4>
      </vt:variant>
      <vt:variant>
        <vt:i4>5</vt:i4>
      </vt:variant>
      <vt:variant>
        <vt:lpwstr>http://www.istat.it/it/congiuntura/revisioni</vt:lpwstr>
      </vt:variant>
      <vt:variant>
        <vt:lpwstr/>
      </vt:variant>
      <vt:variant>
        <vt:i4>5898331</vt:i4>
      </vt:variant>
      <vt:variant>
        <vt:i4>6</vt:i4>
      </vt:variant>
      <vt:variant>
        <vt:i4>0</vt:i4>
      </vt:variant>
      <vt:variant>
        <vt:i4>5</vt:i4>
      </vt:variant>
      <vt:variant>
        <vt:lpwstr>http://www.istat.it/it/archivio/45225</vt:lpwstr>
      </vt:variant>
      <vt:variant>
        <vt:lpwstr/>
      </vt:variant>
      <vt:variant>
        <vt:i4>7208997</vt:i4>
      </vt:variant>
      <vt:variant>
        <vt:i4>3</vt:i4>
      </vt:variant>
      <vt:variant>
        <vt:i4>0</vt:i4>
      </vt:variant>
      <vt:variant>
        <vt:i4>5</vt:i4>
      </vt:variant>
      <vt:variant>
        <vt:lpwstr>http://www.istat.it/it/congiuntura</vt:lpwstr>
      </vt:variant>
      <vt:variant>
        <vt:lpwstr/>
      </vt:variant>
      <vt:variant>
        <vt:i4>6094849</vt:i4>
      </vt:variant>
      <vt:variant>
        <vt:i4>0</vt:i4>
      </vt:variant>
      <vt:variant>
        <vt:i4>0</vt:i4>
      </vt:variant>
      <vt:variant>
        <vt:i4>5</vt:i4>
      </vt:variant>
      <vt:variant>
        <vt:lpwstr>http://dati.istat.it/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Commercio estero extra-UE</dc:title>
  <dc:subject/>
  <dc:creator>ISTAT</dc:creator>
  <cp:keywords>Commercio estero extra Ue</cp:keywords>
  <dc:description/>
  <cp:lastModifiedBy>etvcoop01</cp:lastModifiedBy>
  <cp:revision>5</cp:revision>
  <cp:lastPrinted>2024-04-23T20:50:00Z</cp:lastPrinted>
  <dcterms:created xsi:type="dcterms:W3CDTF">2024-04-23T22:40:00Z</dcterms:created>
  <dcterms:modified xsi:type="dcterms:W3CDTF">2024-04-30T10:14:00Z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2QYKZWF4TN2A-29-1481</vt:lpwstr>
  </property>
  <property fmtid="{D5CDD505-2E9C-101B-9397-08002B2CF9AE}" pid="3" name="_dlc_DocIdItemGuid">
    <vt:lpwstr>a854da55-5598-4bc3-a3c1-17f98066c950</vt:lpwstr>
  </property>
  <property fmtid="{D5CDD505-2E9C-101B-9397-08002B2CF9AE}" pid="4" name="_dlc_DocIdUrl">
    <vt:lpwstr>https://collaborazione.istat.it/siti/ed/ufficio_stampa/_layouts/DocIdRedir.aspx?ID=2QYKZWF4TN2A-29-1481, 2QYKZWF4TN2A-29-1481</vt:lpwstr>
  </property>
</Properties>
</file>