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5B770" w14:textId="77777777" w:rsidR="006050A4" w:rsidRDefault="006050A4" w:rsidP="008E75C6">
      <w:pPr>
        <w:jc w:val="left"/>
        <w:rPr>
          <w:rFonts w:ascii="Calibri" w:hAnsi="Calibri" w:cs="Calibri"/>
          <w:b/>
          <w:szCs w:val="24"/>
        </w:rPr>
      </w:pPr>
    </w:p>
    <w:p w14:paraId="53BB2970" w14:textId="77777777" w:rsidR="0014309F" w:rsidRDefault="0014309F" w:rsidP="008E75C6">
      <w:pPr>
        <w:jc w:val="left"/>
        <w:rPr>
          <w:rFonts w:ascii="Calibri" w:hAnsi="Calibri" w:cs="Calibri"/>
          <w:b/>
          <w:szCs w:val="24"/>
        </w:rPr>
      </w:pPr>
    </w:p>
    <w:p w14:paraId="4E31A127" w14:textId="77777777" w:rsidR="0011658F" w:rsidRDefault="0011658F" w:rsidP="008E75C6">
      <w:pPr>
        <w:jc w:val="left"/>
        <w:rPr>
          <w:rFonts w:ascii="Fedra Sans Std Demi" w:hAnsi="Fedra Sans Std Demi" w:cs="Calibri"/>
          <w:color w:val="071D49"/>
          <w:szCs w:val="24"/>
        </w:rPr>
      </w:pPr>
    </w:p>
    <w:p w14:paraId="61002B7C" w14:textId="77777777" w:rsidR="00704D07" w:rsidRDefault="00704D07" w:rsidP="008E75C6">
      <w:pPr>
        <w:jc w:val="left"/>
        <w:rPr>
          <w:rFonts w:ascii="Fedra Sans Std Demi" w:hAnsi="Fedra Sans Std Demi" w:cs="Calibri"/>
          <w:color w:val="071D49"/>
          <w:szCs w:val="24"/>
        </w:rPr>
      </w:pPr>
    </w:p>
    <w:p w14:paraId="5E91177A" w14:textId="77777777" w:rsidR="00704D07" w:rsidRDefault="00704D07" w:rsidP="008E75C6">
      <w:pPr>
        <w:jc w:val="left"/>
        <w:rPr>
          <w:rFonts w:ascii="Fedra Sans Std Demi" w:hAnsi="Fedra Sans Std Demi" w:cs="Calibri"/>
          <w:color w:val="071D49"/>
          <w:szCs w:val="24"/>
        </w:rPr>
      </w:pPr>
    </w:p>
    <w:p w14:paraId="7F3E7E94" w14:textId="77777777" w:rsidR="00B94E32" w:rsidRPr="00E37375" w:rsidRDefault="00B94E32" w:rsidP="00B94E32">
      <w:pPr>
        <w:jc w:val="left"/>
        <w:rPr>
          <w:rFonts w:ascii="Calibri" w:hAnsi="Calibri" w:cs="Calibri"/>
          <w:b/>
          <w:bCs/>
          <w:color w:val="1F4E79"/>
          <w:kern w:val="32"/>
          <w:sz w:val="32"/>
          <w:szCs w:val="32"/>
        </w:rPr>
      </w:pPr>
      <w:r w:rsidRPr="00E37375">
        <w:rPr>
          <w:rFonts w:ascii="Fedra Sans Std Demi" w:hAnsi="Fedra Sans Std Demi" w:cs="Calibri"/>
          <w:color w:val="071D49"/>
          <w:szCs w:val="24"/>
        </w:rPr>
        <w:t>Comunicato Stampa</w:t>
      </w:r>
    </w:p>
    <w:p w14:paraId="1B8AFD1D" w14:textId="77777777" w:rsidR="00B94E32" w:rsidRPr="00097D84" w:rsidRDefault="00B94E32" w:rsidP="008E75C6">
      <w:pPr>
        <w:jc w:val="left"/>
        <w:rPr>
          <w:rFonts w:ascii="Fedra Sans Std Demi" w:hAnsi="Fedra Sans Std Demi" w:cs="Calibri"/>
          <w:color w:val="071D49"/>
          <w:szCs w:val="24"/>
          <w:highlight w:val="yellow"/>
        </w:rPr>
      </w:pPr>
    </w:p>
    <w:p w14:paraId="60401678" w14:textId="6E7DDE63" w:rsidR="008D5699" w:rsidRDefault="008D5699" w:rsidP="008D5699">
      <w:pPr>
        <w:jc w:val="center"/>
        <w:rPr>
          <w:rFonts w:ascii="Calibri" w:hAnsi="Calibri" w:cs="Calibri"/>
          <w:szCs w:val="24"/>
        </w:rPr>
      </w:pPr>
      <w:r w:rsidRPr="00233C51">
        <w:rPr>
          <w:rFonts w:ascii="Calibri" w:hAnsi="Calibri" w:cs="Calibri"/>
          <w:szCs w:val="24"/>
        </w:rPr>
        <w:t xml:space="preserve">La congiuntura del manifatturiero nel </w:t>
      </w:r>
      <w:r w:rsidR="00E16EAC">
        <w:rPr>
          <w:rFonts w:ascii="Calibri" w:hAnsi="Calibri" w:cs="Calibri"/>
          <w:szCs w:val="24"/>
        </w:rPr>
        <w:t xml:space="preserve">primo </w:t>
      </w:r>
      <w:r w:rsidRPr="00233C51">
        <w:rPr>
          <w:rFonts w:ascii="Calibri" w:hAnsi="Calibri" w:cs="Calibri"/>
          <w:szCs w:val="24"/>
        </w:rPr>
        <w:t>trimestre 202</w:t>
      </w:r>
      <w:r w:rsidR="00E16EAC">
        <w:rPr>
          <w:rFonts w:ascii="Calibri" w:hAnsi="Calibri" w:cs="Calibri"/>
          <w:szCs w:val="24"/>
        </w:rPr>
        <w:t>4</w:t>
      </w:r>
    </w:p>
    <w:p w14:paraId="6DAC7C3C" w14:textId="77777777" w:rsidR="00D36C6F" w:rsidRPr="00233C51" w:rsidRDefault="00D36C6F" w:rsidP="008D5699">
      <w:pPr>
        <w:jc w:val="center"/>
        <w:rPr>
          <w:rFonts w:ascii="Calibri" w:hAnsi="Calibri" w:cs="Calibri"/>
          <w:szCs w:val="24"/>
        </w:rPr>
      </w:pPr>
    </w:p>
    <w:p w14:paraId="1800FC99" w14:textId="77777777" w:rsidR="00436C3C" w:rsidRPr="00E16EAC" w:rsidRDefault="00436C3C" w:rsidP="008D5699">
      <w:pPr>
        <w:jc w:val="center"/>
        <w:rPr>
          <w:rFonts w:ascii="Calibri" w:hAnsi="Calibri" w:cs="Calibri"/>
          <w:b/>
          <w:szCs w:val="24"/>
          <w:highlight w:val="yellow"/>
        </w:rPr>
      </w:pPr>
    </w:p>
    <w:p w14:paraId="641B1494" w14:textId="6433D923" w:rsidR="00C36751" w:rsidRPr="00106264" w:rsidRDefault="00922E58" w:rsidP="00436C3C">
      <w:pPr>
        <w:jc w:val="center"/>
        <w:rPr>
          <w:rFonts w:ascii="Calibri" w:hAnsi="Calibri" w:cs="Calibri"/>
          <w:b/>
          <w:szCs w:val="24"/>
        </w:rPr>
      </w:pPr>
      <w:r>
        <w:rPr>
          <w:rFonts w:ascii="Calibri" w:hAnsi="Calibri" w:cs="Calibri"/>
          <w:b/>
          <w:szCs w:val="24"/>
        </w:rPr>
        <w:t xml:space="preserve">MANIFATTURIERO IN TENUTA, MA </w:t>
      </w:r>
      <w:r w:rsidR="00106264" w:rsidRPr="00106264">
        <w:rPr>
          <w:rFonts w:ascii="Calibri" w:hAnsi="Calibri" w:cs="Calibri"/>
          <w:b/>
          <w:szCs w:val="24"/>
        </w:rPr>
        <w:t>CONGIUNTURA DEBOLE</w:t>
      </w:r>
    </w:p>
    <w:p w14:paraId="2DFF8010" w14:textId="77684420" w:rsidR="00106264" w:rsidRPr="00106264" w:rsidRDefault="00922E58" w:rsidP="00436C3C">
      <w:pPr>
        <w:jc w:val="center"/>
        <w:rPr>
          <w:rFonts w:ascii="Calibri" w:hAnsi="Calibri" w:cs="Calibri"/>
          <w:i/>
          <w:sz w:val="22"/>
          <w:szCs w:val="22"/>
        </w:rPr>
      </w:pPr>
      <w:r>
        <w:rPr>
          <w:rFonts w:ascii="Calibri" w:hAnsi="Calibri" w:cs="Calibri"/>
          <w:i/>
          <w:sz w:val="22"/>
          <w:szCs w:val="22"/>
        </w:rPr>
        <w:t>Si</w:t>
      </w:r>
      <w:r w:rsidR="00106264" w:rsidRPr="00106264">
        <w:rPr>
          <w:rFonts w:ascii="Calibri" w:hAnsi="Calibri" w:cs="Calibri"/>
          <w:i/>
          <w:sz w:val="22"/>
          <w:szCs w:val="22"/>
        </w:rPr>
        <w:t xml:space="preserve"> allontana per il momento il rischio recessione. Segnali positivi sul passo congiunturale convivono con un confronto su base annua ancora sfavorevole. In recupero l’industria dei metalli, segno di una possibile ripartenza d</w:t>
      </w:r>
      <w:r w:rsidR="0089498C">
        <w:rPr>
          <w:rFonts w:ascii="Calibri" w:hAnsi="Calibri" w:cs="Calibri"/>
          <w:i/>
          <w:sz w:val="22"/>
          <w:szCs w:val="22"/>
        </w:rPr>
        <w:t xml:space="preserve">ella domanda di input a supporto dei </w:t>
      </w:r>
      <w:r w:rsidR="00106264" w:rsidRPr="00106264">
        <w:rPr>
          <w:rFonts w:ascii="Calibri" w:hAnsi="Calibri" w:cs="Calibri"/>
          <w:i/>
          <w:sz w:val="22"/>
          <w:szCs w:val="22"/>
        </w:rPr>
        <w:t>vari settori</w:t>
      </w:r>
    </w:p>
    <w:p w14:paraId="1A5C980F" w14:textId="77777777" w:rsidR="008D5699" w:rsidRPr="006768AA" w:rsidRDefault="008D5699" w:rsidP="008D5699">
      <w:pPr>
        <w:jc w:val="center"/>
        <w:rPr>
          <w:rFonts w:asciiTheme="minorHAnsi" w:hAnsiTheme="minorHAnsi" w:cstheme="minorHAnsi"/>
          <w:color w:val="1D1B11"/>
          <w:szCs w:val="24"/>
          <w:highlight w:val="yellow"/>
        </w:rPr>
      </w:pPr>
    </w:p>
    <w:p w14:paraId="6D42277A" w14:textId="0EF3A3CD" w:rsidR="008D5699" w:rsidRPr="006F4779" w:rsidRDefault="009F6232" w:rsidP="008D5699">
      <w:pPr>
        <w:spacing w:line="320" w:lineRule="exact"/>
        <w:rPr>
          <w:rFonts w:asciiTheme="minorHAnsi" w:hAnsiTheme="minorHAnsi" w:cstheme="minorHAnsi"/>
          <w:color w:val="1D1B11"/>
          <w:szCs w:val="24"/>
        </w:rPr>
      </w:pPr>
      <w:r w:rsidRPr="00783616">
        <w:rPr>
          <w:rFonts w:asciiTheme="minorHAnsi" w:hAnsiTheme="minorHAnsi" w:cstheme="minorHAnsi"/>
          <w:color w:val="1D1B11"/>
          <w:szCs w:val="24"/>
        </w:rPr>
        <w:t xml:space="preserve">Treviso, </w:t>
      </w:r>
      <w:r w:rsidR="00E16EAC" w:rsidRPr="001F4878">
        <w:rPr>
          <w:rFonts w:asciiTheme="minorHAnsi" w:hAnsiTheme="minorHAnsi" w:cstheme="minorHAnsi"/>
          <w:color w:val="1D1B11"/>
          <w:szCs w:val="24"/>
        </w:rPr>
        <w:t>2</w:t>
      </w:r>
      <w:r w:rsidR="003F16B0" w:rsidRPr="001F4878">
        <w:rPr>
          <w:rFonts w:asciiTheme="minorHAnsi" w:hAnsiTheme="minorHAnsi" w:cstheme="minorHAnsi"/>
          <w:color w:val="1D1B11"/>
          <w:szCs w:val="24"/>
        </w:rPr>
        <w:t>7</w:t>
      </w:r>
      <w:r w:rsidR="00D36C6F" w:rsidRPr="001F4878">
        <w:rPr>
          <w:rFonts w:asciiTheme="minorHAnsi" w:hAnsiTheme="minorHAnsi" w:cstheme="minorHAnsi"/>
          <w:color w:val="1D1B11"/>
          <w:szCs w:val="24"/>
        </w:rPr>
        <w:t xml:space="preserve"> </w:t>
      </w:r>
      <w:r w:rsidR="00E72FF8" w:rsidRPr="001F4878">
        <w:rPr>
          <w:rFonts w:asciiTheme="minorHAnsi" w:hAnsiTheme="minorHAnsi" w:cstheme="minorHAnsi"/>
          <w:color w:val="1D1B11"/>
          <w:szCs w:val="24"/>
        </w:rPr>
        <w:t>ma</w:t>
      </w:r>
      <w:r w:rsidR="00E16EAC" w:rsidRPr="001F4878">
        <w:rPr>
          <w:rFonts w:asciiTheme="minorHAnsi" w:hAnsiTheme="minorHAnsi" w:cstheme="minorHAnsi"/>
          <w:color w:val="1D1B11"/>
          <w:szCs w:val="24"/>
        </w:rPr>
        <w:t>ggio</w:t>
      </w:r>
      <w:r w:rsidR="008D5699" w:rsidRPr="00783616">
        <w:rPr>
          <w:rFonts w:asciiTheme="minorHAnsi" w:hAnsiTheme="minorHAnsi" w:cstheme="minorHAnsi"/>
          <w:color w:val="1D1B11"/>
          <w:szCs w:val="24"/>
        </w:rPr>
        <w:t xml:space="preserve"> 202</w:t>
      </w:r>
      <w:r w:rsidR="00C36751">
        <w:rPr>
          <w:rFonts w:asciiTheme="minorHAnsi" w:hAnsiTheme="minorHAnsi" w:cstheme="minorHAnsi"/>
          <w:color w:val="1D1B11"/>
          <w:szCs w:val="24"/>
        </w:rPr>
        <w:t>4</w:t>
      </w:r>
      <w:r w:rsidR="008D5699" w:rsidRPr="00783616">
        <w:rPr>
          <w:rFonts w:asciiTheme="minorHAnsi" w:hAnsiTheme="minorHAnsi" w:cstheme="minorHAnsi"/>
          <w:color w:val="1D1B11"/>
          <w:szCs w:val="24"/>
        </w:rPr>
        <w:t>.</w:t>
      </w:r>
      <w:r w:rsidR="008D5699" w:rsidRPr="006F4779">
        <w:rPr>
          <w:rFonts w:asciiTheme="minorHAnsi" w:hAnsiTheme="minorHAnsi" w:cstheme="minorHAnsi"/>
          <w:color w:val="1D1B11"/>
          <w:szCs w:val="24"/>
        </w:rPr>
        <w:t xml:space="preserve">  </w:t>
      </w:r>
    </w:p>
    <w:p w14:paraId="1DF15DB9" w14:textId="2CC668F0" w:rsidR="008D5699" w:rsidRPr="00742DB3" w:rsidRDefault="008D5699" w:rsidP="008D5699">
      <w:pPr>
        <w:spacing w:before="240" w:after="120"/>
        <w:rPr>
          <w:rFonts w:ascii="Calibri" w:hAnsi="Calibri" w:cs="Calibri"/>
          <w:b/>
          <w:szCs w:val="24"/>
        </w:rPr>
      </w:pPr>
      <w:r w:rsidRPr="00742DB3">
        <w:rPr>
          <w:rFonts w:ascii="Calibri" w:hAnsi="Calibri" w:cs="Calibri"/>
          <w:b/>
          <w:szCs w:val="24"/>
        </w:rPr>
        <w:t>Il commento del Presidente Mario Pozza</w:t>
      </w:r>
    </w:p>
    <w:p w14:paraId="50334AF0" w14:textId="7CEA75EF" w:rsidR="005453E4" w:rsidRPr="00B509EC" w:rsidRDefault="005453E4" w:rsidP="00947F1D">
      <w:pPr>
        <w:spacing w:before="240" w:after="120"/>
        <w:rPr>
          <w:rFonts w:ascii="Calibri" w:hAnsi="Calibri" w:cs="Calibri"/>
          <w:bCs/>
          <w:szCs w:val="24"/>
        </w:rPr>
      </w:pPr>
      <w:r w:rsidRPr="00B509EC">
        <w:rPr>
          <w:rFonts w:ascii="Calibri" w:hAnsi="Calibri" w:cs="Calibri"/>
          <w:bCs/>
          <w:i/>
          <w:iCs/>
          <w:szCs w:val="24"/>
        </w:rPr>
        <w:t xml:space="preserve">I risultati </w:t>
      </w:r>
      <w:r w:rsidR="00170895" w:rsidRPr="00B509EC">
        <w:rPr>
          <w:rFonts w:ascii="Calibri" w:hAnsi="Calibri" w:cs="Calibri"/>
          <w:bCs/>
          <w:i/>
          <w:iCs/>
          <w:szCs w:val="24"/>
        </w:rPr>
        <w:t xml:space="preserve">al primo trimestre 2024 </w:t>
      </w:r>
      <w:r w:rsidRPr="00B509EC">
        <w:rPr>
          <w:rFonts w:ascii="Calibri" w:hAnsi="Calibri" w:cs="Calibri"/>
          <w:bCs/>
          <w:i/>
          <w:iCs/>
          <w:szCs w:val="24"/>
        </w:rPr>
        <w:t xml:space="preserve">dell’indagine congiunturale condotta come di consueto su un campione di imprese manifatturiere venete, trevigiane e bellunesi, </w:t>
      </w:r>
      <w:r w:rsidR="00106264" w:rsidRPr="00B509EC">
        <w:rPr>
          <w:rFonts w:ascii="Calibri" w:hAnsi="Calibri" w:cs="Calibri"/>
          <w:bCs/>
          <w:i/>
          <w:iCs/>
          <w:szCs w:val="24"/>
        </w:rPr>
        <w:t>non evidenziano ulteriori peggioramenti. Siamo ancora dentro una fase di rallentamento del ciclo economico, ma con alcuni incoraggianti segnali di attenuazione</w:t>
      </w:r>
      <w:r w:rsidR="00170895" w:rsidRPr="00B509EC">
        <w:rPr>
          <w:rFonts w:ascii="Calibri" w:hAnsi="Calibri" w:cs="Calibri"/>
          <w:bCs/>
          <w:i/>
          <w:iCs/>
          <w:szCs w:val="24"/>
        </w:rPr>
        <w:t xml:space="preserve"> </w:t>
      </w:r>
      <w:r w:rsidRPr="00B509EC">
        <w:rPr>
          <w:rFonts w:ascii="Calibri" w:hAnsi="Calibri" w:cs="Calibri"/>
          <w:bCs/>
          <w:i/>
          <w:iCs/>
          <w:szCs w:val="24"/>
        </w:rPr>
        <w:t xml:space="preserve">- </w:t>
      </w:r>
      <w:r w:rsidRPr="00B509EC">
        <w:rPr>
          <w:rFonts w:ascii="Calibri" w:hAnsi="Calibri" w:cs="Calibri"/>
          <w:bCs/>
          <w:iCs/>
          <w:szCs w:val="24"/>
        </w:rPr>
        <w:t>commenta il</w:t>
      </w:r>
      <w:r w:rsidRPr="00B509EC">
        <w:rPr>
          <w:rFonts w:ascii="Calibri" w:hAnsi="Calibri" w:cs="Calibri"/>
          <w:bCs/>
          <w:szCs w:val="24"/>
        </w:rPr>
        <w:t xml:space="preserve"> Presidente della Camera di Commercio di Treviso-Belluno, Mario Pozza.</w:t>
      </w:r>
    </w:p>
    <w:p w14:paraId="4285700E" w14:textId="47A0FE55" w:rsidR="00926470" w:rsidRPr="00B509EC" w:rsidRDefault="00106264" w:rsidP="00947F1D">
      <w:pPr>
        <w:spacing w:before="240" w:after="120"/>
        <w:rPr>
          <w:rFonts w:ascii="Calibri" w:hAnsi="Calibri" w:cs="Calibri"/>
          <w:bCs/>
          <w:i/>
          <w:iCs/>
          <w:szCs w:val="24"/>
        </w:rPr>
      </w:pPr>
      <w:r w:rsidRPr="00B509EC">
        <w:rPr>
          <w:rFonts w:ascii="Calibri" w:hAnsi="Calibri" w:cs="Calibri"/>
          <w:bCs/>
          <w:i/>
          <w:iCs/>
          <w:szCs w:val="24"/>
        </w:rPr>
        <w:t>Quali sono i dati che ci permettono questa affermazione?</w:t>
      </w:r>
      <w:r w:rsidR="00926470" w:rsidRPr="00B509EC">
        <w:rPr>
          <w:rFonts w:ascii="Calibri" w:hAnsi="Calibri" w:cs="Calibri"/>
          <w:bCs/>
          <w:i/>
          <w:iCs/>
          <w:szCs w:val="24"/>
        </w:rPr>
        <w:t xml:space="preserve"> Le variazioni congiunturali – </w:t>
      </w:r>
      <w:r w:rsidR="00926470" w:rsidRPr="00B509EC">
        <w:rPr>
          <w:rFonts w:ascii="Calibri" w:hAnsi="Calibri" w:cs="Calibri"/>
          <w:bCs/>
          <w:iCs/>
          <w:szCs w:val="24"/>
        </w:rPr>
        <w:t>spiega</w:t>
      </w:r>
      <w:r w:rsidR="00926470" w:rsidRPr="00B509EC">
        <w:rPr>
          <w:rFonts w:ascii="Calibri" w:hAnsi="Calibri" w:cs="Calibri"/>
          <w:bCs/>
          <w:szCs w:val="24"/>
        </w:rPr>
        <w:t xml:space="preserve"> </w:t>
      </w:r>
      <w:r w:rsidR="00B509EC" w:rsidRPr="00B509EC">
        <w:rPr>
          <w:rFonts w:ascii="Calibri" w:hAnsi="Calibri" w:cs="Calibri"/>
          <w:bCs/>
          <w:szCs w:val="24"/>
        </w:rPr>
        <w:t xml:space="preserve">Pozza: </w:t>
      </w:r>
      <w:r w:rsidR="00B509EC" w:rsidRPr="00922E58">
        <w:rPr>
          <w:rFonts w:ascii="Calibri" w:hAnsi="Calibri" w:cs="Calibri"/>
          <w:bCs/>
          <w:i/>
          <w:iCs/>
          <w:szCs w:val="24"/>
        </w:rPr>
        <w:t>produzione</w:t>
      </w:r>
      <w:r w:rsidR="00926470" w:rsidRPr="00B509EC">
        <w:rPr>
          <w:rFonts w:ascii="Calibri" w:hAnsi="Calibri" w:cs="Calibri"/>
          <w:bCs/>
          <w:i/>
          <w:iCs/>
          <w:szCs w:val="24"/>
        </w:rPr>
        <w:t xml:space="preserve"> e raccolta ordini, in particolare dai mercati esteri, sono tornati a recuperare terreno, sostenendo la tenuta e il lieve miglioramento del grado di utilizzo degli impianti, e un altrettanto lieve allungamento dei giorni di produzione assicurati dal portafoglio ordini.</w:t>
      </w:r>
    </w:p>
    <w:p w14:paraId="5C175A4E" w14:textId="0C4B6423" w:rsidR="00926470" w:rsidRPr="00B509EC" w:rsidRDefault="00926470" w:rsidP="00947F1D">
      <w:pPr>
        <w:spacing w:before="240" w:after="120"/>
        <w:rPr>
          <w:rFonts w:ascii="Calibri" w:hAnsi="Calibri" w:cs="Calibri"/>
          <w:bCs/>
          <w:i/>
          <w:iCs/>
          <w:szCs w:val="24"/>
        </w:rPr>
      </w:pPr>
      <w:r w:rsidRPr="00B509EC">
        <w:rPr>
          <w:rFonts w:ascii="Calibri" w:hAnsi="Calibri" w:cs="Calibri"/>
          <w:bCs/>
          <w:i/>
          <w:iCs/>
          <w:szCs w:val="24"/>
        </w:rPr>
        <w:t xml:space="preserve">Restiamo pur sempre dentro un quadro di congiuntura debole – </w:t>
      </w:r>
      <w:r w:rsidRPr="00922E58">
        <w:rPr>
          <w:rFonts w:ascii="Calibri" w:hAnsi="Calibri" w:cs="Calibri"/>
          <w:bCs/>
          <w:szCs w:val="24"/>
        </w:rPr>
        <w:t>aggiunge il Presidente</w:t>
      </w:r>
      <w:r w:rsidRPr="00B509EC">
        <w:rPr>
          <w:rFonts w:ascii="Calibri" w:hAnsi="Calibri" w:cs="Calibri"/>
          <w:bCs/>
          <w:i/>
          <w:iCs/>
          <w:szCs w:val="24"/>
        </w:rPr>
        <w:t xml:space="preserve"> – condizionato dai ben noti scenari internazionali e da settori che oggi pagano di più l’inflazione strisciante, il calo del potere d’acquisto delle famiglie, </w:t>
      </w:r>
      <w:r w:rsidR="00922E58">
        <w:rPr>
          <w:rFonts w:ascii="Calibri" w:hAnsi="Calibri" w:cs="Calibri"/>
          <w:bCs/>
          <w:i/>
          <w:iCs/>
          <w:szCs w:val="24"/>
        </w:rPr>
        <w:t xml:space="preserve">l’incertezza negli investimenti, come anche </w:t>
      </w:r>
      <w:r w:rsidRPr="00B509EC">
        <w:rPr>
          <w:rFonts w:ascii="Calibri" w:hAnsi="Calibri" w:cs="Calibri"/>
          <w:bCs/>
          <w:i/>
          <w:iCs/>
          <w:szCs w:val="24"/>
        </w:rPr>
        <w:t>l</w:t>
      </w:r>
      <w:r w:rsidR="00922E58">
        <w:rPr>
          <w:rFonts w:ascii="Calibri" w:hAnsi="Calibri" w:cs="Calibri"/>
          <w:bCs/>
          <w:i/>
          <w:iCs/>
          <w:szCs w:val="24"/>
        </w:rPr>
        <w:t>’esaurimento di fasi fin troppo effervescenti immediatamente dopo la pandemia</w:t>
      </w:r>
      <w:r w:rsidRPr="00B509EC">
        <w:rPr>
          <w:rFonts w:ascii="Calibri" w:hAnsi="Calibri" w:cs="Calibri"/>
          <w:bCs/>
          <w:i/>
          <w:iCs/>
          <w:szCs w:val="24"/>
        </w:rPr>
        <w:t xml:space="preserve">. Fra tutti, il legno-arredo è un settore che sembra non partecipare ancora al recupero congiunturale, con tutti i suoi indicatori (non solo produzione, ma anche ordinativi) ancora in negativo. Ma anche il </w:t>
      </w:r>
      <w:r w:rsidR="00922E58">
        <w:rPr>
          <w:rFonts w:ascii="Calibri" w:hAnsi="Calibri" w:cs="Calibri"/>
          <w:bCs/>
          <w:i/>
          <w:iCs/>
          <w:szCs w:val="24"/>
        </w:rPr>
        <w:t>“s</w:t>
      </w:r>
      <w:r w:rsidRPr="00B509EC">
        <w:rPr>
          <w:rFonts w:ascii="Calibri" w:hAnsi="Calibri" w:cs="Calibri"/>
          <w:bCs/>
          <w:i/>
          <w:iCs/>
          <w:szCs w:val="24"/>
        </w:rPr>
        <w:t xml:space="preserve">istema </w:t>
      </w:r>
      <w:r w:rsidR="00922E58">
        <w:rPr>
          <w:rFonts w:ascii="Calibri" w:hAnsi="Calibri" w:cs="Calibri"/>
          <w:bCs/>
          <w:i/>
          <w:iCs/>
          <w:szCs w:val="24"/>
        </w:rPr>
        <w:t>m</w:t>
      </w:r>
      <w:r w:rsidRPr="00B509EC">
        <w:rPr>
          <w:rFonts w:ascii="Calibri" w:hAnsi="Calibri" w:cs="Calibri"/>
          <w:bCs/>
          <w:i/>
          <w:iCs/>
          <w:szCs w:val="24"/>
        </w:rPr>
        <w:t>oda</w:t>
      </w:r>
      <w:r w:rsidR="00922E58">
        <w:rPr>
          <w:rFonts w:ascii="Calibri" w:hAnsi="Calibri" w:cs="Calibri"/>
          <w:bCs/>
          <w:i/>
          <w:iCs/>
          <w:szCs w:val="24"/>
        </w:rPr>
        <w:t>”</w:t>
      </w:r>
      <w:r w:rsidRPr="00B509EC">
        <w:rPr>
          <w:rFonts w:ascii="Calibri" w:hAnsi="Calibri" w:cs="Calibri"/>
          <w:bCs/>
          <w:i/>
          <w:iCs/>
          <w:szCs w:val="24"/>
        </w:rPr>
        <w:t xml:space="preserve"> presenta indicatori prossimi alla stazionarietà, con l’eccezione dell’occhialeria che con</w:t>
      </w:r>
      <w:r w:rsidR="003F16B0" w:rsidRPr="00B509EC">
        <w:rPr>
          <w:rFonts w:ascii="Calibri" w:hAnsi="Calibri" w:cs="Calibri"/>
          <w:bCs/>
          <w:i/>
          <w:iCs/>
          <w:szCs w:val="24"/>
        </w:rPr>
        <w:t xml:space="preserve">ferma </w:t>
      </w:r>
      <w:r w:rsidRPr="00B509EC">
        <w:rPr>
          <w:rFonts w:ascii="Calibri" w:hAnsi="Calibri" w:cs="Calibri"/>
          <w:bCs/>
          <w:i/>
          <w:iCs/>
          <w:szCs w:val="24"/>
        </w:rPr>
        <w:t>il suo trend positivo.</w:t>
      </w:r>
    </w:p>
    <w:p w14:paraId="49543B7D" w14:textId="38A2D8BA" w:rsidR="00926470" w:rsidRPr="00B509EC" w:rsidRDefault="003F16B0" w:rsidP="00947F1D">
      <w:pPr>
        <w:spacing w:before="240" w:after="120"/>
        <w:rPr>
          <w:rFonts w:ascii="Calibri" w:hAnsi="Calibri" w:cs="Calibri"/>
          <w:bCs/>
          <w:i/>
          <w:iCs/>
          <w:szCs w:val="24"/>
        </w:rPr>
      </w:pPr>
      <w:r w:rsidRPr="00B509EC">
        <w:rPr>
          <w:rFonts w:ascii="Calibri" w:hAnsi="Calibri" w:cs="Calibri"/>
          <w:bCs/>
          <w:i/>
          <w:iCs/>
          <w:szCs w:val="24"/>
        </w:rPr>
        <w:t>I</w:t>
      </w:r>
      <w:r w:rsidR="00926470" w:rsidRPr="00B509EC">
        <w:rPr>
          <w:rFonts w:ascii="Calibri" w:hAnsi="Calibri" w:cs="Calibri"/>
          <w:bCs/>
          <w:i/>
          <w:iCs/>
          <w:szCs w:val="24"/>
        </w:rPr>
        <w:t xml:space="preserve">nterpreto come segnale positivo </w:t>
      </w:r>
      <w:r w:rsidRPr="00B509EC">
        <w:rPr>
          <w:rFonts w:ascii="Calibri" w:hAnsi="Calibri" w:cs="Calibri"/>
          <w:bCs/>
          <w:i/>
          <w:iCs/>
          <w:szCs w:val="24"/>
        </w:rPr>
        <w:t>– continua il Presidente -</w:t>
      </w:r>
      <w:r w:rsidR="00922E58">
        <w:rPr>
          <w:rFonts w:ascii="Calibri" w:hAnsi="Calibri" w:cs="Calibri"/>
          <w:bCs/>
          <w:i/>
          <w:iCs/>
          <w:szCs w:val="24"/>
        </w:rPr>
        <w:t xml:space="preserve"> </w:t>
      </w:r>
      <w:r w:rsidRPr="00B509EC">
        <w:rPr>
          <w:rFonts w:ascii="Calibri" w:hAnsi="Calibri" w:cs="Calibri"/>
          <w:bCs/>
          <w:i/>
          <w:iCs/>
          <w:szCs w:val="24"/>
        </w:rPr>
        <w:t xml:space="preserve">anche </w:t>
      </w:r>
      <w:r w:rsidR="00926470" w:rsidRPr="00B509EC">
        <w:rPr>
          <w:rFonts w:ascii="Calibri" w:hAnsi="Calibri" w:cs="Calibri"/>
          <w:bCs/>
          <w:i/>
          <w:iCs/>
          <w:szCs w:val="24"/>
        </w:rPr>
        <w:t>la ripartenza dell’industria dei metalli e della gomma plastica, dopo trimestri di sofferenza: settori che, in quanto fornitori di input, sono anche termometro di una possibile ripartenza delle altre filiere.</w:t>
      </w:r>
    </w:p>
    <w:p w14:paraId="263F6C3F" w14:textId="7CDBB3B4" w:rsidR="003F16B0" w:rsidRPr="00B509EC" w:rsidRDefault="003F16B0" w:rsidP="008D5699">
      <w:pPr>
        <w:spacing w:before="240" w:after="120"/>
        <w:rPr>
          <w:rFonts w:ascii="Calibri" w:hAnsi="Calibri" w:cs="Calibri"/>
          <w:bCs/>
          <w:i/>
          <w:iCs/>
          <w:szCs w:val="24"/>
        </w:rPr>
      </w:pPr>
      <w:r w:rsidRPr="00B509EC">
        <w:rPr>
          <w:rFonts w:ascii="Calibri" w:hAnsi="Calibri" w:cs="Calibri"/>
          <w:bCs/>
          <w:i/>
          <w:iCs/>
          <w:szCs w:val="24"/>
        </w:rPr>
        <w:t>Le previsioni per il secondo trimestre dell’anno sono improntate a cauto ottimismo. Però -</w:t>
      </w:r>
      <w:r w:rsidR="005D41C7" w:rsidRPr="00B509EC">
        <w:rPr>
          <w:rFonts w:ascii="Calibri" w:hAnsi="Calibri" w:cs="Calibri"/>
          <w:bCs/>
          <w:szCs w:val="24"/>
        </w:rPr>
        <w:t xml:space="preserve"> prosegue il Presidente</w:t>
      </w:r>
      <w:r w:rsidRPr="00B509EC">
        <w:rPr>
          <w:rFonts w:ascii="Calibri" w:hAnsi="Calibri" w:cs="Calibri"/>
          <w:bCs/>
          <w:szCs w:val="24"/>
        </w:rPr>
        <w:t xml:space="preserve"> –</w:t>
      </w:r>
      <w:r w:rsidR="005D41C7" w:rsidRPr="00B509EC">
        <w:rPr>
          <w:rFonts w:ascii="Calibri" w:hAnsi="Calibri" w:cs="Calibri"/>
          <w:bCs/>
          <w:szCs w:val="24"/>
        </w:rPr>
        <w:t xml:space="preserve"> </w:t>
      </w:r>
      <w:r w:rsidRPr="00B509EC">
        <w:rPr>
          <w:rFonts w:ascii="Calibri" w:hAnsi="Calibri" w:cs="Calibri"/>
          <w:bCs/>
          <w:i/>
          <w:iCs/>
          <w:szCs w:val="24"/>
        </w:rPr>
        <w:t xml:space="preserve">non bisogna sottovalutare i rischi che ancora permangono a livello geopolitico; così come sarà fondamentale che la BCE trovi il giusto ritmo per la rimodulazione dei tassi d’interesse, prima di deprimere troppo questi segnali </w:t>
      </w:r>
      <w:r w:rsidR="00922E58">
        <w:rPr>
          <w:rFonts w:ascii="Calibri" w:hAnsi="Calibri" w:cs="Calibri"/>
          <w:bCs/>
          <w:i/>
          <w:iCs/>
          <w:szCs w:val="24"/>
        </w:rPr>
        <w:t xml:space="preserve">deboli </w:t>
      </w:r>
      <w:r w:rsidRPr="00B509EC">
        <w:rPr>
          <w:rFonts w:ascii="Calibri" w:hAnsi="Calibri" w:cs="Calibri"/>
          <w:bCs/>
          <w:i/>
          <w:iCs/>
          <w:szCs w:val="24"/>
        </w:rPr>
        <w:t xml:space="preserve">di </w:t>
      </w:r>
      <w:r w:rsidRPr="00B509EC">
        <w:rPr>
          <w:rFonts w:ascii="Calibri" w:hAnsi="Calibri" w:cs="Calibri"/>
          <w:bCs/>
          <w:i/>
          <w:iCs/>
          <w:szCs w:val="24"/>
        </w:rPr>
        <w:lastRenderedPageBreak/>
        <w:t>ripartenza che, parlando con le imprese, fanno fatica a proiettarsi su orizzonti temporali lunghi, inibendo strategie di investimento più strutturate.</w:t>
      </w:r>
    </w:p>
    <w:p w14:paraId="1592080A" w14:textId="77777777" w:rsidR="00DE5848" w:rsidRDefault="00DE5848" w:rsidP="00425A19">
      <w:pPr>
        <w:spacing w:before="240" w:after="120"/>
        <w:rPr>
          <w:rFonts w:ascii="Calibri" w:hAnsi="Calibri" w:cs="Calibri"/>
          <w:bCs/>
          <w:szCs w:val="24"/>
        </w:rPr>
      </w:pPr>
    </w:p>
    <w:p w14:paraId="128ABF79" w14:textId="77AD56E5" w:rsidR="00937C1A" w:rsidRDefault="00937C1A" w:rsidP="00937C1A">
      <w:pPr>
        <w:spacing w:before="240" w:after="120"/>
        <w:rPr>
          <w:rFonts w:ascii="Calibri" w:hAnsi="Calibri" w:cs="Calibri"/>
          <w:b/>
          <w:szCs w:val="24"/>
        </w:rPr>
      </w:pPr>
      <w:r w:rsidRPr="0042651E">
        <w:rPr>
          <w:rFonts w:ascii="Calibri" w:hAnsi="Calibri" w:cs="Calibri"/>
          <w:b/>
          <w:szCs w:val="24"/>
        </w:rPr>
        <w:t>Il quadro internazionale e nazionale</w:t>
      </w:r>
    </w:p>
    <w:p w14:paraId="4FECC478" w14:textId="322922BE" w:rsidR="00A73B0D" w:rsidRDefault="00E16EAC" w:rsidP="005B3546">
      <w:pPr>
        <w:spacing w:before="240" w:after="120"/>
        <w:rPr>
          <w:rFonts w:ascii="Calibri" w:hAnsi="Calibri" w:cs="Calibri"/>
          <w:bCs/>
          <w:szCs w:val="24"/>
        </w:rPr>
      </w:pPr>
      <w:r>
        <w:rPr>
          <w:rFonts w:ascii="Calibri" w:hAnsi="Calibri" w:cs="Calibri"/>
          <w:bCs/>
          <w:szCs w:val="24"/>
        </w:rPr>
        <w:t>La lettura del rallentamento congiunturale come processo di normalizzazione del ciclo economico</w:t>
      </w:r>
      <w:r w:rsidR="00A73B0D">
        <w:rPr>
          <w:rFonts w:ascii="Calibri" w:hAnsi="Calibri" w:cs="Calibri"/>
          <w:bCs/>
          <w:szCs w:val="24"/>
        </w:rPr>
        <w:t>,</w:t>
      </w:r>
      <w:r>
        <w:rPr>
          <w:rFonts w:ascii="Calibri" w:hAnsi="Calibri" w:cs="Calibri"/>
          <w:bCs/>
          <w:szCs w:val="24"/>
        </w:rPr>
        <w:t xml:space="preserve"> anziché di scivolamento in territorio recessivo, </w:t>
      </w:r>
      <w:r w:rsidR="00A73B0D">
        <w:rPr>
          <w:rFonts w:ascii="Calibri" w:hAnsi="Calibri" w:cs="Calibri"/>
          <w:bCs/>
          <w:szCs w:val="24"/>
        </w:rPr>
        <w:t xml:space="preserve">su cui convergevano i più autorevoli analisti, </w:t>
      </w:r>
      <w:r>
        <w:rPr>
          <w:rFonts w:ascii="Calibri" w:hAnsi="Calibri" w:cs="Calibri"/>
          <w:bCs/>
          <w:szCs w:val="24"/>
        </w:rPr>
        <w:t xml:space="preserve">è risultata corretta. </w:t>
      </w:r>
      <w:r w:rsidR="008D42F6">
        <w:rPr>
          <w:rFonts w:ascii="Calibri" w:hAnsi="Calibri" w:cs="Calibri"/>
          <w:bCs/>
          <w:szCs w:val="24"/>
        </w:rPr>
        <w:t>Le stime del Fondo Monetario per l’anno 2024, nell’</w:t>
      </w:r>
      <w:r w:rsidR="008D42F6">
        <w:rPr>
          <w:rFonts w:ascii="Calibri" w:hAnsi="Calibri" w:cs="Calibri"/>
          <w:bCs/>
          <w:i/>
          <w:iCs/>
          <w:szCs w:val="24"/>
        </w:rPr>
        <w:t>O</w:t>
      </w:r>
      <w:r w:rsidR="008D42F6" w:rsidRPr="008D42F6">
        <w:rPr>
          <w:rFonts w:ascii="Calibri" w:hAnsi="Calibri" w:cs="Calibri"/>
          <w:bCs/>
          <w:i/>
          <w:iCs/>
          <w:szCs w:val="24"/>
        </w:rPr>
        <w:t>utlook</w:t>
      </w:r>
      <w:r w:rsidR="008D42F6">
        <w:rPr>
          <w:rFonts w:ascii="Calibri" w:hAnsi="Calibri" w:cs="Calibri"/>
          <w:bCs/>
          <w:szCs w:val="24"/>
        </w:rPr>
        <w:t xml:space="preserve"> di aprile, p</w:t>
      </w:r>
      <w:r w:rsidR="0070021A">
        <w:rPr>
          <w:rFonts w:ascii="Calibri" w:hAnsi="Calibri" w:cs="Calibri"/>
          <w:bCs/>
          <w:szCs w:val="24"/>
        </w:rPr>
        <w:t>rospettano un’economia globale “straordinariamente resiliente con una crescita stabile”: il PIL mondiale crescerà quest’anno del +3,2%, come nel 2023</w:t>
      </w:r>
      <w:r w:rsidR="00A73B0D">
        <w:rPr>
          <w:rFonts w:ascii="Calibri" w:hAnsi="Calibri" w:cs="Calibri"/>
          <w:bCs/>
          <w:szCs w:val="24"/>
        </w:rPr>
        <w:t xml:space="preserve"> e come pare avverrà nel 2025</w:t>
      </w:r>
      <w:r w:rsidR="0070021A">
        <w:rPr>
          <w:rFonts w:ascii="Calibri" w:hAnsi="Calibri" w:cs="Calibri"/>
          <w:bCs/>
          <w:szCs w:val="24"/>
        </w:rPr>
        <w:t xml:space="preserve">. </w:t>
      </w:r>
    </w:p>
    <w:p w14:paraId="2714B337" w14:textId="2162F4DA" w:rsidR="00427D9C" w:rsidRDefault="00A73B0D" w:rsidP="005B3546">
      <w:pPr>
        <w:spacing w:before="240" w:after="120"/>
        <w:rPr>
          <w:rFonts w:ascii="Calibri" w:hAnsi="Calibri" w:cs="Calibri"/>
          <w:bCs/>
          <w:szCs w:val="24"/>
        </w:rPr>
      </w:pPr>
      <w:r>
        <w:rPr>
          <w:rFonts w:ascii="Calibri" w:hAnsi="Calibri" w:cs="Calibri"/>
          <w:bCs/>
          <w:szCs w:val="24"/>
        </w:rPr>
        <w:t xml:space="preserve">Fra le tendenze più recenti si segnala anche un rialzo della quotazione dei metalli </w:t>
      </w:r>
      <w:r w:rsidR="00427D9C">
        <w:rPr>
          <w:rFonts w:ascii="Calibri" w:hAnsi="Calibri" w:cs="Calibri"/>
          <w:bCs/>
          <w:szCs w:val="24"/>
        </w:rPr>
        <w:t>che po</w:t>
      </w:r>
      <w:r>
        <w:rPr>
          <w:rFonts w:ascii="Calibri" w:hAnsi="Calibri" w:cs="Calibri"/>
          <w:bCs/>
          <w:szCs w:val="24"/>
        </w:rPr>
        <w:t xml:space="preserve">trebbe essere letto - in una fase di disinflazione - come segnale di rafforzamento del ciclo dell’industria mondiale, </w:t>
      </w:r>
      <w:r w:rsidR="00427D9C">
        <w:rPr>
          <w:rFonts w:ascii="Calibri" w:hAnsi="Calibri" w:cs="Calibri"/>
          <w:bCs/>
          <w:szCs w:val="24"/>
        </w:rPr>
        <w:t xml:space="preserve">di ripartenza della domanda di beni, </w:t>
      </w:r>
      <w:r>
        <w:rPr>
          <w:rFonts w:ascii="Calibri" w:hAnsi="Calibri" w:cs="Calibri"/>
          <w:bCs/>
          <w:szCs w:val="24"/>
        </w:rPr>
        <w:t>dopo la fase di stagnazione che ha caratterizzato</w:t>
      </w:r>
      <w:r w:rsidR="00427D9C">
        <w:rPr>
          <w:rFonts w:ascii="Calibri" w:hAnsi="Calibri" w:cs="Calibri"/>
          <w:bCs/>
          <w:szCs w:val="24"/>
        </w:rPr>
        <w:t xml:space="preserve"> l’ultimo anno. In questa direzione pare andare anche la previsione del FMI sul commercio mondiale: stimato in crescita del +3,0% dopo la stagnazione al +0,3% nel 2023.</w:t>
      </w:r>
    </w:p>
    <w:p w14:paraId="37710171" w14:textId="77777777" w:rsidR="00820BE2" w:rsidRDefault="009A26E8" w:rsidP="005B3546">
      <w:pPr>
        <w:spacing w:before="240" w:after="120"/>
        <w:rPr>
          <w:rFonts w:ascii="Calibri" w:hAnsi="Calibri" w:cs="Calibri"/>
          <w:bCs/>
          <w:szCs w:val="24"/>
        </w:rPr>
      </w:pPr>
      <w:r>
        <w:rPr>
          <w:rFonts w:ascii="Calibri" w:hAnsi="Calibri" w:cs="Calibri"/>
          <w:bCs/>
          <w:szCs w:val="24"/>
        </w:rPr>
        <w:t>Permangono significative divergenze fra Paesi. La dinamica globale è sostenuta in particolar</w:t>
      </w:r>
      <w:r w:rsidR="00CF7C8E">
        <w:rPr>
          <w:rFonts w:ascii="Calibri" w:hAnsi="Calibri" w:cs="Calibri"/>
          <w:bCs/>
          <w:szCs w:val="24"/>
        </w:rPr>
        <w:t>e</w:t>
      </w:r>
      <w:r>
        <w:rPr>
          <w:rFonts w:ascii="Calibri" w:hAnsi="Calibri" w:cs="Calibri"/>
          <w:bCs/>
          <w:szCs w:val="24"/>
        </w:rPr>
        <w:t xml:space="preserve"> modo dalle economie </w:t>
      </w:r>
      <w:r w:rsidR="00CF7C8E">
        <w:rPr>
          <w:rFonts w:ascii="Calibri" w:hAnsi="Calibri" w:cs="Calibri"/>
          <w:bCs/>
          <w:szCs w:val="24"/>
        </w:rPr>
        <w:t>emergenti (del +4,2% è la crescita stimata del PIL per il 2024, che sale al +4,6% Cina e al +6,8% India). Gli Stati Uniti continueranno a crescere del +2,7% nel 2024 contro il +2,5% del 2023, benché nel medio termine si ritengano insostenibili gli stimoli fiscali alla domanda, con rischi - così il FMI – per la stabilità finanziaria</w:t>
      </w:r>
      <w:r w:rsidR="00820BE2">
        <w:rPr>
          <w:rFonts w:ascii="Calibri" w:hAnsi="Calibri" w:cs="Calibri"/>
          <w:bCs/>
          <w:szCs w:val="24"/>
        </w:rPr>
        <w:t xml:space="preserve"> globale</w:t>
      </w:r>
      <w:r w:rsidR="00CF7C8E">
        <w:rPr>
          <w:rFonts w:ascii="Calibri" w:hAnsi="Calibri" w:cs="Calibri"/>
          <w:bCs/>
          <w:szCs w:val="24"/>
        </w:rPr>
        <w:t xml:space="preserve">. </w:t>
      </w:r>
      <w:r w:rsidR="00820BE2">
        <w:rPr>
          <w:rFonts w:ascii="Calibri" w:hAnsi="Calibri" w:cs="Calibri"/>
          <w:bCs/>
          <w:szCs w:val="24"/>
        </w:rPr>
        <w:t xml:space="preserve">Saranno necessari correttivi che nel 2025 porteranno a limitare la crescita USA al +1,9%. </w:t>
      </w:r>
    </w:p>
    <w:p w14:paraId="3BC52C38" w14:textId="277DA53A" w:rsidR="00B35A9B" w:rsidRDefault="00CF7C8E" w:rsidP="005B3546">
      <w:pPr>
        <w:spacing w:before="240" w:after="120"/>
        <w:rPr>
          <w:rFonts w:ascii="Calibri" w:hAnsi="Calibri" w:cs="Calibri"/>
          <w:bCs/>
          <w:szCs w:val="24"/>
        </w:rPr>
      </w:pPr>
      <w:r>
        <w:rPr>
          <w:rFonts w:ascii="Calibri" w:hAnsi="Calibri" w:cs="Calibri"/>
          <w:bCs/>
          <w:szCs w:val="24"/>
        </w:rPr>
        <w:t>Nell’area euro la rip</w:t>
      </w:r>
      <w:r w:rsidR="00B35A9B">
        <w:rPr>
          <w:rFonts w:ascii="Calibri" w:hAnsi="Calibri" w:cs="Calibri"/>
          <w:bCs/>
          <w:szCs w:val="24"/>
        </w:rPr>
        <w:t>re</w:t>
      </w:r>
      <w:r>
        <w:rPr>
          <w:rFonts w:ascii="Calibri" w:hAnsi="Calibri" w:cs="Calibri"/>
          <w:bCs/>
          <w:szCs w:val="24"/>
        </w:rPr>
        <w:t>sa ci sarà, ma molto debole</w:t>
      </w:r>
      <w:r w:rsidR="005E42DB">
        <w:rPr>
          <w:rFonts w:ascii="Calibri" w:hAnsi="Calibri" w:cs="Calibri"/>
          <w:bCs/>
          <w:szCs w:val="24"/>
        </w:rPr>
        <w:t xml:space="preserve"> (+0,8% contro il +0,4% dell’anno </w:t>
      </w:r>
      <w:r w:rsidR="00B35A9B">
        <w:rPr>
          <w:rFonts w:ascii="Calibri" w:hAnsi="Calibri" w:cs="Calibri"/>
          <w:bCs/>
          <w:szCs w:val="24"/>
        </w:rPr>
        <w:t>scorso</w:t>
      </w:r>
      <w:r w:rsidR="005E42DB">
        <w:rPr>
          <w:rFonts w:ascii="Calibri" w:hAnsi="Calibri" w:cs="Calibri"/>
          <w:bCs/>
          <w:szCs w:val="24"/>
        </w:rPr>
        <w:t>)</w:t>
      </w:r>
      <w:r>
        <w:rPr>
          <w:rFonts w:ascii="Calibri" w:hAnsi="Calibri" w:cs="Calibri"/>
          <w:bCs/>
          <w:szCs w:val="24"/>
        </w:rPr>
        <w:t>, pagando lo scotto dei costi energetici passati</w:t>
      </w:r>
      <w:r w:rsidR="00820BE2">
        <w:rPr>
          <w:rFonts w:ascii="Calibri" w:hAnsi="Calibri" w:cs="Calibri"/>
          <w:bCs/>
          <w:szCs w:val="24"/>
        </w:rPr>
        <w:t>, di un’inflazione ancora strisciante</w:t>
      </w:r>
      <w:r>
        <w:rPr>
          <w:rFonts w:ascii="Calibri" w:hAnsi="Calibri" w:cs="Calibri"/>
          <w:bCs/>
          <w:szCs w:val="24"/>
        </w:rPr>
        <w:t xml:space="preserve"> e </w:t>
      </w:r>
      <w:r w:rsidR="00820BE2">
        <w:rPr>
          <w:rFonts w:ascii="Calibri" w:hAnsi="Calibri" w:cs="Calibri"/>
          <w:bCs/>
          <w:szCs w:val="24"/>
        </w:rPr>
        <w:t>di una politica monetaria restrittiva che ora deve trovare giusta ricalibrazione per evitare un eccessivo rallentamento della crescita</w:t>
      </w:r>
      <w:r w:rsidR="003B2843">
        <w:rPr>
          <w:rFonts w:ascii="Calibri" w:hAnsi="Calibri" w:cs="Calibri"/>
          <w:bCs/>
          <w:szCs w:val="24"/>
        </w:rPr>
        <w:t xml:space="preserve">; che poi potrebbe avere </w:t>
      </w:r>
      <w:r w:rsidR="00820BE2">
        <w:rPr>
          <w:rFonts w:ascii="Calibri" w:hAnsi="Calibri" w:cs="Calibri"/>
          <w:bCs/>
          <w:szCs w:val="24"/>
        </w:rPr>
        <w:t>ripercussioni nel mercato del lavoro, finora però sostenuto dalle strategie di “accaparramento” del personale da parte delle aziende</w:t>
      </w:r>
      <w:r w:rsidR="005E42DB">
        <w:rPr>
          <w:rFonts w:ascii="Calibri" w:hAnsi="Calibri" w:cs="Calibri"/>
          <w:bCs/>
          <w:szCs w:val="24"/>
        </w:rPr>
        <w:t xml:space="preserve"> a sostegno dei cambi di paradigma produttivo</w:t>
      </w:r>
      <w:r w:rsidR="00B35A9B">
        <w:rPr>
          <w:rFonts w:ascii="Calibri" w:hAnsi="Calibri" w:cs="Calibri"/>
          <w:bCs/>
          <w:szCs w:val="24"/>
        </w:rPr>
        <w:t xml:space="preserve"> (digitalizzazione, sostenibilità)</w:t>
      </w:r>
      <w:r w:rsidR="00820BE2">
        <w:rPr>
          <w:rFonts w:ascii="Calibri" w:hAnsi="Calibri" w:cs="Calibri"/>
          <w:bCs/>
          <w:szCs w:val="24"/>
        </w:rPr>
        <w:t xml:space="preserve">. </w:t>
      </w:r>
    </w:p>
    <w:p w14:paraId="716CBB0F" w14:textId="2A696E69" w:rsidR="00CF7C8E" w:rsidRDefault="005E42DB" w:rsidP="005B3546">
      <w:pPr>
        <w:spacing w:before="240" w:after="120"/>
        <w:rPr>
          <w:rFonts w:ascii="Calibri" w:hAnsi="Calibri" w:cs="Calibri"/>
          <w:bCs/>
          <w:szCs w:val="24"/>
        </w:rPr>
      </w:pPr>
      <w:r>
        <w:rPr>
          <w:rFonts w:ascii="Calibri" w:hAnsi="Calibri" w:cs="Calibri"/>
          <w:bCs/>
          <w:szCs w:val="24"/>
        </w:rPr>
        <w:t>A livello di singolo Paese, a parte il caso della Spagna</w:t>
      </w:r>
      <w:r w:rsidR="00311754">
        <w:rPr>
          <w:rFonts w:ascii="Calibri" w:hAnsi="Calibri" w:cs="Calibri"/>
          <w:bCs/>
          <w:szCs w:val="24"/>
        </w:rPr>
        <w:t xml:space="preserve"> (+1,9%)</w:t>
      </w:r>
      <w:r>
        <w:rPr>
          <w:rFonts w:ascii="Calibri" w:hAnsi="Calibri" w:cs="Calibri"/>
          <w:bCs/>
          <w:szCs w:val="24"/>
        </w:rPr>
        <w:t xml:space="preserve">, </w:t>
      </w:r>
      <w:r w:rsidR="00311754">
        <w:rPr>
          <w:rFonts w:ascii="Calibri" w:hAnsi="Calibri" w:cs="Calibri"/>
          <w:bCs/>
          <w:szCs w:val="24"/>
        </w:rPr>
        <w:t>le stime di crescita re</w:t>
      </w:r>
      <w:r>
        <w:rPr>
          <w:rFonts w:ascii="Calibri" w:hAnsi="Calibri" w:cs="Calibri"/>
          <w:bCs/>
          <w:szCs w:val="24"/>
        </w:rPr>
        <w:t>sta</w:t>
      </w:r>
      <w:r w:rsidR="00311754">
        <w:rPr>
          <w:rFonts w:ascii="Calibri" w:hAnsi="Calibri" w:cs="Calibri"/>
          <w:bCs/>
          <w:szCs w:val="24"/>
        </w:rPr>
        <w:t>no</w:t>
      </w:r>
      <w:r>
        <w:rPr>
          <w:rFonts w:ascii="Calibri" w:hAnsi="Calibri" w:cs="Calibri"/>
          <w:bCs/>
          <w:szCs w:val="24"/>
        </w:rPr>
        <w:t xml:space="preserve"> nell’ambito dello “</w:t>
      </w:r>
      <w:r w:rsidRPr="003B2843">
        <w:rPr>
          <w:rFonts w:ascii="Calibri" w:hAnsi="Calibri" w:cs="Calibri"/>
          <w:bCs/>
          <w:i/>
          <w:iCs/>
          <w:szCs w:val="24"/>
        </w:rPr>
        <w:t>zerovirgola</w:t>
      </w:r>
      <w:r>
        <w:rPr>
          <w:rFonts w:ascii="Calibri" w:hAnsi="Calibri" w:cs="Calibri"/>
          <w:bCs/>
          <w:szCs w:val="24"/>
        </w:rPr>
        <w:t xml:space="preserve">”, dove semmai la notizia sta nel cambio di segno della Germania, sempre con riferimento alle previsioni </w:t>
      </w:r>
      <w:r w:rsidR="00311754">
        <w:rPr>
          <w:rFonts w:ascii="Calibri" w:hAnsi="Calibri" w:cs="Calibri"/>
          <w:bCs/>
          <w:szCs w:val="24"/>
        </w:rPr>
        <w:t xml:space="preserve">FMI sul </w:t>
      </w:r>
      <w:r>
        <w:rPr>
          <w:rFonts w:ascii="Calibri" w:hAnsi="Calibri" w:cs="Calibri"/>
          <w:bCs/>
          <w:szCs w:val="24"/>
        </w:rPr>
        <w:t>PIL, che pass</w:t>
      </w:r>
      <w:r w:rsidR="00311754">
        <w:rPr>
          <w:rFonts w:ascii="Calibri" w:hAnsi="Calibri" w:cs="Calibri"/>
          <w:bCs/>
          <w:szCs w:val="24"/>
        </w:rPr>
        <w:t>erà</w:t>
      </w:r>
      <w:r>
        <w:rPr>
          <w:rFonts w:ascii="Calibri" w:hAnsi="Calibri" w:cs="Calibri"/>
          <w:bCs/>
          <w:szCs w:val="24"/>
        </w:rPr>
        <w:t xml:space="preserve"> dal -0,3% del 2023 al +0,2% per l’anno in corso. L’Italia continuerà a galleggiare attorno ad una “crescita” del +0,7%, contro il +0,9% dello scorso anno. </w:t>
      </w:r>
    </w:p>
    <w:p w14:paraId="2FFFB9FB" w14:textId="77777777" w:rsidR="00B509EC" w:rsidRDefault="00B509EC" w:rsidP="005B3546">
      <w:pPr>
        <w:spacing w:before="240" w:after="120"/>
        <w:rPr>
          <w:rFonts w:ascii="Calibri" w:hAnsi="Calibri" w:cs="Calibri"/>
          <w:bCs/>
          <w:szCs w:val="24"/>
        </w:rPr>
      </w:pPr>
    </w:p>
    <w:p w14:paraId="787C211D" w14:textId="77777777" w:rsidR="00B509EC" w:rsidRDefault="00B509EC" w:rsidP="005B3546">
      <w:pPr>
        <w:spacing w:before="240" w:after="120"/>
        <w:rPr>
          <w:rFonts w:ascii="Calibri" w:hAnsi="Calibri" w:cs="Calibri"/>
          <w:bCs/>
          <w:szCs w:val="24"/>
        </w:rPr>
      </w:pPr>
    </w:p>
    <w:p w14:paraId="5DF7AC5D" w14:textId="77777777" w:rsidR="00B509EC" w:rsidRDefault="00B509EC" w:rsidP="005B3546">
      <w:pPr>
        <w:spacing w:before="240" w:after="120"/>
        <w:rPr>
          <w:rFonts w:ascii="Calibri" w:hAnsi="Calibri" w:cs="Calibri"/>
          <w:bCs/>
          <w:szCs w:val="24"/>
        </w:rPr>
      </w:pPr>
    </w:p>
    <w:p w14:paraId="62AC425B" w14:textId="77777777" w:rsidR="00B509EC" w:rsidRDefault="00B509EC" w:rsidP="005B3546">
      <w:pPr>
        <w:spacing w:before="240" w:after="120"/>
        <w:rPr>
          <w:rFonts w:ascii="Calibri" w:hAnsi="Calibri" w:cs="Calibri"/>
          <w:bCs/>
          <w:szCs w:val="24"/>
        </w:rPr>
      </w:pPr>
    </w:p>
    <w:p w14:paraId="5BDBAE0D" w14:textId="77777777" w:rsidR="00B509EC" w:rsidRDefault="00B509EC" w:rsidP="005B3546">
      <w:pPr>
        <w:spacing w:before="240" w:after="120"/>
        <w:rPr>
          <w:rFonts w:ascii="Calibri" w:hAnsi="Calibri" w:cs="Calibri"/>
          <w:bCs/>
          <w:szCs w:val="24"/>
        </w:rPr>
      </w:pPr>
    </w:p>
    <w:tbl>
      <w:tblPr>
        <w:tblStyle w:val="Grigliatabella"/>
        <w:tblpPr w:leftFromText="141" w:rightFromText="141" w:vertAnchor="text" w:horzAnchor="margin" w:tblpY="9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B509EC" w:rsidRPr="00F57866" w14:paraId="4CE46667" w14:textId="77777777" w:rsidTr="00830B1A">
        <w:tc>
          <w:tcPr>
            <w:tcW w:w="8788" w:type="dxa"/>
            <w:shd w:val="clear" w:color="auto" w:fill="auto"/>
          </w:tcPr>
          <w:p w14:paraId="7F1E6A63" w14:textId="77777777" w:rsidR="00B509EC" w:rsidRPr="00F57866" w:rsidRDefault="00B509EC" w:rsidP="00830B1A">
            <w:pPr>
              <w:pStyle w:val="Titolo1"/>
              <w:jc w:val="left"/>
              <w:rPr>
                <w:rFonts w:ascii="Calibri" w:hAnsi="Calibri" w:cs="Arial"/>
                <w:b w:val="0"/>
                <w:bCs/>
                <w:color w:val="943634"/>
                <w:sz w:val="20"/>
              </w:rPr>
            </w:pPr>
            <w:r w:rsidRPr="00023EA2">
              <w:rPr>
                <w:rFonts w:ascii="Calibri" w:hAnsi="Calibri" w:cs="Arial"/>
                <w:bCs/>
                <w:sz w:val="20"/>
              </w:rPr>
              <w:t xml:space="preserve">Tab. 1 - </w:t>
            </w:r>
            <w:r w:rsidRPr="00023EA2">
              <w:rPr>
                <w:rFonts w:ascii="Calibri" w:hAnsi="Calibri" w:cs="Arial"/>
                <w:bCs/>
                <w:color w:val="00B0F0"/>
                <w:sz w:val="20"/>
              </w:rPr>
              <w:t>Mondo.</w:t>
            </w:r>
            <w:r w:rsidRPr="00023EA2">
              <w:rPr>
                <w:rFonts w:ascii="Calibri" w:hAnsi="Calibri" w:cs="Arial"/>
                <w:bCs/>
                <w:color w:val="00B0F0"/>
                <w:sz w:val="20"/>
              </w:rPr>
              <w:br/>
            </w:r>
            <w:r w:rsidRPr="00023EA2">
              <w:rPr>
                <w:rFonts w:ascii="Calibri" w:hAnsi="Calibri" w:cs="Arial"/>
                <w:bCs/>
                <w:sz w:val="20"/>
              </w:rPr>
              <w:t xml:space="preserve">Tasso di crescita del PIL nelle principali economie. Anno </w:t>
            </w:r>
            <w:r>
              <w:rPr>
                <w:rFonts w:ascii="Calibri" w:hAnsi="Calibri" w:cs="Arial"/>
                <w:bCs/>
                <w:sz w:val="20"/>
              </w:rPr>
              <w:t>2023</w:t>
            </w:r>
            <w:r w:rsidRPr="00023EA2">
              <w:rPr>
                <w:rFonts w:ascii="Calibri" w:hAnsi="Calibri" w:cs="Arial"/>
                <w:bCs/>
                <w:sz w:val="20"/>
              </w:rPr>
              <w:t xml:space="preserve"> e previsioni per il 202</w:t>
            </w:r>
            <w:r>
              <w:rPr>
                <w:rFonts w:ascii="Calibri" w:hAnsi="Calibri" w:cs="Arial"/>
                <w:bCs/>
                <w:sz w:val="20"/>
              </w:rPr>
              <w:t>4</w:t>
            </w:r>
            <w:r w:rsidRPr="00023EA2">
              <w:rPr>
                <w:rFonts w:ascii="Calibri" w:hAnsi="Calibri" w:cs="Arial"/>
                <w:bCs/>
                <w:sz w:val="20"/>
              </w:rPr>
              <w:t>-202</w:t>
            </w:r>
            <w:r>
              <w:rPr>
                <w:rFonts w:ascii="Calibri" w:hAnsi="Calibri" w:cs="Arial"/>
                <w:bCs/>
                <w:sz w:val="20"/>
              </w:rPr>
              <w:t>5</w:t>
            </w:r>
          </w:p>
        </w:tc>
      </w:tr>
      <w:tr w:rsidR="00B509EC" w:rsidRPr="00F57866" w14:paraId="418FFCBC" w14:textId="77777777" w:rsidTr="00830B1A">
        <w:tc>
          <w:tcPr>
            <w:tcW w:w="8788" w:type="dxa"/>
            <w:shd w:val="clear" w:color="auto" w:fill="auto"/>
          </w:tcPr>
          <w:p w14:paraId="713962CB" w14:textId="77777777" w:rsidR="00B509EC" w:rsidRPr="00F57866" w:rsidRDefault="00B509EC" w:rsidP="00830B1A">
            <w:pPr>
              <w:tabs>
                <w:tab w:val="left" w:pos="3256"/>
              </w:tabs>
              <w:spacing w:before="40"/>
              <w:jc w:val="center"/>
              <w:rPr>
                <w:rFonts w:asciiTheme="minorHAnsi" w:hAnsiTheme="minorHAnsi" w:cs="Arial"/>
                <w:b/>
                <w:bCs/>
                <w:color w:val="00B0F0"/>
                <w:sz w:val="20"/>
              </w:rPr>
            </w:pPr>
            <w:r w:rsidRPr="00E1200C">
              <w:rPr>
                <w:rFonts w:asciiTheme="minorHAnsi" w:hAnsiTheme="minorHAnsi" w:cs="Arial"/>
                <w:b/>
                <w:bCs/>
                <w:noProof/>
                <w:color w:val="00B0F0"/>
                <w:sz w:val="20"/>
              </w:rPr>
              <w:drawing>
                <wp:inline distT="0" distB="0" distL="0" distR="0" wp14:anchorId="5841A868" wp14:editId="69E674B2">
                  <wp:extent cx="4819015" cy="2754630"/>
                  <wp:effectExtent l="0" t="0" r="635" b="762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19015" cy="2754630"/>
                          </a:xfrm>
                          <a:prstGeom prst="rect">
                            <a:avLst/>
                          </a:prstGeom>
                          <a:noFill/>
                          <a:ln>
                            <a:noFill/>
                          </a:ln>
                        </pic:spPr>
                      </pic:pic>
                    </a:graphicData>
                  </a:graphic>
                </wp:inline>
              </w:drawing>
            </w:r>
          </w:p>
        </w:tc>
      </w:tr>
      <w:tr w:rsidR="00B509EC" w:rsidRPr="00922E58" w14:paraId="57C5BF1D" w14:textId="77777777" w:rsidTr="00830B1A">
        <w:tc>
          <w:tcPr>
            <w:tcW w:w="8788" w:type="dxa"/>
            <w:shd w:val="clear" w:color="auto" w:fill="auto"/>
          </w:tcPr>
          <w:p w14:paraId="4BDF7CDB" w14:textId="77777777" w:rsidR="00B509EC" w:rsidRPr="00F57866" w:rsidRDefault="00B509EC" w:rsidP="00830B1A">
            <w:pPr>
              <w:tabs>
                <w:tab w:val="left" w:pos="3480"/>
                <w:tab w:val="center" w:pos="4002"/>
              </w:tabs>
              <w:spacing w:before="40"/>
              <w:rPr>
                <w:rFonts w:ascii="Arial" w:hAnsi="Arial" w:cs="Arial"/>
                <w:b/>
                <w:bCs/>
                <w:noProof/>
                <w:color w:val="943634"/>
                <w:sz w:val="16"/>
                <w:szCs w:val="16"/>
                <w:lang w:val="en-US"/>
              </w:rPr>
            </w:pPr>
            <w:r w:rsidRPr="00F57866">
              <w:rPr>
                <w:rFonts w:ascii="Arial" w:hAnsi="Arial" w:cs="Arial"/>
                <w:bCs/>
                <w:i/>
                <w:sz w:val="16"/>
                <w:szCs w:val="16"/>
                <w:shd w:val="clear" w:color="auto" w:fill="FFFFFF" w:themeFill="background1"/>
                <w:lang w:val="en-US"/>
              </w:rPr>
              <w:t xml:space="preserve">Fonte: World Economic Outlook, </w:t>
            </w:r>
            <w:r>
              <w:rPr>
                <w:rFonts w:ascii="Arial" w:hAnsi="Arial" w:cs="Arial"/>
                <w:bCs/>
                <w:i/>
                <w:sz w:val="16"/>
                <w:szCs w:val="16"/>
                <w:shd w:val="clear" w:color="auto" w:fill="FFFFFF" w:themeFill="background1"/>
                <w:lang w:val="en-US"/>
              </w:rPr>
              <w:t>April</w:t>
            </w:r>
            <w:r w:rsidRPr="00F57866">
              <w:rPr>
                <w:rFonts w:ascii="Arial" w:hAnsi="Arial" w:cs="Arial"/>
                <w:bCs/>
                <w:i/>
                <w:sz w:val="16"/>
                <w:szCs w:val="16"/>
                <w:shd w:val="clear" w:color="auto" w:fill="FFFFFF" w:themeFill="background1"/>
                <w:lang w:val="en-US"/>
              </w:rPr>
              <w:t xml:space="preserve"> 202</w:t>
            </w:r>
            <w:r>
              <w:rPr>
                <w:rFonts w:ascii="Arial" w:hAnsi="Arial" w:cs="Arial"/>
                <w:bCs/>
                <w:i/>
                <w:sz w:val="16"/>
                <w:szCs w:val="16"/>
                <w:shd w:val="clear" w:color="auto" w:fill="FFFFFF" w:themeFill="background1"/>
                <w:lang w:val="en-US"/>
              </w:rPr>
              <w:t>4</w:t>
            </w:r>
          </w:p>
        </w:tc>
      </w:tr>
    </w:tbl>
    <w:p w14:paraId="43827710" w14:textId="77777777" w:rsidR="00B509EC" w:rsidRPr="00B509EC" w:rsidRDefault="00B509EC" w:rsidP="005B3546">
      <w:pPr>
        <w:spacing w:before="240" w:after="120"/>
        <w:rPr>
          <w:rFonts w:ascii="Calibri" w:hAnsi="Calibri" w:cs="Calibri"/>
          <w:bCs/>
          <w:szCs w:val="24"/>
          <w:lang w:val="en-US"/>
        </w:rPr>
      </w:pPr>
    </w:p>
    <w:p w14:paraId="78E10F0F" w14:textId="77777777" w:rsidR="00B509EC" w:rsidRDefault="00B509EC" w:rsidP="00B509EC">
      <w:pPr>
        <w:spacing w:before="240" w:after="120"/>
        <w:rPr>
          <w:rFonts w:ascii="Calibri" w:hAnsi="Calibri" w:cs="Calibri"/>
          <w:bCs/>
          <w:szCs w:val="24"/>
        </w:rPr>
      </w:pPr>
      <w:r>
        <w:rPr>
          <w:rFonts w:ascii="Calibri" w:hAnsi="Calibri" w:cs="Calibri"/>
          <w:bCs/>
          <w:szCs w:val="24"/>
        </w:rPr>
        <w:t>Per quanto riguarda l’andamento dell’industria manifatturiera nell’area euro e in Italia le survey che monitorano gli indicatori anticipatori (</w:t>
      </w:r>
      <w:proofErr w:type="spellStart"/>
      <w:r>
        <w:rPr>
          <w:rFonts w:ascii="Calibri" w:hAnsi="Calibri" w:cs="Calibri"/>
          <w:bCs/>
          <w:szCs w:val="24"/>
        </w:rPr>
        <w:t>Purchasing</w:t>
      </w:r>
      <w:proofErr w:type="spellEnd"/>
      <w:r>
        <w:rPr>
          <w:rFonts w:ascii="Calibri" w:hAnsi="Calibri" w:cs="Calibri"/>
          <w:bCs/>
          <w:szCs w:val="24"/>
        </w:rPr>
        <w:t xml:space="preserve"> Managers’ Index di S&amp;P) confermano, ancora per il primo trimestre dell’anno (e, a dire il vero, anche per i mesi successivi), la permanenza di una congiuntura debole, interpretata come un sostanziale attendismo delle imprese, pronte però ad accelerare i ritmi quando i segnali di miglioramento saranno concreti. </w:t>
      </w:r>
    </w:p>
    <w:p w14:paraId="4485537F" w14:textId="77777777" w:rsidR="00B509EC" w:rsidRDefault="00B509EC" w:rsidP="00B509EC">
      <w:pPr>
        <w:spacing w:before="240" w:after="120"/>
        <w:rPr>
          <w:rFonts w:ascii="Calibri" w:hAnsi="Calibri" w:cs="Calibri"/>
          <w:bCs/>
          <w:szCs w:val="24"/>
        </w:rPr>
      </w:pPr>
      <w:r>
        <w:rPr>
          <w:rFonts w:ascii="Calibri" w:hAnsi="Calibri" w:cs="Calibri"/>
          <w:bCs/>
          <w:szCs w:val="24"/>
        </w:rPr>
        <w:t xml:space="preserve">In Germania la situazione sembra diversa, in negativo: il calo della produzione e degli ordini è stato più repentino, soprattutto nei beni d’investimento - pessimo segnale - , aprendo accese discussioni sulle politiche di deindustrializzazione adottate in quel Paese. Un rischio che si riflette anche sul manifatturiero italiano, interlacciato su più fronti con quello tedesco, come ben noto: infatti, nel primo trimestre 2024 la variazione tendenziale della produzione industriale italiana, al netto degli effetti di calendario, cala del -3,5% (fonte: ISTAT), soprattutto a causa dei beni di consumo durevoli e dei beni d’investimento. A marzo, il PMI Index per l’Italia sembrava intercettare qualche incoraggiante segnale di inversione di tendenza nella raccolta ordini, ma si è trattato di un fuoco di paglia, non confermato dalla survey di aprile. </w:t>
      </w:r>
    </w:p>
    <w:p w14:paraId="49E1041B" w14:textId="77777777" w:rsidR="00B509EC" w:rsidRDefault="00B509EC" w:rsidP="00B509EC">
      <w:pPr>
        <w:spacing w:before="240" w:after="120"/>
        <w:rPr>
          <w:rFonts w:ascii="Calibri" w:hAnsi="Calibri" w:cs="Calibri"/>
          <w:bCs/>
          <w:szCs w:val="24"/>
        </w:rPr>
      </w:pPr>
      <w:r>
        <w:rPr>
          <w:rFonts w:ascii="Calibri" w:hAnsi="Calibri" w:cs="Calibri"/>
          <w:bCs/>
          <w:szCs w:val="24"/>
        </w:rPr>
        <w:t>In questa cornice si vanno a collocare i risultati della consueta indagine congiunturale sul manifatturiero veneto, trevigiano e bellunese per il primo trimestre 2024: che, come vedremo nel dettaglio, tratteggiano una situazione di sostanziale tenuta, pur con qualche settore maggiormente in sofferenza di altri.</w:t>
      </w:r>
    </w:p>
    <w:p w14:paraId="308C9079" w14:textId="4AD459D3" w:rsidR="00B763F2" w:rsidRPr="00C55417" w:rsidRDefault="0089498C" w:rsidP="00B763F2">
      <w:pPr>
        <w:pStyle w:val="Paragrafoelenco"/>
        <w:spacing w:after="0" w:line="240" w:lineRule="auto"/>
        <w:ind w:left="714"/>
        <w:jc w:val="both"/>
        <w:rPr>
          <w:rFonts w:cs="Calibri"/>
          <w:bCs/>
          <w:sz w:val="24"/>
        </w:rPr>
      </w:pPr>
      <w:r>
        <w:rPr>
          <w:rFonts w:cs="Calibri"/>
          <w:bCs/>
          <w:sz w:val="24"/>
        </w:rPr>
        <w:t>.</w:t>
      </w:r>
    </w:p>
    <w:tbl>
      <w:tblPr>
        <w:tblStyle w:val="Grigliatabella"/>
        <w:tblpPr w:leftFromText="141" w:rightFromText="141" w:vertAnchor="text" w:horzAnchor="margin" w:tblpXSpec="center" w:tblpY="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2C2637" w:rsidRPr="0084121F" w14:paraId="04A0A6DB" w14:textId="77777777" w:rsidTr="00A67EC4">
        <w:tc>
          <w:tcPr>
            <w:tcW w:w="8788" w:type="dxa"/>
            <w:shd w:val="clear" w:color="auto" w:fill="auto"/>
          </w:tcPr>
          <w:p w14:paraId="1165ACBE" w14:textId="77777777" w:rsidR="002C2637" w:rsidRPr="0084121F" w:rsidRDefault="002C2637" w:rsidP="00A67EC4">
            <w:pPr>
              <w:pStyle w:val="Titolo1"/>
              <w:jc w:val="left"/>
              <w:rPr>
                <w:rFonts w:asciiTheme="minorHAnsi" w:hAnsiTheme="minorHAnsi" w:cs="Arial"/>
                <w:b w:val="0"/>
                <w:bCs/>
                <w:sz w:val="20"/>
              </w:rPr>
            </w:pPr>
            <w:r w:rsidRPr="006F70AE">
              <w:rPr>
                <w:rFonts w:asciiTheme="minorHAnsi" w:hAnsiTheme="minorHAnsi" w:cs="Arial"/>
                <w:bCs/>
                <w:sz w:val="20"/>
              </w:rPr>
              <w:lastRenderedPageBreak/>
              <w:t xml:space="preserve">Tab. 2 – </w:t>
            </w:r>
            <w:r w:rsidRPr="006F70AE">
              <w:rPr>
                <w:rFonts w:asciiTheme="minorHAnsi" w:hAnsiTheme="minorHAnsi" w:cs="Arial"/>
                <w:bCs/>
                <w:color w:val="00B0F0"/>
                <w:sz w:val="20"/>
              </w:rPr>
              <w:t>Mondo.</w:t>
            </w:r>
            <w:r w:rsidRPr="006F70AE">
              <w:rPr>
                <w:rFonts w:asciiTheme="minorHAnsi" w:hAnsiTheme="minorHAnsi" w:cs="Arial"/>
                <w:bCs/>
                <w:color w:val="00B0F0"/>
                <w:sz w:val="20"/>
              </w:rPr>
              <w:br/>
            </w:r>
            <w:r w:rsidRPr="006F70AE">
              <w:rPr>
                <w:rFonts w:asciiTheme="minorHAnsi" w:hAnsiTheme="minorHAnsi" w:cs="Arial"/>
                <w:bCs/>
                <w:sz w:val="20"/>
              </w:rPr>
              <w:t>Indice dei prezzi delle materie prime in dollari U.S (base 2010=100)</w:t>
            </w:r>
          </w:p>
        </w:tc>
      </w:tr>
      <w:tr w:rsidR="002C2637" w:rsidRPr="0084121F" w14:paraId="51D23FC7" w14:textId="77777777" w:rsidTr="00A67EC4">
        <w:tc>
          <w:tcPr>
            <w:tcW w:w="8788" w:type="dxa"/>
            <w:shd w:val="clear" w:color="auto" w:fill="auto"/>
          </w:tcPr>
          <w:p w14:paraId="222DCB05" w14:textId="77777777" w:rsidR="002C2637" w:rsidRPr="0084121F" w:rsidRDefault="002C2637" w:rsidP="00A67EC4">
            <w:pPr>
              <w:pStyle w:val="Titolo1"/>
              <w:rPr>
                <w:rFonts w:asciiTheme="minorHAnsi" w:hAnsiTheme="minorHAnsi" w:cs="Arial"/>
                <w:bCs/>
                <w:sz w:val="20"/>
              </w:rPr>
            </w:pPr>
          </w:p>
        </w:tc>
      </w:tr>
      <w:tr w:rsidR="002C2637" w:rsidRPr="0084121F" w14:paraId="4976DD14" w14:textId="77777777" w:rsidTr="00A67EC4">
        <w:tc>
          <w:tcPr>
            <w:tcW w:w="8788" w:type="dxa"/>
            <w:shd w:val="clear" w:color="auto" w:fill="auto"/>
          </w:tcPr>
          <w:p w14:paraId="09E5A1A5" w14:textId="21F34BE7" w:rsidR="002C2637" w:rsidRPr="0084121F" w:rsidRDefault="006F70AE" w:rsidP="00A67EC4">
            <w:pPr>
              <w:pStyle w:val="Titolo1"/>
              <w:rPr>
                <w:rFonts w:asciiTheme="minorHAnsi" w:hAnsiTheme="minorHAnsi" w:cs="Arial"/>
                <w:bCs/>
                <w:sz w:val="20"/>
              </w:rPr>
            </w:pPr>
            <w:r w:rsidRPr="006F70AE">
              <w:rPr>
                <w:rFonts w:asciiTheme="minorHAnsi" w:hAnsiTheme="minorHAnsi" w:cs="Arial"/>
                <w:bCs/>
                <w:noProof/>
                <w:sz w:val="20"/>
              </w:rPr>
              <w:drawing>
                <wp:inline distT="0" distB="0" distL="0" distR="0" wp14:anchorId="12152B68" wp14:editId="0CC170BF">
                  <wp:extent cx="5015986" cy="1779369"/>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2166" cy="1781561"/>
                          </a:xfrm>
                          <a:prstGeom prst="rect">
                            <a:avLst/>
                          </a:prstGeom>
                          <a:noFill/>
                          <a:ln>
                            <a:noFill/>
                          </a:ln>
                        </pic:spPr>
                      </pic:pic>
                    </a:graphicData>
                  </a:graphic>
                </wp:inline>
              </w:drawing>
            </w:r>
          </w:p>
        </w:tc>
      </w:tr>
      <w:tr w:rsidR="002C2637" w:rsidRPr="006768AA" w14:paraId="1BC4A3AD" w14:textId="77777777" w:rsidTr="00A67EC4">
        <w:tc>
          <w:tcPr>
            <w:tcW w:w="8788" w:type="dxa"/>
            <w:shd w:val="clear" w:color="auto" w:fill="auto"/>
          </w:tcPr>
          <w:p w14:paraId="700C338F" w14:textId="77777777" w:rsidR="002C2637" w:rsidRPr="0084121F" w:rsidRDefault="002C2637" w:rsidP="00A67EC4">
            <w:pPr>
              <w:keepNext/>
              <w:tabs>
                <w:tab w:val="left" w:pos="3256"/>
              </w:tabs>
              <w:spacing w:before="40"/>
              <w:rPr>
                <w:rFonts w:ascii="Arial" w:hAnsi="Arial" w:cs="Arial"/>
                <w:bCs/>
                <w:i/>
                <w:sz w:val="16"/>
                <w:szCs w:val="16"/>
                <w:shd w:val="clear" w:color="auto" w:fill="FFFFFF" w:themeFill="background1"/>
              </w:rPr>
            </w:pPr>
          </w:p>
          <w:p w14:paraId="1F22F95A" w14:textId="77777777" w:rsidR="002C2637" w:rsidRPr="00BB5A77" w:rsidRDefault="002C2637" w:rsidP="00A67EC4">
            <w:pPr>
              <w:keepNext/>
              <w:tabs>
                <w:tab w:val="left" w:pos="3256"/>
              </w:tabs>
              <w:spacing w:before="40"/>
              <w:rPr>
                <w:noProof/>
              </w:rPr>
            </w:pPr>
            <w:r w:rsidRPr="0084121F">
              <w:rPr>
                <w:rFonts w:ascii="Arial" w:hAnsi="Arial" w:cs="Arial"/>
                <w:bCs/>
                <w:i/>
                <w:sz w:val="16"/>
                <w:szCs w:val="16"/>
                <w:shd w:val="clear" w:color="auto" w:fill="FFFFFF" w:themeFill="background1"/>
              </w:rPr>
              <w:t>Fonte: Elaborazioni Ufficio Studi e Statistica CCIAA Treviso-Belluno su dati World Bank</w:t>
            </w:r>
          </w:p>
        </w:tc>
      </w:tr>
    </w:tbl>
    <w:p w14:paraId="52794555" w14:textId="77777777" w:rsidR="002C2637" w:rsidRPr="00C943B1" w:rsidRDefault="002C2637" w:rsidP="009C76EB">
      <w:pPr>
        <w:spacing w:before="240" w:after="120"/>
        <w:rPr>
          <w:rFonts w:ascii="Calibri" w:hAnsi="Calibri" w:cs="Calibri"/>
          <w:bCs/>
          <w:sz w:val="16"/>
          <w:szCs w:val="16"/>
        </w:rPr>
      </w:pPr>
    </w:p>
    <w:tbl>
      <w:tblPr>
        <w:tblStyle w:val="Grigliatabella"/>
        <w:tblpPr w:leftFromText="141" w:rightFromText="141" w:vertAnchor="text" w:horzAnchor="margin" w:tblpXSpec="center" w:tblpY="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7"/>
        <w:gridCol w:w="4391"/>
      </w:tblGrid>
      <w:tr w:rsidR="00DE64D8" w:rsidRPr="00BB5A77" w14:paraId="39DFD94E" w14:textId="77777777" w:rsidTr="00A67EC4">
        <w:tc>
          <w:tcPr>
            <w:tcW w:w="4407" w:type="dxa"/>
            <w:shd w:val="clear" w:color="auto" w:fill="auto"/>
          </w:tcPr>
          <w:p w14:paraId="4F3F49F4" w14:textId="77777777" w:rsidR="002C2637" w:rsidRPr="00E1200C" w:rsidRDefault="002C2637" w:rsidP="00A67EC4">
            <w:pPr>
              <w:pStyle w:val="Titolo1"/>
              <w:jc w:val="left"/>
              <w:rPr>
                <w:rFonts w:asciiTheme="minorHAnsi" w:hAnsiTheme="minorHAnsi" w:cs="Arial"/>
                <w:b w:val="0"/>
                <w:bCs/>
                <w:sz w:val="20"/>
                <w:highlight w:val="yellow"/>
              </w:rPr>
            </w:pPr>
            <w:r w:rsidRPr="00DE64D8">
              <w:rPr>
                <w:rFonts w:asciiTheme="minorHAnsi" w:hAnsiTheme="minorHAnsi" w:cs="Arial"/>
                <w:bCs/>
                <w:sz w:val="20"/>
              </w:rPr>
              <w:t xml:space="preserve">Graf. 1 – </w:t>
            </w:r>
            <w:r w:rsidRPr="00DE64D8">
              <w:rPr>
                <w:rFonts w:asciiTheme="minorHAnsi" w:hAnsiTheme="minorHAnsi" w:cs="Arial"/>
                <w:bCs/>
                <w:color w:val="00B0F0"/>
                <w:sz w:val="20"/>
              </w:rPr>
              <w:t>Mondo.</w:t>
            </w:r>
            <w:r w:rsidRPr="00DE64D8">
              <w:rPr>
                <w:rFonts w:asciiTheme="minorHAnsi" w:hAnsiTheme="minorHAnsi" w:cs="Arial"/>
                <w:bCs/>
                <w:color w:val="00B0F0"/>
                <w:sz w:val="20"/>
              </w:rPr>
              <w:br/>
            </w:r>
            <w:r w:rsidRPr="00DE64D8">
              <w:rPr>
                <w:rFonts w:asciiTheme="minorHAnsi" w:hAnsiTheme="minorHAnsi" w:cs="Arial"/>
                <w:bCs/>
                <w:sz w:val="20"/>
              </w:rPr>
              <w:t>Indice dei prezzi delle materie prime in dollari U.S (base 2010=100)</w:t>
            </w:r>
          </w:p>
        </w:tc>
        <w:tc>
          <w:tcPr>
            <w:tcW w:w="4381" w:type="dxa"/>
            <w:shd w:val="clear" w:color="auto" w:fill="auto"/>
          </w:tcPr>
          <w:p w14:paraId="4A04EC08" w14:textId="4365D6DD" w:rsidR="002C2637" w:rsidRPr="00E1200C" w:rsidRDefault="002C2637" w:rsidP="00A67EC4">
            <w:pPr>
              <w:pStyle w:val="Titolo1"/>
              <w:jc w:val="left"/>
              <w:rPr>
                <w:rFonts w:asciiTheme="minorHAnsi" w:hAnsiTheme="minorHAnsi" w:cs="Arial"/>
                <w:b w:val="0"/>
                <w:bCs/>
                <w:sz w:val="20"/>
                <w:highlight w:val="yellow"/>
              </w:rPr>
            </w:pPr>
            <w:r w:rsidRPr="00C226E1">
              <w:rPr>
                <w:rFonts w:asciiTheme="minorHAnsi" w:hAnsiTheme="minorHAnsi" w:cs="Arial"/>
                <w:bCs/>
                <w:sz w:val="20"/>
              </w:rPr>
              <w:t xml:space="preserve">Graf. 2 – </w:t>
            </w:r>
            <w:r w:rsidRPr="00C226E1">
              <w:rPr>
                <w:rFonts w:asciiTheme="minorHAnsi" w:hAnsiTheme="minorHAnsi" w:cs="Arial"/>
                <w:bCs/>
                <w:color w:val="00B0F0"/>
                <w:sz w:val="20"/>
              </w:rPr>
              <w:t>Area euro.</w:t>
            </w:r>
            <w:r w:rsidRPr="00C226E1">
              <w:rPr>
                <w:rFonts w:asciiTheme="minorHAnsi" w:hAnsiTheme="minorHAnsi" w:cs="Arial"/>
                <w:bCs/>
                <w:color w:val="00B0F0"/>
                <w:sz w:val="20"/>
              </w:rPr>
              <w:br/>
            </w:r>
            <w:r w:rsidRPr="00C226E1">
              <w:rPr>
                <w:rFonts w:asciiTheme="minorHAnsi" w:hAnsiTheme="minorHAnsi" w:cs="Arial"/>
                <w:bCs/>
                <w:sz w:val="20"/>
              </w:rPr>
              <w:t xml:space="preserve">Indice armonizzato dei prezzi al consumo – variazione </w:t>
            </w:r>
            <w:r w:rsidR="00DE64D8">
              <w:rPr>
                <w:rFonts w:asciiTheme="minorHAnsi" w:hAnsiTheme="minorHAnsi" w:cs="Arial"/>
                <w:bCs/>
                <w:sz w:val="20"/>
              </w:rPr>
              <w:t xml:space="preserve">% </w:t>
            </w:r>
            <w:r w:rsidRPr="00C226E1">
              <w:rPr>
                <w:rFonts w:asciiTheme="minorHAnsi" w:hAnsiTheme="minorHAnsi" w:cs="Arial"/>
                <w:bCs/>
                <w:sz w:val="20"/>
              </w:rPr>
              <w:t>annuale</w:t>
            </w:r>
          </w:p>
        </w:tc>
      </w:tr>
      <w:tr w:rsidR="002C2637" w:rsidRPr="00BB5A77" w14:paraId="320897AD" w14:textId="77777777" w:rsidTr="00A67EC4">
        <w:tc>
          <w:tcPr>
            <w:tcW w:w="8788" w:type="dxa"/>
            <w:gridSpan w:val="2"/>
            <w:shd w:val="clear" w:color="auto" w:fill="auto"/>
          </w:tcPr>
          <w:p w14:paraId="5BA05C7A" w14:textId="77777777" w:rsidR="002C2637" w:rsidRPr="00BB5A77" w:rsidRDefault="002C2637" w:rsidP="00A67EC4">
            <w:pPr>
              <w:pStyle w:val="Titolo1"/>
              <w:jc w:val="both"/>
              <w:rPr>
                <w:rFonts w:asciiTheme="minorHAnsi" w:hAnsiTheme="minorHAnsi" w:cs="Arial"/>
                <w:bCs/>
                <w:sz w:val="20"/>
              </w:rPr>
            </w:pPr>
          </w:p>
        </w:tc>
      </w:tr>
      <w:tr w:rsidR="00DE64D8" w:rsidRPr="00BB5A77" w14:paraId="3A0ED427" w14:textId="77777777" w:rsidTr="00A67EC4">
        <w:tc>
          <w:tcPr>
            <w:tcW w:w="4407" w:type="dxa"/>
            <w:shd w:val="clear" w:color="auto" w:fill="auto"/>
          </w:tcPr>
          <w:p w14:paraId="0EAF9C25" w14:textId="20439017" w:rsidR="002C2637" w:rsidRPr="00BB5A77" w:rsidRDefault="00DE64D8" w:rsidP="00A67EC4">
            <w:pPr>
              <w:pStyle w:val="Titolo1"/>
              <w:jc w:val="left"/>
              <w:rPr>
                <w:rFonts w:asciiTheme="minorHAnsi" w:hAnsiTheme="minorHAnsi" w:cs="Arial"/>
                <w:bCs/>
                <w:sz w:val="20"/>
              </w:rPr>
            </w:pPr>
            <w:r>
              <w:rPr>
                <w:rFonts w:asciiTheme="minorHAnsi" w:hAnsiTheme="minorHAnsi" w:cs="Arial"/>
                <w:bCs/>
                <w:noProof/>
                <w:sz w:val="20"/>
              </w:rPr>
              <w:drawing>
                <wp:inline distT="0" distB="0" distL="0" distR="0" wp14:anchorId="44F8C20E" wp14:editId="57581A5C">
                  <wp:extent cx="2691684" cy="1669093"/>
                  <wp:effectExtent l="0" t="0" r="0" b="762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6460" cy="1678256"/>
                          </a:xfrm>
                          <a:prstGeom prst="rect">
                            <a:avLst/>
                          </a:prstGeom>
                          <a:noFill/>
                        </pic:spPr>
                      </pic:pic>
                    </a:graphicData>
                  </a:graphic>
                </wp:inline>
              </w:drawing>
            </w:r>
          </w:p>
        </w:tc>
        <w:tc>
          <w:tcPr>
            <w:tcW w:w="4381" w:type="dxa"/>
            <w:shd w:val="clear" w:color="auto" w:fill="auto"/>
          </w:tcPr>
          <w:p w14:paraId="0205F82F" w14:textId="55877031" w:rsidR="002C2637" w:rsidRPr="00BB5A77" w:rsidRDefault="00C226E1" w:rsidP="00A67EC4">
            <w:pPr>
              <w:pStyle w:val="Titolo1"/>
              <w:jc w:val="left"/>
              <w:rPr>
                <w:rFonts w:asciiTheme="minorHAnsi" w:hAnsiTheme="minorHAnsi" w:cs="Arial"/>
                <w:bCs/>
                <w:sz w:val="20"/>
              </w:rPr>
            </w:pPr>
            <w:r>
              <w:rPr>
                <w:rFonts w:asciiTheme="minorHAnsi" w:hAnsiTheme="minorHAnsi" w:cs="Arial"/>
                <w:bCs/>
                <w:noProof/>
                <w:sz w:val="20"/>
              </w:rPr>
              <w:drawing>
                <wp:inline distT="0" distB="0" distL="0" distR="0" wp14:anchorId="661AC865" wp14:editId="20257076">
                  <wp:extent cx="2687782" cy="1687966"/>
                  <wp:effectExtent l="0" t="0" r="0" b="762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10245" cy="1702073"/>
                          </a:xfrm>
                          <a:prstGeom prst="rect">
                            <a:avLst/>
                          </a:prstGeom>
                          <a:noFill/>
                        </pic:spPr>
                      </pic:pic>
                    </a:graphicData>
                  </a:graphic>
                </wp:inline>
              </w:drawing>
            </w:r>
          </w:p>
        </w:tc>
      </w:tr>
      <w:tr w:rsidR="00DE64D8" w:rsidRPr="00BB5A77" w14:paraId="1C35062A" w14:textId="77777777" w:rsidTr="00A67EC4">
        <w:tc>
          <w:tcPr>
            <w:tcW w:w="4407" w:type="dxa"/>
            <w:shd w:val="clear" w:color="auto" w:fill="auto"/>
          </w:tcPr>
          <w:p w14:paraId="65EDB509" w14:textId="77777777" w:rsidR="002C2637" w:rsidRPr="002C2637" w:rsidRDefault="002C2637" w:rsidP="00A67EC4">
            <w:pPr>
              <w:pStyle w:val="Titolo1"/>
              <w:jc w:val="left"/>
              <w:rPr>
                <w:rFonts w:asciiTheme="minorHAnsi" w:hAnsiTheme="minorHAnsi" w:cs="Arial"/>
                <w:b w:val="0"/>
                <w:noProof/>
                <w:sz w:val="20"/>
              </w:rPr>
            </w:pPr>
            <w:r w:rsidRPr="002C2637">
              <w:rPr>
                <w:rFonts w:ascii="Arial" w:hAnsi="Arial" w:cs="Arial"/>
                <w:b w:val="0"/>
                <w:i/>
                <w:sz w:val="16"/>
                <w:szCs w:val="16"/>
                <w:shd w:val="clear" w:color="auto" w:fill="FFFFFF" w:themeFill="background1"/>
              </w:rPr>
              <w:t>Fonte: Elaborazioni Ufficio Studi e Statistica CCIAA Treviso-Belluno su dati World Bank</w:t>
            </w:r>
          </w:p>
        </w:tc>
        <w:tc>
          <w:tcPr>
            <w:tcW w:w="4381" w:type="dxa"/>
            <w:shd w:val="clear" w:color="auto" w:fill="auto"/>
          </w:tcPr>
          <w:p w14:paraId="6B46F515" w14:textId="77777777" w:rsidR="002C2637" w:rsidRPr="002C2637" w:rsidRDefault="002C2637" w:rsidP="00A67EC4">
            <w:pPr>
              <w:pStyle w:val="Titolo1"/>
              <w:jc w:val="left"/>
              <w:rPr>
                <w:rFonts w:asciiTheme="minorHAnsi" w:hAnsiTheme="minorHAnsi" w:cs="Arial"/>
                <w:b w:val="0"/>
                <w:sz w:val="20"/>
              </w:rPr>
            </w:pPr>
            <w:r w:rsidRPr="002C2637">
              <w:rPr>
                <w:rFonts w:ascii="Arial" w:hAnsi="Arial" w:cs="Arial"/>
                <w:b w:val="0"/>
                <w:i/>
                <w:sz w:val="16"/>
                <w:szCs w:val="16"/>
                <w:shd w:val="clear" w:color="auto" w:fill="FFFFFF" w:themeFill="background1"/>
              </w:rPr>
              <w:t>Fonte: Elaborazioni Ufficio Studi e Statistica CCIAA Treviso-Belluno su dati Eurostat</w:t>
            </w:r>
          </w:p>
        </w:tc>
      </w:tr>
    </w:tbl>
    <w:p w14:paraId="26B36271" w14:textId="77777777" w:rsidR="0089498C" w:rsidRDefault="0089498C" w:rsidP="009C76EB">
      <w:pPr>
        <w:spacing w:before="240" w:after="120"/>
        <w:rPr>
          <w:rFonts w:ascii="Calibri" w:hAnsi="Calibri" w:cs="Calibri"/>
          <w:bCs/>
          <w:szCs w:val="24"/>
        </w:rPr>
      </w:pPr>
    </w:p>
    <w:tbl>
      <w:tblPr>
        <w:tblStyle w:val="Grigliatabella"/>
        <w:tblpPr w:leftFromText="141" w:rightFromText="141" w:vertAnchor="text" w:horzAnchor="margin" w:tblpXSpec="center" w:tblpY="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0743AB" w:rsidRPr="00BB5A77" w14:paraId="7C068091" w14:textId="77777777" w:rsidTr="00A67EC4">
        <w:tc>
          <w:tcPr>
            <w:tcW w:w="8788" w:type="dxa"/>
            <w:shd w:val="clear" w:color="auto" w:fill="auto"/>
          </w:tcPr>
          <w:p w14:paraId="15D08838" w14:textId="38E95294" w:rsidR="000743AB" w:rsidRPr="00BB5A77" w:rsidRDefault="000743AB" w:rsidP="00A67EC4">
            <w:pPr>
              <w:pStyle w:val="Titolo1"/>
              <w:jc w:val="left"/>
              <w:rPr>
                <w:rFonts w:asciiTheme="minorHAnsi" w:hAnsiTheme="minorHAnsi" w:cs="Arial"/>
                <w:b w:val="0"/>
                <w:bCs/>
                <w:sz w:val="20"/>
              </w:rPr>
            </w:pPr>
            <w:r w:rsidRPr="003F5243">
              <w:rPr>
                <w:rFonts w:asciiTheme="minorHAnsi" w:hAnsiTheme="minorHAnsi" w:cs="Arial"/>
                <w:bCs/>
                <w:sz w:val="20"/>
              </w:rPr>
              <w:t xml:space="preserve">Graf. </w:t>
            </w:r>
            <w:r>
              <w:rPr>
                <w:rFonts w:asciiTheme="minorHAnsi" w:hAnsiTheme="minorHAnsi" w:cs="Arial"/>
                <w:bCs/>
                <w:sz w:val="20"/>
              </w:rPr>
              <w:t>3</w:t>
            </w:r>
            <w:r w:rsidRPr="003F5243">
              <w:rPr>
                <w:rFonts w:asciiTheme="minorHAnsi" w:hAnsiTheme="minorHAnsi" w:cs="Arial"/>
                <w:bCs/>
                <w:sz w:val="20"/>
              </w:rPr>
              <w:t xml:space="preserve">.a – </w:t>
            </w:r>
            <w:r w:rsidRPr="003F5243">
              <w:rPr>
                <w:rFonts w:asciiTheme="minorHAnsi" w:hAnsiTheme="minorHAnsi" w:cs="Arial"/>
                <w:bCs/>
                <w:color w:val="00B0F0"/>
                <w:sz w:val="20"/>
              </w:rPr>
              <w:t>Eurozona.</w:t>
            </w:r>
            <w:r w:rsidRPr="003F5243">
              <w:rPr>
                <w:rFonts w:asciiTheme="minorHAnsi" w:hAnsiTheme="minorHAnsi" w:cs="Arial"/>
                <w:bCs/>
                <w:color w:val="00B0F0"/>
                <w:sz w:val="20"/>
              </w:rPr>
              <w:br/>
            </w:r>
            <w:r w:rsidRPr="003F5243">
              <w:rPr>
                <w:rFonts w:asciiTheme="minorHAnsi" w:hAnsiTheme="minorHAnsi" w:cs="Arial"/>
                <w:bCs/>
                <w:sz w:val="20"/>
              </w:rPr>
              <w:t>Indice PMI Settore Manifatturiero a</w:t>
            </w:r>
            <w:r w:rsidR="00807709">
              <w:rPr>
                <w:rFonts w:asciiTheme="minorHAnsi" w:hAnsiTheme="minorHAnsi" w:cs="Arial"/>
                <w:bCs/>
                <w:sz w:val="20"/>
              </w:rPr>
              <w:t>d aprile</w:t>
            </w:r>
            <w:r w:rsidRPr="003F5243">
              <w:rPr>
                <w:rFonts w:asciiTheme="minorHAnsi" w:hAnsiTheme="minorHAnsi" w:cs="Arial"/>
                <w:bCs/>
                <w:sz w:val="20"/>
              </w:rPr>
              <w:t xml:space="preserve"> 2024</w:t>
            </w:r>
          </w:p>
        </w:tc>
      </w:tr>
      <w:tr w:rsidR="000743AB" w:rsidRPr="00BB5A77" w14:paraId="49BB15AA" w14:textId="77777777" w:rsidTr="00A67EC4">
        <w:tc>
          <w:tcPr>
            <w:tcW w:w="8788" w:type="dxa"/>
            <w:shd w:val="clear" w:color="auto" w:fill="auto"/>
          </w:tcPr>
          <w:p w14:paraId="207F2BAB" w14:textId="77777777" w:rsidR="000743AB" w:rsidRPr="00BB5A77" w:rsidRDefault="000743AB" w:rsidP="00A67EC4">
            <w:pPr>
              <w:pStyle w:val="Titolo1"/>
              <w:rPr>
                <w:rFonts w:asciiTheme="minorHAnsi" w:hAnsiTheme="minorHAnsi" w:cs="Arial"/>
                <w:bCs/>
                <w:sz w:val="20"/>
              </w:rPr>
            </w:pPr>
            <w:r w:rsidRPr="00BB5A77">
              <w:rPr>
                <w:rFonts w:asciiTheme="minorHAnsi" w:hAnsiTheme="minorHAnsi" w:cs="Arial"/>
                <w:bCs/>
                <w:sz w:val="20"/>
              </w:rPr>
              <w:t>Eurozona</w:t>
            </w:r>
          </w:p>
        </w:tc>
      </w:tr>
      <w:tr w:rsidR="000743AB" w:rsidRPr="00BB5A77" w14:paraId="549890D5" w14:textId="77777777" w:rsidTr="00A67EC4">
        <w:tc>
          <w:tcPr>
            <w:tcW w:w="8788" w:type="dxa"/>
            <w:shd w:val="clear" w:color="auto" w:fill="auto"/>
          </w:tcPr>
          <w:p w14:paraId="293AECBB" w14:textId="6FD263A5" w:rsidR="000743AB" w:rsidRPr="00BB5A77" w:rsidRDefault="00E1200C" w:rsidP="00A67EC4">
            <w:pPr>
              <w:pStyle w:val="Titolo1"/>
              <w:rPr>
                <w:rFonts w:asciiTheme="minorHAnsi" w:hAnsiTheme="minorHAnsi" w:cs="Arial"/>
                <w:bCs/>
                <w:sz w:val="20"/>
              </w:rPr>
            </w:pPr>
            <w:r>
              <w:rPr>
                <w:noProof/>
              </w:rPr>
              <w:drawing>
                <wp:inline distT="0" distB="0" distL="0" distR="0" wp14:anchorId="7545915F" wp14:editId="6E550705">
                  <wp:extent cx="3213279" cy="1956671"/>
                  <wp:effectExtent l="0" t="0" r="6350" b="571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33740" cy="1969131"/>
                          </a:xfrm>
                          <a:prstGeom prst="rect">
                            <a:avLst/>
                          </a:prstGeom>
                        </pic:spPr>
                      </pic:pic>
                    </a:graphicData>
                  </a:graphic>
                </wp:inline>
              </w:drawing>
            </w:r>
          </w:p>
        </w:tc>
      </w:tr>
      <w:tr w:rsidR="000743AB" w:rsidRPr="006768AA" w14:paraId="1F39A54D" w14:textId="77777777" w:rsidTr="00A67EC4">
        <w:tc>
          <w:tcPr>
            <w:tcW w:w="8788" w:type="dxa"/>
            <w:shd w:val="clear" w:color="auto" w:fill="auto"/>
          </w:tcPr>
          <w:p w14:paraId="7BF91F7B" w14:textId="4D84D9E1" w:rsidR="000743AB" w:rsidRPr="00BB5A77" w:rsidRDefault="000743AB" w:rsidP="00A67EC4">
            <w:pPr>
              <w:keepNext/>
              <w:tabs>
                <w:tab w:val="left" w:pos="3256"/>
              </w:tabs>
              <w:spacing w:before="40"/>
              <w:rPr>
                <w:noProof/>
              </w:rPr>
            </w:pPr>
            <w:r w:rsidRPr="00BB5A77">
              <w:rPr>
                <w:rFonts w:ascii="Arial" w:hAnsi="Arial" w:cs="Arial"/>
                <w:bCs/>
                <w:i/>
                <w:sz w:val="16"/>
                <w:szCs w:val="16"/>
                <w:shd w:val="clear" w:color="auto" w:fill="FFFFFF" w:themeFill="background1"/>
              </w:rPr>
              <w:t xml:space="preserve">Fonte: HCOB e S&amp;P Global PMI, comunicato stampa </w:t>
            </w:r>
            <w:r w:rsidR="00E1200C">
              <w:rPr>
                <w:rFonts w:ascii="Arial" w:hAnsi="Arial" w:cs="Arial"/>
                <w:bCs/>
                <w:i/>
                <w:sz w:val="16"/>
                <w:szCs w:val="16"/>
                <w:shd w:val="clear" w:color="auto" w:fill="FFFFFF" w:themeFill="background1"/>
              </w:rPr>
              <w:t>02</w:t>
            </w:r>
            <w:r w:rsidRPr="00BB5A77">
              <w:rPr>
                <w:rFonts w:ascii="Arial" w:hAnsi="Arial" w:cs="Arial"/>
                <w:bCs/>
                <w:i/>
                <w:sz w:val="16"/>
                <w:szCs w:val="16"/>
                <w:shd w:val="clear" w:color="auto" w:fill="FFFFFF" w:themeFill="background1"/>
              </w:rPr>
              <w:t xml:space="preserve"> </w:t>
            </w:r>
            <w:r w:rsidR="00E1200C">
              <w:rPr>
                <w:rFonts w:ascii="Arial" w:hAnsi="Arial" w:cs="Arial"/>
                <w:bCs/>
                <w:i/>
                <w:sz w:val="16"/>
                <w:szCs w:val="16"/>
                <w:shd w:val="clear" w:color="auto" w:fill="FFFFFF" w:themeFill="background1"/>
              </w:rPr>
              <w:t>maggio</w:t>
            </w:r>
            <w:r w:rsidRPr="00BB5A77">
              <w:rPr>
                <w:rFonts w:ascii="Arial" w:hAnsi="Arial" w:cs="Arial"/>
                <w:bCs/>
                <w:i/>
                <w:sz w:val="16"/>
                <w:szCs w:val="16"/>
                <w:shd w:val="clear" w:color="auto" w:fill="FFFFFF" w:themeFill="background1"/>
              </w:rPr>
              <w:t xml:space="preserve"> 202</w:t>
            </w:r>
            <w:r>
              <w:rPr>
                <w:rFonts w:ascii="Arial" w:hAnsi="Arial" w:cs="Arial"/>
                <w:bCs/>
                <w:i/>
                <w:sz w:val="16"/>
                <w:szCs w:val="16"/>
                <w:shd w:val="clear" w:color="auto" w:fill="FFFFFF" w:themeFill="background1"/>
              </w:rPr>
              <w:t>4</w:t>
            </w:r>
          </w:p>
        </w:tc>
      </w:tr>
    </w:tbl>
    <w:p w14:paraId="25ADC0F7" w14:textId="77777777" w:rsidR="000743AB" w:rsidRDefault="000743AB" w:rsidP="009C76EB">
      <w:pPr>
        <w:spacing w:before="240" w:after="120"/>
        <w:rPr>
          <w:rFonts w:ascii="Calibri" w:hAnsi="Calibri" w:cs="Calibri"/>
          <w:bCs/>
          <w:szCs w:val="24"/>
        </w:rPr>
      </w:pPr>
    </w:p>
    <w:tbl>
      <w:tblPr>
        <w:tblStyle w:val="Grigliatabella"/>
        <w:tblpPr w:leftFromText="141" w:rightFromText="141" w:vertAnchor="text" w:horzAnchor="margin" w:tblpXSpec="center" w:tblpY="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5"/>
        <w:gridCol w:w="4343"/>
      </w:tblGrid>
      <w:tr w:rsidR="000743AB" w:rsidRPr="00BB5A77" w14:paraId="68A59108" w14:textId="77777777" w:rsidTr="00A67EC4">
        <w:tc>
          <w:tcPr>
            <w:tcW w:w="8788" w:type="dxa"/>
            <w:gridSpan w:val="2"/>
            <w:shd w:val="clear" w:color="auto" w:fill="auto"/>
          </w:tcPr>
          <w:p w14:paraId="724BEF2A" w14:textId="77777777" w:rsidR="000743AB" w:rsidRPr="003F5243" w:rsidRDefault="000743AB" w:rsidP="00A67EC4">
            <w:pPr>
              <w:keepNext/>
              <w:tabs>
                <w:tab w:val="left" w:pos="3256"/>
              </w:tabs>
              <w:spacing w:before="40"/>
              <w:jc w:val="left"/>
              <w:rPr>
                <w:rFonts w:asciiTheme="minorHAnsi" w:hAnsiTheme="minorHAnsi" w:cs="Arial"/>
                <w:b/>
                <w:bCs/>
                <w:sz w:val="20"/>
              </w:rPr>
            </w:pPr>
            <w:r w:rsidRPr="003F5243">
              <w:rPr>
                <w:rFonts w:asciiTheme="minorHAnsi" w:hAnsiTheme="minorHAnsi" w:cs="Arial"/>
                <w:b/>
                <w:bCs/>
                <w:sz w:val="20"/>
              </w:rPr>
              <w:t xml:space="preserve">Graf. </w:t>
            </w:r>
            <w:r>
              <w:rPr>
                <w:rFonts w:asciiTheme="minorHAnsi" w:hAnsiTheme="minorHAnsi" w:cs="Arial"/>
                <w:b/>
                <w:bCs/>
                <w:sz w:val="20"/>
              </w:rPr>
              <w:t>3</w:t>
            </w:r>
            <w:r w:rsidRPr="003F5243">
              <w:rPr>
                <w:rFonts w:asciiTheme="minorHAnsi" w:hAnsiTheme="minorHAnsi" w:cs="Arial"/>
                <w:b/>
                <w:bCs/>
                <w:sz w:val="20"/>
              </w:rPr>
              <w:t xml:space="preserve">.b – </w:t>
            </w:r>
            <w:r w:rsidRPr="003F5243">
              <w:rPr>
                <w:rFonts w:asciiTheme="minorHAnsi" w:hAnsiTheme="minorHAnsi" w:cs="Arial"/>
                <w:b/>
                <w:bCs/>
                <w:color w:val="00B0F0"/>
                <w:sz w:val="20"/>
              </w:rPr>
              <w:t>Germania e Italia.</w:t>
            </w:r>
          </w:p>
          <w:p w14:paraId="662305E2" w14:textId="671DAFE4" w:rsidR="000743AB" w:rsidRPr="00BB5A77" w:rsidRDefault="000743AB" w:rsidP="00A67EC4">
            <w:pPr>
              <w:pStyle w:val="Titolo1"/>
              <w:jc w:val="left"/>
              <w:rPr>
                <w:rFonts w:asciiTheme="minorHAnsi" w:hAnsiTheme="minorHAnsi" w:cs="Arial"/>
                <w:b w:val="0"/>
                <w:bCs/>
                <w:sz w:val="20"/>
              </w:rPr>
            </w:pPr>
            <w:r w:rsidRPr="003F5243">
              <w:rPr>
                <w:rFonts w:asciiTheme="minorHAnsi" w:hAnsiTheme="minorHAnsi" w:cs="Arial"/>
                <w:bCs/>
                <w:sz w:val="20"/>
              </w:rPr>
              <w:t>Indice PMI Settore Manifatturiero a</w:t>
            </w:r>
            <w:r w:rsidR="00807709">
              <w:rPr>
                <w:rFonts w:asciiTheme="minorHAnsi" w:hAnsiTheme="minorHAnsi" w:cs="Arial"/>
                <w:bCs/>
                <w:sz w:val="20"/>
              </w:rPr>
              <w:t>d aprile</w:t>
            </w:r>
            <w:r w:rsidRPr="003F5243">
              <w:rPr>
                <w:rFonts w:asciiTheme="minorHAnsi" w:hAnsiTheme="minorHAnsi" w:cs="Arial"/>
                <w:bCs/>
                <w:sz w:val="20"/>
              </w:rPr>
              <w:t xml:space="preserve"> 2024</w:t>
            </w:r>
          </w:p>
        </w:tc>
      </w:tr>
      <w:tr w:rsidR="00E1200C" w:rsidRPr="00BB5A77" w14:paraId="433A0635" w14:textId="77777777" w:rsidTr="00A67EC4">
        <w:tc>
          <w:tcPr>
            <w:tcW w:w="4445" w:type="dxa"/>
            <w:shd w:val="clear" w:color="auto" w:fill="auto"/>
          </w:tcPr>
          <w:p w14:paraId="32B9C942" w14:textId="77777777" w:rsidR="000743AB" w:rsidRPr="00BB5A77" w:rsidRDefault="000743AB" w:rsidP="00A67EC4">
            <w:pPr>
              <w:keepNext/>
              <w:tabs>
                <w:tab w:val="left" w:pos="3256"/>
              </w:tabs>
              <w:spacing w:before="40"/>
              <w:jc w:val="center"/>
              <w:rPr>
                <w:rFonts w:asciiTheme="minorHAnsi" w:hAnsiTheme="minorHAnsi" w:cs="Arial"/>
                <w:b/>
                <w:bCs/>
                <w:sz w:val="20"/>
              </w:rPr>
            </w:pPr>
            <w:r w:rsidRPr="00BB5A77">
              <w:rPr>
                <w:rFonts w:asciiTheme="minorHAnsi" w:hAnsiTheme="minorHAnsi" w:cs="Arial"/>
                <w:b/>
                <w:bCs/>
                <w:sz w:val="20"/>
              </w:rPr>
              <w:t>Germania</w:t>
            </w:r>
          </w:p>
        </w:tc>
        <w:tc>
          <w:tcPr>
            <w:tcW w:w="4343" w:type="dxa"/>
            <w:shd w:val="clear" w:color="auto" w:fill="auto"/>
          </w:tcPr>
          <w:p w14:paraId="1C6AAB4A" w14:textId="77777777" w:rsidR="000743AB" w:rsidRPr="00BB5A77" w:rsidRDefault="000743AB" w:rsidP="00A67EC4">
            <w:pPr>
              <w:keepNext/>
              <w:tabs>
                <w:tab w:val="left" w:pos="3256"/>
              </w:tabs>
              <w:spacing w:before="40"/>
              <w:jc w:val="center"/>
              <w:rPr>
                <w:rFonts w:asciiTheme="minorHAnsi" w:hAnsiTheme="minorHAnsi" w:cs="Arial"/>
                <w:b/>
                <w:bCs/>
                <w:sz w:val="20"/>
              </w:rPr>
            </w:pPr>
            <w:r w:rsidRPr="00BB5A77">
              <w:rPr>
                <w:rFonts w:asciiTheme="minorHAnsi" w:hAnsiTheme="minorHAnsi" w:cs="Arial"/>
                <w:b/>
                <w:bCs/>
                <w:sz w:val="20"/>
              </w:rPr>
              <w:t>Italia</w:t>
            </w:r>
          </w:p>
        </w:tc>
      </w:tr>
      <w:tr w:rsidR="00E1200C" w:rsidRPr="00BB5A77" w14:paraId="01374877" w14:textId="77777777" w:rsidTr="00A67EC4">
        <w:tc>
          <w:tcPr>
            <w:tcW w:w="4445" w:type="dxa"/>
            <w:shd w:val="clear" w:color="auto" w:fill="auto"/>
          </w:tcPr>
          <w:p w14:paraId="240CEE4E" w14:textId="16FA1D5B" w:rsidR="000743AB" w:rsidRPr="00BB5A77" w:rsidRDefault="00E1200C" w:rsidP="00A67EC4">
            <w:pPr>
              <w:keepNext/>
              <w:tabs>
                <w:tab w:val="left" w:pos="3256"/>
              </w:tabs>
              <w:spacing w:before="40"/>
              <w:jc w:val="center"/>
              <w:rPr>
                <w:rFonts w:asciiTheme="minorHAnsi" w:hAnsiTheme="minorHAnsi" w:cs="Arial"/>
                <w:b/>
                <w:bCs/>
                <w:sz w:val="20"/>
              </w:rPr>
            </w:pPr>
            <w:r>
              <w:rPr>
                <w:noProof/>
              </w:rPr>
              <w:drawing>
                <wp:inline distT="0" distB="0" distL="0" distR="0" wp14:anchorId="1444E4C8" wp14:editId="3DFBACA5">
                  <wp:extent cx="2359144" cy="1593188"/>
                  <wp:effectExtent l="0" t="0" r="3175" b="762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77954" cy="1605891"/>
                          </a:xfrm>
                          <a:prstGeom prst="rect">
                            <a:avLst/>
                          </a:prstGeom>
                        </pic:spPr>
                      </pic:pic>
                    </a:graphicData>
                  </a:graphic>
                </wp:inline>
              </w:drawing>
            </w:r>
          </w:p>
        </w:tc>
        <w:tc>
          <w:tcPr>
            <w:tcW w:w="4343" w:type="dxa"/>
            <w:shd w:val="clear" w:color="auto" w:fill="auto"/>
          </w:tcPr>
          <w:p w14:paraId="1F1EF204" w14:textId="6CAD7066" w:rsidR="000743AB" w:rsidRPr="00BB5A77" w:rsidRDefault="00E1200C" w:rsidP="00A67EC4">
            <w:pPr>
              <w:keepNext/>
              <w:tabs>
                <w:tab w:val="left" w:pos="3256"/>
              </w:tabs>
              <w:spacing w:before="40"/>
              <w:jc w:val="center"/>
              <w:rPr>
                <w:rFonts w:asciiTheme="minorHAnsi" w:hAnsiTheme="minorHAnsi" w:cs="Arial"/>
                <w:b/>
                <w:bCs/>
                <w:sz w:val="20"/>
              </w:rPr>
            </w:pPr>
            <w:r>
              <w:rPr>
                <w:noProof/>
              </w:rPr>
              <w:drawing>
                <wp:inline distT="0" distB="0" distL="0" distR="0" wp14:anchorId="54BDF7FB" wp14:editId="5D47673D">
                  <wp:extent cx="2597333" cy="1643000"/>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618471" cy="1656371"/>
                          </a:xfrm>
                          <a:prstGeom prst="rect">
                            <a:avLst/>
                          </a:prstGeom>
                        </pic:spPr>
                      </pic:pic>
                    </a:graphicData>
                  </a:graphic>
                </wp:inline>
              </w:drawing>
            </w:r>
          </w:p>
        </w:tc>
      </w:tr>
      <w:tr w:rsidR="00E1200C" w:rsidRPr="00BB5A77" w14:paraId="71169928" w14:textId="77777777" w:rsidTr="00A67EC4">
        <w:tc>
          <w:tcPr>
            <w:tcW w:w="4445" w:type="dxa"/>
            <w:shd w:val="clear" w:color="auto" w:fill="auto"/>
          </w:tcPr>
          <w:p w14:paraId="40E3BBDF" w14:textId="77777777" w:rsidR="000743AB" w:rsidRPr="00BB5A77" w:rsidRDefault="000743AB" w:rsidP="00A67EC4">
            <w:pPr>
              <w:keepNext/>
              <w:tabs>
                <w:tab w:val="left" w:pos="3256"/>
              </w:tabs>
              <w:spacing w:before="40"/>
              <w:jc w:val="center"/>
              <w:rPr>
                <w:noProof/>
              </w:rPr>
            </w:pPr>
          </w:p>
        </w:tc>
        <w:tc>
          <w:tcPr>
            <w:tcW w:w="4343" w:type="dxa"/>
            <w:shd w:val="clear" w:color="auto" w:fill="auto"/>
          </w:tcPr>
          <w:p w14:paraId="7BAB2E27" w14:textId="77777777" w:rsidR="000743AB" w:rsidRPr="00BB5A77" w:rsidRDefault="000743AB" w:rsidP="00A67EC4">
            <w:pPr>
              <w:keepNext/>
              <w:tabs>
                <w:tab w:val="left" w:pos="3256"/>
              </w:tabs>
              <w:spacing w:before="40"/>
              <w:jc w:val="center"/>
              <w:rPr>
                <w:noProof/>
              </w:rPr>
            </w:pPr>
          </w:p>
        </w:tc>
      </w:tr>
      <w:tr w:rsidR="000743AB" w:rsidRPr="006768AA" w14:paraId="6325E8AA" w14:textId="77777777" w:rsidTr="00A67EC4">
        <w:tc>
          <w:tcPr>
            <w:tcW w:w="8788" w:type="dxa"/>
            <w:gridSpan w:val="2"/>
            <w:shd w:val="clear" w:color="auto" w:fill="auto"/>
          </w:tcPr>
          <w:p w14:paraId="0AFE91A4" w14:textId="773001AA" w:rsidR="000743AB" w:rsidRPr="00BB5A77" w:rsidRDefault="000743AB" w:rsidP="00A67EC4">
            <w:pPr>
              <w:keepNext/>
              <w:tabs>
                <w:tab w:val="left" w:pos="3256"/>
              </w:tabs>
              <w:spacing w:before="40"/>
              <w:rPr>
                <w:rFonts w:ascii="Arial" w:hAnsi="Arial" w:cs="Arial"/>
                <w:b/>
                <w:bCs/>
                <w:sz w:val="16"/>
                <w:szCs w:val="16"/>
              </w:rPr>
            </w:pPr>
            <w:r w:rsidRPr="00BB5A77">
              <w:rPr>
                <w:rFonts w:ascii="Arial" w:hAnsi="Arial" w:cs="Arial"/>
                <w:bCs/>
                <w:i/>
                <w:sz w:val="16"/>
                <w:szCs w:val="16"/>
                <w:shd w:val="clear" w:color="auto" w:fill="FFFFFF" w:themeFill="background1"/>
              </w:rPr>
              <w:t xml:space="preserve">Fonte: HCOB e S&amp;P Global PMI, comunicati stampa </w:t>
            </w:r>
            <w:r w:rsidR="00E1200C">
              <w:rPr>
                <w:rFonts w:ascii="Arial" w:hAnsi="Arial" w:cs="Arial"/>
                <w:bCs/>
                <w:i/>
                <w:sz w:val="16"/>
                <w:szCs w:val="16"/>
                <w:shd w:val="clear" w:color="auto" w:fill="FFFFFF" w:themeFill="background1"/>
              </w:rPr>
              <w:t>02</w:t>
            </w:r>
            <w:r w:rsidRPr="00BB5A77">
              <w:rPr>
                <w:rFonts w:ascii="Arial" w:hAnsi="Arial" w:cs="Arial"/>
                <w:bCs/>
                <w:i/>
                <w:sz w:val="16"/>
                <w:szCs w:val="16"/>
                <w:shd w:val="clear" w:color="auto" w:fill="FFFFFF" w:themeFill="background1"/>
              </w:rPr>
              <w:t xml:space="preserve"> </w:t>
            </w:r>
            <w:r w:rsidR="00E1200C">
              <w:rPr>
                <w:rFonts w:ascii="Arial" w:hAnsi="Arial" w:cs="Arial"/>
                <w:bCs/>
                <w:i/>
                <w:sz w:val="16"/>
                <w:szCs w:val="16"/>
                <w:shd w:val="clear" w:color="auto" w:fill="FFFFFF" w:themeFill="background1"/>
              </w:rPr>
              <w:t>maggio</w:t>
            </w:r>
            <w:r w:rsidRPr="00BB5A77">
              <w:rPr>
                <w:rFonts w:ascii="Arial" w:hAnsi="Arial" w:cs="Arial"/>
                <w:bCs/>
                <w:i/>
                <w:sz w:val="16"/>
                <w:szCs w:val="16"/>
                <w:shd w:val="clear" w:color="auto" w:fill="FFFFFF" w:themeFill="background1"/>
              </w:rPr>
              <w:t xml:space="preserve"> 202</w:t>
            </w:r>
            <w:r>
              <w:rPr>
                <w:rFonts w:ascii="Arial" w:hAnsi="Arial" w:cs="Arial"/>
                <w:bCs/>
                <w:i/>
                <w:sz w:val="16"/>
                <w:szCs w:val="16"/>
                <w:shd w:val="clear" w:color="auto" w:fill="FFFFFF" w:themeFill="background1"/>
              </w:rPr>
              <w:t>4</w:t>
            </w:r>
          </w:p>
        </w:tc>
      </w:tr>
    </w:tbl>
    <w:p w14:paraId="5ABBD0F3" w14:textId="77777777" w:rsidR="000743AB" w:rsidRDefault="000743AB" w:rsidP="009C76EB">
      <w:pPr>
        <w:spacing w:before="240" w:after="120"/>
        <w:rPr>
          <w:rFonts w:ascii="Calibri" w:hAnsi="Calibri" w:cs="Calibri"/>
          <w:bCs/>
          <w:szCs w:val="24"/>
        </w:rPr>
      </w:pPr>
    </w:p>
    <w:p w14:paraId="3326DA46" w14:textId="77777777" w:rsidR="00C66BAA" w:rsidRPr="00394584" w:rsidRDefault="00C66BAA" w:rsidP="00C66BAA">
      <w:pPr>
        <w:spacing w:before="240" w:after="120"/>
        <w:rPr>
          <w:rFonts w:ascii="Calibri" w:hAnsi="Calibri" w:cs="Calibri"/>
          <w:b/>
          <w:szCs w:val="24"/>
        </w:rPr>
      </w:pPr>
      <w:r w:rsidRPr="009B78D3">
        <w:rPr>
          <w:rFonts w:ascii="Calibri" w:hAnsi="Calibri" w:cs="Calibri"/>
          <w:b/>
          <w:szCs w:val="24"/>
        </w:rPr>
        <w:t>La dinamica regionale per settori</w:t>
      </w:r>
    </w:p>
    <w:p w14:paraId="2B9FC0F8" w14:textId="4E2C0963" w:rsidR="008B5CCA" w:rsidRDefault="008B5CCA" w:rsidP="00C66BAA">
      <w:pPr>
        <w:spacing w:before="240" w:after="120"/>
        <w:rPr>
          <w:rFonts w:ascii="Calibri" w:hAnsi="Calibri" w:cs="Calibri"/>
          <w:bCs/>
          <w:szCs w:val="24"/>
        </w:rPr>
      </w:pPr>
      <w:r>
        <w:rPr>
          <w:rFonts w:ascii="Calibri" w:hAnsi="Calibri" w:cs="Calibri"/>
          <w:bCs/>
          <w:szCs w:val="24"/>
        </w:rPr>
        <w:t>A livello regionale, la variazione tendenziale della produzione manifatturiera (I trimestre 2024 su stesso trimestre dell’anno precedente) risulta del -2,</w:t>
      </w:r>
      <w:r w:rsidR="009B78D3">
        <w:rPr>
          <w:rFonts w:ascii="Calibri" w:hAnsi="Calibri" w:cs="Calibri"/>
          <w:bCs/>
          <w:szCs w:val="24"/>
        </w:rPr>
        <w:t>4</w:t>
      </w:r>
      <w:r>
        <w:rPr>
          <w:rFonts w:ascii="Calibri" w:hAnsi="Calibri" w:cs="Calibri"/>
          <w:bCs/>
          <w:szCs w:val="24"/>
        </w:rPr>
        <w:t>%: in linea, come verso, con il dato nazionale Istat (-3,5%), seppure con una contrazione meno intensa. Un dato atteso, in qualche modo, visto che il termine di confronto del dato attuale riguarda la “coda” del periodo di rimbalzo post-Covid (il primo trimestre 2023 è stato l’ultimo trimestre in positivo per la produzione</w:t>
      </w:r>
      <w:r w:rsidR="008D122D">
        <w:rPr>
          <w:rFonts w:ascii="Calibri" w:hAnsi="Calibri" w:cs="Calibri"/>
          <w:bCs/>
          <w:szCs w:val="24"/>
        </w:rPr>
        <w:t xml:space="preserve"> veneta</w:t>
      </w:r>
      <w:r>
        <w:rPr>
          <w:rFonts w:ascii="Calibri" w:hAnsi="Calibri" w:cs="Calibri"/>
          <w:bCs/>
          <w:szCs w:val="24"/>
        </w:rPr>
        <w:t xml:space="preserve"> dopo nove trimestri </w:t>
      </w:r>
      <w:r w:rsidRPr="00CA10D7">
        <w:rPr>
          <w:rFonts w:ascii="Calibri" w:hAnsi="Calibri" w:cs="Calibri"/>
          <w:bCs/>
          <w:szCs w:val="24"/>
        </w:rPr>
        <w:t>consecutivi). Così accade per</w:t>
      </w:r>
      <w:r>
        <w:rPr>
          <w:rFonts w:ascii="Calibri" w:hAnsi="Calibri" w:cs="Calibri"/>
          <w:bCs/>
          <w:szCs w:val="24"/>
        </w:rPr>
        <w:t xml:space="preserve"> gli ordinativi esteri e dal mercato interno</w:t>
      </w:r>
      <w:r w:rsidR="008D122D">
        <w:rPr>
          <w:rFonts w:ascii="Calibri" w:hAnsi="Calibri" w:cs="Calibri"/>
          <w:bCs/>
          <w:szCs w:val="24"/>
        </w:rPr>
        <w:t>, ancora in negativo, anche se con un ritmo di decrescita più blando rispetto al passato.</w:t>
      </w:r>
    </w:p>
    <w:p w14:paraId="18E4BE8C" w14:textId="42105BB2" w:rsidR="00FA151C" w:rsidRDefault="00FA151C" w:rsidP="00C66BAA">
      <w:pPr>
        <w:spacing w:before="240" w:after="120"/>
        <w:rPr>
          <w:rFonts w:ascii="Calibri" w:hAnsi="Calibri" w:cs="Calibri"/>
          <w:bCs/>
          <w:szCs w:val="24"/>
        </w:rPr>
      </w:pPr>
      <w:r>
        <w:rPr>
          <w:rFonts w:ascii="Calibri" w:hAnsi="Calibri" w:cs="Calibri"/>
          <w:bCs/>
          <w:szCs w:val="24"/>
        </w:rPr>
        <w:t>Per gli stessi indicatori sono semmai d</w:t>
      </w:r>
      <w:r w:rsidR="008B5CCA">
        <w:rPr>
          <w:rFonts w:ascii="Calibri" w:hAnsi="Calibri" w:cs="Calibri"/>
          <w:bCs/>
          <w:szCs w:val="24"/>
        </w:rPr>
        <w:t>a evidenziare l</w:t>
      </w:r>
      <w:r w:rsidR="008D122D">
        <w:rPr>
          <w:rFonts w:ascii="Calibri" w:hAnsi="Calibri" w:cs="Calibri"/>
          <w:bCs/>
          <w:szCs w:val="24"/>
        </w:rPr>
        <w:t>e</w:t>
      </w:r>
      <w:r w:rsidR="008B5CCA">
        <w:rPr>
          <w:rFonts w:ascii="Calibri" w:hAnsi="Calibri" w:cs="Calibri"/>
          <w:bCs/>
          <w:szCs w:val="24"/>
        </w:rPr>
        <w:t xml:space="preserve"> variazion</w:t>
      </w:r>
      <w:r w:rsidR="008D122D">
        <w:rPr>
          <w:rFonts w:ascii="Calibri" w:hAnsi="Calibri" w:cs="Calibri"/>
          <w:bCs/>
          <w:szCs w:val="24"/>
        </w:rPr>
        <w:t>i</w:t>
      </w:r>
      <w:r w:rsidR="008B5CCA">
        <w:rPr>
          <w:rFonts w:ascii="Calibri" w:hAnsi="Calibri" w:cs="Calibri"/>
          <w:bCs/>
          <w:szCs w:val="24"/>
        </w:rPr>
        <w:t xml:space="preserve"> congiuntural</w:t>
      </w:r>
      <w:r w:rsidR="008D122D">
        <w:rPr>
          <w:rFonts w:ascii="Calibri" w:hAnsi="Calibri" w:cs="Calibri"/>
          <w:bCs/>
          <w:szCs w:val="24"/>
        </w:rPr>
        <w:t>i</w:t>
      </w:r>
      <w:r w:rsidR="008B5CCA">
        <w:rPr>
          <w:rFonts w:ascii="Calibri" w:hAnsi="Calibri" w:cs="Calibri"/>
          <w:bCs/>
          <w:szCs w:val="24"/>
        </w:rPr>
        <w:t xml:space="preserve"> (rispetto al trimestre precedente)</w:t>
      </w:r>
      <w:r w:rsidR="008D122D">
        <w:rPr>
          <w:rFonts w:ascii="Calibri" w:hAnsi="Calibri" w:cs="Calibri"/>
          <w:bCs/>
          <w:szCs w:val="24"/>
        </w:rPr>
        <w:t xml:space="preserve"> che sono</w:t>
      </w:r>
      <w:r>
        <w:rPr>
          <w:rFonts w:ascii="Calibri" w:hAnsi="Calibri" w:cs="Calibri"/>
          <w:bCs/>
          <w:szCs w:val="24"/>
        </w:rPr>
        <w:t xml:space="preserve"> d’intonazione positiva anche se debole</w:t>
      </w:r>
      <w:r w:rsidR="008B5CCA">
        <w:rPr>
          <w:rFonts w:ascii="Calibri" w:hAnsi="Calibri" w:cs="Calibri"/>
          <w:bCs/>
          <w:szCs w:val="24"/>
        </w:rPr>
        <w:t xml:space="preserve">: </w:t>
      </w:r>
      <w:r>
        <w:rPr>
          <w:rFonts w:ascii="Calibri" w:hAnsi="Calibri" w:cs="Calibri"/>
          <w:bCs/>
          <w:szCs w:val="24"/>
        </w:rPr>
        <w:t xml:space="preserve">la produzione riguadagna un </w:t>
      </w:r>
      <w:r w:rsidR="008B5CCA">
        <w:rPr>
          <w:rFonts w:ascii="Calibri" w:hAnsi="Calibri" w:cs="Calibri"/>
          <w:bCs/>
          <w:szCs w:val="24"/>
        </w:rPr>
        <w:t>+1,</w:t>
      </w:r>
      <w:r w:rsidR="009B78D3">
        <w:rPr>
          <w:rFonts w:ascii="Calibri" w:hAnsi="Calibri" w:cs="Calibri"/>
          <w:bCs/>
          <w:szCs w:val="24"/>
        </w:rPr>
        <w:t>4</w:t>
      </w:r>
      <w:r w:rsidR="008B5CCA">
        <w:rPr>
          <w:rFonts w:ascii="Calibri" w:hAnsi="Calibri" w:cs="Calibri"/>
          <w:bCs/>
          <w:szCs w:val="24"/>
        </w:rPr>
        <w:t>%</w:t>
      </w:r>
      <w:r>
        <w:rPr>
          <w:rFonts w:ascii="Calibri" w:hAnsi="Calibri" w:cs="Calibri"/>
          <w:bCs/>
          <w:szCs w:val="24"/>
        </w:rPr>
        <w:t>, gli ordini dal mercato nazionale un +2,</w:t>
      </w:r>
      <w:r w:rsidR="009B78D3">
        <w:rPr>
          <w:rFonts w:ascii="Calibri" w:hAnsi="Calibri" w:cs="Calibri"/>
          <w:bCs/>
          <w:szCs w:val="24"/>
        </w:rPr>
        <w:t>2</w:t>
      </w:r>
      <w:r>
        <w:rPr>
          <w:rFonts w:ascii="Calibri" w:hAnsi="Calibri" w:cs="Calibri"/>
          <w:bCs/>
          <w:szCs w:val="24"/>
        </w:rPr>
        <w:t>%, gli ordini dai mercati esteri un +2,</w:t>
      </w:r>
      <w:r w:rsidR="009B78D3">
        <w:rPr>
          <w:rFonts w:ascii="Calibri" w:hAnsi="Calibri" w:cs="Calibri"/>
          <w:bCs/>
          <w:szCs w:val="24"/>
        </w:rPr>
        <w:t>8</w:t>
      </w:r>
      <w:r>
        <w:rPr>
          <w:rFonts w:ascii="Calibri" w:hAnsi="Calibri" w:cs="Calibri"/>
          <w:bCs/>
          <w:szCs w:val="24"/>
        </w:rPr>
        <w:t>%. Restano importanti le differenze di performance tra settori.</w:t>
      </w:r>
    </w:p>
    <w:p w14:paraId="392CBC66" w14:textId="79DFED8B" w:rsidR="000743AB" w:rsidRDefault="00FA151C" w:rsidP="00C66BAA">
      <w:pPr>
        <w:spacing w:before="240" w:after="120"/>
        <w:rPr>
          <w:rFonts w:ascii="Calibri" w:hAnsi="Calibri" w:cs="Calibri"/>
          <w:bCs/>
          <w:szCs w:val="24"/>
        </w:rPr>
      </w:pPr>
      <w:r>
        <w:rPr>
          <w:rFonts w:ascii="Calibri" w:hAnsi="Calibri" w:cs="Calibri"/>
          <w:bCs/>
          <w:szCs w:val="24"/>
        </w:rPr>
        <w:t>Il legno-arredo non partecipa a questo recupero congiunturale per nessuno degli indicatori qui considerati: la produzione flette del -</w:t>
      </w:r>
      <w:r w:rsidR="009B78D3">
        <w:rPr>
          <w:rFonts w:ascii="Calibri" w:hAnsi="Calibri" w:cs="Calibri"/>
          <w:bCs/>
          <w:szCs w:val="24"/>
        </w:rPr>
        <w:t>3</w:t>
      </w:r>
      <w:r>
        <w:rPr>
          <w:rFonts w:ascii="Calibri" w:hAnsi="Calibri" w:cs="Calibri"/>
          <w:bCs/>
          <w:szCs w:val="24"/>
        </w:rPr>
        <w:t>,</w:t>
      </w:r>
      <w:r w:rsidR="009B78D3">
        <w:rPr>
          <w:rFonts w:ascii="Calibri" w:hAnsi="Calibri" w:cs="Calibri"/>
          <w:bCs/>
          <w:szCs w:val="24"/>
        </w:rPr>
        <w:t>7</w:t>
      </w:r>
      <w:r>
        <w:rPr>
          <w:rFonts w:ascii="Calibri" w:hAnsi="Calibri" w:cs="Calibri"/>
          <w:bCs/>
          <w:szCs w:val="24"/>
        </w:rPr>
        <w:t>% rispetto al trimestre precedente, come anche ordini esteri (-</w:t>
      </w:r>
      <w:r w:rsidR="009B78D3">
        <w:rPr>
          <w:rFonts w:ascii="Calibri" w:hAnsi="Calibri" w:cs="Calibri"/>
          <w:bCs/>
          <w:szCs w:val="24"/>
        </w:rPr>
        <w:t>4</w:t>
      </w:r>
      <w:r>
        <w:rPr>
          <w:rFonts w:ascii="Calibri" w:hAnsi="Calibri" w:cs="Calibri"/>
          <w:bCs/>
          <w:szCs w:val="24"/>
        </w:rPr>
        <w:t>,</w:t>
      </w:r>
      <w:r w:rsidR="009B78D3">
        <w:rPr>
          <w:rFonts w:ascii="Calibri" w:hAnsi="Calibri" w:cs="Calibri"/>
          <w:bCs/>
          <w:szCs w:val="24"/>
        </w:rPr>
        <w:t>4</w:t>
      </w:r>
      <w:r>
        <w:rPr>
          <w:rFonts w:ascii="Calibri" w:hAnsi="Calibri" w:cs="Calibri"/>
          <w:bCs/>
          <w:szCs w:val="24"/>
        </w:rPr>
        <w:t>%) e ordini interni (-2,</w:t>
      </w:r>
      <w:r w:rsidR="00E66EB0">
        <w:rPr>
          <w:rFonts w:ascii="Calibri" w:hAnsi="Calibri" w:cs="Calibri"/>
          <w:bCs/>
          <w:szCs w:val="24"/>
        </w:rPr>
        <w:t>1</w:t>
      </w:r>
      <w:r>
        <w:rPr>
          <w:rFonts w:ascii="Calibri" w:hAnsi="Calibri" w:cs="Calibri"/>
          <w:bCs/>
          <w:szCs w:val="24"/>
        </w:rPr>
        <w:t xml:space="preserve">%). </w:t>
      </w:r>
      <w:r w:rsidR="00983A10">
        <w:rPr>
          <w:rFonts w:ascii="Calibri" w:hAnsi="Calibri" w:cs="Calibri"/>
          <w:bCs/>
          <w:szCs w:val="24"/>
        </w:rPr>
        <w:t xml:space="preserve">Anche per la filiera dei mezzi di trasporto e </w:t>
      </w:r>
      <w:proofErr w:type="spellStart"/>
      <w:r w:rsidR="00983A10">
        <w:rPr>
          <w:rFonts w:ascii="Calibri" w:hAnsi="Calibri" w:cs="Calibri"/>
          <w:bCs/>
          <w:szCs w:val="24"/>
        </w:rPr>
        <w:t>dell’</w:t>
      </w:r>
      <w:r w:rsidR="00983A10" w:rsidRPr="00B24CE6">
        <w:rPr>
          <w:rFonts w:ascii="Calibri" w:hAnsi="Calibri" w:cs="Calibri"/>
          <w:bCs/>
          <w:i/>
          <w:iCs/>
          <w:szCs w:val="24"/>
        </w:rPr>
        <w:t>automotive</w:t>
      </w:r>
      <w:proofErr w:type="spellEnd"/>
      <w:r w:rsidR="00983A10">
        <w:rPr>
          <w:rFonts w:ascii="Calibri" w:hAnsi="Calibri" w:cs="Calibri"/>
          <w:bCs/>
          <w:szCs w:val="24"/>
        </w:rPr>
        <w:t xml:space="preserve"> appare c</w:t>
      </w:r>
      <w:r>
        <w:rPr>
          <w:rFonts w:ascii="Calibri" w:hAnsi="Calibri" w:cs="Calibri"/>
          <w:bCs/>
          <w:szCs w:val="24"/>
        </w:rPr>
        <w:t xml:space="preserve">ritico l’andamento della domanda estera (-5,7%). Per sistema moda, orafo, macchinari industriali, elettrodomestici resta lievemente in negativo </w:t>
      </w:r>
      <w:r w:rsidR="00983A10">
        <w:rPr>
          <w:rFonts w:ascii="Calibri" w:hAnsi="Calibri" w:cs="Calibri"/>
          <w:bCs/>
          <w:szCs w:val="24"/>
        </w:rPr>
        <w:t>la produzione, nel passo congiunturale, ma con un discreto recupero nella raccolta ordini. In certi casi, è l’esempio dei macchinari industriali, più robusto sul fronte del mercato nazionale (+5,0%) rispetto ai mercati esteri (+2,3%).</w:t>
      </w:r>
    </w:p>
    <w:p w14:paraId="07A84FC2" w14:textId="06642841" w:rsidR="00C70BEC" w:rsidRDefault="00C70BEC" w:rsidP="00C66BAA">
      <w:pPr>
        <w:spacing w:before="240" w:after="120"/>
        <w:rPr>
          <w:rFonts w:ascii="Calibri" w:hAnsi="Calibri" w:cs="Calibri"/>
          <w:bCs/>
          <w:szCs w:val="24"/>
        </w:rPr>
      </w:pPr>
      <w:r>
        <w:rPr>
          <w:rFonts w:ascii="Calibri" w:hAnsi="Calibri" w:cs="Calibri"/>
          <w:bCs/>
          <w:szCs w:val="24"/>
        </w:rPr>
        <w:t xml:space="preserve">Rimbalzo congiunturale positivo si registra per la gomma plastica (+6,5% la produzione; +10,4% ordini esteri; +6,0% ordini interni) dopo diversi trimestri di sofferenza. Analoga dinamica si riscontra per l’industria dei metalli e lavorazione dei metalli, </w:t>
      </w:r>
      <w:r w:rsidR="00AD074E">
        <w:rPr>
          <w:rFonts w:ascii="Calibri" w:hAnsi="Calibri" w:cs="Calibri"/>
          <w:bCs/>
          <w:szCs w:val="24"/>
        </w:rPr>
        <w:t xml:space="preserve">a conferma che anche in Veneto stanno ripartendo le attività di input trasversali ai vari settori (e che </w:t>
      </w:r>
      <w:r w:rsidR="00AD074E">
        <w:rPr>
          <w:rFonts w:ascii="Calibri" w:hAnsi="Calibri" w:cs="Calibri"/>
          <w:bCs/>
          <w:szCs w:val="24"/>
        </w:rPr>
        <w:lastRenderedPageBreak/>
        <w:t>sospingono al rialzo, come si è visto, la quotazione dei metalli). L’occhialeria</w:t>
      </w:r>
      <w:r w:rsidR="003F16B0">
        <w:rPr>
          <w:rFonts w:ascii="Calibri" w:hAnsi="Calibri" w:cs="Calibri"/>
          <w:bCs/>
          <w:szCs w:val="24"/>
        </w:rPr>
        <w:t>, al netto delle consuete oscillazioni stagionali,</w:t>
      </w:r>
      <w:r w:rsidR="00AD074E">
        <w:rPr>
          <w:rFonts w:ascii="Calibri" w:hAnsi="Calibri" w:cs="Calibri"/>
          <w:bCs/>
          <w:szCs w:val="24"/>
        </w:rPr>
        <w:t xml:space="preserve"> con</w:t>
      </w:r>
      <w:r w:rsidR="003F16B0">
        <w:rPr>
          <w:rFonts w:ascii="Calibri" w:hAnsi="Calibri" w:cs="Calibri"/>
          <w:bCs/>
          <w:szCs w:val="24"/>
        </w:rPr>
        <w:t xml:space="preserve">ferma il suo trend </w:t>
      </w:r>
      <w:r w:rsidR="00AD074E">
        <w:rPr>
          <w:rFonts w:ascii="Calibri" w:hAnsi="Calibri" w:cs="Calibri"/>
          <w:bCs/>
          <w:szCs w:val="24"/>
        </w:rPr>
        <w:t>positivo</w:t>
      </w:r>
      <w:r w:rsidR="003F16B0">
        <w:rPr>
          <w:rFonts w:ascii="Calibri" w:hAnsi="Calibri" w:cs="Calibri"/>
          <w:bCs/>
          <w:szCs w:val="24"/>
        </w:rPr>
        <w:t xml:space="preserve"> (variazione congiunt</w:t>
      </w:r>
      <w:r w:rsidR="00AD074E">
        <w:rPr>
          <w:rFonts w:ascii="Calibri" w:hAnsi="Calibri" w:cs="Calibri"/>
          <w:bCs/>
          <w:szCs w:val="24"/>
        </w:rPr>
        <w:t>urale della produzione: +3,2%; ordini esteri +17,5%; ordini interni +7,4%).</w:t>
      </w:r>
    </w:p>
    <w:tbl>
      <w:tblPr>
        <w:tblStyle w:val="Grigliatabella"/>
        <w:tblpPr w:leftFromText="141" w:rightFromText="141" w:vertAnchor="text" w:horzAnchor="margin" w:tblpXSpec="center" w:tblpY="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C66BAA" w:rsidRPr="008203FB" w14:paraId="122C1CCF" w14:textId="77777777" w:rsidTr="00A67EC4">
        <w:tc>
          <w:tcPr>
            <w:tcW w:w="8788" w:type="dxa"/>
            <w:shd w:val="clear" w:color="auto" w:fill="auto"/>
          </w:tcPr>
          <w:p w14:paraId="76220524" w14:textId="024A74A4" w:rsidR="00C66BAA" w:rsidRPr="008203FB" w:rsidRDefault="00C66BAA" w:rsidP="00A67EC4">
            <w:pPr>
              <w:pStyle w:val="Titolo1"/>
              <w:jc w:val="left"/>
              <w:rPr>
                <w:rFonts w:asciiTheme="minorHAnsi" w:hAnsiTheme="minorHAnsi" w:cs="Arial"/>
                <w:b w:val="0"/>
                <w:bCs/>
                <w:sz w:val="20"/>
              </w:rPr>
            </w:pPr>
            <w:r w:rsidRPr="00B106BE">
              <w:rPr>
                <w:rFonts w:asciiTheme="minorHAnsi" w:hAnsiTheme="minorHAnsi" w:cs="Arial"/>
                <w:bCs/>
                <w:sz w:val="20"/>
              </w:rPr>
              <w:t xml:space="preserve">Graf. 4 </w:t>
            </w:r>
            <w:r w:rsidR="00AD074E" w:rsidRPr="00B106BE">
              <w:rPr>
                <w:rFonts w:asciiTheme="minorHAnsi" w:hAnsiTheme="minorHAnsi" w:cs="Arial"/>
                <w:bCs/>
                <w:sz w:val="20"/>
              </w:rPr>
              <w:t>–</w:t>
            </w:r>
            <w:r w:rsidRPr="00B106BE">
              <w:rPr>
                <w:rFonts w:asciiTheme="minorHAnsi" w:hAnsiTheme="minorHAnsi" w:cs="Arial"/>
                <w:bCs/>
                <w:sz w:val="20"/>
              </w:rPr>
              <w:t xml:space="preserve"> </w:t>
            </w:r>
            <w:r w:rsidRPr="00B106BE">
              <w:rPr>
                <w:rFonts w:asciiTheme="minorHAnsi" w:hAnsiTheme="minorHAnsi" w:cs="Arial"/>
                <w:bCs/>
                <w:color w:val="00B0F0"/>
                <w:sz w:val="20"/>
              </w:rPr>
              <w:t>Veneto.</w:t>
            </w:r>
            <w:r w:rsidRPr="00B106BE">
              <w:rPr>
                <w:rFonts w:asciiTheme="minorHAnsi" w:hAnsiTheme="minorHAnsi" w:cs="Arial"/>
                <w:bCs/>
                <w:color w:val="00B0F0"/>
                <w:sz w:val="20"/>
              </w:rPr>
              <w:br/>
            </w:r>
            <w:r w:rsidRPr="00B106BE">
              <w:rPr>
                <w:rFonts w:asciiTheme="minorHAnsi" w:hAnsiTheme="minorHAnsi" w:cs="Arial"/>
                <w:bCs/>
                <w:sz w:val="20"/>
              </w:rPr>
              <w:t xml:space="preserve">Variazione </w:t>
            </w:r>
            <w:r w:rsidR="00B106BE" w:rsidRPr="00B106BE">
              <w:rPr>
                <w:rFonts w:asciiTheme="minorHAnsi" w:hAnsiTheme="minorHAnsi" w:cs="Arial"/>
                <w:bCs/>
                <w:sz w:val="20"/>
              </w:rPr>
              <w:t>% nel</w:t>
            </w:r>
            <w:r w:rsidR="003E508A" w:rsidRPr="00B106BE">
              <w:rPr>
                <w:rFonts w:asciiTheme="minorHAnsi" w:hAnsiTheme="minorHAnsi" w:cs="Arial"/>
                <w:bCs/>
                <w:sz w:val="20"/>
              </w:rPr>
              <w:t xml:space="preserve"> </w:t>
            </w:r>
            <w:r w:rsidR="00684DF3" w:rsidRPr="00B106BE">
              <w:rPr>
                <w:rFonts w:asciiTheme="minorHAnsi" w:hAnsiTheme="minorHAnsi" w:cs="Arial"/>
                <w:bCs/>
                <w:sz w:val="20"/>
              </w:rPr>
              <w:t>1</w:t>
            </w:r>
            <w:r w:rsidR="003E508A" w:rsidRPr="00B106BE">
              <w:rPr>
                <w:rFonts w:asciiTheme="minorHAnsi" w:hAnsiTheme="minorHAnsi" w:cs="Arial"/>
                <w:bCs/>
                <w:sz w:val="20"/>
              </w:rPr>
              <w:t>° trimestre 202</w:t>
            </w:r>
            <w:r w:rsidR="00684DF3" w:rsidRPr="00B106BE">
              <w:rPr>
                <w:rFonts w:asciiTheme="minorHAnsi" w:hAnsiTheme="minorHAnsi" w:cs="Arial"/>
                <w:bCs/>
                <w:sz w:val="20"/>
              </w:rPr>
              <w:t>4</w:t>
            </w:r>
            <w:r w:rsidRPr="00B106BE">
              <w:rPr>
                <w:rFonts w:asciiTheme="minorHAnsi" w:hAnsiTheme="minorHAnsi" w:cs="Arial"/>
                <w:bCs/>
                <w:sz w:val="20"/>
              </w:rPr>
              <w:t>, rispetto al</w:t>
            </w:r>
            <w:r w:rsidR="00B106BE" w:rsidRPr="00B106BE">
              <w:rPr>
                <w:rFonts w:asciiTheme="minorHAnsi" w:hAnsiTheme="minorHAnsi" w:cs="Arial"/>
                <w:bCs/>
                <w:sz w:val="20"/>
              </w:rPr>
              <w:t xml:space="preserve"> trimestre</w:t>
            </w:r>
            <w:r w:rsidRPr="00B106BE">
              <w:rPr>
                <w:rFonts w:asciiTheme="minorHAnsi" w:hAnsiTheme="minorHAnsi" w:cs="Arial"/>
                <w:bCs/>
                <w:sz w:val="20"/>
              </w:rPr>
              <w:t xml:space="preserve"> precedente, della PRODUZIONE, ORDINI INTERNI ed ORDINI ESTERI per i principali settori manifatturieri</w:t>
            </w:r>
            <w:r w:rsidRPr="008203FB">
              <w:rPr>
                <w:rFonts w:asciiTheme="minorHAnsi" w:hAnsiTheme="minorHAnsi" w:cs="Arial"/>
                <w:bCs/>
                <w:sz w:val="20"/>
              </w:rPr>
              <w:t xml:space="preserve"> </w:t>
            </w:r>
          </w:p>
        </w:tc>
      </w:tr>
      <w:tr w:rsidR="00C66BAA" w:rsidRPr="008203FB" w14:paraId="30D49074" w14:textId="77777777" w:rsidTr="00A67EC4">
        <w:tc>
          <w:tcPr>
            <w:tcW w:w="8788" w:type="dxa"/>
            <w:shd w:val="clear" w:color="auto" w:fill="auto"/>
          </w:tcPr>
          <w:p w14:paraId="4159E5E0" w14:textId="4C3EB085" w:rsidR="00C66BAA" w:rsidRPr="008203FB" w:rsidRDefault="00E66EB0" w:rsidP="00A67EC4">
            <w:pPr>
              <w:tabs>
                <w:tab w:val="left" w:pos="3256"/>
              </w:tabs>
              <w:spacing w:before="40"/>
              <w:jc w:val="center"/>
              <w:rPr>
                <w:rFonts w:asciiTheme="minorHAnsi" w:hAnsiTheme="minorHAnsi" w:cs="Arial"/>
                <w:b/>
                <w:bCs/>
                <w:sz w:val="20"/>
              </w:rPr>
            </w:pPr>
            <w:r w:rsidRPr="00E66EB0">
              <w:rPr>
                <w:rFonts w:asciiTheme="minorHAnsi" w:hAnsiTheme="minorHAnsi" w:cs="Arial"/>
                <w:b/>
                <w:bCs/>
                <w:noProof/>
                <w:sz w:val="20"/>
              </w:rPr>
              <w:drawing>
                <wp:inline distT="0" distB="0" distL="0" distR="0" wp14:anchorId="6A66299B" wp14:editId="3F416EA6">
                  <wp:extent cx="4829810" cy="2485390"/>
                  <wp:effectExtent l="0" t="0" r="8890" b="0"/>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29810" cy="2485390"/>
                          </a:xfrm>
                          <a:prstGeom prst="rect">
                            <a:avLst/>
                          </a:prstGeom>
                          <a:noFill/>
                          <a:ln>
                            <a:noFill/>
                          </a:ln>
                        </pic:spPr>
                      </pic:pic>
                    </a:graphicData>
                  </a:graphic>
                </wp:inline>
              </w:drawing>
            </w:r>
          </w:p>
        </w:tc>
      </w:tr>
      <w:tr w:rsidR="00C66BAA" w:rsidRPr="008203FB" w14:paraId="22F1DE3A" w14:textId="77777777" w:rsidTr="00A67EC4">
        <w:tc>
          <w:tcPr>
            <w:tcW w:w="8788" w:type="dxa"/>
            <w:shd w:val="clear" w:color="auto" w:fill="auto"/>
          </w:tcPr>
          <w:p w14:paraId="65B66FF4" w14:textId="77777777" w:rsidR="00C66BAA" w:rsidRPr="008203FB" w:rsidRDefault="00C66BAA" w:rsidP="00A67EC4">
            <w:pPr>
              <w:tabs>
                <w:tab w:val="left" w:pos="3256"/>
              </w:tabs>
              <w:spacing w:before="40"/>
              <w:jc w:val="left"/>
              <w:rPr>
                <w:rFonts w:asciiTheme="minorHAnsi" w:hAnsiTheme="minorHAnsi" w:cs="Arial"/>
                <w:b/>
                <w:bCs/>
                <w:noProof/>
                <w:sz w:val="20"/>
              </w:rPr>
            </w:pPr>
            <w:r w:rsidRPr="008203FB">
              <w:rPr>
                <w:rFonts w:ascii="Arial" w:hAnsi="Arial" w:cs="Arial"/>
                <w:bCs/>
                <w:i/>
                <w:sz w:val="16"/>
                <w:szCs w:val="16"/>
                <w:shd w:val="clear" w:color="auto" w:fill="FFFFFF" w:themeFill="background1"/>
              </w:rPr>
              <w:t xml:space="preserve">Fonte: Elaborazioni Ufficio Studi e Statistica CCIAA Treviso-Belluno su dati Unioncamere del Veneto - Indagine </w:t>
            </w:r>
            <w:proofErr w:type="spellStart"/>
            <w:r w:rsidRPr="008203FB">
              <w:rPr>
                <w:rFonts w:ascii="Arial" w:hAnsi="Arial" w:cs="Arial"/>
                <w:bCs/>
                <w:i/>
                <w:sz w:val="16"/>
                <w:szCs w:val="16"/>
                <w:shd w:val="clear" w:color="auto" w:fill="FFFFFF" w:themeFill="background1"/>
              </w:rPr>
              <w:t>VenetoCongiuntura</w:t>
            </w:r>
            <w:proofErr w:type="spellEnd"/>
          </w:p>
        </w:tc>
      </w:tr>
    </w:tbl>
    <w:p w14:paraId="5F3B8972" w14:textId="77777777" w:rsidR="00AD074E" w:rsidRDefault="00AD074E" w:rsidP="00CA2708">
      <w:pPr>
        <w:spacing w:before="240" w:after="120"/>
        <w:rPr>
          <w:rFonts w:ascii="Calibri" w:hAnsi="Calibri" w:cs="Calibri"/>
          <w:b/>
          <w:szCs w:val="24"/>
        </w:rPr>
      </w:pPr>
    </w:p>
    <w:p w14:paraId="5032CB38" w14:textId="1E307EF0" w:rsidR="00CA2708" w:rsidRPr="00B06805" w:rsidRDefault="00CA2708" w:rsidP="00CA2708">
      <w:pPr>
        <w:spacing w:before="240" w:after="120"/>
        <w:rPr>
          <w:rFonts w:ascii="Calibri" w:hAnsi="Calibri" w:cs="Calibri"/>
          <w:b/>
          <w:szCs w:val="24"/>
        </w:rPr>
      </w:pPr>
      <w:r w:rsidRPr="00214B8E">
        <w:rPr>
          <w:rFonts w:ascii="Calibri" w:hAnsi="Calibri" w:cs="Calibri"/>
          <w:b/>
          <w:szCs w:val="24"/>
        </w:rPr>
        <w:t>La dinamica del manifatturiero trevigiano e bellunese</w:t>
      </w:r>
    </w:p>
    <w:p w14:paraId="21CD1137" w14:textId="3E652AEB" w:rsidR="00C05556" w:rsidRDefault="00AD074E" w:rsidP="004804F6">
      <w:pPr>
        <w:spacing w:before="240" w:after="120"/>
        <w:rPr>
          <w:rFonts w:ascii="Calibri" w:hAnsi="Calibri" w:cs="Calibri"/>
          <w:bCs/>
          <w:szCs w:val="24"/>
        </w:rPr>
      </w:pPr>
      <w:r>
        <w:rPr>
          <w:rFonts w:ascii="Calibri" w:hAnsi="Calibri" w:cs="Calibri"/>
          <w:bCs/>
          <w:szCs w:val="24"/>
        </w:rPr>
        <w:t xml:space="preserve">L’andamento del </w:t>
      </w:r>
      <w:r w:rsidRPr="00B65A7C">
        <w:rPr>
          <w:rFonts w:ascii="Calibri" w:hAnsi="Calibri" w:cs="Calibri"/>
          <w:b/>
          <w:szCs w:val="24"/>
        </w:rPr>
        <w:t>manifatturiero trevigiano</w:t>
      </w:r>
      <w:r w:rsidR="00D145AF" w:rsidRPr="00D145AF">
        <w:rPr>
          <w:rStyle w:val="Rimandonotaapidipagina"/>
          <w:rFonts w:ascii="Calibri" w:hAnsi="Calibri" w:cs="Calibri"/>
          <w:bCs/>
          <w:szCs w:val="24"/>
        </w:rPr>
        <w:footnoteReference w:id="1"/>
      </w:r>
      <w:r>
        <w:rPr>
          <w:rFonts w:ascii="Calibri" w:hAnsi="Calibri" w:cs="Calibri"/>
          <w:bCs/>
          <w:szCs w:val="24"/>
        </w:rPr>
        <w:t xml:space="preserve"> rispecchia il quadro regionale. Il confronto su base annua è ancora a sfavore, in particolare per produzione e ordinativi esteri (</w:t>
      </w:r>
      <w:r w:rsidR="00062665">
        <w:rPr>
          <w:rFonts w:ascii="Calibri" w:hAnsi="Calibri" w:cs="Calibri"/>
          <w:bCs/>
          <w:szCs w:val="24"/>
        </w:rPr>
        <w:t xml:space="preserve">-2,0% la variazione tendenziale per entrambi </w:t>
      </w:r>
      <w:r>
        <w:rPr>
          <w:rFonts w:ascii="Calibri" w:hAnsi="Calibri" w:cs="Calibri"/>
          <w:bCs/>
          <w:szCs w:val="24"/>
        </w:rPr>
        <w:t xml:space="preserve">questi </w:t>
      </w:r>
      <w:r w:rsidR="00062665">
        <w:rPr>
          <w:rFonts w:ascii="Calibri" w:hAnsi="Calibri" w:cs="Calibri"/>
          <w:bCs/>
          <w:szCs w:val="24"/>
        </w:rPr>
        <w:t>i</w:t>
      </w:r>
      <w:r>
        <w:rPr>
          <w:rFonts w:ascii="Calibri" w:hAnsi="Calibri" w:cs="Calibri"/>
          <w:bCs/>
          <w:szCs w:val="24"/>
        </w:rPr>
        <w:t>ndicatori</w:t>
      </w:r>
      <w:r w:rsidR="00062665">
        <w:rPr>
          <w:rFonts w:ascii="Calibri" w:hAnsi="Calibri" w:cs="Calibri"/>
          <w:bCs/>
          <w:szCs w:val="24"/>
        </w:rPr>
        <w:t xml:space="preserve">). Ma si tratta di una flessione di minore intensità rispetto ai precedenti trimestri. </w:t>
      </w:r>
      <w:r w:rsidR="00C05556">
        <w:rPr>
          <w:rFonts w:ascii="Calibri" w:hAnsi="Calibri" w:cs="Calibri"/>
          <w:bCs/>
          <w:szCs w:val="24"/>
        </w:rPr>
        <w:t>D’intonazione positiva</w:t>
      </w:r>
      <w:r w:rsidR="00062665">
        <w:rPr>
          <w:rFonts w:ascii="Calibri" w:hAnsi="Calibri" w:cs="Calibri"/>
          <w:bCs/>
          <w:szCs w:val="24"/>
        </w:rPr>
        <w:t>, invece, le variazioni congiunturali, per quasi tutti gli indicatori</w:t>
      </w:r>
      <w:r w:rsidR="00C05556">
        <w:rPr>
          <w:rFonts w:ascii="Calibri" w:hAnsi="Calibri" w:cs="Calibri"/>
          <w:bCs/>
          <w:szCs w:val="24"/>
        </w:rPr>
        <w:t>. La produzione recupera il +1,7% sul trimestre precedente, spingendo il grado di utilizzo degli impianti dal 70,9% al 71,7%. Gli ordinativi dal mercato interno crescono del +1,8%, quelli dai mercati esteri addirittura del +3,9%: con effetto apprezzabile sulla lunghezza del portafoglio ordini che, dopo trimestri di contrazione, torna a salire a 51,5 giorni di produzione assicurata (era a 50,4 giorni lo scorso trimestre).</w:t>
      </w:r>
    </w:p>
    <w:p w14:paraId="26259096" w14:textId="7DFBE834" w:rsidR="00DC7C39" w:rsidRDefault="00C05556" w:rsidP="004804F6">
      <w:pPr>
        <w:spacing w:before="240" w:after="120"/>
        <w:rPr>
          <w:rFonts w:ascii="Calibri" w:hAnsi="Calibri" w:cs="Calibri"/>
          <w:bCs/>
          <w:szCs w:val="24"/>
        </w:rPr>
      </w:pPr>
      <w:r>
        <w:rPr>
          <w:rFonts w:ascii="Calibri" w:hAnsi="Calibri" w:cs="Calibri"/>
          <w:bCs/>
          <w:szCs w:val="24"/>
        </w:rPr>
        <w:t>Solo il fatturato resta sottotono: -0,8% la variazione congiunturale</w:t>
      </w:r>
      <w:r w:rsidR="00DC7C39">
        <w:rPr>
          <w:rFonts w:ascii="Calibri" w:hAnsi="Calibri" w:cs="Calibri"/>
          <w:bCs/>
          <w:szCs w:val="24"/>
        </w:rPr>
        <w:t xml:space="preserve"> (che diventa del -2,6% per il fatturato estero)</w:t>
      </w:r>
      <w:r>
        <w:rPr>
          <w:rFonts w:ascii="Calibri" w:hAnsi="Calibri" w:cs="Calibri"/>
          <w:bCs/>
          <w:szCs w:val="24"/>
        </w:rPr>
        <w:t>, +0,9% quella tendenziale</w:t>
      </w:r>
      <w:r w:rsidR="00DC7C39">
        <w:rPr>
          <w:rFonts w:ascii="Calibri" w:hAnsi="Calibri" w:cs="Calibri"/>
          <w:bCs/>
          <w:szCs w:val="24"/>
        </w:rPr>
        <w:t xml:space="preserve"> (+0,5% per il fatturato estero)</w:t>
      </w:r>
      <w:r>
        <w:rPr>
          <w:rFonts w:ascii="Calibri" w:hAnsi="Calibri" w:cs="Calibri"/>
          <w:bCs/>
          <w:szCs w:val="24"/>
        </w:rPr>
        <w:t xml:space="preserve">. Ma si deve tener presente che questo indicatore </w:t>
      </w:r>
      <w:r w:rsidR="00DC7C39">
        <w:rPr>
          <w:rFonts w:ascii="Calibri" w:hAnsi="Calibri" w:cs="Calibri"/>
          <w:bCs/>
          <w:szCs w:val="24"/>
        </w:rPr>
        <w:t>è</w:t>
      </w:r>
      <w:r w:rsidR="00A748FD">
        <w:rPr>
          <w:rFonts w:ascii="Calibri" w:hAnsi="Calibri" w:cs="Calibri"/>
          <w:bCs/>
          <w:szCs w:val="24"/>
        </w:rPr>
        <w:t xml:space="preserve"> tuttora fortemente</w:t>
      </w:r>
      <w:r>
        <w:rPr>
          <w:rFonts w:ascii="Calibri" w:hAnsi="Calibri" w:cs="Calibri"/>
          <w:bCs/>
          <w:szCs w:val="24"/>
        </w:rPr>
        <w:t xml:space="preserve"> condizionato </w:t>
      </w:r>
      <w:r w:rsidR="00A748FD">
        <w:rPr>
          <w:rFonts w:ascii="Calibri" w:hAnsi="Calibri" w:cs="Calibri"/>
          <w:bCs/>
          <w:szCs w:val="24"/>
        </w:rPr>
        <w:t xml:space="preserve">dalla dinamica dei prezzi: dopo trimestri di crescita, anche a due cifre, </w:t>
      </w:r>
      <w:r w:rsidR="00DC7C39">
        <w:rPr>
          <w:rFonts w:ascii="Calibri" w:hAnsi="Calibri" w:cs="Calibri"/>
          <w:bCs/>
          <w:szCs w:val="24"/>
        </w:rPr>
        <w:t xml:space="preserve">durante i quali le aziende trasferivano sui prezzi i rincari delle materie prime e dei costi energetici, oggi, in fase di contrazione dell’inflazione, sta accadendo un processo (forse non speculare) di aggiustamento dei listini, </w:t>
      </w:r>
      <w:r w:rsidR="00F114F3">
        <w:rPr>
          <w:rFonts w:ascii="Calibri" w:hAnsi="Calibri" w:cs="Calibri"/>
          <w:bCs/>
          <w:szCs w:val="24"/>
        </w:rPr>
        <w:t xml:space="preserve">più accentuato verso l’estero, </w:t>
      </w:r>
      <w:r w:rsidR="00DC7C39">
        <w:rPr>
          <w:rFonts w:ascii="Calibri" w:hAnsi="Calibri" w:cs="Calibri"/>
          <w:bCs/>
          <w:szCs w:val="24"/>
        </w:rPr>
        <w:t xml:space="preserve">laddove necessario per non perdere quote di mercato. </w:t>
      </w:r>
    </w:p>
    <w:p w14:paraId="7FEB3C40" w14:textId="2EDD0250" w:rsidR="00C36F55" w:rsidRDefault="00DC7C39" w:rsidP="004804F6">
      <w:pPr>
        <w:spacing w:before="240" w:after="120"/>
        <w:rPr>
          <w:rFonts w:ascii="Calibri" w:hAnsi="Calibri" w:cs="Calibri"/>
          <w:bCs/>
          <w:szCs w:val="24"/>
        </w:rPr>
      </w:pPr>
      <w:r>
        <w:rPr>
          <w:rFonts w:ascii="Calibri" w:hAnsi="Calibri" w:cs="Calibri"/>
          <w:bCs/>
          <w:szCs w:val="24"/>
        </w:rPr>
        <w:lastRenderedPageBreak/>
        <w:t xml:space="preserve">Le previsioni </w:t>
      </w:r>
      <w:r w:rsidR="00C36F55">
        <w:rPr>
          <w:rFonts w:ascii="Calibri" w:hAnsi="Calibri" w:cs="Calibri"/>
          <w:bCs/>
          <w:szCs w:val="24"/>
        </w:rPr>
        <w:t xml:space="preserve">per il prossimo trimestre sembrano trasmettere un cauto ottimismo. Per tutti gli indicatori monitorati (produzione, fatturato, ordini) la maggioranza degli imprenditori trevigiani intervistati scommette per situazioni di aumento, con percentuali </w:t>
      </w:r>
      <w:r w:rsidR="00922E58">
        <w:rPr>
          <w:rFonts w:ascii="Calibri" w:hAnsi="Calibri" w:cs="Calibri"/>
          <w:bCs/>
          <w:szCs w:val="24"/>
        </w:rPr>
        <w:t xml:space="preserve">di giudizi che si posizionano fra il 41% e il </w:t>
      </w:r>
      <w:r w:rsidR="00C36F55">
        <w:rPr>
          <w:rFonts w:ascii="Calibri" w:hAnsi="Calibri" w:cs="Calibri"/>
          <w:bCs/>
          <w:szCs w:val="24"/>
        </w:rPr>
        <w:t>46%</w:t>
      </w:r>
      <w:r w:rsidR="00922E58">
        <w:rPr>
          <w:rFonts w:ascii="Calibri" w:hAnsi="Calibri" w:cs="Calibri"/>
          <w:bCs/>
          <w:szCs w:val="24"/>
        </w:rPr>
        <w:t xml:space="preserve"> degli intervistati</w:t>
      </w:r>
      <w:r w:rsidR="00C36F55">
        <w:rPr>
          <w:rFonts w:ascii="Calibri" w:hAnsi="Calibri" w:cs="Calibri"/>
          <w:bCs/>
          <w:szCs w:val="24"/>
        </w:rPr>
        <w:t>. A questa categoria di “ottimisti” si affianca un terzo abbondante degli intervistati che prevede invece stazionarietà: in modo più marcato (37%) per la domanda estera, con tutta evidenza ancora esposta ad una serie di rischi geo</w:t>
      </w:r>
      <w:r w:rsidR="00F114F3">
        <w:rPr>
          <w:rFonts w:ascii="Calibri" w:hAnsi="Calibri" w:cs="Calibri"/>
          <w:bCs/>
          <w:szCs w:val="24"/>
        </w:rPr>
        <w:t>economici e geo</w:t>
      </w:r>
      <w:r w:rsidR="00C36F55">
        <w:rPr>
          <w:rFonts w:ascii="Calibri" w:hAnsi="Calibri" w:cs="Calibri"/>
          <w:bCs/>
          <w:szCs w:val="24"/>
        </w:rPr>
        <w:t>politici. Non trascurabile quel quinto di imprese del campione che prevede flessione nelle proprie performance (per il fatturato i giudizi di diminuzione interessano il 24% degli intervistati).</w:t>
      </w:r>
    </w:p>
    <w:p w14:paraId="2CA6F4FB" w14:textId="03FC43F1" w:rsidR="00B24CE6" w:rsidRDefault="00D243F1" w:rsidP="004804F6">
      <w:pPr>
        <w:spacing w:before="240" w:after="120"/>
        <w:rPr>
          <w:rFonts w:ascii="Calibri" w:hAnsi="Calibri" w:cs="Calibri"/>
          <w:bCs/>
          <w:szCs w:val="24"/>
        </w:rPr>
      </w:pPr>
      <w:r>
        <w:rPr>
          <w:rFonts w:ascii="Calibri" w:hAnsi="Calibri" w:cs="Calibri"/>
          <w:bCs/>
          <w:szCs w:val="24"/>
        </w:rPr>
        <w:t>In linea con il quadro regionale e trevigiano è l</w:t>
      </w:r>
      <w:r w:rsidR="00B24CE6">
        <w:rPr>
          <w:rFonts w:ascii="Calibri" w:hAnsi="Calibri" w:cs="Calibri"/>
          <w:bCs/>
          <w:szCs w:val="24"/>
        </w:rPr>
        <w:t xml:space="preserve">’andamento del </w:t>
      </w:r>
      <w:r w:rsidR="00B24CE6" w:rsidRPr="00B24CE6">
        <w:rPr>
          <w:rFonts w:ascii="Calibri" w:hAnsi="Calibri" w:cs="Calibri"/>
          <w:b/>
          <w:szCs w:val="24"/>
        </w:rPr>
        <w:t>manifatturiero bellunese</w:t>
      </w:r>
      <w:r w:rsidR="00B65A7C" w:rsidRPr="00B65A7C">
        <w:rPr>
          <w:rFonts w:ascii="Calibri" w:hAnsi="Calibri" w:cs="Calibri"/>
          <w:bCs/>
          <w:szCs w:val="24"/>
          <w:vertAlign w:val="superscript"/>
        </w:rPr>
        <w:t>1</w:t>
      </w:r>
      <w:r>
        <w:rPr>
          <w:rFonts w:ascii="Calibri" w:hAnsi="Calibri" w:cs="Calibri"/>
          <w:bCs/>
          <w:szCs w:val="24"/>
        </w:rPr>
        <w:t xml:space="preserve">, </w:t>
      </w:r>
      <w:r w:rsidR="00B25C0B">
        <w:rPr>
          <w:rFonts w:ascii="Calibri" w:hAnsi="Calibri" w:cs="Calibri"/>
          <w:bCs/>
          <w:szCs w:val="24"/>
        </w:rPr>
        <w:t>i cui risultati sono</w:t>
      </w:r>
      <w:r w:rsidR="00362385">
        <w:rPr>
          <w:rFonts w:ascii="Calibri" w:hAnsi="Calibri" w:cs="Calibri"/>
          <w:bCs/>
          <w:szCs w:val="24"/>
        </w:rPr>
        <w:t>, come di consueto</w:t>
      </w:r>
      <w:r w:rsidR="00B25C0B">
        <w:rPr>
          <w:rFonts w:ascii="Calibri" w:hAnsi="Calibri" w:cs="Calibri"/>
          <w:bCs/>
          <w:szCs w:val="24"/>
        </w:rPr>
        <w:t>, amplificati</w:t>
      </w:r>
      <w:r>
        <w:rPr>
          <w:rFonts w:ascii="Calibri" w:hAnsi="Calibri" w:cs="Calibri"/>
          <w:bCs/>
          <w:szCs w:val="24"/>
        </w:rPr>
        <w:t xml:space="preserve"> dalla ridotta numerosità del campione di imprese intervistat</w:t>
      </w:r>
      <w:r w:rsidR="00B25C0B">
        <w:rPr>
          <w:rFonts w:ascii="Calibri" w:hAnsi="Calibri" w:cs="Calibri"/>
          <w:bCs/>
          <w:szCs w:val="24"/>
        </w:rPr>
        <w:t>e</w:t>
      </w:r>
      <w:r w:rsidR="009A45C3">
        <w:rPr>
          <w:rFonts w:ascii="Calibri" w:hAnsi="Calibri" w:cs="Calibri"/>
          <w:bCs/>
          <w:szCs w:val="24"/>
        </w:rPr>
        <w:t>.</w:t>
      </w:r>
    </w:p>
    <w:p w14:paraId="7D0C29D4" w14:textId="0433B935" w:rsidR="00294781" w:rsidRDefault="00EC3D8A" w:rsidP="004804F6">
      <w:pPr>
        <w:spacing w:before="240" w:after="120"/>
        <w:rPr>
          <w:rFonts w:ascii="Calibri" w:hAnsi="Calibri" w:cs="Calibri"/>
          <w:bCs/>
          <w:szCs w:val="24"/>
        </w:rPr>
      </w:pPr>
      <w:r>
        <w:rPr>
          <w:rFonts w:ascii="Calibri" w:hAnsi="Calibri" w:cs="Calibri"/>
          <w:bCs/>
          <w:szCs w:val="24"/>
        </w:rPr>
        <w:t xml:space="preserve">Il confronto su base annua </w:t>
      </w:r>
      <w:r w:rsidR="009A7B46">
        <w:rPr>
          <w:rFonts w:ascii="Calibri" w:hAnsi="Calibri" w:cs="Calibri"/>
          <w:bCs/>
          <w:szCs w:val="24"/>
        </w:rPr>
        <w:t>permane con segno</w:t>
      </w:r>
      <w:r w:rsidR="00B25C0B">
        <w:rPr>
          <w:rFonts w:ascii="Calibri" w:hAnsi="Calibri" w:cs="Calibri"/>
          <w:bCs/>
          <w:szCs w:val="24"/>
        </w:rPr>
        <w:t xml:space="preserve"> negativo per produzione e </w:t>
      </w:r>
      <w:r w:rsidR="009A7B46">
        <w:rPr>
          <w:rFonts w:ascii="Calibri" w:hAnsi="Calibri" w:cs="Calibri"/>
          <w:bCs/>
          <w:szCs w:val="24"/>
        </w:rPr>
        <w:t>raccolta ordini. In particolare, per produzione e</w:t>
      </w:r>
      <w:r w:rsidR="0006087B">
        <w:rPr>
          <w:rFonts w:ascii="Calibri" w:hAnsi="Calibri" w:cs="Calibri"/>
          <w:bCs/>
          <w:szCs w:val="24"/>
        </w:rPr>
        <w:t>d</w:t>
      </w:r>
      <w:r w:rsidR="009A7B46">
        <w:rPr>
          <w:rFonts w:ascii="Calibri" w:hAnsi="Calibri" w:cs="Calibri"/>
          <w:bCs/>
          <w:szCs w:val="24"/>
        </w:rPr>
        <w:t xml:space="preserve"> ordini esteri il calo è</w:t>
      </w:r>
      <w:r w:rsidR="00F114F3">
        <w:rPr>
          <w:rFonts w:ascii="Calibri" w:hAnsi="Calibri" w:cs="Calibri"/>
          <w:bCs/>
          <w:szCs w:val="24"/>
        </w:rPr>
        <w:t>, rispettivamente,</w:t>
      </w:r>
      <w:r w:rsidR="009A7B46">
        <w:rPr>
          <w:rFonts w:ascii="Calibri" w:hAnsi="Calibri" w:cs="Calibri"/>
          <w:bCs/>
          <w:szCs w:val="24"/>
        </w:rPr>
        <w:t xml:space="preserve"> del </w:t>
      </w:r>
      <w:r w:rsidR="00B25C0B">
        <w:rPr>
          <w:rFonts w:ascii="Calibri" w:hAnsi="Calibri" w:cs="Calibri"/>
          <w:bCs/>
          <w:szCs w:val="24"/>
        </w:rPr>
        <w:t>-4</w:t>
      </w:r>
      <w:r w:rsidR="00B80A1D">
        <w:rPr>
          <w:rFonts w:ascii="Calibri" w:hAnsi="Calibri" w:cs="Calibri"/>
          <w:bCs/>
          <w:szCs w:val="24"/>
        </w:rPr>
        <w:t>,0</w:t>
      </w:r>
      <w:r w:rsidR="00B25C0B">
        <w:rPr>
          <w:rFonts w:ascii="Calibri" w:hAnsi="Calibri" w:cs="Calibri"/>
          <w:bCs/>
          <w:szCs w:val="24"/>
        </w:rPr>
        <w:t>% e del -3,7%</w:t>
      </w:r>
      <w:r w:rsidR="00294781">
        <w:rPr>
          <w:rFonts w:ascii="Calibri" w:hAnsi="Calibri" w:cs="Calibri"/>
          <w:bCs/>
          <w:szCs w:val="24"/>
        </w:rPr>
        <w:t>, ma per entrambi</w:t>
      </w:r>
      <w:r w:rsidR="009A7B46">
        <w:rPr>
          <w:rFonts w:ascii="Calibri" w:hAnsi="Calibri" w:cs="Calibri"/>
          <w:bCs/>
          <w:szCs w:val="24"/>
        </w:rPr>
        <w:t xml:space="preserve"> gli indicatori</w:t>
      </w:r>
      <w:r w:rsidR="00294781">
        <w:rPr>
          <w:rFonts w:ascii="Calibri" w:hAnsi="Calibri" w:cs="Calibri"/>
          <w:bCs/>
          <w:szCs w:val="24"/>
        </w:rPr>
        <w:t xml:space="preserve"> la stima è in lieve miglioramento rispetto al trimestre precedente. </w:t>
      </w:r>
      <w:r w:rsidR="009A7B46">
        <w:rPr>
          <w:rFonts w:ascii="Calibri" w:hAnsi="Calibri" w:cs="Calibri"/>
          <w:bCs/>
          <w:szCs w:val="24"/>
        </w:rPr>
        <w:t>Di intensità maggior</w:t>
      </w:r>
      <w:r w:rsidR="00642A67">
        <w:rPr>
          <w:rFonts w:ascii="Calibri" w:hAnsi="Calibri" w:cs="Calibri"/>
          <w:bCs/>
          <w:szCs w:val="24"/>
        </w:rPr>
        <w:t>e</w:t>
      </w:r>
      <w:r w:rsidR="009A7B46">
        <w:rPr>
          <w:rFonts w:ascii="Calibri" w:hAnsi="Calibri" w:cs="Calibri"/>
          <w:bCs/>
          <w:szCs w:val="24"/>
        </w:rPr>
        <w:t xml:space="preserve"> è la flessione degli ordini dal mercato intern</w:t>
      </w:r>
      <w:r w:rsidR="002B18FE">
        <w:rPr>
          <w:rFonts w:ascii="Calibri" w:hAnsi="Calibri" w:cs="Calibri"/>
          <w:bCs/>
          <w:szCs w:val="24"/>
        </w:rPr>
        <w:t xml:space="preserve">o: </w:t>
      </w:r>
      <w:r w:rsidR="00294781">
        <w:rPr>
          <w:rFonts w:ascii="Calibri" w:hAnsi="Calibri" w:cs="Calibri"/>
          <w:bCs/>
          <w:szCs w:val="24"/>
        </w:rPr>
        <w:t>del -8,9%, sempre su base tendenziale</w:t>
      </w:r>
      <w:r w:rsidR="006A2D54">
        <w:rPr>
          <w:rFonts w:ascii="Calibri" w:hAnsi="Calibri" w:cs="Calibri"/>
          <w:bCs/>
          <w:szCs w:val="24"/>
        </w:rPr>
        <w:t>.</w:t>
      </w:r>
      <w:r w:rsidR="00F114F3">
        <w:rPr>
          <w:rFonts w:ascii="Calibri" w:hAnsi="Calibri" w:cs="Calibri"/>
          <w:bCs/>
          <w:szCs w:val="24"/>
        </w:rPr>
        <w:t xml:space="preserve"> </w:t>
      </w:r>
    </w:p>
    <w:p w14:paraId="566BB03A" w14:textId="73122387" w:rsidR="00815CE4" w:rsidRDefault="0006087B" w:rsidP="004804F6">
      <w:pPr>
        <w:spacing w:before="240" w:after="120"/>
        <w:rPr>
          <w:rFonts w:ascii="Calibri" w:hAnsi="Calibri" w:cs="Calibri"/>
          <w:bCs/>
          <w:szCs w:val="24"/>
        </w:rPr>
      </w:pPr>
      <w:r>
        <w:rPr>
          <w:rFonts w:ascii="Calibri" w:hAnsi="Calibri" w:cs="Calibri"/>
          <w:bCs/>
          <w:szCs w:val="24"/>
        </w:rPr>
        <w:t>Con</w:t>
      </w:r>
      <w:r w:rsidR="0046329B">
        <w:rPr>
          <w:rFonts w:ascii="Calibri" w:hAnsi="Calibri" w:cs="Calibri"/>
          <w:bCs/>
          <w:szCs w:val="24"/>
        </w:rPr>
        <w:t xml:space="preserve"> segno </w:t>
      </w:r>
      <w:r w:rsidR="00815CE4">
        <w:rPr>
          <w:rFonts w:ascii="Calibri" w:hAnsi="Calibri" w:cs="Calibri"/>
          <w:bCs/>
          <w:szCs w:val="24"/>
        </w:rPr>
        <w:t>positivo</w:t>
      </w:r>
      <w:r w:rsidR="0046329B">
        <w:rPr>
          <w:rFonts w:ascii="Calibri" w:hAnsi="Calibri" w:cs="Calibri"/>
          <w:bCs/>
          <w:szCs w:val="24"/>
        </w:rPr>
        <w:t xml:space="preserve"> sono invece le variazioni congiunturali</w:t>
      </w:r>
      <w:r w:rsidR="00C96467">
        <w:rPr>
          <w:rFonts w:ascii="Calibri" w:hAnsi="Calibri" w:cs="Calibri"/>
          <w:bCs/>
          <w:szCs w:val="24"/>
        </w:rPr>
        <w:t>.</w:t>
      </w:r>
      <w:r w:rsidR="0046329B">
        <w:rPr>
          <w:rFonts w:ascii="Calibri" w:hAnsi="Calibri" w:cs="Calibri"/>
          <w:bCs/>
          <w:szCs w:val="24"/>
        </w:rPr>
        <w:t xml:space="preserve"> Rispetto al trimestre precedente la produzione sale del +9,4%</w:t>
      </w:r>
      <w:r w:rsidR="00815CE4">
        <w:rPr>
          <w:rFonts w:ascii="Calibri" w:hAnsi="Calibri" w:cs="Calibri"/>
          <w:bCs/>
          <w:szCs w:val="24"/>
        </w:rPr>
        <w:t xml:space="preserve">, </w:t>
      </w:r>
      <w:r w:rsidR="00B80A1D">
        <w:rPr>
          <w:rFonts w:ascii="Calibri" w:hAnsi="Calibri" w:cs="Calibri"/>
          <w:bCs/>
          <w:szCs w:val="24"/>
        </w:rPr>
        <w:t>mentre</w:t>
      </w:r>
      <w:r w:rsidR="00815CE4">
        <w:rPr>
          <w:rFonts w:ascii="Calibri" w:hAnsi="Calibri" w:cs="Calibri"/>
          <w:bCs/>
          <w:szCs w:val="24"/>
        </w:rPr>
        <w:t xml:space="preserve"> i</w:t>
      </w:r>
      <w:r w:rsidR="0046329B">
        <w:rPr>
          <w:rFonts w:ascii="Calibri" w:hAnsi="Calibri" w:cs="Calibri"/>
          <w:bCs/>
          <w:szCs w:val="24"/>
        </w:rPr>
        <w:t>l grado di utilizzo degli impianti continua ad oscillare posizionandosi nel primo scorcio d’anno poco al di sotto del 70%.</w:t>
      </w:r>
    </w:p>
    <w:p w14:paraId="0AB49A0C" w14:textId="52041ED7" w:rsidR="0046329B" w:rsidRDefault="00815CE4" w:rsidP="004804F6">
      <w:pPr>
        <w:spacing w:before="240" w:after="120"/>
        <w:rPr>
          <w:rFonts w:ascii="Calibri" w:hAnsi="Calibri" w:cs="Calibri"/>
          <w:bCs/>
          <w:szCs w:val="24"/>
        </w:rPr>
      </w:pPr>
      <w:r>
        <w:rPr>
          <w:rFonts w:ascii="Calibri" w:hAnsi="Calibri" w:cs="Calibri"/>
          <w:bCs/>
          <w:szCs w:val="24"/>
        </w:rPr>
        <w:t xml:space="preserve">La raccolta ordini </w:t>
      </w:r>
      <w:r w:rsidR="0046329B">
        <w:rPr>
          <w:rFonts w:ascii="Calibri" w:hAnsi="Calibri" w:cs="Calibri"/>
          <w:bCs/>
          <w:szCs w:val="24"/>
        </w:rPr>
        <w:t xml:space="preserve">dal mercato interno </w:t>
      </w:r>
      <w:r>
        <w:rPr>
          <w:rFonts w:ascii="Calibri" w:hAnsi="Calibri" w:cs="Calibri"/>
          <w:bCs/>
          <w:szCs w:val="24"/>
        </w:rPr>
        <w:t xml:space="preserve">cresce del </w:t>
      </w:r>
      <w:r w:rsidR="0046329B">
        <w:rPr>
          <w:rFonts w:ascii="Calibri" w:hAnsi="Calibri" w:cs="Calibri"/>
          <w:bCs/>
          <w:szCs w:val="24"/>
        </w:rPr>
        <w:t>+5,9% e, dopo tre trimestri, tornano in positivo anche gli ordinativi dall’estero (+6,7%)</w:t>
      </w:r>
      <w:r w:rsidR="00D56F63">
        <w:rPr>
          <w:rFonts w:ascii="Calibri" w:hAnsi="Calibri" w:cs="Calibri"/>
          <w:bCs/>
          <w:szCs w:val="24"/>
        </w:rPr>
        <w:t>, contribuendo all’allungamento dell’orizzonte temporale del</w:t>
      </w:r>
      <w:r w:rsidR="00C96467">
        <w:rPr>
          <w:rFonts w:ascii="Calibri" w:hAnsi="Calibri" w:cs="Calibri"/>
          <w:bCs/>
          <w:szCs w:val="24"/>
        </w:rPr>
        <w:t xml:space="preserve"> portafoglio ordini che sale a</w:t>
      </w:r>
      <w:r w:rsidR="0046329B">
        <w:rPr>
          <w:rFonts w:ascii="Calibri" w:hAnsi="Calibri" w:cs="Calibri"/>
          <w:bCs/>
          <w:szCs w:val="24"/>
        </w:rPr>
        <w:t xml:space="preserve"> 56,5 giorni di produzione assicurata</w:t>
      </w:r>
      <w:r w:rsidR="00C96467">
        <w:rPr>
          <w:rFonts w:ascii="Calibri" w:hAnsi="Calibri" w:cs="Calibri"/>
          <w:bCs/>
          <w:szCs w:val="24"/>
        </w:rPr>
        <w:t>, da</w:t>
      </w:r>
      <w:r w:rsidR="00202536">
        <w:rPr>
          <w:rFonts w:ascii="Calibri" w:hAnsi="Calibri" w:cs="Calibri"/>
          <w:bCs/>
          <w:szCs w:val="24"/>
        </w:rPr>
        <w:t>i</w:t>
      </w:r>
      <w:r w:rsidR="00C96467">
        <w:rPr>
          <w:rFonts w:ascii="Calibri" w:hAnsi="Calibri" w:cs="Calibri"/>
          <w:bCs/>
          <w:szCs w:val="24"/>
        </w:rPr>
        <w:t xml:space="preserve"> 55,5 del trimestre precedente</w:t>
      </w:r>
      <w:r>
        <w:rPr>
          <w:rFonts w:ascii="Calibri" w:hAnsi="Calibri" w:cs="Calibri"/>
          <w:bCs/>
          <w:szCs w:val="24"/>
        </w:rPr>
        <w:t>.</w:t>
      </w:r>
    </w:p>
    <w:p w14:paraId="42AB8D96" w14:textId="5EACD4D6" w:rsidR="00815CE4" w:rsidRDefault="00B80A1D" w:rsidP="004804F6">
      <w:pPr>
        <w:spacing w:before="240" w:after="120"/>
        <w:rPr>
          <w:rFonts w:ascii="Calibri" w:hAnsi="Calibri" w:cs="Calibri"/>
          <w:bCs/>
          <w:szCs w:val="24"/>
        </w:rPr>
      </w:pPr>
      <w:r w:rsidRPr="008C4E2C">
        <w:rPr>
          <w:rFonts w:ascii="Calibri" w:hAnsi="Calibri" w:cs="Calibri"/>
          <w:bCs/>
          <w:szCs w:val="24"/>
        </w:rPr>
        <w:t>Una dinamica a parte si osserva per il fatturato</w:t>
      </w:r>
      <w:r w:rsidR="000F6131" w:rsidRPr="008C4E2C">
        <w:rPr>
          <w:rFonts w:ascii="Calibri" w:hAnsi="Calibri" w:cs="Calibri"/>
          <w:bCs/>
          <w:szCs w:val="24"/>
        </w:rPr>
        <w:t>, il cui andamento</w:t>
      </w:r>
      <w:r w:rsidR="007B5C7B" w:rsidRPr="008C4E2C">
        <w:rPr>
          <w:rFonts w:ascii="Calibri" w:hAnsi="Calibri" w:cs="Calibri"/>
          <w:bCs/>
          <w:szCs w:val="24"/>
        </w:rPr>
        <w:t>,</w:t>
      </w:r>
      <w:r w:rsidR="000F6131" w:rsidRPr="008C4E2C">
        <w:rPr>
          <w:rFonts w:ascii="Calibri" w:hAnsi="Calibri" w:cs="Calibri"/>
          <w:bCs/>
          <w:szCs w:val="24"/>
        </w:rPr>
        <w:t xml:space="preserve"> su base tendenziale (+0,9%) e congiunturale (-0,5%)</w:t>
      </w:r>
      <w:r w:rsidR="007B5C7B" w:rsidRPr="008C4E2C">
        <w:rPr>
          <w:rFonts w:ascii="Calibri" w:hAnsi="Calibri" w:cs="Calibri"/>
          <w:bCs/>
          <w:szCs w:val="24"/>
        </w:rPr>
        <w:t>,</w:t>
      </w:r>
      <w:r w:rsidR="000F6131" w:rsidRPr="008C4E2C">
        <w:rPr>
          <w:rFonts w:ascii="Calibri" w:hAnsi="Calibri" w:cs="Calibri"/>
          <w:bCs/>
          <w:szCs w:val="24"/>
        </w:rPr>
        <w:t xml:space="preserve"> fa propendere per una convergenza verso la stabilità. </w:t>
      </w:r>
      <w:r w:rsidR="00F114F3" w:rsidRPr="008C4E2C">
        <w:rPr>
          <w:rFonts w:ascii="Calibri" w:hAnsi="Calibri" w:cs="Calibri"/>
          <w:bCs/>
          <w:szCs w:val="24"/>
        </w:rPr>
        <w:t xml:space="preserve">Anche per Belluno, come osservato per Treviso, questi dati si </w:t>
      </w:r>
      <w:r w:rsidR="00936D33" w:rsidRPr="008C4E2C">
        <w:rPr>
          <w:rFonts w:ascii="Calibri" w:hAnsi="Calibri" w:cs="Calibri"/>
          <w:bCs/>
          <w:szCs w:val="24"/>
        </w:rPr>
        <w:t>collega</w:t>
      </w:r>
      <w:r w:rsidR="00F114F3" w:rsidRPr="008C4E2C">
        <w:rPr>
          <w:rFonts w:ascii="Calibri" w:hAnsi="Calibri" w:cs="Calibri"/>
          <w:bCs/>
          <w:szCs w:val="24"/>
        </w:rPr>
        <w:t>no</w:t>
      </w:r>
      <w:r w:rsidR="000F6131" w:rsidRPr="008C4E2C">
        <w:rPr>
          <w:rFonts w:ascii="Calibri" w:hAnsi="Calibri" w:cs="Calibri"/>
          <w:bCs/>
          <w:szCs w:val="24"/>
        </w:rPr>
        <w:t xml:space="preserve"> presumibilmente </w:t>
      </w:r>
      <w:r w:rsidR="00936D33" w:rsidRPr="008C4E2C">
        <w:rPr>
          <w:rFonts w:ascii="Calibri" w:hAnsi="Calibri" w:cs="Calibri"/>
          <w:bCs/>
          <w:szCs w:val="24"/>
        </w:rPr>
        <w:t>alla</w:t>
      </w:r>
      <w:r w:rsidR="000F6131" w:rsidRPr="008C4E2C">
        <w:rPr>
          <w:rFonts w:ascii="Calibri" w:hAnsi="Calibri" w:cs="Calibri"/>
          <w:bCs/>
          <w:szCs w:val="24"/>
        </w:rPr>
        <w:t xml:space="preserve"> normalizzazione dei costi di produzione e, di conseguenza, </w:t>
      </w:r>
      <w:r w:rsidR="00936D33" w:rsidRPr="008C4E2C">
        <w:rPr>
          <w:rFonts w:ascii="Calibri" w:hAnsi="Calibri" w:cs="Calibri"/>
          <w:bCs/>
          <w:szCs w:val="24"/>
        </w:rPr>
        <w:t>ad</w:t>
      </w:r>
      <w:r w:rsidR="000F6131" w:rsidRPr="008C4E2C">
        <w:rPr>
          <w:rFonts w:ascii="Calibri" w:hAnsi="Calibri" w:cs="Calibri"/>
          <w:bCs/>
          <w:szCs w:val="24"/>
        </w:rPr>
        <w:t xml:space="preserve"> un allineamento dei listini per mantenere la competitività nei mercati.</w:t>
      </w:r>
    </w:p>
    <w:p w14:paraId="10453240" w14:textId="77777777" w:rsidR="008C4E2C" w:rsidRDefault="00417318" w:rsidP="00445C76">
      <w:pPr>
        <w:spacing w:before="240"/>
        <w:rPr>
          <w:rFonts w:ascii="Calibri" w:hAnsi="Calibri" w:cs="Calibri"/>
          <w:bCs/>
          <w:szCs w:val="24"/>
        </w:rPr>
      </w:pPr>
      <w:r>
        <w:rPr>
          <w:rFonts w:ascii="Calibri" w:hAnsi="Calibri" w:cs="Calibri"/>
          <w:bCs/>
          <w:szCs w:val="24"/>
        </w:rPr>
        <w:t>Le previsioni degli imprenditori bellunesi per il secondo trimestre sono improntate al</w:t>
      </w:r>
      <w:r w:rsidR="00D76AA8">
        <w:rPr>
          <w:rFonts w:ascii="Calibri" w:hAnsi="Calibri" w:cs="Calibri"/>
          <w:bCs/>
          <w:szCs w:val="24"/>
        </w:rPr>
        <w:t xml:space="preserve"> cauto ottimismo</w:t>
      </w:r>
      <w:r w:rsidR="008C4E2C">
        <w:rPr>
          <w:rFonts w:ascii="Calibri" w:hAnsi="Calibri" w:cs="Calibri"/>
          <w:bCs/>
          <w:szCs w:val="24"/>
        </w:rPr>
        <w:t>, sebbene rispetto a Treviso i saldi tra giudizi positivi e negativi siano più esili. P</w:t>
      </w:r>
      <w:r w:rsidR="00655031">
        <w:rPr>
          <w:rFonts w:ascii="Calibri" w:hAnsi="Calibri" w:cs="Calibri"/>
          <w:bCs/>
          <w:szCs w:val="24"/>
        </w:rPr>
        <w:t>er quanto riguarda i livelli di p</w:t>
      </w:r>
      <w:r w:rsidR="006748D6">
        <w:rPr>
          <w:rFonts w:ascii="Calibri" w:hAnsi="Calibri" w:cs="Calibri"/>
          <w:bCs/>
          <w:szCs w:val="24"/>
        </w:rPr>
        <w:t>roduzione e fatturato</w:t>
      </w:r>
      <w:r w:rsidR="004413CE">
        <w:rPr>
          <w:rFonts w:ascii="Calibri" w:hAnsi="Calibri" w:cs="Calibri"/>
          <w:bCs/>
          <w:szCs w:val="24"/>
        </w:rPr>
        <w:t>,</w:t>
      </w:r>
      <w:r w:rsidR="00271153">
        <w:rPr>
          <w:rFonts w:ascii="Calibri" w:hAnsi="Calibri" w:cs="Calibri"/>
          <w:bCs/>
          <w:szCs w:val="24"/>
        </w:rPr>
        <w:t xml:space="preserve"> pre</w:t>
      </w:r>
      <w:r w:rsidR="008C4E2C">
        <w:rPr>
          <w:rFonts w:ascii="Calibri" w:hAnsi="Calibri" w:cs="Calibri"/>
          <w:bCs/>
          <w:szCs w:val="24"/>
        </w:rPr>
        <w:t>valgono i giudizi di stazionarietà (</w:t>
      </w:r>
      <w:r w:rsidR="00AD7DEC">
        <w:rPr>
          <w:rFonts w:ascii="Calibri" w:hAnsi="Calibri" w:cs="Calibri"/>
          <w:bCs/>
          <w:szCs w:val="24"/>
        </w:rPr>
        <w:t>40</w:t>
      </w:r>
      <w:r w:rsidR="00271153">
        <w:rPr>
          <w:rFonts w:ascii="Calibri" w:hAnsi="Calibri" w:cs="Calibri"/>
          <w:bCs/>
          <w:szCs w:val="24"/>
        </w:rPr>
        <w:t>% degli intervistati</w:t>
      </w:r>
      <w:r w:rsidR="008C4E2C">
        <w:rPr>
          <w:rFonts w:ascii="Calibri" w:hAnsi="Calibri" w:cs="Calibri"/>
          <w:bCs/>
          <w:szCs w:val="24"/>
        </w:rPr>
        <w:t>)</w:t>
      </w:r>
      <w:r w:rsidR="00271153">
        <w:rPr>
          <w:rFonts w:ascii="Calibri" w:hAnsi="Calibri" w:cs="Calibri"/>
          <w:bCs/>
          <w:szCs w:val="24"/>
        </w:rPr>
        <w:t xml:space="preserve">, </w:t>
      </w:r>
      <w:r w:rsidR="00D76AA8">
        <w:rPr>
          <w:rFonts w:ascii="Calibri" w:hAnsi="Calibri" w:cs="Calibri"/>
          <w:bCs/>
          <w:szCs w:val="24"/>
        </w:rPr>
        <w:t xml:space="preserve">cui si aggiunge un 36%-37% che </w:t>
      </w:r>
      <w:r w:rsidR="004413CE">
        <w:rPr>
          <w:rFonts w:ascii="Calibri" w:hAnsi="Calibri" w:cs="Calibri"/>
          <w:bCs/>
          <w:szCs w:val="24"/>
        </w:rPr>
        <w:t>ne ipotizza</w:t>
      </w:r>
      <w:r w:rsidR="00D76AA8">
        <w:rPr>
          <w:rFonts w:ascii="Calibri" w:hAnsi="Calibri" w:cs="Calibri"/>
          <w:bCs/>
          <w:szCs w:val="24"/>
        </w:rPr>
        <w:t xml:space="preserve"> un aumento</w:t>
      </w:r>
      <w:r w:rsidR="006748D6">
        <w:rPr>
          <w:rFonts w:ascii="Calibri" w:hAnsi="Calibri" w:cs="Calibri"/>
          <w:bCs/>
          <w:szCs w:val="24"/>
        </w:rPr>
        <w:t>. I</w:t>
      </w:r>
      <w:r w:rsidR="00223A02">
        <w:rPr>
          <w:rFonts w:ascii="Calibri" w:hAnsi="Calibri" w:cs="Calibri"/>
          <w:bCs/>
          <w:szCs w:val="24"/>
        </w:rPr>
        <w:t xml:space="preserve"> pessimisti</w:t>
      </w:r>
      <w:r w:rsidR="008C4E2C">
        <w:rPr>
          <w:rFonts w:ascii="Calibri" w:hAnsi="Calibri" w:cs="Calibri"/>
          <w:bCs/>
          <w:szCs w:val="24"/>
        </w:rPr>
        <w:t>, come per Treviso, restano a circa 1/5 degli intervistati.</w:t>
      </w:r>
    </w:p>
    <w:p w14:paraId="45D14B44" w14:textId="4C7A70C6" w:rsidR="00445C76" w:rsidRDefault="00E42685" w:rsidP="00445C76">
      <w:pPr>
        <w:spacing w:before="240"/>
        <w:rPr>
          <w:rFonts w:ascii="Calibri" w:hAnsi="Calibri" w:cs="Calibri"/>
          <w:bCs/>
          <w:szCs w:val="24"/>
        </w:rPr>
      </w:pPr>
      <w:r>
        <w:rPr>
          <w:rFonts w:ascii="Calibri" w:hAnsi="Calibri" w:cs="Calibri"/>
          <w:bCs/>
          <w:szCs w:val="24"/>
        </w:rPr>
        <w:t xml:space="preserve"> </w:t>
      </w:r>
    </w:p>
    <w:p w14:paraId="3B92B50B" w14:textId="6FAE85CF" w:rsidR="007A4439" w:rsidRDefault="009D318D" w:rsidP="00C55417">
      <w:pPr>
        <w:spacing w:after="120"/>
        <w:rPr>
          <w:rFonts w:ascii="Calibri" w:hAnsi="Calibri" w:cs="Calibri"/>
          <w:bCs/>
          <w:szCs w:val="24"/>
        </w:rPr>
      </w:pPr>
      <w:r>
        <w:rPr>
          <w:rFonts w:ascii="Calibri" w:hAnsi="Calibri" w:cs="Calibri"/>
          <w:bCs/>
          <w:szCs w:val="24"/>
        </w:rPr>
        <w:t xml:space="preserve">Sul fronte </w:t>
      </w:r>
      <w:r w:rsidR="00D67131">
        <w:rPr>
          <w:rFonts w:ascii="Calibri" w:hAnsi="Calibri" w:cs="Calibri"/>
          <w:bCs/>
          <w:szCs w:val="24"/>
        </w:rPr>
        <w:t xml:space="preserve">della </w:t>
      </w:r>
      <w:r>
        <w:rPr>
          <w:rFonts w:ascii="Calibri" w:hAnsi="Calibri" w:cs="Calibri"/>
          <w:bCs/>
          <w:szCs w:val="24"/>
        </w:rPr>
        <w:t xml:space="preserve">raccolta ordini le previsioni sono </w:t>
      </w:r>
      <w:r w:rsidR="00BD7B8F">
        <w:rPr>
          <w:rFonts w:ascii="Calibri" w:hAnsi="Calibri" w:cs="Calibri"/>
          <w:bCs/>
          <w:szCs w:val="24"/>
        </w:rPr>
        <w:t>invece più diversificate</w:t>
      </w:r>
      <w:r w:rsidR="00F6035D">
        <w:rPr>
          <w:rFonts w:ascii="Calibri" w:hAnsi="Calibri" w:cs="Calibri"/>
          <w:bCs/>
          <w:szCs w:val="24"/>
        </w:rPr>
        <w:t xml:space="preserve">. </w:t>
      </w:r>
      <w:r w:rsidR="008C4E2C">
        <w:rPr>
          <w:rFonts w:ascii="Calibri" w:hAnsi="Calibri" w:cs="Calibri"/>
          <w:bCs/>
          <w:szCs w:val="24"/>
        </w:rPr>
        <w:t>Anche p</w:t>
      </w:r>
      <w:r w:rsidR="00F6035D">
        <w:rPr>
          <w:rFonts w:ascii="Calibri" w:hAnsi="Calibri" w:cs="Calibri"/>
          <w:bCs/>
          <w:szCs w:val="24"/>
        </w:rPr>
        <w:t>er il mercato interno i giudizi sono improntati alla prudenza</w:t>
      </w:r>
      <w:r w:rsidR="00E05D81">
        <w:rPr>
          <w:rFonts w:ascii="Calibri" w:hAnsi="Calibri" w:cs="Calibri"/>
          <w:bCs/>
          <w:szCs w:val="24"/>
        </w:rPr>
        <w:t>, con</w:t>
      </w:r>
      <w:r w:rsidR="00F6035D">
        <w:rPr>
          <w:rFonts w:ascii="Calibri" w:hAnsi="Calibri" w:cs="Calibri"/>
          <w:bCs/>
          <w:szCs w:val="24"/>
        </w:rPr>
        <w:t xml:space="preserve"> </w:t>
      </w:r>
      <w:r w:rsidR="00AC4F3D">
        <w:rPr>
          <w:rFonts w:ascii="Calibri" w:hAnsi="Calibri" w:cs="Calibri"/>
          <w:bCs/>
          <w:szCs w:val="24"/>
        </w:rPr>
        <w:t xml:space="preserve">il 45% dei rispondenti </w:t>
      </w:r>
      <w:r w:rsidR="00E05D81">
        <w:rPr>
          <w:rFonts w:ascii="Calibri" w:hAnsi="Calibri" w:cs="Calibri"/>
          <w:bCs/>
          <w:szCs w:val="24"/>
        </w:rPr>
        <w:t>che propende</w:t>
      </w:r>
      <w:r w:rsidR="00AC4F3D">
        <w:rPr>
          <w:rFonts w:ascii="Calibri" w:hAnsi="Calibri" w:cs="Calibri"/>
          <w:bCs/>
          <w:szCs w:val="24"/>
        </w:rPr>
        <w:t xml:space="preserve"> per la </w:t>
      </w:r>
      <w:r w:rsidR="00271153">
        <w:rPr>
          <w:rFonts w:ascii="Calibri" w:hAnsi="Calibri" w:cs="Calibri"/>
          <w:bCs/>
          <w:szCs w:val="24"/>
        </w:rPr>
        <w:t>stazionarietà</w:t>
      </w:r>
      <w:r w:rsidR="009A363F">
        <w:rPr>
          <w:rFonts w:ascii="Calibri" w:hAnsi="Calibri" w:cs="Calibri"/>
          <w:bCs/>
          <w:szCs w:val="24"/>
        </w:rPr>
        <w:t xml:space="preserve"> de</w:t>
      </w:r>
      <w:r w:rsidR="002A0B5F">
        <w:rPr>
          <w:rFonts w:ascii="Calibri" w:hAnsi="Calibri" w:cs="Calibri"/>
          <w:bCs/>
          <w:szCs w:val="24"/>
        </w:rPr>
        <w:t>lla domanda</w:t>
      </w:r>
      <w:r w:rsidR="00AC4F3D">
        <w:rPr>
          <w:rFonts w:ascii="Calibri" w:hAnsi="Calibri" w:cs="Calibri"/>
          <w:bCs/>
          <w:szCs w:val="24"/>
        </w:rPr>
        <w:t>, mentre i giudizi di aumento di poco prevalgono su quelli in diminuzione (30% contro il 25%</w:t>
      </w:r>
      <w:r w:rsidR="00E05D81">
        <w:rPr>
          <w:rFonts w:ascii="Calibri" w:hAnsi="Calibri" w:cs="Calibri"/>
          <w:bCs/>
          <w:szCs w:val="24"/>
        </w:rPr>
        <w:t xml:space="preserve"> rispettivamente</w:t>
      </w:r>
      <w:r w:rsidR="00AC4F3D">
        <w:rPr>
          <w:rFonts w:ascii="Calibri" w:hAnsi="Calibri" w:cs="Calibri"/>
          <w:bCs/>
          <w:szCs w:val="24"/>
        </w:rPr>
        <w:t>). Per il mercato estero le previsioni s</w:t>
      </w:r>
      <w:r w:rsidR="008C4E2C">
        <w:rPr>
          <w:rFonts w:ascii="Calibri" w:hAnsi="Calibri" w:cs="Calibri"/>
          <w:bCs/>
          <w:szCs w:val="24"/>
        </w:rPr>
        <w:t>ono un po’ più polarizzate</w:t>
      </w:r>
      <w:r w:rsidR="00AC4F3D">
        <w:rPr>
          <w:rFonts w:ascii="Calibri" w:hAnsi="Calibri" w:cs="Calibri"/>
          <w:bCs/>
          <w:szCs w:val="24"/>
        </w:rPr>
        <w:t xml:space="preserve"> verso gli ottimisti con un 47% di imprenditori che prevede un aumento della raccolta ordini, mentre giudizi di stabilità e di diminuzione </w:t>
      </w:r>
      <w:r w:rsidR="00AC4F3D">
        <w:rPr>
          <w:rFonts w:ascii="Calibri" w:hAnsi="Calibri" w:cs="Calibri"/>
          <w:bCs/>
          <w:szCs w:val="24"/>
        </w:rPr>
        <w:lastRenderedPageBreak/>
        <w:t xml:space="preserve">in questo caso si equivalgono: rispettivamente 26% </w:t>
      </w:r>
      <w:r w:rsidR="004413CE">
        <w:rPr>
          <w:rFonts w:ascii="Calibri" w:hAnsi="Calibri" w:cs="Calibri"/>
          <w:bCs/>
          <w:szCs w:val="24"/>
        </w:rPr>
        <w:t xml:space="preserve">dei rispondenti è </w:t>
      </w:r>
      <w:r w:rsidR="00AC4F3D">
        <w:rPr>
          <w:rFonts w:ascii="Calibri" w:hAnsi="Calibri" w:cs="Calibri"/>
          <w:bCs/>
          <w:szCs w:val="24"/>
        </w:rPr>
        <w:t>per la stabilità e</w:t>
      </w:r>
      <w:r w:rsidR="004413CE">
        <w:rPr>
          <w:rFonts w:ascii="Calibri" w:hAnsi="Calibri" w:cs="Calibri"/>
          <w:bCs/>
          <w:szCs w:val="24"/>
        </w:rPr>
        <w:t>d</w:t>
      </w:r>
      <w:r w:rsidR="00AC4F3D">
        <w:rPr>
          <w:rFonts w:ascii="Calibri" w:hAnsi="Calibri" w:cs="Calibri"/>
          <w:bCs/>
          <w:szCs w:val="24"/>
        </w:rPr>
        <w:t xml:space="preserve"> 28%</w:t>
      </w:r>
      <w:r w:rsidR="009A363F">
        <w:rPr>
          <w:rFonts w:ascii="Calibri" w:hAnsi="Calibri" w:cs="Calibri"/>
          <w:bCs/>
          <w:szCs w:val="24"/>
        </w:rPr>
        <w:t xml:space="preserve"> per il calo</w:t>
      </w:r>
      <w:r w:rsidR="00AC4F3D">
        <w:rPr>
          <w:rFonts w:ascii="Calibri" w:hAnsi="Calibri" w:cs="Calibri"/>
          <w:bCs/>
          <w:szCs w:val="24"/>
        </w:rPr>
        <w:t>.</w:t>
      </w:r>
    </w:p>
    <w:tbl>
      <w:tblPr>
        <w:tblStyle w:val="Grigliatabella"/>
        <w:tblpPr w:leftFromText="141" w:rightFromText="141" w:vertAnchor="text" w:horzAnchor="margin" w:tblpY="1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7A4439" w:rsidRPr="00C35859" w14:paraId="6A53EEBB" w14:textId="77777777" w:rsidTr="00092212">
        <w:tc>
          <w:tcPr>
            <w:tcW w:w="8788" w:type="dxa"/>
            <w:shd w:val="clear" w:color="auto" w:fill="auto"/>
          </w:tcPr>
          <w:p w14:paraId="059A81B4" w14:textId="75E5A3AA" w:rsidR="007A4439" w:rsidRPr="006475A5" w:rsidRDefault="007A4439" w:rsidP="00092212">
            <w:pPr>
              <w:pStyle w:val="Titolo1"/>
              <w:jc w:val="left"/>
              <w:rPr>
                <w:rFonts w:ascii="Calibri" w:hAnsi="Calibri" w:cs="Arial"/>
                <w:b w:val="0"/>
                <w:bCs/>
                <w:color w:val="00B0F0"/>
                <w:sz w:val="20"/>
              </w:rPr>
            </w:pPr>
            <w:r w:rsidRPr="006475A5">
              <w:rPr>
                <w:rFonts w:ascii="Calibri" w:hAnsi="Calibri" w:cs="Arial"/>
                <w:bCs/>
                <w:sz w:val="20"/>
              </w:rPr>
              <w:t xml:space="preserve">Tab. </w:t>
            </w:r>
            <w:r w:rsidR="000A2780" w:rsidRPr="006475A5">
              <w:rPr>
                <w:rFonts w:ascii="Calibri" w:hAnsi="Calibri" w:cs="Arial"/>
                <w:bCs/>
                <w:sz w:val="20"/>
              </w:rPr>
              <w:t>3</w:t>
            </w:r>
            <w:r w:rsidRPr="006475A5">
              <w:rPr>
                <w:rFonts w:ascii="Calibri" w:hAnsi="Calibri" w:cs="Arial"/>
                <w:bCs/>
                <w:sz w:val="20"/>
              </w:rPr>
              <w:t xml:space="preserve"> - </w:t>
            </w:r>
            <w:r w:rsidRPr="006475A5">
              <w:rPr>
                <w:rFonts w:ascii="Calibri" w:hAnsi="Calibri" w:cs="Arial"/>
                <w:bCs/>
                <w:color w:val="00B0F0"/>
                <w:sz w:val="20"/>
              </w:rPr>
              <w:t xml:space="preserve">Province di Belluno e di Treviso. </w:t>
            </w:r>
          </w:p>
          <w:p w14:paraId="136E7BC8" w14:textId="2E560F42" w:rsidR="007A4439" w:rsidRPr="006475A5" w:rsidRDefault="007A4439" w:rsidP="00092212">
            <w:pPr>
              <w:pStyle w:val="Titolo1"/>
              <w:jc w:val="left"/>
              <w:rPr>
                <w:rFonts w:ascii="Calibri" w:hAnsi="Calibri" w:cs="Arial"/>
                <w:bCs/>
                <w:sz w:val="20"/>
              </w:rPr>
            </w:pPr>
            <w:r w:rsidRPr="006475A5">
              <w:rPr>
                <w:rFonts w:ascii="Calibri" w:hAnsi="Calibri" w:cs="Arial"/>
                <w:bCs/>
                <w:sz w:val="20"/>
              </w:rPr>
              <w:t xml:space="preserve">Andamento dei principali indicatori dell’industria manifatturiera nel </w:t>
            </w:r>
            <w:r w:rsidR="00684DF3" w:rsidRPr="006475A5">
              <w:rPr>
                <w:rFonts w:ascii="Calibri" w:hAnsi="Calibri" w:cs="Arial"/>
                <w:bCs/>
                <w:sz w:val="20"/>
              </w:rPr>
              <w:t>primo</w:t>
            </w:r>
            <w:r w:rsidRPr="006475A5">
              <w:rPr>
                <w:rFonts w:ascii="Calibri" w:hAnsi="Calibri" w:cs="Arial"/>
                <w:bCs/>
                <w:sz w:val="20"/>
              </w:rPr>
              <w:t xml:space="preserve"> trimestre 202</w:t>
            </w:r>
            <w:r w:rsidR="00684DF3" w:rsidRPr="006475A5">
              <w:rPr>
                <w:rFonts w:ascii="Calibri" w:hAnsi="Calibri" w:cs="Arial"/>
                <w:bCs/>
                <w:sz w:val="20"/>
              </w:rPr>
              <w:t>4</w:t>
            </w:r>
          </w:p>
          <w:p w14:paraId="108F73A3" w14:textId="77777777" w:rsidR="007A4439" w:rsidRPr="00C35859" w:rsidRDefault="007A4439" w:rsidP="00092212">
            <w:pPr>
              <w:pStyle w:val="Titolo1"/>
              <w:spacing w:after="120"/>
              <w:jc w:val="left"/>
            </w:pPr>
            <w:r w:rsidRPr="006475A5">
              <w:rPr>
                <w:rFonts w:ascii="Calibri" w:hAnsi="Calibri" w:cs="Arial"/>
                <w:b w:val="0"/>
                <w:bCs/>
                <w:sz w:val="20"/>
              </w:rPr>
              <w:t>(variazione % congiunturale ed annuale)</w:t>
            </w:r>
          </w:p>
        </w:tc>
      </w:tr>
      <w:tr w:rsidR="007A4439" w:rsidRPr="00C35859" w14:paraId="13AD0592" w14:textId="77777777" w:rsidTr="00092212">
        <w:tc>
          <w:tcPr>
            <w:tcW w:w="8788" w:type="dxa"/>
            <w:shd w:val="clear" w:color="auto" w:fill="auto"/>
          </w:tcPr>
          <w:p w14:paraId="30FA76D1" w14:textId="488CC083" w:rsidR="007A4439" w:rsidRPr="00C35859" w:rsidRDefault="00332B47" w:rsidP="00092212">
            <w:pPr>
              <w:tabs>
                <w:tab w:val="left" w:pos="3256"/>
              </w:tabs>
              <w:spacing w:before="40"/>
              <w:jc w:val="center"/>
              <w:rPr>
                <w:rFonts w:ascii="Arial" w:hAnsi="Arial" w:cs="Arial"/>
                <w:b/>
                <w:bCs/>
                <w:sz w:val="20"/>
              </w:rPr>
            </w:pPr>
            <w:r w:rsidRPr="00332B47">
              <w:rPr>
                <w:rFonts w:ascii="Arial" w:hAnsi="Arial" w:cs="Arial"/>
                <w:b/>
                <w:bCs/>
                <w:noProof/>
                <w:sz w:val="20"/>
              </w:rPr>
              <w:drawing>
                <wp:inline distT="0" distB="0" distL="0" distR="0" wp14:anchorId="567B0AD3" wp14:editId="7C503F00">
                  <wp:extent cx="3612722" cy="2011567"/>
                  <wp:effectExtent l="0" t="0" r="698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30728" cy="2021593"/>
                          </a:xfrm>
                          <a:prstGeom prst="rect">
                            <a:avLst/>
                          </a:prstGeom>
                          <a:noFill/>
                          <a:ln>
                            <a:noFill/>
                          </a:ln>
                        </pic:spPr>
                      </pic:pic>
                    </a:graphicData>
                  </a:graphic>
                </wp:inline>
              </w:drawing>
            </w:r>
          </w:p>
        </w:tc>
      </w:tr>
      <w:tr w:rsidR="007A4439" w:rsidRPr="00C35859" w14:paraId="06BBC1E4" w14:textId="77777777" w:rsidTr="00092212">
        <w:tc>
          <w:tcPr>
            <w:tcW w:w="8788" w:type="dxa"/>
            <w:shd w:val="clear" w:color="auto" w:fill="auto"/>
          </w:tcPr>
          <w:p w14:paraId="6FBB7D1D" w14:textId="77777777" w:rsidR="007A4439" w:rsidRPr="00C35859" w:rsidRDefault="007A4439" w:rsidP="00092212">
            <w:pPr>
              <w:tabs>
                <w:tab w:val="left" w:pos="3256"/>
              </w:tabs>
              <w:spacing w:before="40"/>
              <w:rPr>
                <w:rFonts w:ascii="Arial" w:hAnsi="Arial" w:cs="Arial"/>
                <w:b/>
                <w:bCs/>
                <w:sz w:val="20"/>
              </w:rPr>
            </w:pPr>
          </w:p>
        </w:tc>
      </w:tr>
      <w:tr w:rsidR="007A4439" w:rsidRPr="00C35859" w14:paraId="56DAE6EB" w14:textId="77777777" w:rsidTr="00092212">
        <w:trPr>
          <w:trHeight w:val="164"/>
        </w:trPr>
        <w:tc>
          <w:tcPr>
            <w:tcW w:w="8788" w:type="dxa"/>
            <w:shd w:val="clear" w:color="auto" w:fill="auto"/>
          </w:tcPr>
          <w:p w14:paraId="6C0A0125" w14:textId="77777777" w:rsidR="007A4439" w:rsidRPr="00C35859" w:rsidRDefault="007A4439" w:rsidP="00092212">
            <w:pPr>
              <w:tabs>
                <w:tab w:val="left" w:pos="3256"/>
              </w:tabs>
              <w:spacing w:before="40"/>
              <w:rPr>
                <w:rFonts w:ascii="Arial" w:hAnsi="Arial" w:cs="Arial"/>
                <w:b/>
                <w:bCs/>
                <w:sz w:val="20"/>
              </w:rPr>
            </w:pPr>
            <w:r w:rsidRPr="00C35859">
              <w:rPr>
                <w:rFonts w:ascii="Arial" w:hAnsi="Arial" w:cs="Arial"/>
                <w:bCs/>
                <w:i/>
                <w:sz w:val="16"/>
                <w:szCs w:val="16"/>
                <w:shd w:val="clear" w:color="auto" w:fill="FFFFFF" w:themeFill="background1"/>
              </w:rPr>
              <w:t xml:space="preserve">Fonte: Unioncamere del Veneto - Indagine </w:t>
            </w:r>
            <w:proofErr w:type="spellStart"/>
            <w:r w:rsidRPr="00C35859">
              <w:rPr>
                <w:rFonts w:ascii="Arial" w:hAnsi="Arial" w:cs="Arial"/>
                <w:bCs/>
                <w:i/>
                <w:sz w:val="16"/>
                <w:szCs w:val="16"/>
                <w:shd w:val="clear" w:color="auto" w:fill="FFFFFF" w:themeFill="background1"/>
              </w:rPr>
              <w:t>VenetoCongiuntura</w:t>
            </w:r>
            <w:proofErr w:type="spellEnd"/>
          </w:p>
        </w:tc>
      </w:tr>
    </w:tbl>
    <w:p w14:paraId="2FC175AF" w14:textId="77777777" w:rsidR="00A05115" w:rsidRDefault="00A05115" w:rsidP="00BB7A53">
      <w:pPr>
        <w:spacing w:before="240" w:after="120"/>
        <w:rPr>
          <w:rFonts w:ascii="Calibri" w:hAnsi="Calibri" w:cs="Calibri"/>
          <w:b/>
          <w:szCs w:val="24"/>
        </w:rPr>
      </w:pPr>
    </w:p>
    <w:p w14:paraId="24DCFE4D" w14:textId="77777777" w:rsidR="00B258AB" w:rsidRPr="006768AA" w:rsidRDefault="00B258AB" w:rsidP="00937C1A">
      <w:pPr>
        <w:spacing w:line="320" w:lineRule="exact"/>
        <w:jc w:val="right"/>
        <w:rPr>
          <w:rFonts w:ascii="Calibri" w:hAnsi="Calibri" w:cs="Calibri"/>
          <w:i/>
          <w:color w:val="1D1B11"/>
          <w:szCs w:val="24"/>
          <w:highlight w:val="yellow"/>
        </w:rPr>
      </w:pPr>
    </w:p>
    <w:p w14:paraId="46358EDE" w14:textId="77777777" w:rsidR="00937C1A" w:rsidRPr="006768AA" w:rsidRDefault="00937C1A" w:rsidP="00937C1A">
      <w:pPr>
        <w:spacing w:line="320" w:lineRule="exact"/>
        <w:jc w:val="right"/>
        <w:rPr>
          <w:rFonts w:ascii="Calibri" w:hAnsi="Calibri" w:cs="Calibri"/>
          <w:i/>
          <w:color w:val="1D1B11"/>
          <w:szCs w:val="24"/>
        </w:rPr>
      </w:pPr>
      <w:r w:rsidRPr="006768AA">
        <w:rPr>
          <w:rFonts w:ascii="Calibri" w:hAnsi="Calibri" w:cs="Calibri"/>
          <w:i/>
          <w:color w:val="1D1B11"/>
          <w:szCs w:val="24"/>
        </w:rPr>
        <w:t>A cura dell’Ufficio Studi e Statistica della</w:t>
      </w:r>
    </w:p>
    <w:p w14:paraId="707BC277" w14:textId="77BEE4B4" w:rsidR="00937C1A" w:rsidRDefault="00937C1A" w:rsidP="00937C1A">
      <w:pPr>
        <w:spacing w:line="320" w:lineRule="exact"/>
        <w:jc w:val="right"/>
        <w:rPr>
          <w:rFonts w:ascii="Calibri" w:hAnsi="Calibri" w:cs="Calibri"/>
          <w:i/>
          <w:color w:val="1D1B11"/>
          <w:szCs w:val="24"/>
        </w:rPr>
      </w:pPr>
      <w:r w:rsidRPr="006768AA">
        <w:rPr>
          <w:rFonts w:ascii="Calibri" w:hAnsi="Calibri" w:cs="Calibri"/>
          <w:i/>
          <w:color w:val="1D1B11"/>
          <w:szCs w:val="24"/>
        </w:rPr>
        <w:t>Camera di Commercio di Treviso – Belluno</w:t>
      </w:r>
    </w:p>
    <w:p w14:paraId="7158CC64" w14:textId="76A61408" w:rsidR="006B3720" w:rsidRDefault="006B3720" w:rsidP="00937C1A">
      <w:pPr>
        <w:spacing w:line="320" w:lineRule="exact"/>
        <w:jc w:val="right"/>
        <w:rPr>
          <w:rFonts w:ascii="Calibri" w:hAnsi="Calibri" w:cs="Calibri"/>
          <w:i/>
          <w:color w:val="1D1B11"/>
          <w:szCs w:val="24"/>
        </w:rPr>
      </w:pPr>
    </w:p>
    <w:p w14:paraId="758A0418" w14:textId="77777777" w:rsidR="006B3720" w:rsidRPr="006768AA" w:rsidRDefault="006B3720" w:rsidP="00937C1A">
      <w:pPr>
        <w:spacing w:line="320" w:lineRule="exact"/>
        <w:jc w:val="right"/>
        <w:rPr>
          <w:rFonts w:ascii="Calibri" w:hAnsi="Calibri" w:cs="Calibri"/>
          <w:color w:val="1D1B11"/>
          <w:szCs w:val="24"/>
        </w:rPr>
      </w:pPr>
    </w:p>
    <w:p w14:paraId="56E049AA" w14:textId="77777777" w:rsidR="00937C1A" w:rsidRPr="006768AA" w:rsidRDefault="00937C1A" w:rsidP="00937C1A">
      <w:pPr>
        <w:pStyle w:val="Pidipagina"/>
        <w:keepNext/>
        <w:rPr>
          <w:rFonts w:ascii="Calibri" w:hAnsi="Calibri" w:cs="Calibri"/>
          <w:b/>
          <w:sz w:val="20"/>
        </w:rPr>
      </w:pPr>
      <w:r w:rsidRPr="006768AA">
        <w:rPr>
          <w:rFonts w:ascii="Calibri" w:hAnsi="Calibri" w:cs="Calibri"/>
          <w:b/>
          <w:sz w:val="20"/>
        </w:rPr>
        <w:t>Nota metodologica</w:t>
      </w:r>
    </w:p>
    <w:p w14:paraId="7576D11A" w14:textId="50557CE9" w:rsidR="00937C1A" w:rsidRPr="006768AA" w:rsidRDefault="00937C1A" w:rsidP="00937C1A">
      <w:pPr>
        <w:pStyle w:val="Pidipagina"/>
        <w:rPr>
          <w:rFonts w:ascii="Calibri" w:hAnsi="Calibri" w:cs="Calibri"/>
          <w:sz w:val="20"/>
        </w:rPr>
      </w:pPr>
      <w:r w:rsidRPr="006768AA">
        <w:rPr>
          <w:rFonts w:ascii="Calibri" w:hAnsi="Calibri" w:cs="Calibri"/>
          <w:sz w:val="20"/>
        </w:rPr>
        <w:t xml:space="preserve">L’indagine Veneto Congiuntura </w:t>
      </w:r>
      <w:r w:rsidR="008E43F4" w:rsidRPr="006768AA">
        <w:rPr>
          <w:rFonts w:ascii="Calibri" w:hAnsi="Calibri" w:cs="Calibri"/>
          <w:sz w:val="20"/>
        </w:rPr>
        <w:t>del</w:t>
      </w:r>
      <w:r w:rsidR="00C75D2B">
        <w:rPr>
          <w:rFonts w:ascii="Calibri" w:hAnsi="Calibri" w:cs="Calibri"/>
          <w:sz w:val="20"/>
        </w:rPr>
        <w:t xml:space="preserve"> primo</w:t>
      </w:r>
      <w:r w:rsidRPr="006768AA">
        <w:rPr>
          <w:rFonts w:ascii="Calibri" w:hAnsi="Calibri" w:cs="Calibri"/>
          <w:sz w:val="20"/>
        </w:rPr>
        <w:t xml:space="preserve"> trimestre 202</w:t>
      </w:r>
      <w:r w:rsidR="00C75D2B">
        <w:rPr>
          <w:rFonts w:ascii="Calibri" w:hAnsi="Calibri" w:cs="Calibri"/>
          <w:sz w:val="20"/>
        </w:rPr>
        <w:t>4</w:t>
      </w:r>
      <w:r w:rsidRPr="006768AA">
        <w:rPr>
          <w:rFonts w:ascii="Calibri" w:hAnsi="Calibri" w:cs="Calibri"/>
          <w:sz w:val="20"/>
        </w:rPr>
        <w:t xml:space="preserve"> - realizzata da Unioncamere del Veneto - si basa </w:t>
      </w:r>
      <w:r w:rsidR="00C75D2B" w:rsidRPr="006768AA">
        <w:rPr>
          <w:rFonts w:ascii="Calibri" w:hAnsi="Calibri" w:cs="Calibri"/>
          <w:sz w:val="20"/>
        </w:rPr>
        <w:t xml:space="preserve">su </w:t>
      </w:r>
      <w:r w:rsidR="00C75D2B" w:rsidRPr="00C75D2B">
        <w:rPr>
          <w:rFonts w:ascii="Calibri" w:hAnsi="Calibri" w:cs="Calibri"/>
          <w:sz w:val="20"/>
        </w:rPr>
        <w:t xml:space="preserve">2.466 </w:t>
      </w:r>
      <w:r w:rsidRPr="006768AA">
        <w:rPr>
          <w:rFonts w:ascii="Calibri" w:hAnsi="Calibri" w:cs="Calibri"/>
          <w:sz w:val="20"/>
        </w:rPr>
        <w:t>imprese del Veneto con almeno 10 addetti (</w:t>
      </w:r>
      <w:r w:rsidR="008D0ADF" w:rsidRPr="006768AA">
        <w:rPr>
          <w:rFonts w:ascii="Calibri" w:hAnsi="Calibri" w:cs="Calibri"/>
          <w:sz w:val="20"/>
        </w:rPr>
        <w:t xml:space="preserve">per un totale </w:t>
      </w:r>
      <w:r w:rsidR="00D67131" w:rsidRPr="006768AA">
        <w:rPr>
          <w:rFonts w:ascii="Calibri" w:hAnsi="Calibri" w:cs="Calibri"/>
          <w:sz w:val="20"/>
        </w:rPr>
        <w:t xml:space="preserve">di </w:t>
      </w:r>
      <w:r w:rsidR="00D67131" w:rsidRPr="00C75D2B">
        <w:rPr>
          <w:rFonts w:ascii="Calibri" w:hAnsi="Calibri" w:cs="Calibri"/>
          <w:sz w:val="20"/>
        </w:rPr>
        <w:t>112.543</w:t>
      </w:r>
      <w:r w:rsidR="00C75D2B" w:rsidRPr="00C75D2B">
        <w:rPr>
          <w:rFonts w:ascii="Calibri" w:hAnsi="Calibri" w:cs="Calibri"/>
          <w:sz w:val="20"/>
        </w:rPr>
        <w:t xml:space="preserve"> </w:t>
      </w:r>
      <w:r w:rsidRPr="006768AA">
        <w:rPr>
          <w:rFonts w:ascii="Calibri" w:hAnsi="Calibri" w:cs="Calibri"/>
          <w:sz w:val="20"/>
        </w:rPr>
        <w:t>addetti) di cui</w:t>
      </w:r>
      <w:r w:rsidR="00805C20" w:rsidRPr="006768AA">
        <w:rPr>
          <w:rFonts w:ascii="Calibri" w:hAnsi="Calibri" w:cs="Calibri"/>
          <w:sz w:val="20"/>
        </w:rPr>
        <w:t xml:space="preserve"> </w:t>
      </w:r>
      <w:r w:rsidR="00C75D2B" w:rsidRPr="00C75D2B">
        <w:rPr>
          <w:rFonts w:ascii="Calibri" w:hAnsi="Calibri" w:cs="Calibri"/>
          <w:sz w:val="20"/>
        </w:rPr>
        <w:t xml:space="preserve"> 539</w:t>
      </w:r>
      <w:r w:rsidR="008C04F9" w:rsidRPr="009367B8">
        <w:rPr>
          <w:rFonts w:ascii="Calibri" w:hAnsi="Calibri" w:cs="Calibri"/>
          <w:sz w:val="20"/>
        </w:rPr>
        <w:t xml:space="preserve"> </w:t>
      </w:r>
      <w:r w:rsidR="008C04F9" w:rsidRPr="006768AA">
        <w:rPr>
          <w:rFonts w:ascii="Calibri" w:hAnsi="Calibri" w:cs="Calibri"/>
          <w:sz w:val="20"/>
        </w:rPr>
        <w:t>imprese</w:t>
      </w:r>
      <w:r w:rsidRPr="006768AA">
        <w:rPr>
          <w:rFonts w:ascii="Calibri" w:hAnsi="Calibri" w:cs="Calibri"/>
          <w:sz w:val="20"/>
        </w:rPr>
        <w:t xml:space="preserve"> della provincia di Treviso (per un totale </w:t>
      </w:r>
      <w:r w:rsidR="003B2516" w:rsidRPr="006768AA">
        <w:rPr>
          <w:rFonts w:ascii="Calibri" w:hAnsi="Calibri" w:cs="Calibri"/>
          <w:sz w:val="20"/>
        </w:rPr>
        <w:t xml:space="preserve">di </w:t>
      </w:r>
      <w:r w:rsidR="00C75D2B" w:rsidRPr="00C75D2B">
        <w:rPr>
          <w:rFonts w:ascii="Calibri" w:hAnsi="Calibri" w:cs="Calibri"/>
          <w:sz w:val="20"/>
        </w:rPr>
        <w:t xml:space="preserve"> 36.816 </w:t>
      </w:r>
      <w:r w:rsidRPr="006768AA">
        <w:rPr>
          <w:rFonts w:ascii="Calibri" w:hAnsi="Calibri" w:cs="Calibri"/>
          <w:sz w:val="20"/>
        </w:rPr>
        <w:t>addetti) e</w:t>
      </w:r>
      <w:r w:rsidR="00805C20" w:rsidRPr="006768AA">
        <w:rPr>
          <w:rFonts w:ascii="Calibri" w:hAnsi="Calibri" w:cs="Calibri"/>
          <w:sz w:val="20"/>
        </w:rPr>
        <w:t xml:space="preserve"> </w:t>
      </w:r>
      <w:r w:rsidR="00C75D2B" w:rsidRPr="00C75D2B">
        <w:rPr>
          <w:rFonts w:ascii="Calibri" w:hAnsi="Calibri" w:cs="Calibri"/>
          <w:sz w:val="20"/>
        </w:rPr>
        <w:t xml:space="preserve"> 79</w:t>
      </w:r>
      <w:r w:rsidR="00CA192E" w:rsidRPr="009367B8">
        <w:rPr>
          <w:rFonts w:ascii="Calibri" w:hAnsi="Calibri" w:cs="Calibri"/>
          <w:sz w:val="20"/>
        </w:rPr>
        <w:t xml:space="preserve"> </w:t>
      </w:r>
      <w:r w:rsidR="00CA192E" w:rsidRPr="006768AA">
        <w:rPr>
          <w:rFonts w:ascii="Calibri" w:hAnsi="Calibri" w:cs="Calibri"/>
          <w:sz w:val="20"/>
        </w:rPr>
        <w:t>imprese</w:t>
      </w:r>
      <w:r w:rsidRPr="006768AA">
        <w:rPr>
          <w:rFonts w:ascii="Calibri" w:hAnsi="Calibri" w:cs="Calibri"/>
          <w:sz w:val="20"/>
        </w:rPr>
        <w:t xml:space="preserve"> della provincia di Belluno con almeno 10 addetti (per un totale </w:t>
      </w:r>
      <w:r w:rsidR="00020016" w:rsidRPr="006768AA">
        <w:rPr>
          <w:rFonts w:ascii="Calibri" w:hAnsi="Calibri" w:cs="Calibri"/>
          <w:sz w:val="20"/>
        </w:rPr>
        <w:t>di</w:t>
      </w:r>
      <w:r w:rsidR="006768AA" w:rsidRPr="006768AA">
        <w:rPr>
          <w:rFonts w:ascii="Calibri" w:hAnsi="Calibri" w:cs="Calibri"/>
          <w:sz w:val="20"/>
        </w:rPr>
        <w:t xml:space="preserve"> </w:t>
      </w:r>
      <w:r w:rsidR="00C75D2B" w:rsidRPr="00C75D2B">
        <w:rPr>
          <w:rFonts w:ascii="Calibri" w:hAnsi="Calibri" w:cs="Calibri"/>
          <w:sz w:val="20"/>
        </w:rPr>
        <w:t xml:space="preserve"> 4.690 </w:t>
      </w:r>
      <w:r w:rsidRPr="006768AA">
        <w:rPr>
          <w:rFonts w:ascii="Calibri" w:hAnsi="Calibri" w:cs="Calibri"/>
          <w:sz w:val="20"/>
        </w:rPr>
        <w:t>addetti).</w:t>
      </w:r>
    </w:p>
    <w:p w14:paraId="4CD78FE5" w14:textId="04B810FF" w:rsidR="00FF6952" w:rsidRPr="006768AA" w:rsidRDefault="00FF6952" w:rsidP="00937C1A">
      <w:pPr>
        <w:pStyle w:val="Pidipagina"/>
        <w:rPr>
          <w:rFonts w:ascii="Calibri" w:hAnsi="Calibri" w:cs="Calibri"/>
          <w:sz w:val="20"/>
        </w:rPr>
      </w:pPr>
    </w:p>
    <w:p w14:paraId="6A40C42F" w14:textId="77777777" w:rsidR="00937C1A" w:rsidRPr="006768AA" w:rsidRDefault="00937C1A" w:rsidP="00937C1A">
      <w:pPr>
        <w:pStyle w:val="Pidipagina"/>
        <w:tabs>
          <w:tab w:val="left" w:pos="785"/>
        </w:tabs>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9"/>
        <w:gridCol w:w="4389"/>
      </w:tblGrid>
      <w:tr w:rsidR="00937C1A" w:rsidRPr="006768AA" w14:paraId="1509E2A9" w14:textId="77777777" w:rsidTr="008E6148">
        <w:tc>
          <w:tcPr>
            <w:tcW w:w="4389" w:type="dxa"/>
          </w:tcPr>
          <w:p w14:paraId="51B33516" w14:textId="77777777" w:rsidR="00937C1A" w:rsidRPr="006768AA" w:rsidRDefault="00937C1A" w:rsidP="008E6148">
            <w:pPr>
              <w:rPr>
                <w:rFonts w:ascii="Calibri" w:hAnsi="Calibri" w:cs="Calibri"/>
                <w:b/>
                <w:color w:val="00B0F0"/>
                <w:sz w:val="22"/>
                <w:szCs w:val="24"/>
              </w:rPr>
            </w:pPr>
            <w:r w:rsidRPr="006768AA">
              <w:rPr>
                <w:rFonts w:ascii="Calibri" w:hAnsi="Calibri" w:cs="Calibri"/>
                <w:b/>
                <w:color w:val="00B0F0"/>
                <w:sz w:val="22"/>
                <w:szCs w:val="24"/>
              </w:rPr>
              <w:t xml:space="preserve">Per informazioni </w:t>
            </w:r>
          </w:p>
          <w:p w14:paraId="63086A0D" w14:textId="77777777" w:rsidR="00937C1A" w:rsidRPr="006768AA" w:rsidRDefault="00937C1A" w:rsidP="008E6148">
            <w:pPr>
              <w:rPr>
                <w:rFonts w:ascii="Calibri" w:hAnsi="Calibri" w:cs="Calibri"/>
                <w:sz w:val="22"/>
                <w:szCs w:val="24"/>
              </w:rPr>
            </w:pPr>
            <w:r w:rsidRPr="006768AA">
              <w:rPr>
                <w:rFonts w:ascii="Calibri" w:hAnsi="Calibri" w:cs="Calibri"/>
                <w:sz w:val="22"/>
                <w:szCs w:val="24"/>
              </w:rPr>
              <w:t xml:space="preserve">Ufficio Studi e Statistica </w:t>
            </w:r>
          </w:p>
          <w:p w14:paraId="54D9657D" w14:textId="77777777" w:rsidR="00937C1A" w:rsidRPr="006768AA" w:rsidRDefault="00937C1A" w:rsidP="008E6148">
            <w:pPr>
              <w:rPr>
                <w:rFonts w:ascii="Calibri" w:hAnsi="Calibri" w:cs="Calibri"/>
                <w:sz w:val="22"/>
                <w:szCs w:val="24"/>
              </w:rPr>
            </w:pPr>
            <w:r w:rsidRPr="006768AA">
              <w:rPr>
                <w:rFonts w:ascii="Calibri" w:hAnsi="Calibri" w:cs="Calibri"/>
                <w:sz w:val="22"/>
                <w:szCs w:val="24"/>
              </w:rPr>
              <w:t>Camera di Commercio di Treviso - Belluno</w:t>
            </w:r>
          </w:p>
          <w:p w14:paraId="33175469" w14:textId="4DFF0CA2" w:rsidR="00937C1A" w:rsidRPr="006768AA" w:rsidRDefault="00AF29BB" w:rsidP="008E6148">
            <w:pPr>
              <w:rPr>
                <w:rFonts w:ascii="Calibri" w:hAnsi="Calibri" w:cs="Calibri"/>
                <w:sz w:val="22"/>
                <w:szCs w:val="24"/>
              </w:rPr>
            </w:pPr>
            <w:r w:rsidRPr="006768AA">
              <w:rPr>
                <w:rFonts w:ascii="Calibri" w:hAnsi="Calibri" w:cs="Calibri"/>
                <w:sz w:val="22"/>
                <w:szCs w:val="24"/>
              </w:rPr>
              <w:t>tel. 0422.595239</w:t>
            </w:r>
            <w:r w:rsidR="00521E38" w:rsidRPr="006768AA">
              <w:rPr>
                <w:rFonts w:ascii="Calibri" w:hAnsi="Calibri" w:cs="Calibri"/>
                <w:sz w:val="22"/>
                <w:szCs w:val="24"/>
              </w:rPr>
              <w:t xml:space="preserve"> - 362</w:t>
            </w:r>
          </w:p>
          <w:p w14:paraId="210E1E7B" w14:textId="77777777" w:rsidR="00937C1A" w:rsidRPr="006768AA" w:rsidRDefault="00937C1A" w:rsidP="008E6148">
            <w:pPr>
              <w:rPr>
                <w:rFonts w:ascii="Calibri" w:hAnsi="Calibri" w:cs="Calibri"/>
                <w:sz w:val="22"/>
                <w:szCs w:val="24"/>
              </w:rPr>
            </w:pPr>
            <w:r w:rsidRPr="006768AA">
              <w:rPr>
                <w:rFonts w:ascii="Calibri" w:hAnsi="Calibri" w:cs="Calibri"/>
                <w:sz w:val="22"/>
                <w:szCs w:val="24"/>
              </w:rPr>
              <w:t xml:space="preserve">e-mail:  </w:t>
            </w:r>
            <w:hyperlink r:id="rId17" w:history="1">
              <w:r w:rsidRPr="006768AA">
                <w:rPr>
                  <w:rStyle w:val="Collegamentoipertestuale"/>
                  <w:rFonts w:ascii="Calibri" w:hAnsi="Calibri" w:cs="Calibri"/>
                  <w:sz w:val="22"/>
                  <w:szCs w:val="24"/>
                </w:rPr>
                <w:t>statistica@tb.camcom.it</w:t>
              </w:r>
            </w:hyperlink>
            <w:r w:rsidRPr="006768AA">
              <w:rPr>
                <w:rFonts w:ascii="Calibri" w:hAnsi="Calibri" w:cs="Calibri"/>
                <w:sz w:val="22"/>
                <w:szCs w:val="24"/>
              </w:rPr>
              <w:t xml:space="preserve">   </w:t>
            </w:r>
          </w:p>
          <w:p w14:paraId="35B42276" w14:textId="77777777" w:rsidR="00937C1A" w:rsidRPr="006768AA" w:rsidRDefault="00937C1A" w:rsidP="008E6148">
            <w:pPr>
              <w:rPr>
                <w:rFonts w:ascii="Calibri" w:hAnsi="Calibri" w:cs="Calibri"/>
                <w:sz w:val="22"/>
                <w:szCs w:val="24"/>
              </w:rPr>
            </w:pPr>
          </w:p>
        </w:tc>
        <w:tc>
          <w:tcPr>
            <w:tcW w:w="4389" w:type="dxa"/>
          </w:tcPr>
          <w:p w14:paraId="5A9AD12C" w14:textId="77777777" w:rsidR="00937C1A" w:rsidRPr="006768AA" w:rsidRDefault="00937C1A" w:rsidP="008E6148">
            <w:pPr>
              <w:rPr>
                <w:rFonts w:ascii="Calibri" w:hAnsi="Calibri" w:cs="Calibri"/>
                <w:b/>
                <w:color w:val="00B0F0"/>
                <w:sz w:val="22"/>
                <w:szCs w:val="24"/>
              </w:rPr>
            </w:pPr>
            <w:r w:rsidRPr="006768AA">
              <w:rPr>
                <w:rFonts w:ascii="Calibri" w:hAnsi="Calibri" w:cs="Calibri"/>
                <w:b/>
                <w:color w:val="00B0F0"/>
                <w:sz w:val="22"/>
                <w:szCs w:val="24"/>
              </w:rPr>
              <w:t>Informazioni per la stampa</w:t>
            </w:r>
          </w:p>
          <w:p w14:paraId="005769B1" w14:textId="77777777" w:rsidR="00937C1A" w:rsidRPr="006768AA" w:rsidRDefault="00937C1A" w:rsidP="008E6148">
            <w:pPr>
              <w:rPr>
                <w:rFonts w:ascii="Calibri" w:hAnsi="Calibri" w:cs="Calibri"/>
                <w:sz w:val="22"/>
                <w:szCs w:val="24"/>
              </w:rPr>
            </w:pPr>
            <w:r w:rsidRPr="006768AA">
              <w:rPr>
                <w:rFonts w:ascii="Calibri" w:hAnsi="Calibri" w:cs="Calibri"/>
                <w:sz w:val="22"/>
                <w:szCs w:val="24"/>
              </w:rPr>
              <w:t>Silvia Trevisan</w:t>
            </w:r>
          </w:p>
          <w:p w14:paraId="347E6393" w14:textId="1BD32375" w:rsidR="00937C1A" w:rsidRPr="006768AA" w:rsidRDefault="00937C1A" w:rsidP="008E6148">
            <w:pPr>
              <w:rPr>
                <w:rFonts w:ascii="Calibri" w:hAnsi="Calibri" w:cs="Calibri"/>
                <w:sz w:val="22"/>
                <w:szCs w:val="24"/>
              </w:rPr>
            </w:pPr>
            <w:r w:rsidRPr="006768AA">
              <w:rPr>
                <w:rFonts w:ascii="Calibri" w:hAnsi="Calibri" w:cs="Calibri"/>
                <w:sz w:val="22"/>
                <w:szCs w:val="24"/>
              </w:rPr>
              <w:t>Comunicazione e Media Relation</w:t>
            </w:r>
            <w:r w:rsidR="00884026" w:rsidRPr="006768AA">
              <w:rPr>
                <w:rFonts w:ascii="Calibri" w:hAnsi="Calibri" w:cs="Calibri"/>
                <w:sz w:val="22"/>
                <w:szCs w:val="24"/>
              </w:rPr>
              <w:t>s</w:t>
            </w:r>
          </w:p>
          <w:p w14:paraId="6FBEC1B0" w14:textId="7CC874A0" w:rsidR="00937C1A" w:rsidRPr="006768AA" w:rsidRDefault="00937C1A" w:rsidP="008E6148">
            <w:pPr>
              <w:rPr>
                <w:rFonts w:ascii="Calibri" w:hAnsi="Calibri" w:cs="Calibri"/>
                <w:sz w:val="22"/>
                <w:szCs w:val="24"/>
              </w:rPr>
            </w:pPr>
            <w:r w:rsidRPr="006768AA">
              <w:rPr>
                <w:rFonts w:ascii="Calibri" w:hAnsi="Calibri" w:cs="Calibri"/>
                <w:sz w:val="22"/>
                <w:szCs w:val="24"/>
              </w:rPr>
              <w:t>Staff del Presiden</w:t>
            </w:r>
            <w:r w:rsidR="00925F5C" w:rsidRPr="006768AA">
              <w:rPr>
                <w:rFonts w:ascii="Calibri" w:hAnsi="Calibri" w:cs="Calibri"/>
                <w:sz w:val="22"/>
                <w:szCs w:val="24"/>
              </w:rPr>
              <w:t>te</w:t>
            </w:r>
            <w:r w:rsidRPr="006768AA">
              <w:rPr>
                <w:rFonts w:ascii="Calibri" w:hAnsi="Calibri" w:cs="Calibri"/>
                <w:sz w:val="22"/>
                <w:szCs w:val="24"/>
              </w:rPr>
              <w:t xml:space="preserve"> </w:t>
            </w:r>
          </w:p>
          <w:p w14:paraId="04196983" w14:textId="77777777" w:rsidR="00937C1A" w:rsidRPr="006768AA" w:rsidRDefault="00937C1A" w:rsidP="008E6148">
            <w:pPr>
              <w:rPr>
                <w:rFonts w:ascii="Calibri" w:hAnsi="Calibri" w:cs="Calibri"/>
                <w:sz w:val="22"/>
                <w:szCs w:val="24"/>
              </w:rPr>
            </w:pPr>
            <w:r w:rsidRPr="006768AA">
              <w:rPr>
                <w:rFonts w:ascii="Calibri" w:hAnsi="Calibri" w:cs="Calibri"/>
                <w:sz w:val="22"/>
                <w:szCs w:val="24"/>
              </w:rPr>
              <w:t>Tel.: 0422-595366   Cell.: 391-3236809</w:t>
            </w:r>
            <w:r w:rsidRPr="006768AA">
              <w:t xml:space="preserve"> </w:t>
            </w:r>
          </w:p>
          <w:p w14:paraId="5DF181B5" w14:textId="77777777" w:rsidR="00937C1A" w:rsidRPr="006768AA" w:rsidRDefault="00937C1A" w:rsidP="008E6148">
            <w:pPr>
              <w:rPr>
                <w:rFonts w:ascii="Calibri" w:hAnsi="Calibri" w:cs="Calibri"/>
                <w:sz w:val="22"/>
                <w:szCs w:val="24"/>
              </w:rPr>
            </w:pPr>
            <w:r w:rsidRPr="006768AA">
              <w:rPr>
                <w:rFonts w:ascii="Calibri" w:hAnsi="Calibri" w:cs="Calibri"/>
                <w:sz w:val="22"/>
                <w:szCs w:val="24"/>
              </w:rPr>
              <w:t xml:space="preserve">e-mail:  </w:t>
            </w:r>
            <w:hyperlink r:id="rId18" w:history="1">
              <w:r w:rsidRPr="006768AA">
                <w:rPr>
                  <w:rStyle w:val="Collegamentoipertestuale"/>
                  <w:rFonts w:ascii="Calibri" w:hAnsi="Calibri" w:cs="Calibri"/>
                  <w:sz w:val="22"/>
                  <w:szCs w:val="24"/>
                </w:rPr>
                <w:t>silvia.trevisan@tb.camcom.it</w:t>
              </w:r>
            </w:hyperlink>
            <w:r w:rsidRPr="006768AA">
              <w:rPr>
                <w:rFonts w:ascii="Calibri" w:hAnsi="Calibri" w:cs="Calibri"/>
                <w:sz w:val="22"/>
                <w:szCs w:val="24"/>
              </w:rPr>
              <w:t xml:space="preserve"> </w:t>
            </w:r>
          </w:p>
        </w:tc>
      </w:tr>
    </w:tbl>
    <w:p w14:paraId="615E8AF7" w14:textId="77777777" w:rsidR="00F53615" w:rsidRPr="006768AA" w:rsidRDefault="00F53615" w:rsidP="00331370">
      <w:pPr>
        <w:spacing w:after="120"/>
        <w:rPr>
          <w:rFonts w:asciiTheme="minorHAnsi" w:hAnsiTheme="minorHAnsi" w:cs="Arial"/>
          <w:b/>
          <w:bCs/>
          <w:sz w:val="20"/>
          <w:highlight w:val="yellow"/>
        </w:rPr>
      </w:pPr>
    </w:p>
    <w:p w14:paraId="0EBEC522" w14:textId="77777777" w:rsidR="00331370" w:rsidRPr="004F532A" w:rsidRDefault="00331370" w:rsidP="00331370">
      <w:pPr>
        <w:spacing w:after="120"/>
        <w:rPr>
          <w:rFonts w:asciiTheme="minorHAnsi" w:hAnsiTheme="minorHAnsi" w:cs="Arial"/>
          <w:b/>
          <w:bCs/>
          <w:sz w:val="20"/>
        </w:rPr>
      </w:pPr>
      <w:r w:rsidRPr="004F532A">
        <w:rPr>
          <w:rFonts w:asciiTheme="minorHAnsi" w:hAnsiTheme="minorHAnsi" w:cs="Arial"/>
          <w:b/>
          <w:bCs/>
          <w:sz w:val="20"/>
        </w:rPr>
        <w:t xml:space="preserve">Appendice statistica: </w:t>
      </w:r>
    </w:p>
    <w:p w14:paraId="479D5AA7" w14:textId="3A6C463F" w:rsidR="00331370" w:rsidRPr="0089498C" w:rsidRDefault="00331370" w:rsidP="0089498C">
      <w:pPr>
        <w:pStyle w:val="Paragrafoelenco"/>
        <w:numPr>
          <w:ilvl w:val="0"/>
          <w:numId w:val="18"/>
        </w:numPr>
        <w:suppressAutoHyphens/>
        <w:spacing w:after="60" w:line="240" w:lineRule="auto"/>
        <w:ind w:left="318" w:hanging="318"/>
        <w:jc w:val="both"/>
        <w:rPr>
          <w:rFonts w:asciiTheme="minorHAnsi" w:hAnsiTheme="minorHAnsi" w:cs="Arial"/>
          <w:bCs/>
          <w:sz w:val="20"/>
          <w:szCs w:val="20"/>
        </w:rPr>
      </w:pPr>
      <w:r w:rsidRPr="004F532A">
        <w:rPr>
          <w:rFonts w:asciiTheme="minorHAnsi" w:hAnsiTheme="minorHAnsi" w:cs="Arial"/>
          <w:bCs/>
          <w:sz w:val="20"/>
          <w:szCs w:val="20"/>
        </w:rPr>
        <w:t>Tab. 1 – Province di TREVISO e di BELLUNO: andamento dei principali indicatori. Produzione, fatturato, nuovi ordinativi (variazioni % trimestrali congiunturali e tendenziali), capacità pr</w:t>
      </w:r>
      <w:r w:rsidR="00694146" w:rsidRPr="004F532A">
        <w:rPr>
          <w:rFonts w:asciiTheme="minorHAnsi" w:hAnsiTheme="minorHAnsi" w:cs="Arial"/>
          <w:bCs/>
          <w:sz w:val="20"/>
          <w:szCs w:val="20"/>
        </w:rPr>
        <w:t xml:space="preserve">oduttiva e portafoglio </w:t>
      </w:r>
      <w:r w:rsidR="00694146" w:rsidRPr="0089498C">
        <w:rPr>
          <w:rFonts w:asciiTheme="minorHAnsi" w:hAnsiTheme="minorHAnsi" w:cs="Arial"/>
          <w:bCs/>
          <w:sz w:val="20"/>
          <w:szCs w:val="20"/>
        </w:rPr>
        <w:t>ordini. 1</w:t>
      </w:r>
      <w:r w:rsidRPr="0089498C">
        <w:rPr>
          <w:rFonts w:asciiTheme="minorHAnsi" w:hAnsiTheme="minorHAnsi" w:cs="Arial"/>
          <w:bCs/>
          <w:sz w:val="20"/>
          <w:szCs w:val="20"/>
        </w:rPr>
        <w:t>° trim. 2019-</w:t>
      </w:r>
      <w:r w:rsidR="00E267A0" w:rsidRPr="0089498C">
        <w:rPr>
          <w:rFonts w:asciiTheme="minorHAnsi" w:hAnsiTheme="minorHAnsi" w:cs="Arial"/>
          <w:bCs/>
          <w:sz w:val="20"/>
          <w:szCs w:val="20"/>
        </w:rPr>
        <w:t>1</w:t>
      </w:r>
      <w:r w:rsidRPr="0089498C">
        <w:rPr>
          <w:rFonts w:asciiTheme="minorHAnsi" w:hAnsiTheme="minorHAnsi" w:cs="Arial"/>
          <w:bCs/>
          <w:sz w:val="20"/>
          <w:szCs w:val="20"/>
        </w:rPr>
        <w:t>° trim.202</w:t>
      </w:r>
      <w:r w:rsidR="00E267A0" w:rsidRPr="0089498C">
        <w:rPr>
          <w:rFonts w:asciiTheme="minorHAnsi" w:hAnsiTheme="minorHAnsi" w:cs="Arial"/>
          <w:bCs/>
          <w:sz w:val="20"/>
          <w:szCs w:val="20"/>
        </w:rPr>
        <w:t>4</w:t>
      </w:r>
    </w:p>
    <w:p w14:paraId="5D096A28" w14:textId="77777777" w:rsidR="00C55417" w:rsidRPr="0089498C" w:rsidRDefault="00331370" w:rsidP="0089498C">
      <w:pPr>
        <w:pStyle w:val="Paragrafoelenco"/>
        <w:numPr>
          <w:ilvl w:val="0"/>
          <w:numId w:val="18"/>
        </w:numPr>
        <w:suppressAutoHyphens/>
        <w:spacing w:after="120" w:line="240" w:lineRule="auto"/>
        <w:ind w:left="318" w:hanging="318"/>
        <w:jc w:val="both"/>
        <w:rPr>
          <w:rFonts w:ascii="Arial" w:hAnsi="Arial" w:cs="Arial"/>
          <w:b/>
          <w:bCs/>
          <w:color w:val="00B0F0"/>
          <w:sz w:val="20"/>
        </w:rPr>
      </w:pPr>
      <w:r w:rsidRPr="0089498C">
        <w:rPr>
          <w:rFonts w:asciiTheme="minorHAnsi" w:hAnsiTheme="minorHAnsi" w:cs="Arial"/>
          <w:bCs/>
          <w:sz w:val="20"/>
          <w:szCs w:val="20"/>
        </w:rPr>
        <w:t xml:space="preserve">Tab. 2 – </w:t>
      </w:r>
      <w:r w:rsidR="0090598A" w:rsidRPr="0089498C">
        <w:rPr>
          <w:rFonts w:asciiTheme="minorHAnsi" w:hAnsiTheme="minorHAnsi" w:cs="Arial"/>
          <w:bCs/>
          <w:sz w:val="20"/>
          <w:szCs w:val="20"/>
        </w:rPr>
        <w:t>Province di TREVISO e di BELLUNO</w:t>
      </w:r>
      <w:r w:rsidRPr="0089498C">
        <w:rPr>
          <w:rFonts w:asciiTheme="minorHAnsi" w:hAnsiTheme="minorHAnsi" w:cs="Arial"/>
          <w:bCs/>
          <w:sz w:val="20"/>
          <w:szCs w:val="20"/>
        </w:rPr>
        <w:t>: previsioni per il</w:t>
      </w:r>
      <w:r w:rsidR="00694146" w:rsidRPr="0089498C">
        <w:rPr>
          <w:rFonts w:asciiTheme="minorHAnsi" w:hAnsiTheme="minorHAnsi" w:cs="Arial"/>
          <w:bCs/>
          <w:sz w:val="20"/>
          <w:szCs w:val="20"/>
        </w:rPr>
        <w:t xml:space="preserve"> </w:t>
      </w:r>
      <w:r w:rsidR="00E267A0" w:rsidRPr="0089498C">
        <w:rPr>
          <w:rFonts w:asciiTheme="minorHAnsi" w:hAnsiTheme="minorHAnsi" w:cs="Arial"/>
          <w:bCs/>
          <w:sz w:val="20"/>
          <w:szCs w:val="20"/>
        </w:rPr>
        <w:t>2</w:t>
      </w:r>
      <w:r w:rsidR="0090598A" w:rsidRPr="0089498C">
        <w:rPr>
          <w:rFonts w:asciiTheme="minorHAnsi" w:hAnsiTheme="minorHAnsi" w:cs="Arial"/>
          <w:bCs/>
          <w:sz w:val="20"/>
          <w:szCs w:val="20"/>
        </w:rPr>
        <w:t xml:space="preserve">° </w:t>
      </w:r>
      <w:r w:rsidRPr="0089498C">
        <w:rPr>
          <w:rFonts w:asciiTheme="minorHAnsi" w:hAnsiTheme="minorHAnsi" w:cs="Arial"/>
          <w:bCs/>
          <w:sz w:val="20"/>
          <w:szCs w:val="20"/>
        </w:rPr>
        <w:t>trimestre 202</w:t>
      </w:r>
      <w:r w:rsidR="008A07C8" w:rsidRPr="0089498C">
        <w:rPr>
          <w:rFonts w:asciiTheme="minorHAnsi" w:hAnsiTheme="minorHAnsi" w:cs="Arial"/>
          <w:bCs/>
          <w:sz w:val="20"/>
          <w:szCs w:val="20"/>
        </w:rPr>
        <w:t>4</w:t>
      </w:r>
      <w:r w:rsidRPr="0089498C">
        <w:rPr>
          <w:rFonts w:asciiTheme="minorHAnsi" w:hAnsiTheme="minorHAnsi" w:cs="Arial"/>
          <w:bCs/>
          <w:sz w:val="20"/>
          <w:szCs w:val="20"/>
        </w:rPr>
        <w:t xml:space="preserve"> e confronto con le previsioni dei trimestri precedenti. Percentuali di giudizi di aumento, stabilità, diminuzione e saldo per produzione, fatturato e nuovi ordinativi. Previsioni raccolte nel </w:t>
      </w:r>
      <w:r w:rsidR="00E267A0" w:rsidRPr="0089498C">
        <w:rPr>
          <w:rFonts w:asciiTheme="minorHAnsi" w:hAnsiTheme="minorHAnsi" w:cs="Arial"/>
          <w:bCs/>
          <w:sz w:val="20"/>
          <w:szCs w:val="20"/>
        </w:rPr>
        <w:t>1</w:t>
      </w:r>
      <w:r w:rsidR="0090598A" w:rsidRPr="0089498C">
        <w:rPr>
          <w:rFonts w:asciiTheme="minorHAnsi" w:hAnsiTheme="minorHAnsi" w:cs="Arial"/>
          <w:bCs/>
          <w:sz w:val="20"/>
          <w:szCs w:val="20"/>
        </w:rPr>
        <w:t xml:space="preserve">° </w:t>
      </w:r>
      <w:r w:rsidRPr="0089498C">
        <w:rPr>
          <w:rFonts w:asciiTheme="minorHAnsi" w:hAnsiTheme="minorHAnsi" w:cs="Arial"/>
          <w:bCs/>
          <w:sz w:val="20"/>
          <w:szCs w:val="20"/>
        </w:rPr>
        <w:t>trimestre 202</w:t>
      </w:r>
      <w:r w:rsidR="00E267A0" w:rsidRPr="0089498C">
        <w:rPr>
          <w:rFonts w:asciiTheme="minorHAnsi" w:hAnsiTheme="minorHAnsi" w:cs="Arial"/>
          <w:bCs/>
          <w:sz w:val="20"/>
          <w:szCs w:val="20"/>
        </w:rPr>
        <w:t>4</w:t>
      </w:r>
    </w:p>
    <w:p w14:paraId="1E1BC15D" w14:textId="2E8C724B" w:rsidR="00D6351D" w:rsidRPr="00C55417" w:rsidRDefault="00D6351D" w:rsidP="00E854E8">
      <w:pPr>
        <w:pStyle w:val="Paragrafoelenco"/>
        <w:numPr>
          <w:ilvl w:val="0"/>
          <w:numId w:val="18"/>
        </w:numPr>
        <w:suppressAutoHyphens/>
        <w:spacing w:after="120" w:line="240" w:lineRule="auto"/>
        <w:ind w:left="318" w:hanging="318"/>
        <w:rPr>
          <w:rFonts w:ascii="Arial" w:hAnsi="Arial" w:cs="Arial"/>
          <w:b/>
          <w:bCs/>
          <w:color w:val="00B0F0"/>
          <w:sz w:val="20"/>
          <w:highlight w:val="yellow"/>
        </w:rPr>
      </w:pPr>
      <w:r w:rsidRPr="00C55417">
        <w:rPr>
          <w:rFonts w:ascii="Arial" w:hAnsi="Arial" w:cs="Arial"/>
          <w:b/>
          <w:bCs/>
          <w:color w:val="00B0F0"/>
          <w:sz w:val="20"/>
          <w:highlight w:val="yellow"/>
        </w:rPr>
        <w:br w:type="page"/>
      </w:r>
    </w:p>
    <w:p w14:paraId="4070E395" w14:textId="77777777" w:rsidR="0090598A" w:rsidRPr="006768AA" w:rsidRDefault="0090598A" w:rsidP="0090598A">
      <w:pPr>
        <w:pStyle w:val="Paragrafoelenco"/>
        <w:suppressAutoHyphens/>
        <w:spacing w:after="120"/>
        <w:ind w:left="318"/>
        <w:rPr>
          <w:rFonts w:ascii="Arial" w:hAnsi="Arial" w:cs="Arial"/>
          <w:b/>
          <w:bCs/>
          <w:color w:val="00B0F0"/>
          <w:sz w:val="20"/>
          <w:szCs w:val="20"/>
          <w:highlight w:val="yellow"/>
        </w:rPr>
      </w:pPr>
    </w:p>
    <w:tbl>
      <w:tblPr>
        <w:tblStyle w:val="Grigliatabella"/>
        <w:tblpPr w:leftFromText="141" w:rightFromText="141" w:vertAnchor="text" w:horzAnchor="margin" w:tblpXSpec="center" w:tblpY="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8"/>
      </w:tblGrid>
      <w:tr w:rsidR="00331370" w:rsidRPr="006768AA" w14:paraId="6D9CE540" w14:textId="77777777" w:rsidTr="00BB65D4">
        <w:tc>
          <w:tcPr>
            <w:tcW w:w="9004" w:type="dxa"/>
            <w:shd w:val="clear" w:color="auto" w:fill="auto"/>
          </w:tcPr>
          <w:p w14:paraId="5A77A03C" w14:textId="77777777" w:rsidR="00331370" w:rsidRPr="00813871" w:rsidRDefault="00331370" w:rsidP="00BB65D4">
            <w:pPr>
              <w:pStyle w:val="Titolo1"/>
              <w:jc w:val="left"/>
              <w:rPr>
                <w:rFonts w:ascii="Arial" w:hAnsi="Arial" w:cs="Arial"/>
                <w:bCs/>
                <w:color w:val="00B0F0"/>
                <w:sz w:val="18"/>
                <w:szCs w:val="18"/>
              </w:rPr>
            </w:pPr>
            <w:bookmarkStart w:id="0" w:name="_Toc119661571"/>
            <w:r w:rsidRPr="00813871">
              <w:rPr>
                <w:rFonts w:ascii="Arial" w:hAnsi="Arial" w:cs="Arial"/>
                <w:bCs/>
                <w:sz w:val="18"/>
                <w:szCs w:val="18"/>
              </w:rPr>
              <w:t xml:space="preserve">Tab. 1 – </w:t>
            </w:r>
            <w:r w:rsidRPr="00813871">
              <w:rPr>
                <w:rFonts w:ascii="Arial" w:hAnsi="Arial" w:cs="Arial"/>
                <w:bCs/>
                <w:color w:val="00B0F0"/>
                <w:sz w:val="18"/>
                <w:szCs w:val="18"/>
              </w:rPr>
              <w:t>Province di Treviso e di Belluno: andamento dei principali indicatori.</w:t>
            </w:r>
          </w:p>
          <w:p w14:paraId="3A4B1622" w14:textId="700A5A7E" w:rsidR="00331370" w:rsidRPr="00813871" w:rsidRDefault="00331370" w:rsidP="00BB65D4">
            <w:pPr>
              <w:pStyle w:val="Titolo1"/>
              <w:jc w:val="left"/>
              <w:rPr>
                <w:rFonts w:ascii="Arial" w:hAnsi="Arial" w:cs="Arial"/>
                <w:bCs/>
                <w:sz w:val="16"/>
                <w:szCs w:val="16"/>
              </w:rPr>
            </w:pPr>
            <w:r w:rsidRPr="00813871">
              <w:rPr>
                <w:rFonts w:ascii="Arial" w:hAnsi="Arial" w:cs="Arial"/>
                <w:bCs/>
                <w:sz w:val="18"/>
                <w:szCs w:val="18"/>
              </w:rPr>
              <w:t>Produzione, fatturato, nuovi ordinativi (variazioni % trimestrali congiunturali e tendenziali)</w:t>
            </w:r>
            <w:bookmarkEnd w:id="0"/>
            <w:r w:rsidRPr="00813871">
              <w:rPr>
                <w:rFonts w:ascii="Arial" w:hAnsi="Arial" w:cs="Arial"/>
                <w:bCs/>
                <w:sz w:val="18"/>
                <w:szCs w:val="18"/>
              </w:rPr>
              <w:t>, capacità produttiva e portafoglio ordini.</w:t>
            </w:r>
            <w:r w:rsidR="003501CC" w:rsidRPr="00813871">
              <w:rPr>
                <w:rFonts w:ascii="Arial" w:hAnsi="Arial" w:cs="Arial"/>
                <w:b w:val="0"/>
                <w:bCs/>
                <w:sz w:val="18"/>
                <w:szCs w:val="18"/>
              </w:rPr>
              <w:t xml:space="preserve"> 1° trim. 2019 - </w:t>
            </w:r>
            <w:r w:rsidR="004B4CC8">
              <w:rPr>
                <w:rFonts w:ascii="Arial" w:hAnsi="Arial" w:cs="Arial"/>
                <w:b w:val="0"/>
                <w:bCs/>
                <w:sz w:val="18"/>
                <w:szCs w:val="18"/>
              </w:rPr>
              <w:t>1</w:t>
            </w:r>
            <w:r w:rsidRPr="00813871">
              <w:rPr>
                <w:rFonts w:ascii="Arial" w:hAnsi="Arial" w:cs="Arial"/>
                <w:b w:val="0"/>
                <w:bCs/>
                <w:sz w:val="18"/>
                <w:szCs w:val="18"/>
              </w:rPr>
              <w:t>° trim. 202</w:t>
            </w:r>
            <w:r w:rsidR="004B4CC8">
              <w:rPr>
                <w:rFonts w:ascii="Arial" w:hAnsi="Arial" w:cs="Arial"/>
                <w:b w:val="0"/>
                <w:bCs/>
                <w:sz w:val="18"/>
                <w:szCs w:val="18"/>
              </w:rPr>
              <w:t>4</w:t>
            </w:r>
          </w:p>
        </w:tc>
      </w:tr>
      <w:tr w:rsidR="00331370" w:rsidRPr="006768AA" w14:paraId="08C7EC50" w14:textId="77777777" w:rsidTr="00BB65D4">
        <w:tc>
          <w:tcPr>
            <w:tcW w:w="9004" w:type="dxa"/>
            <w:shd w:val="clear" w:color="auto" w:fill="auto"/>
          </w:tcPr>
          <w:p w14:paraId="3713AC5B" w14:textId="77777777" w:rsidR="00331370" w:rsidRPr="00813871" w:rsidRDefault="00331370" w:rsidP="00BB65D4">
            <w:pPr>
              <w:rPr>
                <w:rFonts w:ascii="Arial" w:hAnsi="Arial" w:cs="Arial"/>
                <w:b/>
                <w:bCs/>
                <w:sz w:val="20"/>
              </w:rPr>
            </w:pPr>
          </w:p>
        </w:tc>
      </w:tr>
      <w:tr w:rsidR="00331370" w:rsidRPr="006768AA" w14:paraId="30FD49D4" w14:textId="77777777" w:rsidTr="00BB65D4">
        <w:tc>
          <w:tcPr>
            <w:tcW w:w="9004" w:type="dxa"/>
            <w:shd w:val="clear" w:color="auto" w:fill="auto"/>
          </w:tcPr>
          <w:p w14:paraId="78C176F3" w14:textId="77777777" w:rsidR="00331370" w:rsidRPr="00813871" w:rsidRDefault="00331370" w:rsidP="00BB65D4">
            <w:pPr>
              <w:tabs>
                <w:tab w:val="left" w:pos="3256"/>
              </w:tabs>
              <w:spacing w:before="40"/>
              <w:jc w:val="center"/>
              <w:rPr>
                <w:rFonts w:ascii="Arial" w:hAnsi="Arial" w:cs="Arial"/>
                <w:b/>
                <w:bCs/>
                <w:color w:val="00B0F0"/>
                <w:sz w:val="16"/>
                <w:szCs w:val="16"/>
              </w:rPr>
            </w:pPr>
            <w:r w:rsidRPr="00813871">
              <w:rPr>
                <w:rFonts w:ascii="Arial" w:hAnsi="Arial" w:cs="Arial"/>
                <w:b/>
                <w:bCs/>
                <w:color w:val="00B0F0"/>
                <w:sz w:val="16"/>
                <w:szCs w:val="16"/>
              </w:rPr>
              <w:t>Provincia di Treviso</w:t>
            </w:r>
          </w:p>
        </w:tc>
      </w:tr>
      <w:tr w:rsidR="00331370" w:rsidRPr="006768AA" w14:paraId="06F0965B" w14:textId="77777777" w:rsidTr="00BB65D4">
        <w:tc>
          <w:tcPr>
            <w:tcW w:w="9004" w:type="dxa"/>
            <w:shd w:val="clear" w:color="auto" w:fill="auto"/>
          </w:tcPr>
          <w:p w14:paraId="0006261B" w14:textId="1FECA072" w:rsidR="00331370" w:rsidRPr="006768AA" w:rsidRDefault="004B4CC8" w:rsidP="00BB65D4">
            <w:pPr>
              <w:tabs>
                <w:tab w:val="left" w:pos="3480"/>
                <w:tab w:val="center" w:pos="4002"/>
              </w:tabs>
              <w:spacing w:before="40"/>
              <w:jc w:val="center"/>
              <w:rPr>
                <w:rFonts w:ascii="Arial" w:hAnsi="Arial" w:cs="Arial"/>
                <w:b/>
                <w:bCs/>
                <w:color w:val="943634"/>
                <w:sz w:val="20"/>
                <w:highlight w:val="yellow"/>
              </w:rPr>
            </w:pPr>
            <w:r w:rsidRPr="004B4CC8">
              <w:rPr>
                <w:rFonts w:ascii="Arial" w:hAnsi="Arial" w:cs="Arial"/>
                <w:b/>
                <w:bCs/>
                <w:noProof/>
                <w:color w:val="943634"/>
                <w:sz w:val="20"/>
              </w:rPr>
              <w:drawing>
                <wp:inline distT="0" distB="0" distL="0" distR="0" wp14:anchorId="6DFF9034" wp14:editId="2B35AAD9">
                  <wp:extent cx="5486400" cy="2852230"/>
                  <wp:effectExtent l="0" t="0" r="0" b="5715"/>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95032" cy="2856718"/>
                          </a:xfrm>
                          <a:prstGeom prst="rect">
                            <a:avLst/>
                          </a:prstGeom>
                          <a:noFill/>
                          <a:ln>
                            <a:noFill/>
                          </a:ln>
                        </pic:spPr>
                      </pic:pic>
                    </a:graphicData>
                  </a:graphic>
                </wp:inline>
              </w:drawing>
            </w:r>
          </w:p>
        </w:tc>
      </w:tr>
      <w:tr w:rsidR="00331370" w:rsidRPr="006768AA" w14:paraId="56C17A9D" w14:textId="77777777" w:rsidTr="00BB65D4">
        <w:tc>
          <w:tcPr>
            <w:tcW w:w="9004" w:type="dxa"/>
            <w:shd w:val="clear" w:color="auto" w:fill="auto"/>
          </w:tcPr>
          <w:p w14:paraId="56C4CB8B" w14:textId="77777777" w:rsidR="00331370" w:rsidRPr="006768AA" w:rsidRDefault="00331370" w:rsidP="00BB65D4">
            <w:pPr>
              <w:tabs>
                <w:tab w:val="left" w:pos="3256"/>
              </w:tabs>
              <w:spacing w:before="40"/>
              <w:jc w:val="center"/>
              <w:rPr>
                <w:rFonts w:ascii="Arial" w:hAnsi="Arial" w:cs="Arial"/>
                <w:b/>
                <w:bCs/>
                <w:color w:val="00B0F0"/>
                <w:sz w:val="16"/>
                <w:szCs w:val="16"/>
                <w:highlight w:val="yellow"/>
              </w:rPr>
            </w:pPr>
            <w:r w:rsidRPr="00813871">
              <w:rPr>
                <w:rFonts w:ascii="Arial" w:hAnsi="Arial" w:cs="Arial"/>
                <w:b/>
                <w:bCs/>
                <w:color w:val="00B0F0"/>
                <w:sz w:val="16"/>
                <w:szCs w:val="16"/>
              </w:rPr>
              <w:t>Provincia di Belluno</w:t>
            </w:r>
          </w:p>
        </w:tc>
      </w:tr>
      <w:tr w:rsidR="00331370" w:rsidRPr="006768AA" w14:paraId="5CD5FC8C" w14:textId="77777777" w:rsidTr="00BB65D4">
        <w:tc>
          <w:tcPr>
            <w:tcW w:w="9004" w:type="dxa"/>
            <w:shd w:val="clear" w:color="auto" w:fill="auto"/>
          </w:tcPr>
          <w:p w14:paraId="5789CEF9" w14:textId="35A8BA70" w:rsidR="00331370" w:rsidRPr="006768AA" w:rsidRDefault="00C75D2B" w:rsidP="00BB65D4">
            <w:pPr>
              <w:tabs>
                <w:tab w:val="left" w:pos="3480"/>
                <w:tab w:val="center" w:pos="4002"/>
              </w:tabs>
              <w:spacing w:before="40"/>
              <w:jc w:val="center"/>
              <w:rPr>
                <w:rFonts w:ascii="Arial" w:hAnsi="Arial" w:cs="Arial"/>
                <w:b/>
                <w:bCs/>
                <w:noProof/>
                <w:color w:val="943634"/>
                <w:sz w:val="20"/>
                <w:highlight w:val="yellow"/>
              </w:rPr>
            </w:pPr>
            <w:r w:rsidRPr="00C75D2B">
              <w:rPr>
                <w:rFonts w:ascii="Arial" w:hAnsi="Arial" w:cs="Arial"/>
                <w:b/>
                <w:bCs/>
                <w:noProof/>
                <w:color w:val="943634"/>
                <w:sz w:val="20"/>
              </w:rPr>
              <w:drawing>
                <wp:inline distT="0" distB="0" distL="0" distR="0" wp14:anchorId="3E0E31A2" wp14:editId="13BD4728">
                  <wp:extent cx="5504266" cy="2817198"/>
                  <wp:effectExtent l="0" t="0" r="1270" b="254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05210" cy="2817681"/>
                          </a:xfrm>
                          <a:prstGeom prst="rect">
                            <a:avLst/>
                          </a:prstGeom>
                          <a:noFill/>
                          <a:ln>
                            <a:noFill/>
                          </a:ln>
                        </pic:spPr>
                      </pic:pic>
                    </a:graphicData>
                  </a:graphic>
                </wp:inline>
              </w:drawing>
            </w:r>
          </w:p>
        </w:tc>
      </w:tr>
      <w:tr w:rsidR="00331370" w:rsidRPr="006768AA" w14:paraId="093F104C" w14:textId="77777777" w:rsidTr="00BB65D4">
        <w:tc>
          <w:tcPr>
            <w:tcW w:w="9004" w:type="dxa"/>
            <w:shd w:val="clear" w:color="auto" w:fill="auto"/>
          </w:tcPr>
          <w:p w14:paraId="18467BC0" w14:textId="77777777" w:rsidR="00331370" w:rsidRPr="00813871" w:rsidRDefault="00331370" w:rsidP="00BB65D4">
            <w:pPr>
              <w:spacing w:before="120"/>
              <w:rPr>
                <w:rFonts w:ascii="Arial" w:hAnsi="Arial" w:cs="Arial"/>
                <w:bCs/>
                <w:sz w:val="16"/>
                <w:szCs w:val="16"/>
                <w:shd w:val="clear" w:color="auto" w:fill="FFFFFF" w:themeFill="background1"/>
              </w:rPr>
            </w:pPr>
          </w:p>
          <w:p w14:paraId="63063603" w14:textId="001D0D40" w:rsidR="00331370" w:rsidRPr="00813871" w:rsidRDefault="00331370" w:rsidP="00BB65D4">
            <w:pPr>
              <w:spacing w:before="40" w:after="120"/>
              <w:rPr>
                <w:rFonts w:ascii="Arial" w:hAnsi="Arial" w:cs="Arial"/>
                <w:bCs/>
                <w:i/>
                <w:sz w:val="14"/>
                <w:szCs w:val="14"/>
                <w:shd w:val="clear" w:color="auto" w:fill="FFFFFF" w:themeFill="background1"/>
              </w:rPr>
            </w:pPr>
            <w:r w:rsidRPr="00813871">
              <w:rPr>
                <w:rFonts w:ascii="Arial" w:hAnsi="Arial" w:cs="Arial"/>
                <w:bCs/>
                <w:sz w:val="14"/>
                <w:szCs w:val="14"/>
                <w:shd w:val="clear" w:color="auto" w:fill="FFFFFF" w:themeFill="background1"/>
              </w:rPr>
              <w:t xml:space="preserve">Per il </w:t>
            </w:r>
            <w:r w:rsidR="00C75D2B">
              <w:rPr>
                <w:rFonts w:ascii="Arial" w:hAnsi="Arial" w:cs="Arial"/>
                <w:bCs/>
                <w:sz w:val="14"/>
                <w:szCs w:val="14"/>
                <w:shd w:val="clear" w:color="auto" w:fill="FFFFFF" w:themeFill="background1"/>
              </w:rPr>
              <w:t>primo</w:t>
            </w:r>
            <w:r w:rsidR="00D5753D" w:rsidRPr="00813871">
              <w:rPr>
                <w:rFonts w:ascii="Arial" w:hAnsi="Arial" w:cs="Arial"/>
                <w:bCs/>
                <w:sz w:val="14"/>
                <w:szCs w:val="14"/>
                <w:shd w:val="clear" w:color="auto" w:fill="FFFFFF" w:themeFill="background1"/>
              </w:rPr>
              <w:t xml:space="preserve"> trimestre 202</w:t>
            </w:r>
            <w:r w:rsidR="00C75D2B">
              <w:rPr>
                <w:rFonts w:ascii="Arial" w:hAnsi="Arial" w:cs="Arial"/>
                <w:bCs/>
                <w:sz w:val="14"/>
                <w:szCs w:val="14"/>
                <w:shd w:val="clear" w:color="auto" w:fill="FFFFFF" w:themeFill="background1"/>
              </w:rPr>
              <w:t>4</w:t>
            </w:r>
            <w:r w:rsidRPr="00813871">
              <w:rPr>
                <w:rFonts w:ascii="Arial" w:hAnsi="Arial" w:cs="Arial"/>
                <w:bCs/>
                <w:sz w:val="14"/>
                <w:szCs w:val="14"/>
                <w:shd w:val="clear" w:color="auto" w:fill="FFFFFF" w:themeFill="background1"/>
              </w:rPr>
              <w:t xml:space="preserve">, indagine su un campione di </w:t>
            </w:r>
            <w:r w:rsidR="00C75D2B" w:rsidRPr="00C75D2B">
              <w:rPr>
                <w:rFonts w:ascii="Arial" w:hAnsi="Arial" w:cs="Arial"/>
                <w:bCs/>
                <w:sz w:val="14"/>
                <w:szCs w:val="14"/>
                <w:shd w:val="clear" w:color="auto" w:fill="FFFFFF" w:themeFill="background1"/>
              </w:rPr>
              <w:t>539 imprese della provincia di Treviso (per un totale di  36.816 addetti) e</w:t>
            </w:r>
            <w:r w:rsidR="00C75D2B">
              <w:rPr>
                <w:rFonts w:ascii="Arial" w:hAnsi="Arial" w:cs="Arial"/>
                <w:bCs/>
                <w:sz w:val="14"/>
                <w:szCs w:val="14"/>
                <w:shd w:val="clear" w:color="auto" w:fill="FFFFFF" w:themeFill="background1"/>
              </w:rPr>
              <w:t xml:space="preserve"> di</w:t>
            </w:r>
            <w:r w:rsidR="00C75D2B" w:rsidRPr="00C75D2B">
              <w:rPr>
                <w:rFonts w:ascii="Arial" w:hAnsi="Arial" w:cs="Arial"/>
                <w:bCs/>
                <w:sz w:val="14"/>
                <w:szCs w:val="14"/>
                <w:shd w:val="clear" w:color="auto" w:fill="FFFFFF" w:themeFill="background1"/>
              </w:rPr>
              <w:t xml:space="preserve"> 79 imprese della provincia di Belluno con almeno 10 addetti (per un totale di  4.690 addetti)</w:t>
            </w:r>
            <w:r w:rsidR="00C75D2B">
              <w:rPr>
                <w:rFonts w:ascii="Arial" w:hAnsi="Arial" w:cs="Arial"/>
                <w:bCs/>
                <w:sz w:val="14"/>
                <w:szCs w:val="14"/>
                <w:shd w:val="clear" w:color="auto" w:fill="FFFFFF" w:themeFill="background1"/>
              </w:rPr>
              <w:t>.</w:t>
            </w:r>
          </w:p>
          <w:p w14:paraId="0052F2F3" w14:textId="77777777" w:rsidR="00331370" w:rsidRPr="006768AA" w:rsidRDefault="00331370" w:rsidP="00BB65D4">
            <w:pPr>
              <w:spacing w:before="40"/>
              <w:rPr>
                <w:rFonts w:ascii="Arial" w:hAnsi="Arial" w:cs="Arial"/>
                <w:bCs/>
                <w:color w:val="943634"/>
                <w:sz w:val="20"/>
                <w:highlight w:val="yellow"/>
              </w:rPr>
            </w:pPr>
            <w:r w:rsidRPr="00813871">
              <w:rPr>
                <w:rFonts w:ascii="Arial" w:hAnsi="Arial" w:cs="Arial"/>
                <w:bCs/>
                <w:i/>
                <w:sz w:val="14"/>
                <w:szCs w:val="14"/>
                <w:shd w:val="clear" w:color="auto" w:fill="FFFFFF" w:themeFill="background1"/>
              </w:rPr>
              <w:t xml:space="preserve">Fonte: Elaborazioni Ufficio Studi e Statistica CCIAA Treviso-Belluno su dati Unioncamere del Veneto - Indagine </w:t>
            </w:r>
            <w:proofErr w:type="spellStart"/>
            <w:r w:rsidRPr="00813871">
              <w:rPr>
                <w:rFonts w:ascii="Arial" w:hAnsi="Arial" w:cs="Arial"/>
                <w:bCs/>
                <w:i/>
                <w:sz w:val="14"/>
                <w:szCs w:val="14"/>
                <w:shd w:val="clear" w:color="auto" w:fill="FFFFFF" w:themeFill="background1"/>
              </w:rPr>
              <w:t>VenetoCongiuntura</w:t>
            </w:r>
            <w:proofErr w:type="spellEnd"/>
          </w:p>
        </w:tc>
      </w:tr>
    </w:tbl>
    <w:p w14:paraId="1184C8ED" w14:textId="77777777" w:rsidR="00C13F82" w:rsidRPr="006768AA" w:rsidRDefault="00C13F82" w:rsidP="00937C1A">
      <w:pPr>
        <w:spacing w:after="120" w:line="276" w:lineRule="auto"/>
        <w:rPr>
          <w:rFonts w:ascii="Arial" w:hAnsi="Arial" w:cs="Arial"/>
          <w:b/>
          <w:bCs/>
          <w:color w:val="00B0F0"/>
          <w:sz w:val="22"/>
          <w:szCs w:val="22"/>
          <w:highlight w:val="yellow"/>
        </w:rPr>
      </w:pPr>
    </w:p>
    <w:p w14:paraId="6F09ABC3" w14:textId="610F4143" w:rsidR="004C5F04" w:rsidRDefault="004C5F04">
      <w:pPr>
        <w:jc w:val="left"/>
        <w:rPr>
          <w:rFonts w:ascii="Arial" w:hAnsi="Arial" w:cs="Arial"/>
          <w:b/>
          <w:bCs/>
          <w:color w:val="00B0F0"/>
          <w:sz w:val="22"/>
          <w:szCs w:val="22"/>
          <w:highlight w:val="yellow"/>
        </w:rPr>
      </w:pPr>
      <w:r w:rsidRPr="006768AA">
        <w:rPr>
          <w:rFonts w:ascii="Arial" w:hAnsi="Arial" w:cs="Arial"/>
          <w:b/>
          <w:bCs/>
          <w:color w:val="00B0F0"/>
          <w:sz w:val="22"/>
          <w:szCs w:val="22"/>
          <w:highlight w:val="yellow"/>
        </w:rPr>
        <w:br w:type="page"/>
      </w:r>
    </w:p>
    <w:p w14:paraId="28F3F48B" w14:textId="77777777" w:rsidR="009E023B" w:rsidRPr="006768AA" w:rsidRDefault="009E023B">
      <w:pPr>
        <w:jc w:val="left"/>
        <w:rPr>
          <w:rFonts w:ascii="Arial" w:hAnsi="Arial" w:cs="Arial"/>
          <w:b/>
          <w:bCs/>
          <w:color w:val="00B0F0"/>
          <w:sz w:val="22"/>
          <w:szCs w:val="22"/>
          <w:highlight w:val="yellow"/>
        </w:rPr>
      </w:pPr>
    </w:p>
    <w:tbl>
      <w:tblPr>
        <w:tblStyle w:val="Grigliatabella"/>
        <w:tblpPr w:leftFromText="141" w:rightFromText="141" w:vertAnchor="text" w:horzAnchor="margin" w:tblpXSpec="center" w:tblpY="1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88"/>
      </w:tblGrid>
      <w:tr w:rsidR="00722766" w:rsidRPr="006768AA" w14:paraId="1D6DB95C" w14:textId="77777777" w:rsidTr="00BB65D4">
        <w:tc>
          <w:tcPr>
            <w:tcW w:w="8788" w:type="dxa"/>
            <w:shd w:val="clear" w:color="auto" w:fill="auto"/>
          </w:tcPr>
          <w:p w14:paraId="1B10D088" w14:textId="6CFDEAE3" w:rsidR="00722766" w:rsidRPr="00813871" w:rsidRDefault="00722766" w:rsidP="00BB65D4">
            <w:pPr>
              <w:pStyle w:val="Titolo1"/>
              <w:jc w:val="left"/>
              <w:rPr>
                <w:rFonts w:ascii="Arial" w:hAnsi="Arial" w:cs="Arial"/>
                <w:bCs/>
                <w:color w:val="00B0F0"/>
                <w:sz w:val="18"/>
                <w:szCs w:val="18"/>
              </w:rPr>
            </w:pPr>
            <w:bookmarkStart w:id="1" w:name="_Toc119661577"/>
            <w:r w:rsidRPr="00813871">
              <w:rPr>
                <w:rFonts w:ascii="Arial" w:hAnsi="Arial" w:cs="Arial"/>
                <w:bCs/>
                <w:sz w:val="18"/>
                <w:szCs w:val="18"/>
              </w:rPr>
              <w:t xml:space="preserve">Tab. 2 </w:t>
            </w:r>
            <w:r w:rsidR="00D42D1F" w:rsidRPr="00813871">
              <w:rPr>
                <w:rFonts w:ascii="Arial" w:hAnsi="Arial" w:cs="Arial"/>
                <w:bCs/>
                <w:sz w:val="18"/>
                <w:szCs w:val="18"/>
              </w:rPr>
              <w:t xml:space="preserve">- </w:t>
            </w:r>
            <w:r w:rsidR="00D42D1F" w:rsidRPr="00813871">
              <w:rPr>
                <w:rFonts w:ascii="Arial" w:hAnsi="Arial" w:cs="Arial"/>
                <w:bCs/>
                <w:color w:val="00B0F0"/>
                <w:sz w:val="18"/>
                <w:szCs w:val="18"/>
              </w:rPr>
              <w:t>Province</w:t>
            </w:r>
            <w:r w:rsidR="00D558AE" w:rsidRPr="00813871">
              <w:rPr>
                <w:rFonts w:ascii="Arial" w:hAnsi="Arial" w:cs="Arial"/>
                <w:bCs/>
                <w:color w:val="00B0F0"/>
                <w:sz w:val="18"/>
                <w:szCs w:val="18"/>
              </w:rPr>
              <w:t xml:space="preserve"> di Treviso e di Belluno</w:t>
            </w:r>
            <w:r w:rsidRPr="00813871">
              <w:rPr>
                <w:rFonts w:ascii="Arial" w:hAnsi="Arial" w:cs="Arial"/>
                <w:bCs/>
                <w:color w:val="00B0F0"/>
                <w:sz w:val="18"/>
                <w:szCs w:val="18"/>
              </w:rPr>
              <w:t xml:space="preserve">: previsioni per il </w:t>
            </w:r>
            <w:r w:rsidR="00C75D2B">
              <w:rPr>
                <w:rFonts w:ascii="Arial" w:hAnsi="Arial" w:cs="Arial"/>
                <w:bCs/>
                <w:color w:val="00B0F0"/>
                <w:sz w:val="18"/>
                <w:szCs w:val="18"/>
              </w:rPr>
              <w:t>2</w:t>
            </w:r>
            <w:r w:rsidRPr="00813871">
              <w:rPr>
                <w:rFonts w:ascii="Arial" w:hAnsi="Arial" w:cs="Arial"/>
                <w:bCs/>
                <w:color w:val="00B0F0"/>
                <w:sz w:val="18"/>
                <w:szCs w:val="18"/>
              </w:rPr>
              <w:t>° trimestre 202</w:t>
            </w:r>
            <w:r w:rsidR="00274028">
              <w:rPr>
                <w:rFonts w:ascii="Arial" w:hAnsi="Arial" w:cs="Arial"/>
                <w:bCs/>
                <w:color w:val="00B0F0"/>
                <w:sz w:val="18"/>
                <w:szCs w:val="18"/>
              </w:rPr>
              <w:t>4</w:t>
            </w:r>
            <w:r w:rsidRPr="00813871">
              <w:rPr>
                <w:rFonts w:ascii="Arial" w:hAnsi="Arial" w:cs="Arial"/>
                <w:bCs/>
                <w:color w:val="00B0F0"/>
                <w:sz w:val="18"/>
                <w:szCs w:val="18"/>
              </w:rPr>
              <w:t>.</w:t>
            </w:r>
          </w:p>
          <w:p w14:paraId="6F1CB49D" w14:textId="626EDA23" w:rsidR="00722766" w:rsidRPr="00813871" w:rsidRDefault="00722766" w:rsidP="00BB65D4">
            <w:pPr>
              <w:pStyle w:val="Titolo1"/>
              <w:jc w:val="left"/>
              <w:rPr>
                <w:rFonts w:ascii="Arial" w:hAnsi="Arial" w:cs="Arial"/>
                <w:b w:val="0"/>
                <w:bCs/>
                <w:sz w:val="18"/>
                <w:szCs w:val="18"/>
              </w:rPr>
            </w:pPr>
            <w:r w:rsidRPr="00813871">
              <w:rPr>
                <w:rFonts w:ascii="Arial" w:hAnsi="Arial" w:cs="Arial"/>
                <w:bCs/>
                <w:sz w:val="18"/>
                <w:szCs w:val="18"/>
              </w:rPr>
              <w:t>Percentuale di giudizi di aumento, stabilità, diminuzione e saldo (calcolato come differenza tra percentuale di aumento e percentuale di diminuzione) per produzione, fatturato e nuovi ordinativi</w:t>
            </w:r>
            <w:bookmarkEnd w:id="1"/>
            <w:r w:rsidRPr="00813871">
              <w:rPr>
                <w:rFonts w:ascii="Arial" w:hAnsi="Arial" w:cs="Arial"/>
                <w:bCs/>
                <w:sz w:val="18"/>
                <w:szCs w:val="18"/>
              </w:rPr>
              <w:t xml:space="preserve">. </w:t>
            </w:r>
            <w:r w:rsidR="003501CC" w:rsidRPr="00813871">
              <w:rPr>
                <w:rFonts w:ascii="Arial" w:hAnsi="Arial" w:cs="Arial"/>
                <w:b w:val="0"/>
                <w:bCs/>
                <w:sz w:val="18"/>
                <w:szCs w:val="18"/>
              </w:rPr>
              <w:t xml:space="preserve">Previsioni raccolte nel </w:t>
            </w:r>
            <w:r w:rsidR="00274028">
              <w:rPr>
                <w:rFonts w:ascii="Arial" w:hAnsi="Arial" w:cs="Arial"/>
                <w:b w:val="0"/>
                <w:bCs/>
                <w:sz w:val="18"/>
                <w:szCs w:val="18"/>
              </w:rPr>
              <w:t>4</w:t>
            </w:r>
            <w:r w:rsidR="00D558AE" w:rsidRPr="00813871">
              <w:rPr>
                <w:rFonts w:ascii="Arial" w:hAnsi="Arial" w:cs="Arial"/>
                <w:b w:val="0"/>
                <w:bCs/>
                <w:sz w:val="18"/>
                <w:szCs w:val="18"/>
              </w:rPr>
              <w:t>° trimestre 2023</w:t>
            </w:r>
          </w:p>
          <w:p w14:paraId="3B49E89E" w14:textId="77777777" w:rsidR="00722766" w:rsidRPr="00813871" w:rsidRDefault="00722766" w:rsidP="00BB65D4">
            <w:pPr>
              <w:pStyle w:val="Titolo1"/>
              <w:jc w:val="left"/>
              <w:rPr>
                <w:rFonts w:ascii="Arial" w:hAnsi="Arial" w:cs="Arial"/>
                <w:b w:val="0"/>
                <w:bCs/>
                <w:color w:val="943634"/>
                <w:sz w:val="18"/>
                <w:szCs w:val="18"/>
              </w:rPr>
            </w:pPr>
          </w:p>
        </w:tc>
      </w:tr>
      <w:tr w:rsidR="00722766" w:rsidRPr="006768AA" w14:paraId="0A3E84B3" w14:textId="77777777" w:rsidTr="00BB65D4">
        <w:tc>
          <w:tcPr>
            <w:tcW w:w="8788" w:type="dxa"/>
            <w:shd w:val="clear" w:color="auto" w:fill="auto"/>
          </w:tcPr>
          <w:p w14:paraId="156CCE99" w14:textId="0990F213" w:rsidR="00722766" w:rsidRPr="00813871" w:rsidRDefault="00722766" w:rsidP="0018370C">
            <w:pPr>
              <w:tabs>
                <w:tab w:val="left" w:pos="3256"/>
              </w:tabs>
              <w:spacing w:before="40" w:after="120"/>
              <w:jc w:val="center"/>
              <w:rPr>
                <w:rFonts w:ascii="Arial" w:hAnsi="Arial" w:cs="Arial"/>
                <w:b/>
                <w:bCs/>
                <w:color w:val="00B0F0"/>
                <w:sz w:val="20"/>
              </w:rPr>
            </w:pPr>
            <w:r w:rsidRPr="00813871">
              <w:rPr>
                <w:rFonts w:ascii="Arial" w:hAnsi="Arial" w:cs="Arial"/>
                <w:b/>
                <w:bCs/>
                <w:color w:val="00B0F0"/>
                <w:sz w:val="16"/>
                <w:szCs w:val="16"/>
              </w:rPr>
              <w:t>Provincia di Treviso</w:t>
            </w:r>
          </w:p>
        </w:tc>
      </w:tr>
      <w:tr w:rsidR="00722766" w:rsidRPr="006768AA" w14:paraId="04074BCD" w14:textId="77777777" w:rsidTr="005B7CEB">
        <w:tc>
          <w:tcPr>
            <w:tcW w:w="8788" w:type="dxa"/>
            <w:shd w:val="clear" w:color="auto" w:fill="auto"/>
          </w:tcPr>
          <w:p w14:paraId="040662C1" w14:textId="0BE9F3B6" w:rsidR="00722766" w:rsidRPr="006768AA" w:rsidRDefault="00EE5DA2" w:rsidP="00722766">
            <w:pPr>
              <w:tabs>
                <w:tab w:val="left" w:pos="3480"/>
                <w:tab w:val="center" w:pos="4002"/>
              </w:tabs>
              <w:spacing w:before="40"/>
              <w:jc w:val="center"/>
              <w:rPr>
                <w:rFonts w:ascii="Arial" w:hAnsi="Arial" w:cs="Arial"/>
                <w:b/>
                <w:bCs/>
                <w:color w:val="943634"/>
                <w:sz w:val="20"/>
                <w:highlight w:val="yellow"/>
              </w:rPr>
            </w:pPr>
            <w:r w:rsidRPr="00EE5DA2">
              <w:rPr>
                <w:rFonts w:ascii="Arial" w:hAnsi="Arial" w:cs="Arial"/>
                <w:b/>
                <w:bCs/>
                <w:noProof/>
                <w:color w:val="943634"/>
                <w:sz w:val="20"/>
              </w:rPr>
              <w:drawing>
                <wp:inline distT="0" distB="0" distL="0" distR="0" wp14:anchorId="2937483D" wp14:editId="48DB0BB3">
                  <wp:extent cx="4964805" cy="2664834"/>
                  <wp:effectExtent l="0" t="0" r="7620" b="254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69870" cy="2667552"/>
                          </a:xfrm>
                          <a:prstGeom prst="rect">
                            <a:avLst/>
                          </a:prstGeom>
                          <a:noFill/>
                          <a:ln>
                            <a:noFill/>
                          </a:ln>
                        </pic:spPr>
                      </pic:pic>
                    </a:graphicData>
                  </a:graphic>
                </wp:inline>
              </w:drawing>
            </w:r>
          </w:p>
        </w:tc>
      </w:tr>
      <w:tr w:rsidR="00722766" w:rsidRPr="006768AA" w14:paraId="6C84C2DC" w14:textId="77777777" w:rsidTr="00BB65D4">
        <w:tc>
          <w:tcPr>
            <w:tcW w:w="8788" w:type="dxa"/>
            <w:shd w:val="clear" w:color="auto" w:fill="auto"/>
          </w:tcPr>
          <w:p w14:paraId="26F3A81A" w14:textId="1852A249" w:rsidR="00722766" w:rsidRPr="006768AA" w:rsidRDefault="00722766" w:rsidP="0018370C">
            <w:pPr>
              <w:tabs>
                <w:tab w:val="left" w:pos="3256"/>
              </w:tabs>
              <w:spacing w:before="120" w:after="120"/>
              <w:jc w:val="center"/>
              <w:rPr>
                <w:rFonts w:ascii="Arial" w:hAnsi="Arial" w:cs="Arial"/>
                <w:b/>
                <w:bCs/>
                <w:color w:val="00B0F0"/>
                <w:sz w:val="20"/>
                <w:highlight w:val="yellow"/>
              </w:rPr>
            </w:pPr>
            <w:r w:rsidRPr="00813871">
              <w:rPr>
                <w:rFonts w:ascii="Arial" w:hAnsi="Arial" w:cs="Arial"/>
                <w:b/>
                <w:bCs/>
                <w:color w:val="00B0F0"/>
                <w:sz w:val="16"/>
                <w:szCs w:val="16"/>
              </w:rPr>
              <w:t>Provincia di Belluno</w:t>
            </w:r>
          </w:p>
        </w:tc>
      </w:tr>
      <w:tr w:rsidR="00722766" w:rsidRPr="006768AA" w14:paraId="1B0D8BF0" w14:textId="77777777" w:rsidTr="004A074E">
        <w:tc>
          <w:tcPr>
            <w:tcW w:w="8788" w:type="dxa"/>
            <w:shd w:val="clear" w:color="auto" w:fill="auto"/>
          </w:tcPr>
          <w:p w14:paraId="437282B7" w14:textId="2F21BE0B" w:rsidR="00722766" w:rsidRPr="006768AA" w:rsidRDefault="00EE5DA2" w:rsidP="00BB65D4">
            <w:pPr>
              <w:tabs>
                <w:tab w:val="left" w:pos="3480"/>
                <w:tab w:val="center" w:pos="4002"/>
              </w:tabs>
              <w:spacing w:before="40"/>
              <w:jc w:val="center"/>
              <w:rPr>
                <w:rFonts w:ascii="Arial" w:hAnsi="Arial" w:cs="Arial"/>
                <w:b/>
                <w:bCs/>
                <w:noProof/>
                <w:color w:val="943634"/>
                <w:sz w:val="20"/>
                <w:highlight w:val="yellow"/>
              </w:rPr>
            </w:pPr>
            <w:r w:rsidRPr="00EE5DA2">
              <w:rPr>
                <w:rFonts w:ascii="Arial" w:hAnsi="Arial" w:cs="Arial"/>
                <w:b/>
                <w:bCs/>
                <w:noProof/>
                <w:color w:val="943634"/>
                <w:sz w:val="20"/>
              </w:rPr>
              <w:drawing>
                <wp:inline distT="0" distB="0" distL="0" distR="0" wp14:anchorId="382E4F94" wp14:editId="16642A45">
                  <wp:extent cx="5054957" cy="2740142"/>
                  <wp:effectExtent l="0" t="0" r="0" b="317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59582" cy="2742649"/>
                          </a:xfrm>
                          <a:prstGeom prst="rect">
                            <a:avLst/>
                          </a:prstGeom>
                          <a:noFill/>
                          <a:ln>
                            <a:noFill/>
                          </a:ln>
                        </pic:spPr>
                      </pic:pic>
                    </a:graphicData>
                  </a:graphic>
                </wp:inline>
              </w:drawing>
            </w:r>
          </w:p>
        </w:tc>
      </w:tr>
      <w:tr w:rsidR="00722766" w:rsidRPr="00F24ED8" w14:paraId="047B5CA2" w14:textId="77777777" w:rsidTr="00BB65D4">
        <w:tc>
          <w:tcPr>
            <w:tcW w:w="8788" w:type="dxa"/>
            <w:shd w:val="clear" w:color="auto" w:fill="auto"/>
          </w:tcPr>
          <w:p w14:paraId="30403A98" w14:textId="77777777" w:rsidR="003501CC" w:rsidRPr="006768AA" w:rsidRDefault="003501CC" w:rsidP="003501CC">
            <w:pPr>
              <w:spacing w:before="120"/>
              <w:rPr>
                <w:rFonts w:ascii="Arial" w:hAnsi="Arial" w:cs="Arial"/>
                <w:bCs/>
                <w:sz w:val="16"/>
                <w:szCs w:val="16"/>
                <w:highlight w:val="yellow"/>
                <w:shd w:val="clear" w:color="auto" w:fill="FFFFFF" w:themeFill="background1"/>
              </w:rPr>
            </w:pPr>
          </w:p>
          <w:p w14:paraId="1CF34C55" w14:textId="77777777" w:rsidR="00C75D2B" w:rsidRPr="00813871" w:rsidRDefault="00C75D2B" w:rsidP="00C75D2B">
            <w:pPr>
              <w:spacing w:before="40" w:after="120"/>
              <w:rPr>
                <w:rFonts w:ascii="Arial" w:hAnsi="Arial" w:cs="Arial"/>
                <w:bCs/>
                <w:i/>
                <w:sz w:val="14"/>
                <w:szCs w:val="14"/>
                <w:shd w:val="clear" w:color="auto" w:fill="FFFFFF" w:themeFill="background1"/>
              </w:rPr>
            </w:pPr>
            <w:r w:rsidRPr="00813871">
              <w:rPr>
                <w:rFonts w:ascii="Arial" w:hAnsi="Arial" w:cs="Arial"/>
                <w:bCs/>
                <w:sz w:val="14"/>
                <w:szCs w:val="14"/>
                <w:shd w:val="clear" w:color="auto" w:fill="FFFFFF" w:themeFill="background1"/>
              </w:rPr>
              <w:t xml:space="preserve">Per il </w:t>
            </w:r>
            <w:r>
              <w:rPr>
                <w:rFonts w:ascii="Arial" w:hAnsi="Arial" w:cs="Arial"/>
                <w:bCs/>
                <w:sz w:val="14"/>
                <w:szCs w:val="14"/>
                <w:shd w:val="clear" w:color="auto" w:fill="FFFFFF" w:themeFill="background1"/>
              </w:rPr>
              <w:t>primo</w:t>
            </w:r>
            <w:r w:rsidRPr="00813871">
              <w:rPr>
                <w:rFonts w:ascii="Arial" w:hAnsi="Arial" w:cs="Arial"/>
                <w:bCs/>
                <w:sz w:val="14"/>
                <w:szCs w:val="14"/>
                <w:shd w:val="clear" w:color="auto" w:fill="FFFFFF" w:themeFill="background1"/>
              </w:rPr>
              <w:t xml:space="preserve"> trimestre 202</w:t>
            </w:r>
            <w:r>
              <w:rPr>
                <w:rFonts w:ascii="Arial" w:hAnsi="Arial" w:cs="Arial"/>
                <w:bCs/>
                <w:sz w:val="14"/>
                <w:szCs w:val="14"/>
                <w:shd w:val="clear" w:color="auto" w:fill="FFFFFF" w:themeFill="background1"/>
              </w:rPr>
              <w:t>4</w:t>
            </w:r>
            <w:r w:rsidRPr="00813871">
              <w:rPr>
                <w:rFonts w:ascii="Arial" w:hAnsi="Arial" w:cs="Arial"/>
                <w:bCs/>
                <w:sz w:val="14"/>
                <w:szCs w:val="14"/>
                <w:shd w:val="clear" w:color="auto" w:fill="FFFFFF" w:themeFill="background1"/>
              </w:rPr>
              <w:t xml:space="preserve">, indagine su un campione di </w:t>
            </w:r>
            <w:r w:rsidRPr="00C75D2B">
              <w:rPr>
                <w:rFonts w:ascii="Arial" w:hAnsi="Arial" w:cs="Arial"/>
                <w:bCs/>
                <w:sz w:val="14"/>
                <w:szCs w:val="14"/>
                <w:shd w:val="clear" w:color="auto" w:fill="FFFFFF" w:themeFill="background1"/>
              </w:rPr>
              <w:t>539 imprese della provincia di Treviso (per un totale di  36.816 addetti) e</w:t>
            </w:r>
            <w:r>
              <w:rPr>
                <w:rFonts w:ascii="Arial" w:hAnsi="Arial" w:cs="Arial"/>
                <w:bCs/>
                <w:sz w:val="14"/>
                <w:szCs w:val="14"/>
                <w:shd w:val="clear" w:color="auto" w:fill="FFFFFF" w:themeFill="background1"/>
              </w:rPr>
              <w:t xml:space="preserve"> di</w:t>
            </w:r>
            <w:r w:rsidRPr="00C75D2B">
              <w:rPr>
                <w:rFonts w:ascii="Arial" w:hAnsi="Arial" w:cs="Arial"/>
                <w:bCs/>
                <w:sz w:val="14"/>
                <w:szCs w:val="14"/>
                <w:shd w:val="clear" w:color="auto" w:fill="FFFFFF" w:themeFill="background1"/>
              </w:rPr>
              <w:t xml:space="preserve"> 79 imprese della provincia di Belluno con almeno 10 addetti (per un totale di  4.690 addetti)</w:t>
            </w:r>
            <w:r>
              <w:rPr>
                <w:rFonts w:ascii="Arial" w:hAnsi="Arial" w:cs="Arial"/>
                <w:bCs/>
                <w:sz w:val="14"/>
                <w:szCs w:val="14"/>
                <w:shd w:val="clear" w:color="auto" w:fill="FFFFFF" w:themeFill="background1"/>
              </w:rPr>
              <w:t>.</w:t>
            </w:r>
          </w:p>
          <w:p w14:paraId="26FAF450" w14:textId="3F80353C" w:rsidR="00722766" w:rsidRPr="00A46838" w:rsidRDefault="00813871" w:rsidP="00813871">
            <w:pPr>
              <w:spacing w:before="40"/>
              <w:jc w:val="left"/>
              <w:rPr>
                <w:rFonts w:ascii="Arial" w:hAnsi="Arial" w:cs="Arial"/>
                <w:bCs/>
                <w:color w:val="943634"/>
                <w:sz w:val="20"/>
              </w:rPr>
            </w:pPr>
            <w:r w:rsidRPr="00813871">
              <w:rPr>
                <w:rFonts w:ascii="Arial" w:hAnsi="Arial" w:cs="Arial"/>
                <w:bCs/>
                <w:i/>
                <w:sz w:val="14"/>
                <w:szCs w:val="14"/>
                <w:shd w:val="clear" w:color="auto" w:fill="FFFFFF" w:themeFill="background1"/>
              </w:rPr>
              <w:t xml:space="preserve">Fonte: Elaborazioni Ufficio Studi e Statistica CCIAA Treviso-Belluno su dati Unioncamere del Veneto - Indagine </w:t>
            </w:r>
            <w:proofErr w:type="spellStart"/>
            <w:r w:rsidRPr="00813871">
              <w:rPr>
                <w:rFonts w:ascii="Arial" w:hAnsi="Arial" w:cs="Arial"/>
                <w:bCs/>
                <w:i/>
                <w:sz w:val="14"/>
                <w:szCs w:val="14"/>
                <w:shd w:val="clear" w:color="auto" w:fill="FFFFFF" w:themeFill="background1"/>
              </w:rPr>
              <w:t>VenetoCongiuntura</w:t>
            </w:r>
            <w:proofErr w:type="spellEnd"/>
          </w:p>
        </w:tc>
      </w:tr>
    </w:tbl>
    <w:p w14:paraId="2147970F" w14:textId="77777777" w:rsidR="004C5F04" w:rsidRPr="00020016" w:rsidRDefault="004C5F04" w:rsidP="00937C1A">
      <w:pPr>
        <w:spacing w:after="120" w:line="276" w:lineRule="auto"/>
        <w:rPr>
          <w:rFonts w:ascii="Arial" w:hAnsi="Arial" w:cs="Arial"/>
          <w:b/>
          <w:bCs/>
          <w:color w:val="00B0F0"/>
          <w:sz w:val="22"/>
          <w:szCs w:val="22"/>
        </w:rPr>
      </w:pPr>
    </w:p>
    <w:sectPr w:rsidR="004C5F04" w:rsidRPr="00020016" w:rsidSect="005E5CA8">
      <w:headerReference w:type="default" r:id="rId23"/>
      <w:footerReference w:type="default" r:id="rId24"/>
      <w:headerReference w:type="first" r:id="rId25"/>
      <w:footerReference w:type="first" r:id="rId26"/>
      <w:pgSz w:w="11906" w:h="16838"/>
      <w:pgMar w:top="1701" w:right="1559" w:bottom="1134" w:left="1559" w:header="1418" w:footer="61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32479" w14:textId="77777777" w:rsidR="00864FD4" w:rsidRDefault="00864FD4">
      <w:r>
        <w:separator/>
      </w:r>
    </w:p>
  </w:endnote>
  <w:endnote w:type="continuationSeparator" w:id="0">
    <w:p w14:paraId="31DB3B5E" w14:textId="77777777" w:rsidR="00864FD4" w:rsidRDefault="00864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yriadPro-It">
    <w:panose1 w:val="00000000000000000000"/>
    <w:charset w:val="00"/>
    <w:family w:val="swiss"/>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edra Sans Std Demi">
    <w:altName w:val="Calibri"/>
    <w:panose1 w:val="00000000000000000000"/>
    <w:charset w:val="00"/>
    <w:family w:val="swiss"/>
    <w:notTrueType/>
    <w:pitch w:val="variable"/>
    <w:sig w:usb0="00000001" w:usb1="00000003" w:usb2="00000000" w:usb3="00000000" w:csb0="00000193" w:csb1="00000000"/>
  </w:font>
  <w:font w:name="Fedra Sans Std Light">
    <w:altName w:val="Arial"/>
    <w:panose1 w:val="00000000000000000000"/>
    <w:charset w:val="00"/>
    <w:family w:val="swiss"/>
    <w:notTrueType/>
    <w:pitch w:val="variable"/>
    <w:sig w:usb0="00000001" w:usb1="00000003"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074EE" w14:textId="77777777" w:rsidR="001525E8" w:rsidRPr="00B702F8" w:rsidRDefault="001525E8">
    <w:pPr>
      <w:pStyle w:val="Pidipagina"/>
      <w:jc w:val="right"/>
      <w:rPr>
        <w:rFonts w:ascii="Fedra Sans Std Light" w:hAnsi="Fedra Sans Std Light"/>
        <w:color w:val="000000"/>
      </w:rPr>
    </w:pPr>
    <w:r w:rsidRPr="00B702F8">
      <w:rPr>
        <w:rFonts w:ascii="Fedra Sans Std Light" w:hAnsi="Fedra Sans Std Light"/>
        <w:color w:val="000000"/>
      </w:rPr>
      <w:fldChar w:fldCharType="begin"/>
    </w:r>
    <w:r w:rsidRPr="00B702F8">
      <w:rPr>
        <w:rFonts w:ascii="Fedra Sans Std Light" w:hAnsi="Fedra Sans Std Light"/>
        <w:color w:val="000000"/>
      </w:rPr>
      <w:instrText>PAGE   \* MERGEFORMAT</w:instrText>
    </w:r>
    <w:r w:rsidRPr="00B702F8">
      <w:rPr>
        <w:rFonts w:ascii="Fedra Sans Std Light" w:hAnsi="Fedra Sans Std Light"/>
        <w:color w:val="000000"/>
      </w:rPr>
      <w:fldChar w:fldCharType="separate"/>
    </w:r>
    <w:r w:rsidR="000455C9">
      <w:rPr>
        <w:rFonts w:ascii="Fedra Sans Std Light" w:hAnsi="Fedra Sans Std Light"/>
        <w:noProof/>
        <w:color w:val="000000"/>
      </w:rPr>
      <w:t>4</w:t>
    </w:r>
    <w:r w:rsidRPr="00B702F8">
      <w:rPr>
        <w:rFonts w:ascii="Fedra Sans Std Light" w:hAnsi="Fedra Sans Std Light"/>
        <w:color w:val="000000"/>
      </w:rPr>
      <w:fldChar w:fldCharType="end"/>
    </w:r>
  </w:p>
  <w:p w14:paraId="5FF286CE" w14:textId="77777777" w:rsidR="001525E8" w:rsidRDefault="001525E8" w:rsidP="00F7784A">
    <w:pPr>
      <w:pStyle w:val="Pidipagina"/>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horzAnchor="margin" w:tblpX="-72" w:tblpY="9499"/>
      <w:tblW w:w="9356" w:type="dxa"/>
      <w:tblLayout w:type="fixed"/>
      <w:tblCellMar>
        <w:left w:w="70" w:type="dxa"/>
        <w:right w:w="70" w:type="dxa"/>
      </w:tblCellMar>
      <w:tblLook w:val="0000" w:firstRow="0" w:lastRow="0" w:firstColumn="0" w:lastColumn="0" w:noHBand="0" w:noVBand="0"/>
    </w:tblPr>
    <w:tblGrid>
      <w:gridCol w:w="4678"/>
      <w:gridCol w:w="4678"/>
    </w:tblGrid>
    <w:tr w:rsidR="001525E8" w:rsidRPr="002814E2" w14:paraId="132D5CB5" w14:textId="77777777" w:rsidTr="00240F6B">
      <w:trPr>
        <w:trHeight w:val="464"/>
      </w:trPr>
      <w:tc>
        <w:tcPr>
          <w:tcW w:w="4678" w:type="dxa"/>
          <w:vAlign w:val="center"/>
        </w:tcPr>
        <w:p w14:paraId="6C74625C" w14:textId="77777777" w:rsidR="001525E8" w:rsidRPr="00DE7B49" w:rsidRDefault="001525E8" w:rsidP="00240F6B">
          <w:pPr>
            <w:pStyle w:val="Pidipagina"/>
            <w:tabs>
              <w:tab w:val="clear" w:pos="9638"/>
            </w:tabs>
            <w:jc w:val="left"/>
            <w:rPr>
              <w:rFonts w:ascii="Fedra Sans Std Light" w:hAnsi="Fedra Sans Std Light"/>
              <w:b/>
              <w:color w:val="071D49"/>
              <w:sz w:val="20"/>
            </w:rPr>
          </w:pPr>
          <w:r w:rsidRPr="00DE7B49">
            <w:rPr>
              <w:rFonts w:ascii="Fedra Sans Std Light" w:hAnsi="Fedra Sans Std Light"/>
              <w:b/>
              <w:color w:val="071D49"/>
              <w:sz w:val="20"/>
            </w:rPr>
            <w:t>Per ulteriori informazioni:</w:t>
          </w:r>
        </w:p>
        <w:p w14:paraId="47EE50E4" w14:textId="77777777" w:rsidR="001525E8" w:rsidRPr="00DE7B49" w:rsidRDefault="001525E8" w:rsidP="00240F6B">
          <w:pPr>
            <w:pStyle w:val="Pidipagina"/>
            <w:jc w:val="left"/>
            <w:rPr>
              <w:rFonts w:ascii="Calibri" w:hAnsi="Calibri" w:cs="Calibri"/>
              <w:szCs w:val="24"/>
            </w:rPr>
          </w:pPr>
          <w:r>
            <w:rPr>
              <w:rFonts w:ascii="Fedra Sans Std Light" w:hAnsi="Fedra Sans Std Light"/>
              <w:color w:val="071D49"/>
              <w:sz w:val="20"/>
            </w:rPr>
            <w:t>0422</w:t>
          </w:r>
          <w:r w:rsidRPr="00DE7B49">
            <w:rPr>
              <w:rFonts w:ascii="Fedra Sans Std Light" w:hAnsi="Fedra Sans Std Light"/>
              <w:color w:val="071D49"/>
              <w:sz w:val="20"/>
            </w:rPr>
            <w:t xml:space="preserve"> / </w:t>
          </w:r>
          <w:r>
            <w:rPr>
              <w:rFonts w:ascii="Fedra Sans Std Light" w:hAnsi="Fedra Sans Std Light"/>
              <w:color w:val="071D49"/>
              <w:sz w:val="20"/>
            </w:rPr>
            <w:t>595366</w:t>
          </w:r>
          <w:r w:rsidRPr="00DE7B49">
            <w:rPr>
              <w:rFonts w:ascii="Fedra Sans Std Light" w:hAnsi="Fedra Sans Std Light"/>
              <w:color w:val="071D49"/>
              <w:sz w:val="20"/>
            </w:rPr>
            <w:t>-</w:t>
          </w:r>
          <w:r>
            <w:rPr>
              <w:rFonts w:ascii="Fedra Sans Std Light" w:hAnsi="Fedra Sans Std Light"/>
              <w:color w:val="071D49"/>
              <w:sz w:val="20"/>
            </w:rPr>
            <w:t>391.3236809</w:t>
          </w:r>
          <w:r w:rsidRPr="00DE7B49">
            <w:rPr>
              <w:rFonts w:ascii="Verdana" w:hAnsi="Verdana"/>
              <w:color w:val="808080"/>
              <w:sz w:val="18"/>
            </w:rPr>
            <w:t xml:space="preserve"> </w:t>
          </w:r>
        </w:p>
      </w:tc>
      <w:tc>
        <w:tcPr>
          <w:tcW w:w="4678" w:type="dxa"/>
          <w:vAlign w:val="center"/>
        </w:tcPr>
        <w:p w14:paraId="1CA22335" w14:textId="77777777" w:rsidR="001525E8" w:rsidRPr="002814E2" w:rsidRDefault="001525E8" w:rsidP="00240F6B">
          <w:pPr>
            <w:jc w:val="right"/>
            <w:rPr>
              <w:rFonts w:ascii="Calibri" w:hAnsi="Calibri" w:cs="Calibri"/>
            </w:rPr>
          </w:pPr>
          <w:r w:rsidRPr="002814E2">
            <w:rPr>
              <w:rFonts w:ascii="Calibri" w:hAnsi="Calibri" w:cs="Calibri"/>
              <w:b/>
              <w:noProof/>
            </w:rPr>
            <w:drawing>
              <wp:inline distT="0" distB="0" distL="0" distR="0" wp14:anchorId="708C9105" wp14:editId="5BA4563D">
                <wp:extent cx="219075" cy="219075"/>
                <wp:effectExtent l="0" t="0" r="9525" b="9525"/>
                <wp:docPr id="17" name="Immagine 17" descr="home_uc_a">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_uc_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2814E2">
            <w:rPr>
              <w:rFonts w:ascii="Calibri" w:hAnsi="Calibri" w:cs="Calibri"/>
              <w:b/>
            </w:rPr>
            <w:t xml:space="preserve"> </w:t>
          </w:r>
          <w:r w:rsidRPr="002814E2">
            <w:rPr>
              <w:rFonts w:ascii="Calibri" w:hAnsi="Calibri" w:cs="Calibri"/>
              <w:b/>
              <w:noProof/>
            </w:rPr>
            <w:drawing>
              <wp:inline distT="0" distB="0" distL="0" distR="0" wp14:anchorId="4A8D51E1" wp14:editId="2A8AF7E9">
                <wp:extent cx="219075" cy="219075"/>
                <wp:effectExtent l="0" t="0" r="9525" b="9525"/>
                <wp:docPr id="18" name="Immagine 18" descr="ico_uc_email">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co_uc_emai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r w:rsidRPr="002814E2">
            <w:rPr>
              <w:rFonts w:ascii="Calibri" w:hAnsi="Calibri" w:cs="Calibri"/>
              <w:b/>
            </w:rPr>
            <w:t xml:space="preserve"> </w:t>
          </w:r>
          <w:r>
            <w:rPr>
              <w:noProof/>
            </w:rPr>
            <w:drawing>
              <wp:inline distT="0" distB="0" distL="0" distR="0" wp14:anchorId="305570F3" wp14:editId="58DAE2CF">
                <wp:extent cx="228600" cy="228600"/>
                <wp:effectExtent l="0" t="0" r="0" b="0"/>
                <wp:docPr id="19" name="Immagine 19" descr="logo-facebook-piccolo-andal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facebook-piccolo-andal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2814E2">
            <w:rPr>
              <w:rFonts w:ascii="Calibri" w:hAnsi="Calibri" w:cs="Calibri"/>
              <w:noProof/>
            </w:rPr>
            <w:drawing>
              <wp:inline distT="0" distB="0" distL="0" distR="0" wp14:anchorId="603BF271" wp14:editId="76D0D1AF">
                <wp:extent cx="400050" cy="219075"/>
                <wp:effectExtent l="0" t="0" r="0" b="9525"/>
                <wp:docPr id="20" name="Immagine 20" descr="twit rosso uc">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wit rosso u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0050" cy="219075"/>
                        </a:xfrm>
                        <a:prstGeom prst="rect">
                          <a:avLst/>
                        </a:prstGeom>
                        <a:noFill/>
                        <a:ln>
                          <a:noFill/>
                        </a:ln>
                      </pic:spPr>
                    </pic:pic>
                  </a:graphicData>
                </a:graphic>
              </wp:inline>
            </w:drawing>
          </w:r>
          <w:r w:rsidRPr="002814E2">
            <w:rPr>
              <w:rFonts w:ascii="Calibri" w:hAnsi="Calibri" w:cs="Calibri"/>
              <w:noProof/>
            </w:rPr>
            <w:drawing>
              <wp:inline distT="0" distB="0" distL="0" distR="0" wp14:anchorId="44091159" wp14:editId="2AEB5707">
                <wp:extent cx="428625" cy="228600"/>
                <wp:effectExtent l="0" t="0" r="9525" b="0"/>
                <wp:docPr id="21" name="Immagine 21" descr="url1_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rl1_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8625" cy="228600"/>
                        </a:xfrm>
                        <a:prstGeom prst="rect">
                          <a:avLst/>
                        </a:prstGeom>
                        <a:noFill/>
                        <a:ln>
                          <a:noFill/>
                        </a:ln>
                      </pic:spPr>
                    </pic:pic>
                  </a:graphicData>
                </a:graphic>
              </wp:inline>
            </w:drawing>
          </w:r>
          <w:r w:rsidRPr="002814E2">
            <w:rPr>
              <w:rFonts w:ascii="Calibri" w:hAnsi="Calibri" w:cs="Calibri"/>
            </w:rPr>
            <w:t xml:space="preserve">  </w:t>
          </w:r>
          <w:r w:rsidRPr="002814E2">
            <w:rPr>
              <w:rFonts w:ascii="Calibri" w:hAnsi="Calibri" w:cs="Calibri"/>
              <w:b/>
            </w:rPr>
            <w:t xml:space="preserve"> </w:t>
          </w:r>
        </w:p>
      </w:tc>
    </w:tr>
  </w:tbl>
  <w:p w14:paraId="4E4A44EC" w14:textId="77777777" w:rsidR="001525E8" w:rsidRDefault="001525E8" w:rsidP="00F26FF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5A35A" w14:textId="77777777" w:rsidR="00864FD4" w:rsidRDefault="00864FD4">
      <w:r>
        <w:separator/>
      </w:r>
    </w:p>
  </w:footnote>
  <w:footnote w:type="continuationSeparator" w:id="0">
    <w:p w14:paraId="03C87FD3" w14:textId="77777777" w:rsidR="00864FD4" w:rsidRDefault="00864FD4">
      <w:r>
        <w:continuationSeparator/>
      </w:r>
    </w:p>
  </w:footnote>
  <w:footnote w:id="1">
    <w:p w14:paraId="6469A0F3" w14:textId="558E4030" w:rsidR="00D145AF" w:rsidRDefault="00D145AF" w:rsidP="00D145AF">
      <w:pPr>
        <w:pStyle w:val="Testonotaapidipagina"/>
        <w:jc w:val="both"/>
      </w:pPr>
      <w:r w:rsidRPr="002F2FB1">
        <w:rPr>
          <w:rStyle w:val="Rimandonotaapidipagina"/>
        </w:rPr>
        <w:footnoteRef/>
      </w:r>
      <w:r w:rsidRPr="002F2FB1">
        <w:t xml:space="preserve"> </w:t>
      </w:r>
      <w:r w:rsidRPr="002F2FB1">
        <w:rPr>
          <w:rFonts w:asciiTheme="minorHAnsi" w:hAnsiTheme="minorHAnsi" w:cstheme="minorHAnsi"/>
        </w:rPr>
        <w:t xml:space="preserve">Indagine su un campione </w:t>
      </w:r>
      <w:r w:rsidR="002F2FB1" w:rsidRPr="002F2FB1">
        <w:rPr>
          <w:rFonts w:asciiTheme="minorHAnsi" w:hAnsiTheme="minorHAnsi" w:cstheme="minorHAnsi"/>
        </w:rPr>
        <w:t xml:space="preserve">di 2.466 </w:t>
      </w:r>
      <w:r w:rsidRPr="002F2FB1">
        <w:rPr>
          <w:rFonts w:asciiTheme="minorHAnsi" w:hAnsiTheme="minorHAnsi" w:cstheme="minorHAnsi"/>
        </w:rPr>
        <w:t xml:space="preserve">imprese con almeno 10 addetti del Veneto, di cui </w:t>
      </w:r>
      <w:r w:rsidR="002F2FB1" w:rsidRPr="002F2FB1">
        <w:rPr>
          <w:rFonts w:asciiTheme="minorHAnsi" w:hAnsiTheme="minorHAnsi" w:cstheme="minorHAnsi"/>
        </w:rPr>
        <w:t>79</w:t>
      </w:r>
      <w:r w:rsidRPr="002F2FB1">
        <w:rPr>
          <w:rFonts w:asciiTheme="minorHAnsi" w:hAnsiTheme="minorHAnsi" w:cstheme="minorHAnsi"/>
        </w:rPr>
        <w:t xml:space="preserve"> imprese della</w:t>
      </w:r>
      <w:r w:rsidRPr="002F2FB1">
        <w:rPr>
          <w:rFonts w:asciiTheme="minorHAnsi" w:hAnsiTheme="minorHAnsi" w:cstheme="minorHAnsi"/>
          <w:shd w:val="clear" w:color="auto" w:fill="FFFF00"/>
        </w:rPr>
        <w:t xml:space="preserve"> </w:t>
      </w:r>
      <w:r w:rsidRPr="002F2FB1">
        <w:rPr>
          <w:rFonts w:asciiTheme="minorHAnsi" w:hAnsiTheme="minorHAnsi" w:cstheme="minorHAnsi"/>
        </w:rPr>
        <w:t xml:space="preserve">provincia di Belluno e </w:t>
      </w:r>
      <w:r w:rsidR="002F2FB1" w:rsidRPr="002F2FB1">
        <w:rPr>
          <w:rFonts w:asciiTheme="minorHAnsi" w:hAnsiTheme="minorHAnsi" w:cstheme="minorHAnsi"/>
        </w:rPr>
        <w:t>539</w:t>
      </w:r>
      <w:r w:rsidRPr="002F2FB1">
        <w:rPr>
          <w:rFonts w:asciiTheme="minorHAnsi" w:hAnsiTheme="minorHAnsi" w:cstheme="minorHAnsi"/>
        </w:rPr>
        <w:t xml:space="preserve"> imprese della provincia di Treviso.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1F336" w14:textId="77777777" w:rsidR="001525E8" w:rsidRDefault="001525E8">
    <w:pPr>
      <w:pStyle w:val="Intestazione"/>
    </w:pPr>
    <w:r>
      <w:rPr>
        <w:noProof/>
      </w:rPr>
      <w:drawing>
        <wp:anchor distT="0" distB="0" distL="114300" distR="114300" simplePos="0" relativeHeight="251656704" behindDoc="0" locked="0" layoutInCell="1" allowOverlap="1" wp14:anchorId="3B4F5F2A" wp14:editId="6F029AE8">
          <wp:simplePos x="0" y="0"/>
          <wp:positionH relativeFrom="margin">
            <wp:posOffset>-565150</wp:posOffset>
          </wp:positionH>
          <wp:positionV relativeFrom="margin">
            <wp:posOffset>-1009015</wp:posOffset>
          </wp:positionV>
          <wp:extent cx="3122930" cy="543560"/>
          <wp:effectExtent l="0" t="0" r="1270" b="8890"/>
          <wp:wrapNone/>
          <wp:docPr id="13" name="Immagine 5" descr="TrevisoBelluno2-marchio-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visoBelluno2-marchio-colo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2930" cy="543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6C3BC1" w14:textId="77777777" w:rsidR="001525E8" w:rsidRDefault="001525E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BA534" w14:textId="5F159AEA" w:rsidR="001525E8" w:rsidRDefault="00A230FF">
    <w:pPr>
      <w:pStyle w:val="Intestazione"/>
    </w:pPr>
    <w:r>
      <w:rPr>
        <w:noProof/>
      </w:rPr>
      <w:drawing>
        <wp:anchor distT="0" distB="0" distL="114300" distR="114300" simplePos="0" relativeHeight="251658752" behindDoc="0" locked="0" layoutInCell="1" allowOverlap="1" wp14:anchorId="51FDAF84" wp14:editId="14C9B8E2">
          <wp:simplePos x="0" y="0"/>
          <wp:positionH relativeFrom="margin">
            <wp:posOffset>-740410</wp:posOffset>
          </wp:positionH>
          <wp:positionV relativeFrom="margin">
            <wp:posOffset>-525145</wp:posOffset>
          </wp:positionV>
          <wp:extent cx="3122930" cy="543560"/>
          <wp:effectExtent l="0" t="0" r="1270" b="8890"/>
          <wp:wrapNone/>
          <wp:docPr id="15" name="Immagine 15" descr="TrevisoBelluno2-marchio-col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revisoBelluno2-marchio-colo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22930" cy="5435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08B7A826" wp14:editId="6C80E0E5">
          <wp:simplePos x="0" y="0"/>
          <wp:positionH relativeFrom="page">
            <wp:align>left</wp:align>
          </wp:positionH>
          <wp:positionV relativeFrom="page">
            <wp:align>top</wp:align>
          </wp:positionV>
          <wp:extent cx="8170545" cy="1692275"/>
          <wp:effectExtent l="0" t="0" r="1905" b="3175"/>
          <wp:wrapNone/>
          <wp:docPr id="16" name="Immagine 16" descr="testata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estata new"/>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70545" cy="16922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50.4pt;height:50.4pt" o:bullet="t">
        <v:imagedata r:id="rId1" o:title="ico_uc_email"/>
      </v:shape>
    </w:pict>
  </w:numPicBullet>
  <w:abstractNum w:abstractNumId="0" w15:restartNumberingAfterBreak="0">
    <w:nsid w:val="0C862C21"/>
    <w:multiLevelType w:val="hybridMultilevel"/>
    <w:tmpl w:val="B5562A1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86E6B88"/>
    <w:multiLevelType w:val="hybridMultilevel"/>
    <w:tmpl w:val="DF56A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A7E05C5"/>
    <w:multiLevelType w:val="hybridMultilevel"/>
    <w:tmpl w:val="29A2BAC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AF15840"/>
    <w:multiLevelType w:val="hybridMultilevel"/>
    <w:tmpl w:val="F334AEA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D8819BC"/>
    <w:multiLevelType w:val="hybridMultilevel"/>
    <w:tmpl w:val="F5660504"/>
    <w:lvl w:ilvl="0" w:tplc="7EBC7138">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3CE5CDB"/>
    <w:multiLevelType w:val="hybridMultilevel"/>
    <w:tmpl w:val="08FADE9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28F04347"/>
    <w:multiLevelType w:val="hybridMultilevel"/>
    <w:tmpl w:val="98E05DD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D0F61C1"/>
    <w:multiLevelType w:val="hybridMultilevel"/>
    <w:tmpl w:val="F54C22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1401B30"/>
    <w:multiLevelType w:val="hybridMultilevel"/>
    <w:tmpl w:val="54522A5C"/>
    <w:lvl w:ilvl="0" w:tplc="04100001">
      <w:start w:val="1"/>
      <w:numFmt w:val="bullet"/>
      <w:lvlText w:val=""/>
      <w:lvlJc w:val="left"/>
      <w:pPr>
        <w:ind w:left="1500" w:hanging="360"/>
      </w:pPr>
      <w:rPr>
        <w:rFonts w:ascii="Symbol" w:hAnsi="Symbol"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9" w15:restartNumberingAfterBreak="0">
    <w:nsid w:val="3B881B7C"/>
    <w:multiLevelType w:val="hybridMultilevel"/>
    <w:tmpl w:val="4D2E4B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0357191"/>
    <w:multiLevelType w:val="hybridMultilevel"/>
    <w:tmpl w:val="1F02DF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6572EDC"/>
    <w:multiLevelType w:val="hybridMultilevel"/>
    <w:tmpl w:val="F48A1554"/>
    <w:lvl w:ilvl="0" w:tplc="0410000F">
      <w:start w:val="1"/>
      <w:numFmt w:val="decimal"/>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4B3611A5"/>
    <w:multiLevelType w:val="hybridMultilevel"/>
    <w:tmpl w:val="1C4E47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1EF0424"/>
    <w:multiLevelType w:val="hybridMultilevel"/>
    <w:tmpl w:val="0AE409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63F67D5"/>
    <w:multiLevelType w:val="hybridMultilevel"/>
    <w:tmpl w:val="F334AEA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5E84738"/>
    <w:multiLevelType w:val="hybridMultilevel"/>
    <w:tmpl w:val="F334AEA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96B79CB"/>
    <w:multiLevelType w:val="hybridMultilevel"/>
    <w:tmpl w:val="D1FE794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9BA4F2F"/>
    <w:multiLevelType w:val="singleLevel"/>
    <w:tmpl w:val="851CE2B8"/>
    <w:lvl w:ilvl="0">
      <w:start w:val="1"/>
      <w:numFmt w:val="bullet"/>
      <w:pStyle w:val="Rientrolettere"/>
      <w:lvlText w:val="-"/>
      <w:lvlJc w:val="left"/>
      <w:pPr>
        <w:tabs>
          <w:tab w:val="num" w:pos="360"/>
        </w:tabs>
        <w:ind w:left="360" w:hanging="360"/>
      </w:pPr>
      <w:rPr>
        <w:rFonts w:ascii="Times New Roman" w:hAnsi="Times New Roman" w:hint="default"/>
      </w:rPr>
    </w:lvl>
  </w:abstractNum>
  <w:abstractNum w:abstractNumId="18" w15:restartNumberingAfterBreak="0">
    <w:nsid w:val="6A1E5877"/>
    <w:multiLevelType w:val="hybridMultilevel"/>
    <w:tmpl w:val="43069C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D1A44D9"/>
    <w:multiLevelType w:val="hybridMultilevel"/>
    <w:tmpl w:val="03042C52"/>
    <w:lvl w:ilvl="0" w:tplc="B426A8A8">
      <w:start w:val="1"/>
      <w:numFmt w:val="bullet"/>
      <w:lvlText w:val=""/>
      <w:lvlJc w:val="left"/>
      <w:pPr>
        <w:ind w:left="-2136" w:hanging="360"/>
      </w:pPr>
      <w:rPr>
        <w:rFonts w:ascii="Symbol" w:hAnsi="Symbol" w:hint="default"/>
        <w:color w:val="auto"/>
      </w:rPr>
    </w:lvl>
    <w:lvl w:ilvl="1" w:tplc="04100003">
      <w:start w:val="1"/>
      <w:numFmt w:val="bullet"/>
      <w:lvlText w:val="o"/>
      <w:lvlJc w:val="left"/>
      <w:pPr>
        <w:ind w:left="-1416" w:hanging="360"/>
      </w:pPr>
      <w:rPr>
        <w:rFonts w:ascii="Courier New" w:hAnsi="Courier New" w:cs="Courier New" w:hint="default"/>
      </w:rPr>
    </w:lvl>
    <w:lvl w:ilvl="2" w:tplc="04100005">
      <w:start w:val="1"/>
      <w:numFmt w:val="bullet"/>
      <w:lvlText w:val=""/>
      <w:lvlJc w:val="left"/>
      <w:pPr>
        <w:ind w:left="-696" w:hanging="360"/>
      </w:pPr>
      <w:rPr>
        <w:rFonts w:ascii="Wingdings" w:hAnsi="Wingdings" w:hint="default"/>
      </w:rPr>
    </w:lvl>
    <w:lvl w:ilvl="3" w:tplc="04100001">
      <w:start w:val="1"/>
      <w:numFmt w:val="bullet"/>
      <w:lvlText w:val=""/>
      <w:lvlJc w:val="left"/>
      <w:pPr>
        <w:ind w:left="24" w:hanging="360"/>
      </w:pPr>
      <w:rPr>
        <w:rFonts w:ascii="Symbol" w:hAnsi="Symbol" w:hint="default"/>
      </w:rPr>
    </w:lvl>
    <w:lvl w:ilvl="4" w:tplc="04100003" w:tentative="1">
      <w:start w:val="1"/>
      <w:numFmt w:val="bullet"/>
      <w:lvlText w:val="o"/>
      <w:lvlJc w:val="left"/>
      <w:pPr>
        <w:ind w:left="744" w:hanging="360"/>
      </w:pPr>
      <w:rPr>
        <w:rFonts w:ascii="Courier New" w:hAnsi="Courier New" w:cs="Courier New" w:hint="default"/>
      </w:rPr>
    </w:lvl>
    <w:lvl w:ilvl="5" w:tplc="04100005" w:tentative="1">
      <w:start w:val="1"/>
      <w:numFmt w:val="bullet"/>
      <w:lvlText w:val=""/>
      <w:lvlJc w:val="left"/>
      <w:pPr>
        <w:ind w:left="1464" w:hanging="360"/>
      </w:pPr>
      <w:rPr>
        <w:rFonts w:ascii="Wingdings" w:hAnsi="Wingdings" w:hint="default"/>
      </w:rPr>
    </w:lvl>
    <w:lvl w:ilvl="6" w:tplc="04100001" w:tentative="1">
      <w:start w:val="1"/>
      <w:numFmt w:val="bullet"/>
      <w:lvlText w:val=""/>
      <w:lvlJc w:val="left"/>
      <w:pPr>
        <w:ind w:left="2184" w:hanging="360"/>
      </w:pPr>
      <w:rPr>
        <w:rFonts w:ascii="Symbol" w:hAnsi="Symbol" w:hint="default"/>
      </w:rPr>
    </w:lvl>
    <w:lvl w:ilvl="7" w:tplc="04100003" w:tentative="1">
      <w:start w:val="1"/>
      <w:numFmt w:val="bullet"/>
      <w:lvlText w:val="o"/>
      <w:lvlJc w:val="left"/>
      <w:pPr>
        <w:ind w:left="2904" w:hanging="360"/>
      </w:pPr>
      <w:rPr>
        <w:rFonts w:ascii="Courier New" w:hAnsi="Courier New" w:cs="Courier New" w:hint="default"/>
      </w:rPr>
    </w:lvl>
    <w:lvl w:ilvl="8" w:tplc="04100005" w:tentative="1">
      <w:start w:val="1"/>
      <w:numFmt w:val="bullet"/>
      <w:lvlText w:val=""/>
      <w:lvlJc w:val="left"/>
      <w:pPr>
        <w:ind w:left="3624" w:hanging="360"/>
      </w:pPr>
      <w:rPr>
        <w:rFonts w:ascii="Wingdings" w:hAnsi="Wingdings" w:hint="default"/>
      </w:rPr>
    </w:lvl>
  </w:abstractNum>
  <w:abstractNum w:abstractNumId="20" w15:restartNumberingAfterBreak="0">
    <w:nsid w:val="71E0764D"/>
    <w:multiLevelType w:val="hybridMultilevel"/>
    <w:tmpl w:val="886870D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5516FD1"/>
    <w:multiLevelType w:val="multilevel"/>
    <w:tmpl w:val="B91E3F5E"/>
    <w:lvl w:ilvl="0">
      <w:start w:val="1"/>
      <w:numFmt w:val="decimal"/>
      <w:lvlText w:val="%1."/>
      <w:lvlJc w:val="left"/>
      <w:pPr>
        <w:tabs>
          <w:tab w:val="num" w:pos="360"/>
        </w:tabs>
        <w:ind w:left="360" w:hanging="360"/>
      </w:pPr>
    </w:lvl>
    <w:lvl w:ilvl="1">
      <w:start w:val="1"/>
      <w:numFmt w:val="decimal"/>
      <w:pStyle w:val="S2"/>
      <w:lvlText w:val="%1.%2."/>
      <w:lvlJc w:val="left"/>
      <w:pPr>
        <w:tabs>
          <w:tab w:val="num" w:pos="792"/>
        </w:tabs>
        <w:ind w:left="792" w:hanging="79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854732383">
    <w:abstractNumId w:val="21"/>
  </w:num>
  <w:num w:numId="2" w16cid:durableId="574586051">
    <w:abstractNumId w:val="17"/>
  </w:num>
  <w:num w:numId="3" w16cid:durableId="230970560">
    <w:abstractNumId w:val="4"/>
  </w:num>
  <w:num w:numId="4" w16cid:durableId="1644313728">
    <w:abstractNumId w:val="8"/>
  </w:num>
  <w:num w:numId="5" w16cid:durableId="1176579892">
    <w:abstractNumId w:val="1"/>
  </w:num>
  <w:num w:numId="6" w16cid:durableId="1483815008">
    <w:abstractNumId w:val="9"/>
  </w:num>
  <w:num w:numId="7" w16cid:durableId="1559976903">
    <w:abstractNumId w:val="11"/>
  </w:num>
  <w:num w:numId="8" w16cid:durableId="1872721963">
    <w:abstractNumId w:val="6"/>
  </w:num>
  <w:num w:numId="9" w16cid:durableId="1264918403">
    <w:abstractNumId w:val="16"/>
  </w:num>
  <w:num w:numId="10" w16cid:durableId="983660304">
    <w:abstractNumId w:val="0"/>
  </w:num>
  <w:num w:numId="11" w16cid:durableId="684868137">
    <w:abstractNumId w:val="20"/>
  </w:num>
  <w:num w:numId="12" w16cid:durableId="1454902452">
    <w:abstractNumId w:val="15"/>
  </w:num>
  <w:num w:numId="13" w16cid:durableId="1400439090">
    <w:abstractNumId w:val="3"/>
  </w:num>
  <w:num w:numId="14" w16cid:durableId="373239779">
    <w:abstractNumId w:val="14"/>
  </w:num>
  <w:num w:numId="15" w16cid:durableId="1173954113">
    <w:abstractNumId w:val="2"/>
  </w:num>
  <w:num w:numId="16" w16cid:durableId="2056469673">
    <w:abstractNumId w:val="5"/>
  </w:num>
  <w:num w:numId="17" w16cid:durableId="1373966177">
    <w:abstractNumId w:val="13"/>
  </w:num>
  <w:num w:numId="18" w16cid:durableId="1500191047">
    <w:abstractNumId w:val="19"/>
  </w:num>
  <w:num w:numId="19" w16cid:durableId="1804154362">
    <w:abstractNumId w:val="18"/>
  </w:num>
  <w:num w:numId="20" w16cid:durableId="1547333684">
    <w:abstractNumId w:val="10"/>
  </w:num>
  <w:num w:numId="21" w16cid:durableId="1659651832">
    <w:abstractNumId w:val="12"/>
  </w:num>
  <w:num w:numId="22" w16cid:durableId="894895728">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82D"/>
    <w:rsid w:val="00000928"/>
    <w:rsid w:val="00002EC7"/>
    <w:rsid w:val="00003548"/>
    <w:rsid w:val="00003972"/>
    <w:rsid w:val="00003C06"/>
    <w:rsid w:val="00004370"/>
    <w:rsid w:val="00004F0E"/>
    <w:rsid w:val="00005C8A"/>
    <w:rsid w:val="00006442"/>
    <w:rsid w:val="000073D1"/>
    <w:rsid w:val="00007CB9"/>
    <w:rsid w:val="0001097C"/>
    <w:rsid w:val="00011912"/>
    <w:rsid w:val="000121D2"/>
    <w:rsid w:val="000132FD"/>
    <w:rsid w:val="00014811"/>
    <w:rsid w:val="00014F9E"/>
    <w:rsid w:val="0001618B"/>
    <w:rsid w:val="00017A75"/>
    <w:rsid w:val="00017ABD"/>
    <w:rsid w:val="00017B9B"/>
    <w:rsid w:val="00017BE4"/>
    <w:rsid w:val="00017D52"/>
    <w:rsid w:val="00017EA6"/>
    <w:rsid w:val="00020016"/>
    <w:rsid w:val="0002005B"/>
    <w:rsid w:val="00020DC8"/>
    <w:rsid w:val="00021059"/>
    <w:rsid w:val="000219E6"/>
    <w:rsid w:val="00021EBC"/>
    <w:rsid w:val="0002287C"/>
    <w:rsid w:val="00022AF9"/>
    <w:rsid w:val="00023E81"/>
    <w:rsid w:val="00023EA2"/>
    <w:rsid w:val="0002456A"/>
    <w:rsid w:val="00025019"/>
    <w:rsid w:val="00025236"/>
    <w:rsid w:val="0002529B"/>
    <w:rsid w:val="00025381"/>
    <w:rsid w:val="00026B09"/>
    <w:rsid w:val="0002702E"/>
    <w:rsid w:val="000270C7"/>
    <w:rsid w:val="00027C94"/>
    <w:rsid w:val="00027F2E"/>
    <w:rsid w:val="00031CE8"/>
    <w:rsid w:val="000331F4"/>
    <w:rsid w:val="00033295"/>
    <w:rsid w:val="00034813"/>
    <w:rsid w:val="00034C00"/>
    <w:rsid w:val="00034E0A"/>
    <w:rsid w:val="00034FA9"/>
    <w:rsid w:val="0003666F"/>
    <w:rsid w:val="00037F6B"/>
    <w:rsid w:val="000407B0"/>
    <w:rsid w:val="00040C2C"/>
    <w:rsid w:val="000418B0"/>
    <w:rsid w:val="00043006"/>
    <w:rsid w:val="00043A2D"/>
    <w:rsid w:val="000454BF"/>
    <w:rsid w:val="000455C9"/>
    <w:rsid w:val="000461F7"/>
    <w:rsid w:val="00050076"/>
    <w:rsid w:val="000506A1"/>
    <w:rsid w:val="00050CEE"/>
    <w:rsid w:val="00052137"/>
    <w:rsid w:val="000524D0"/>
    <w:rsid w:val="00052700"/>
    <w:rsid w:val="000533F9"/>
    <w:rsid w:val="000536E0"/>
    <w:rsid w:val="00053D79"/>
    <w:rsid w:val="00054023"/>
    <w:rsid w:val="000546B1"/>
    <w:rsid w:val="0005579B"/>
    <w:rsid w:val="00055B04"/>
    <w:rsid w:val="00055E89"/>
    <w:rsid w:val="00055EDA"/>
    <w:rsid w:val="00056556"/>
    <w:rsid w:val="00056A8C"/>
    <w:rsid w:val="00057361"/>
    <w:rsid w:val="000601AC"/>
    <w:rsid w:val="0006087B"/>
    <w:rsid w:val="000611E7"/>
    <w:rsid w:val="000625D3"/>
    <w:rsid w:val="00062665"/>
    <w:rsid w:val="00063A79"/>
    <w:rsid w:val="00064317"/>
    <w:rsid w:val="00064E8B"/>
    <w:rsid w:val="000658A3"/>
    <w:rsid w:val="00065A3F"/>
    <w:rsid w:val="00065EAB"/>
    <w:rsid w:val="000660E4"/>
    <w:rsid w:val="000675AA"/>
    <w:rsid w:val="00071C47"/>
    <w:rsid w:val="00072502"/>
    <w:rsid w:val="00072EDB"/>
    <w:rsid w:val="000732A6"/>
    <w:rsid w:val="00073993"/>
    <w:rsid w:val="0007438F"/>
    <w:rsid w:val="000743AB"/>
    <w:rsid w:val="00074CF3"/>
    <w:rsid w:val="00075674"/>
    <w:rsid w:val="00075717"/>
    <w:rsid w:val="00075768"/>
    <w:rsid w:val="00076260"/>
    <w:rsid w:val="00076976"/>
    <w:rsid w:val="000776E3"/>
    <w:rsid w:val="00077AF7"/>
    <w:rsid w:val="00077E23"/>
    <w:rsid w:val="00080131"/>
    <w:rsid w:val="00081250"/>
    <w:rsid w:val="00081315"/>
    <w:rsid w:val="00081AA6"/>
    <w:rsid w:val="0008234A"/>
    <w:rsid w:val="000850D0"/>
    <w:rsid w:val="0008516D"/>
    <w:rsid w:val="00085780"/>
    <w:rsid w:val="00085B7C"/>
    <w:rsid w:val="00086677"/>
    <w:rsid w:val="00087E52"/>
    <w:rsid w:val="00091C1D"/>
    <w:rsid w:val="0009266C"/>
    <w:rsid w:val="00092AA6"/>
    <w:rsid w:val="00092B0A"/>
    <w:rsid w:val="00092DD2"/>
    <w:rsid w:val="000930C5"/>
    <w:rsid w:val="00094D41"/>
    <w:rsid w:val="00095AD6"/>
    <w:rsid w:val="00096092"/>
    <w:rsid w:val="00096418"/>
    <w:rsid w:val="00096F23"/>
    <w:rsid w:val="0009763B"/>
    <w:rsid w:val="00097D84"/>
    <w:rsid w:val="000A0D17"/>
    <w:rsid w:val="000A1C18"/>
    <w:rsid w:val="000A1EA8"/>
    <w:rsid w:val="000A1F2B"/>
    <w:rsid w:val="000A254C"/>
    <w:rsid w:val="000A2780"/>
    <w:rsid w:val="000A35C6"/>
    <w:rsid w:val="000A3C0C"/>
    <w:rsid w:val="000A411E"/>
    <w:rsid w:val="000A4846"/>
    <w:rsid w:val="000A505C"/>
    <w:rsid w:val="000A5C7E"/>
    <w:rsid w:val="000A657A"/>
    <w:rsid w:val="000A68DE"/>
    <w:rsid w:val="000A7179"/>
    <w:rsid w:val="000A71E9"/>
    <w:rsid w:val="000B1360"/>
    <w:rsid w:val="000B1B42"/>
    <w:rsid w:val="000B217E"/>
    <w:rsid w:val="000B2D19"/>
    <w:rsid w:val="000B3A2B"/>
    <w:rsid w:val="000B441C"/>
    <w:rsid w:val="000B49A8"/>
    <w:rsid w:val="000B4DC4"/>
    <w:rsid w:val="000B55D8"/>
    <w:rsid w:val="000B594E"/>
    <w:rsid w:val="000B5BF3"/>
    <w:rsid w:val="000B5C29"/>
    <w:rsid w:val="000B6C06"/>
    <w:rsid w:val="000B784A"/>
    <w:rsid w:val="000C1633"/>
    <w:rsid w:val="000C26ED"/>
    <w:rsid w:val="000C2A74"/>
    <w:rsid w:val="000C2ACE"/>
    <w:rsid w:val="000C302B"/>
    <w:rsid w:val="000C3321"/>
    <w:rsid w:val="000C33B0"/>
    <w:rsid w:val="000C3ABD"/>
    <w:rsid w:val="000C48B9"/>
    <w:rsid w:val="000C5546"/>
    <w:rsid w:val="000C5AF0"/>
    <w:rsid w:val="000C608D"/>
    <w:rsid w:val="000C655D"/>
    <w:rsid w:val="000C6686"/>
    <w:rsid w:val="000C723F"/>
    <w:rsid w:val="000C792E"/>
    <w:rsid w:val="000C7F11"/>
    <w:rsid w:val="000D02E6"/>
    <w:rsid w:val="000D0A3C"/>
    <w:rsid w:val="000D0B5A"/>
    <w:rsid w:val="000D0BCE"/>
    <w:rsid w:val="000D123F"/>
    <w:rsid w:val="000D174F"/>
    <w:rsid w:val="000D1EE3"/>
    <w:rsid w:val="000D3896"/>
    <w:rsid w:val="000D3C9E"/>
    <w:rsid w:val="000D3E59"/>
    <w:rsid w:val="000D415B"/>
    <w:rsid w:val="000D52F9"/>
    <w:rsid w:val="000D615E"/>
    <w:rsid w:val="000E02E5"/>
    <w:rsid w:val="000E073D"/>
    <w:rsid w:val="000E0FDC"/>
    <w:rsid w:val="000E11AE"/>
    <w:rsid w:val="000E1752"/>
    <w:rsid w:val="000E2560"/>
    <w:rsid w:val="000E475F"/>
    <w:rsid w:val="000E48CB"/>
    <w:rsid w:val="000E542C"/>
    <w:rsid w:val="000E5BF7"/>
    <w:rsid w:val="000E669F"/>
    <w:rsid w:val="000E6BB1"/>
    <w:rsid w:val="000E6FE3"/>
    <w:rsid w:val="000E744C"/>
    <w:rsid w:val="000E76C1"/>
    <w:rsid w:val="000F0606"/>
    <w:rsid w:val="000F067A"/>
    <w:rsid w:val="000F0987"/>
    <w:rsid w:val="000F1CD3"/>
    <w:rsid w:val="000F21BC"/>
    <w:rsid w:val="000F3A56"/>
    <w:rsid w:val="000F3D20"/>
    <w:rsid w:val="000F4E00"/>
    <w:rsid w:val="000F59F4"/>
    <w:rsid w:val="000F5B3A"/>
    <w:rsid w:val="000F5EC7"/>
    <w:rsid w:val="000F6131"/>
    <w:rsid w:val="000F6AFD"/>
    <w:rsid w:val="000F70D9"/>
    <w:rsid w:val="000F7D2B"/>
    <w:rsid w:val="00100146"/>
    <w:rsid w:val="00100BE1"/>
    <w:rsid w:val="0010260E"/>
    <w:rsid w:val="00103549"/>
    <w:rsid w:val="00103F35"/>
    <w:rsid w:val="00106043"/>
    <w:rsid w:val="00106264"/>
    <w:rsid w:val="001063DE"/>
    <w:rsid w:val="001064BB"/>
    <w:rsid w:val="001069E4"/>
    <w:rsid w:val="001078D9"/>
    <w:rsid w:val="00107E13"/>
    <w:rsid w:val="00110941"/>
    <w:rsid w:val="00113F90"/>
    <w:rsid w:val="001140F7"/>
    <w:rsid w:val="00114CC3"/>
    <w:rsid w:val="00115901"/>
    <w:rsid w:val="0011658F"/>
    <w:rsid w:val="001179D5"/>
    <w:rsid w:val="00120548"/>
    <w:rsid w:val="001211FE"/>
    <w:rsid w:val="0012386E"/>
    <w:rsid w:val="00124036"/>
    <w:rsid w:val="00124188"/>
    <w:rsid w:val="00125320"/>
    <w:rsid w:val="00125DF7"/>
    <w:rsid w:val="001263A4"/>
    <w:rsid w:val="00127225"/>
    <w:rsid w:val="001307DC"/>
    <w:rsid w:val="00130A2D"/>
    <w:rsid w:val="00131082"/>
    <w:rsid w:val="001315AB"/>
    <w:rsid w:val="0013235E"/>
    <w:rsid w:val="0013265E"/>
    <w:rsid w:val="00133856"/>
    <w:rsid w:val="00133B82"/>
    <w:rsid w:val="00133D71"/>
    <w:rsid w:val="001343D3"/>
    <w:rsid w:val="001346A0"/>
    <w:rsid w:val="00136422"/>
    <w:rsid w:val="00136511"/>
    <w:rsid w:val="00136844"/>
    <w:rsid w:val="00140644"/>
    <w:rsid w:val="0014099B"/>
    <w:rsid w:val="00140BBB"/>
    <w:rsid w:val="00140E91"/>
    <w:rsid w:val="0014164D"/>
    <w:rsid w:val="00141D9C"/>
    <w:rsid w:val="001424D6"/>
    <w:rsid w:val="00142E25"/>
    <w:rsid w:val="00142F58"/>
    <w:rsid w:val="0014309F"/>
    <w:rsid w:val="00143E45"/>
    <w:rsid w:val="0014547E"/>
    <w:rsid w:val="00146157"/>
    <w:rsid w:val="00146BE9"/>
    <w:rsid w:val="00147F23"/>
    <w:rsid w:val="0015212C"/>
    <w:rsid w:val="001524E2"/>
    <w:rsid w:val="001525E8"/>
    <w:rsid w:val="00152D8F"/>
    <w:rsid w:val="001530AF"/>
    <w:rsid w:val="001531A2"/>
    <w:rsid w:val="00153E76"/>
    <w:rsid w:val="00154362"/>
    <w:rsid w:val="001556A6"/>
    <w:rsid w:val="00156608"/>
    <w:rsid w:val="001566FA"/>
    <w:rsid w:val="001572A9"/>
    <w:rsid w:val="00157363"/>
    <w:rsid w:val="00160B8D"/>
    <w:rsid w:val="00161EE6"/>
    <w:rsid w:val="00162BBF"/>
    <w:rsid w:val="0016338A"/>
    <w:rsid w:val="00164195"/>
    <w:rsid w:val="00164601"/>
    <w:rsid w:val="0016573E"/>
    <w:rsid w:val="00165C7E"/>
    <w:rsid w:val="00166071"/>
    <w:rsid w:val="00166607"/>
    <w:rsid w:val="001670DE"/>
    <w:rsid w:val="001671BA"/>
    <w:rsid w:val="00167EA3"/>
    <w:rsid w:val="00170154"/>
    <w:rsid w:val="00170895"/>
    <w:rsid w:val="00170DE3"/>
    <w:rsid w:val="00172A3F"/>
    <w:rsid w:val="00172A83"/>
    <w:rsid w:val="00172D61"/>
    <w:rsid w:val="00172D8A"/>
    <w:rsid w:val="001754A4"/>
    <w:rsid w:val="00175C59"/>
    <w:rsid w:val="0017635B"/>
    <w:rsid w:val="00176D87"/>
    <w:rsid w:val="0017748E"/>
    <w:rsid w:val="00180229"/>
    <w:rsid w:val="001804DA"/>
    <w:rsid w:val="001805C5"/>
    <w:rsid w:val="00180E79"/>
    <w:rsid w:val="00181497"/>
    <w:rsid w:val="00181D74"/>
    <w:rsid w:val="001820D8"/>
    <w:rsid w:val="00183418"/>
    <w:rsid w:val="0018370C"/>
    <w:rsid w:val="00183DE7"/>
    <w:rsid w:val="00184455"/>
    <w:rsid w:val="00184ADD"/>
    <w:rsid w:val="00184AEF"/>
    <w:rsid w:val="0018523D"/>
    <w:rsid w:val="0018533C"/>
    <w:rsid w:val="001853D7"/>
    <w:rsid w:val="001855DE"/>
    <w:rsid w:val="0018664C"/>
    <w:rsid w:val="00186862"/>
    <w:rsid w:val="001872BB"/>
    <w:rsid w:val="001873E2"/>
    <w:rsid w:val="0019162E"/>
    <w:rsid w:val="001918F8"/>
    <w:rsid w:val="00191AA5"/>
    <w:rsid w:val="00192E4F"/>
    <w:rsid w:val="00192EDE"/>
    <w:rsid w:val="00193C6C"/>
    <w:rsid w:val="00193F64"/>
    <w:rsid w:val="00194A33"/>
    <w:rsid w:val="001956FC"/>
    <w:rsid w:val="00195960"/>
    <w:rsid w:val="00195A5A"/>
    <w:rsid w:val="00197BB0"/>
    <w:rsid w:val="00197FFD"/>
    <w:rsid w:val="001A097C"/>
    <w:rsid w:val="001A24F8"/>
    <w:rsid w:val="001A2BB5"/>
    <w:rsid w:val="001A505A"/>
    <w:rsid w:val="001A610B"/>
    <w:rsid w:val="001A62AF"/>
    <w:rsid w:val="001A631D"/>
    <w:rsid w:val="001A6474"/>
    <w:rsid w:val="001A6A7C"/>
    <w:rsid w:val="001B0380"/>
    <w:rsid w:val="001B14D1"/>
    <w:rsid w:val="001B228A"/>
    <w:rsid w:val="001B2295"/>
    <w:rsid w:val="001B268F"/>
    <w:rsid w:val="001B27D8"/>
    <w:rsid w:val="001B2BEC"/>
    <w:rsid w:val="001B2E3D"/>
    <w:rsid w:val="001B4047"/>
    <w:rsid w:val="001B47D8"/>
    <w:rsid w:val="001B4969"/>
    <w:rsid w:val="001B4BA4"/>
    <w:rsid w:val="001B5032"/>
    <w:rsid w:val="001B5B8F"/>
    <w:rsid w:val="001B5D8B"/>
    <w:rsid w:val="001B5E38"/>
    <w:rsid w:val="001B76D7"/>
    <w:rsid w:val="001C04EA"/>
    <w:rsid w:val="001C1138"/>
    <w:rsid w:val="001C12E3"/>
    <w:rsid w:val="001C2C84"/>
    <w:rsid w:val="001C3E01"/>
    <w:rsid w:val="001C4D4F"/>
    <w:rsid w:val="001C4EA2"/>
    <w:rsid w:val="001C5883"/>
    <w:rsid w:val="001C6093"/>
    <w:rsid w:val="001C72A1"/>
    <w:rsid w:val="001D0DB1"/>
    <w:rsid w:val="001D1FBC"/>
    <w:rsid w:val="001D281A"/>
    <w:rsid w:val="001D4FEC"/>
    <w:rsid w:val="001D6310"/>
    <w:rsid w:val="001D656B"/>
    <w:rsid w:val="001D7A9F"/>
    <w:rsid w:val="001E2550"/>
    <w:rsid w:val="001E3831"/>
    <w:rsid w:val="001E3BFC"/>
    <w:rsid w:val="001E4038"/>
    <w:rsid w:val="001E5A58"/>
    <w:rsid w:val="001E5FD0"/>
    <w:rsid w:val="001E6D64"/>
    <w:rsid w:val="001F1187"/>
    <w:rsid w:val="001F23C0"/>
    <w:rsid w:val="001F23E6"/>
    <w:rsid w:val="001F2776"/>
    <w:rsid w:val="001F337F"/>
    <w:rsid w:val="001F3BFD"/>
    <w:rsid w:val="001F4790"/>
    <w:rsid w:val="001F4878"/>
    <w:rsid w:val="001F4B6B"/>
    <w:rsid w:val="001F5263"/>
    <w:rsid w:val="001F560B"/>
    <w:rsid w:val="001F5B99"/>
    <w:rsid w:val="001F5D82"/>
    <w:rsid w:val="001F61AB"/>
    <w:rsid w:val="001F7093"/>
    <w:rsid w:val="001F7244"/>
    <w:rsid w:val="001F781D"/>
    <w:rsid w:val="00201591"/>
    <w:rsid w:val="00202536"/>
    <w:rsid w:val="00203DFA"/>
    <w:rsid w:val="00204939"/>
    <w:rsid w:val="002056A8"/>
    <w:rsid w:val="002058A9"/>
    <w:rsid w:val="00205AA8"/>
    <w:rsid w:val="00205BEA"/>
    <w:rsid w:val="00206143"/>
    <w:rsid w:val="002077AB"/>
    <w:rsid w:val="00207C83"/>
    <w:rsid w:val="00210493"/>
    <w:rsid w:val="00210653"/>
    <w:rsid w:val="00210BAC"/>
    <w:rsid w:val="00210D39"/>
    <w:rsid w:val="00211A2A"/>
    <w:rsid w:val="00212129"/>
    <w:rsid w:val="002135B0"/>
    <w:rsid w:val="00213CA2"/>
    <w:rsid w:val="00214B82"/>
    <w:rsid w:val="00214B8E"/>
    <w:rsid w:val="00215C54"/>
    <w:rsid w:val="00216AFC"/>
    <w:rsid w:val="002176F4"/>
    <w:rsid w:val="002203EB"/>
    <w:rsid w:val="00220746"/>
    <w:rsid w:val="00221F1A"/>
    <w:rsid w:val="00222688"/>
    <w:rsid w:val="00222902"/>
    <w:rsid w:val="00223A02"/>
    <w:rsid w:val="00223A59"/>
    <w:rsid w:val="00223AF0"/>
    <w:rsid w:val="00223C02"/>
    <w:rsid w:val="00224C4F"/>
    <w:rsid w:val="00225205"/>
    <w:rsid w:val="002252AA"/>
    <w:rsid w:val="002260C5"/>
    <w:rsid w:val="0022622E"/>
    <w:rsid w:val="00226B11"/>
    <w:rsid w:val="00230187"/>
    <w:rsid w:val="00230607"/>
    <w:rsid w:val="00230673"/>
    <w:rsid w:val="00232088"/>
    <w:rsid w:val="0023219F"/>
    <w:rsid w:val="00232745"/>
    <w:rsid w:val="002327BC"/>
    <w:rsid w:val="00233C51"/>
    <w:rsid w:val="002342F0"/>
    <w:rsid w:val="00234D95"/>
    <w:rsid w:val="002351F0"/>
    <w:rsid w:val="002355BF"/>
    <w:rsid w:val="0023756E"/>
    <w:rsid w:val="00237791"/>
    <w:rsid w:val="0023796A"/>
    <w:rsid w:val="00240F6B"/>
    <w:rsid w:val="002416AB"/>
    <w:rsid w:val="002435B6"/>
    <w:rsid w:val="002441B5"/>
    <w:rsid w:val="00244F0B"/>
    <w:rsid w:val="00246CCA"/>
    <w:rsid w:val="00246D75"/>
    <w:rsid w:val="00247566"/>
    <w:rsid w:val="00247850"/>
    <w:rsid w:val="00250144"/>
    <w:rsid w:val="0025073C"/>
    <w:rsid w:val="00250C66"/>
    <w:rsid w:val="00250E38"/>
    <w:rsid w:val="002518B7"/>
    <w:rsid w:val="002518CC"/>
    <w:rsid w:val="00251BBE"/>
    <w:rsid w:val="00252016"/>
    <w:rsid w:val="002520BB"/>
    <w:rsid w:val="00252488"/>
    <w:rsid w:val="0025257E"/>
    <w:rsid w:val="0025305E"/>
    <w:rsid w:val="002548A3"/>
    <w:rsid w:val="00255EFB"/>
    <w:rsid w:val="00260FDA"/>
    <w:rsid w:val="0026377B"/>
    <w:rsid w:val="00263C75"/>
    <w:rsid w:val="002640F7"/>
    <w:rsid w:val="00265051"/>
    <w:rsid w:val="00265579"/>
    <w:rsid w:val="002664BA"/>
    <w:rsid w:val="00266AFD"/>
    <w:rsid w:val="00267F42"/>
    <w:rsid w:val="0027070F"/>
    <w:rsid w:val="00270A43"/>
    <w:rsid w:val="00271153"/>
    <w:rsid w:val="00272EC1"/>
    <w:rsid w:val="00273A48"/>
    <w:rsid w:val="00273F30"/>
    <w:rsid w:val="0027400A"/>
    <w:rsid w:val="00274028"/>
    <w:rsid w:val="002744A4"/>
    <w:rsid w:val="00274875"/>
    <w:rsid w:val="002754DD"/>
    <w:rsid w:val="002759F9"/>
    <w:rsid w:val="0027689D"/>
    <w:rsid w:val="00276BC2"/>
    <w:rsid w:val="00277DE8"/>
    <w:rsid w:val="00280CCC"/>
    <w:rsid w:val="002814E2"/>
    <w:rsid w:val="00281870"/>
    <w:rsid w:val="00281962"/>
    <w:rsid w:val="00282438"/>
    <w:rsid w:val="0028348B"/>
    <w:rsid w:val="00283941"/>
    <w:rsid w:val="00283C6E"/>
    <w:rsid w:val="00283D40"/>
    <w:rsid w:val="00283E30"/>
    <w:rsid w:val="00284A80"/>
    <w:rsid w:val="0028543F"/>
    <w:rsid w:val="00285875"/>
    <w:rsid w:val="00285960"/>
    <w:rsid w:val="002868F0"/>
    <w:rsid w:val="00292218"/>
    <w:rsid w:val="0029238D"/>
    <w:rsid w:val="0029287A"/>
    <w:rsid w:val="002934B8"/>
    <w:rsid w:val="002935DC"/>
    <w:rsid w:val="0029477F"/>
    <w:rsid w:val="00294781"/>
    <w:rsid w:val="0029538C"/>
    <w:rsid w:val="00295438"/>
    <w:rsid w:val="0029587D"/>
    <w:rsid w:val="00295B2B"/>
    <w:rsid w:val="002A06CE"/>
    <w:rsid w:val="002A0881"/>
    <w:rsid w:val="002A0B5F"/>
    <w:rsid w:val="002A243B"/>
    <w:rsid w:val="002A298D"/>
    <w:rsid w:val="002A32A5"/>
    <w:rsid w:val="002A37A7"/>
    <w:rsid w:val="002A3EA5"/>
    <w:rsid w:val="002A4644"/>
    <w:rsid w:val="002A60A9"/>
    <w:rsid w:val="002B00DE"/>
    <w:rsid w:val="002B01AB"/>
    <w:rsid w:val="002B03FE"/>
    <w:rsid w:val="002B055A"/>
    <w:rsid w:val="002B05EB"/>
    <w:rsid w:val="002B08DA"/>
    <w:rsid w:val="002B16C4"/>
    <w:rsid w:val="002B18D6"/>
    <w:rsid w:val="002B18FE"/>
    <w:rsid w:val="002B1971"/>
    <w:rsid w:val="002B1DF9"/>
    <w:rsid w:val="002B22AC"/>
    <w:rsid w:val="002B22BA"/>
    <w:rsid w:val="002B2455"/>
    <w:rsid w:val="002B3731"/>
    <w:rsid w:val="002B4622"/>
    <w:rsid w:val="002B4BEE"/>
    <w:rsid w:val="002B506B"/>
    <w:rsid w:val="002B5B3A"/>
    <w:rsid w:val="002C0093"/>
    <w:rsid w:val="002C01E7"/>
    <w:rsid w:val="002C06E6"/>
    <w:rsid w:val="002C0769"/>
    <w:rsid w:val="002C0BCC"/>
    <w:rsid w:val="002C0E39"/>
    <w:rsid w:val="002C2637"/>
    <w:rsid w:val="002C27A4"/>
    <w:rsid w:val="002C2807"/>
    <w:rsid w:val="002C3023"/>
    <w:rsid w:val="002C34C2"/>
    <w:rsid w:val="002C5976"/>
    <w:rsid w:val="002C676E"/>
    <w:rsid w:val="002D012A"/>
    <w:rsid w:val="002D1548"/>
    <w:rsid w:val="002D2691"/>
    <w:rsid w:val="002D33A5"/>
    <w:rsid w:val="002D43A6"/>
    <w:rsid w:val="002D469D"/>
    <w:rsid w:val="002D4712"/>
    <w:rsid w:val="002D5384"/>
    <w:rsid w:val="002D6BBB"/>
    <w:rsid w:val="002D7417"/>
    <w:rsid w:val="002D7B2B"/>
    <w:rsid w:val="002E1179"/>
    <w:rsid w:val="002E1FAD"/>
    <w:rsid w:val="002E2310"/>
    <w:rsid w:val="002E23CD"/>
    <w:rsid w:val="002E4325"/>
    <w:rsid w:val="002E459D"/>
    <w:rsid w:val="002E5023"/>
    <w:rsid w:val="002E5105"/>
    <w:rsid w:val="002E5348"/>
    <w:rsid w:val="002E5668"/>
    <w:rsid w:val="002E68A6"/>
    <w:rsid w:val="002E6D00"/>
    <w:rsid w:val="002E71F0"/>
    <w:rsid w:val="002E7B5B"/>
    <w:rsid w:val="002F00D1"/>
    <w:rsid w:val="002F103F"/>
    <w:rsid w:val="002F2FB1"/>
    <w:rsid w:val="002F33CC"/>
    <w:rsid w:val="002F3445"/>
    <w:rsid w:val="002F41B8"/>
    <w:rsid w:val="002F45DF"/>
    <w:rsid w:val="002F4948"/>
    <w:rsid w:val="002F56D6"/>
    <w:rsid w:val="002F69C8"/>
    <w:rsid w:val="002F69E1"/>
    <w:rsid w:val="002F70D8"/>
    <w:rsid w:val="0030017B"/>
    <w:rsid w:val="003007BB"/>
    <w:rsid w:val="00300963"/>
    <w:rsid w:val="0030160F"/>
    <w:rsid w:val="00301CE9"/>
    <w:rsid w:val="00301F85"/>
    <w:rsid w:val="003028EA"/>
    <w:rsid w:val="00303673"/>
    <w:rsid w:val="003039BC"/>
    <w:rsid w:val="00305202"/>
    <w:rsid w:val="003058A5"/>
    <w:rsid w:val="003060E2"/>
    <w:rsid w:val="00307108"/>
    <w:rsid w:val="003105A7"/>
    <w:rsid w:val="00310E6B"/>
    <w:rsid w:val="00311754"/>
    <w:rsid w:val="00311E29"/>
    <w:rsid w:val="003142FB"/>
    <w:rsid w:val="00314A2A"/>
    <w:rsid w:val="003156F3"/>
    <w:rsid w:val="00315F90"/>
    <w:rsid w:val="003171CB"/>
    <w:rsid w:val="003214D4"/>
    <w:rsid w:val="00321562"/>
    <w:rsid w:val="00321E96"/>
    <w:rsid w:val="003222CB"/>
    <w:rsid w:val="003231DD"/>
    <w:rsid w:val="00324D3D"/>
    <w:rsid w:val="0032543B"/>
    <w:rsid w:val="00325BC0"/>
    <w:rsid w:val="0032657A"/>
    <w:rsid w:val="003274EC"/>
    <w:rsid w:val="003300DA"/>
    <w:rsid w:val="00330A42"/>
    <w:rsid w:val="0033129A"/>
    <w:rsid w:val="00331370"/>
    <w:rsid w:val="00331874"/>
    <w:rsid w:val="00332B47"/>
    <w:rsid w:val="00332F4D"/>
    <w:rsid w:val="00333215"/>
    <w:rsid w:val="00333B68"/>
    <w:rsid w:val="0033473C"/>
    <w:rsid w:val="00335BA8"/>
    <w:rsid w:val="003377CB"/>
    <w:rsid w:val="00337D70"/>
    <w:rsid w:val="00340AFC"/>
    <w:rsid w:val="0034137E"/>
    <w:rsid w:val="00341576"/>
    <w:rsid w:val="0034159F"/>
    <w:rsid w:val="003424A9"/>
    <w:rsid w:val="00342F86"/>
    <w:rsid w:val="00342FB8"/>
    <w:rsid w:val="0034309A"/>
    <w:rsid w:val="003432B3"/>
    <w:rsid w:val="00344EBD"/>
    <w:rsid w:val="00345C4C"/>
    <w:rsid w:val="0034672C"/>
    <w:rsid w:val="00346ADC"/>
    <w:rsid w:val="00346EB1"/>
    <w:rsid w:val="003501CC"/>
    <w:rsid w:val="00351896"/>
    <w:rsid w:val="00352376"/>
    <w:rsid w:val="003524E6"/>
    <w:rsid w:val="003529D4"/>
    <w:rsid w:val="00352BC2"/>
    <w:rsid w:val="0035344E"/>
    <w:rsid w:val="003535ED"/>
    <w:rsid w:val="00355DCF"/>
    <w:rsid w:val="003566C5"/>
    <w:rsid w:val="0035671E"/>
    <w:rsid w:val="00357DE9"/>
    <w:rsid w:val="003603A6"/>
    <w:rsid w:val="00360A18"/>
    <w:rsid w:val="00360B31"/>
    <w:rsid w:val="00360BA7"/>
    <w:rsid w:val="00360CF7"/>
    <w:rsid w:val="00361167"/>
    <w:rsid w:val="00361D70"/>
    <w:rsid w:val="00362385"/>
    <w:rsid w:val="0036273E"/>
    <w:rsid w:val="0036288C"/>
    <w:rsid w:val="00362E1E"/>
    <w:rsid w:val="00363DE2"/>
    <w:rsid w:val="003648D5"/>
    <w:rsid w:val="00364D5F"/>
    <w:rsid w:val="00364EFD"/>
    <w:rsid w:val="00365823"/>
    <w:rsid w:val="00365B27"/>
    <w:rsid w:val="003661D3"/>
    <w:rsid w:val="00366338"/>
    <w:rsid w:val="00366F11"/>
    <w:rsid w:val="00367654"/>
    <w:rsid w:val="00367DA8"/>
    <w:rsid w:val="00372BCD"/>
    <w:rsid w:val="00372D33"/>
    <w:rsid w:val="00373095"/>
    <w:rsid w:val="00375703"/>
    <w:rsid w:val="00375D5B"/>
    <w:rsid w:val="00376806"/>
    <w:rsid w:val="00377C31"/>
    <w:rsid w:val="003819E1"/>
    <w:rsid w:val="00382684"/>
    <w:rsid w:val="00382858"/>
    <w:rsid w:val="0038288E"/>
    <w:rsid w:val="00383763"/>
    <w:rsid w:val="00383DEC"/>
    <w:rsid w:val="0038497E"/>
    <w:rsid w:val="00384AC7"/>
    <w:rsid w:val="00384D9C"/>
    <w:rsid w:val="00385648"/>
    <w:rsid w:val="0038597E"/>
    <w:rsid w:val="003864F8"/>
    <w:rsid w:val="003868E9"/>
    <w:rsid w:val="00390662"/>
    <w:rsid w:val="00390ED6"/>
    <w:rsid w:val="00391D84"/>
    <w:rsid w:val="00393376"/>
    <w:rsid w:val="00393425"/>
    <w:rsid w:val="00393492"/>
    <w:rsid w:val="00393AFF"/>
    <w:rsid w:val="00393E00"/>
    <w:rsid w:val="00394584"/>
    <w:rsid w:val="00394DF1"/>
    <w:rsid w:val="0039500F"/>
    <w:rsid w:val="003953E8"/>
    <w:rsid w:val="00396656"/>
    <w:rsid w:val="00397FA1"/>
    <w:rsid w:val="00397FA8"/>
    <w:rsid w:val="003A04B1"/>
    <w:rsid w:val="003A04E2"/>
    <w:rsid w:val="003A15A3"/>
    <w:rsid w:val="003A21E3"/>
    <w:rsid w:val="003A2B9C"/>
    <w:rsid w:val="003A30BC"/>
    <w:rsid w:val="003A3186"/>
    <w:rsid w:val="003A3477"/>
    <w:rsid w:val="003A4A95"/>
    <w:rsid w:val="003A52C4"/>
    <w:rsid w:val="003A6494"/>
    <w:rsid w:val="003A6533"/>
    <w:rsid w:val="003A6D86"/>
    <w:rsid w:val="003A7969"/>
    <w:rsid w:val="003A7D1D"/>
    <w:rsid w:val="003B0296"/>
    <w:rsid w:val="003B03A1"/>
    <w:rsid w:val="003B149D"/>
    <w:rsid w:val="003B1863"/>
    <w:rsid w:val="003B2516"/>
    <w:rsid w:val="003B2762"/>
    <w:rsid w:val="003B2843"/>
    <w:rsid w:val="003B2D9C"/>
    <w:rsid w:val="003B301E"/>
    <w:rsid w:val="003B528F"/>
    <w:rsid w:val="003B5391"/>
    <w:rsid w:val="003B5469"/>
    <w:rsid w:val="003B54BA"/>
    <w:rsid w:val="003B566A"/>
    <w:rsid w:val="003B5939"/>
    <w:rsid w:val="003B6673"/>
    <w:rsid w:val="003B7637"/>
    <w:rsid w:val="003B7A56"/>
    <w:rsid w:val="003C1191"/>
    <w:rsid w:val="003C1331"/>
    <w:rsid w:val="003C1BE6"/>
    <w:rsid w:val="003C24D9"/>
    <w:rsid w:val="003C3396"/>
    <w:rsid w:val="003C3BEB"/>
    <w:rsid w:val="003C3F32"/>
    <w:rsid w:val="003C401E"/>
    <w:rsid w:val="003C617A"/>
    <w:rsid w:val="003C6A67"/>
    <w:rsid w:val="003C6F0F"/>
    <w:rsid w:val="003D0B70"/>
    <w:rsid w:val="003D0F8B"/>
    <w:rsid w:val="003D2BC4"/>
    <w:rsid w:val="003D3968"/>
    <w:rsid w:val="003D3FDA"/>
    <w:rsid w:val="003D4220"/>
    <w:rsid w:val="003D49C5"/>
    <w:rsid w:val="003D5624"/>
    <w:rsid w:val="003D594C"/>
    <w:rsid w:val="003D6BA6"/>
    <w:rsid w:val="003D7046"/>
    <w:rsid w:val="003D76D9"/>
    <w:rsid w:val="003E1E4D"/>
    <w:rsid w:val="003E2065"/>
    <w:rsid w:val="003E30CF"/>
    <w:rsid w:val="003E38CD"/>
    <w:rsid w:val="003E3DD4"/>
    <w:rsid w:val="003E4C17"/>
    <w:rsid w:val="003E508A"/>
    <w:rsid w:val="003E56E9"/>
    <w:rsid w:val="003E6442"/>
    <w:rsid w:val="003E6DEB"/>
    <w:rsid w:val="003E7585"/>
    <w:rsid w:val="003E7B74"/>
    <w:rsid w:val="003E7B9B"/>
    <w:rsid w:val="003E7E1C"/>
    <w:rsid w:val="003F02AB"/>
    <w:rsid w:val="003F16B0"/>
    <w:rsid w:val="003F170F"/>
    <w:rsid w:val="003F1F80"/>
    <w:rsid w:val="003F2893"/>
    <w:rsid w:val="003F3BB5"/>
    <w:rsid w:val="003F3C66"/>
    <w:rsid w:val="003F41E6"/>
    <w:rsid w:val="003F45E3"/>
    <w:rsid w:val="003F5095"/>
    <w:rsid w:val="003F5243"/>
    <w:rsid w:val="003F5F5E"/>
    <w:rsid w:val="003F778C"/>
    <w:rsid w:val="004012FF"/>
    <w:rsid w:val="004014F8"/>
    <w:rsid w:val="00401675"/>
    <w:rsid w:val="00401B95"/>
    <w:rsid w:val="00401C95"/>
    <w:rsid w:val="00402475"/>
    <w:rsid w:val="00402716"/>
    <w:rsid w:val="00402B32"/>
    <w:rsid w:val="00402B4E"/>
    <w:rsid w:val="00402B8A"/>
    <w:rsid w:val="004038E8"/>
    <w:rsid w:val="004039F5"/>
    <w:rsid w:val="0040413A"/>
    <w:rsid w:val="00404AA6"/>
    <w:rsid w:val="004062AB"/>
    <w:rsid w:val="00406938"/>
    <w:rsid w:val="00406A87"/>
    <w:rsid w:val="00410C68"/>
    <w:rsid w:val="004115B6"/>
    <w:rsid w:val="00411838"/>
    <w:rsid w:val="00411CED"/>
    <w:rsid w:val="00412241"/>
    <w:rsid w:val="004125EE"/>
    <w:rsid w:val="0041294E"/>
    <w:rsid w:val="004139EB"/>
    <w:rsid w:val="00414321"/>
    <w:rsid w:val="004148BF"/>
    <w:rsid w:val="00416B25"/>
    <w:rsid w:val="00417082"/>
    <w:rsid w:val="00417318"/>
    <w:rsid w:val="0041779A"/>
    <w:rsid w:val="004177CA"/>
    <w:rsid w:val="00421946"/>
    <w:rsid w:val="00421993"/>
    <w:rsid w:val="00421CD1"/>
    <w:rsid w:val="00421D1C"/>
    <w:rsid w:val="00422497"/>
    <w:rsid w:val="00422576"/>
    <w:rsid w:val="00422F2B"/>
    <w:rsid w:val="00423EC4"/>
    <w:rsid w:val="00424F82"/>
    <w:rsid w:val="00425A19"/>
    <w:rsid w:val="00425AFA"/>
    <w:rsid w:val="00425BF1"/>
    <w:rsid w:val="00425D86"/>
    <w:rsid w:val="00425E15"/>
    <w:rsid w:val="0042651E"/>
    <w:rsid w:val="0042670C"/>
    <w:rsid w:val="00426C12"/>
    <w:rsid w:val="00427D9C"/>
    <w:rsid w:val="00427EC3"/>
    <w:rsid w:val="004310D8"/>
    <w:rsid w:val="0043167E"/>
    <w:rsid w:val="00431795"/>
    <w:rsid w:val="0043211B"/>
    <w:rsid w:val="0043471E"/>
    <w:rsid w:val="00434A6A"/>
    <w:rsid w:val="0043569A"/>
    <w:rsid w:val="00435B02"/>
    <w:rsid w:val="004366BA"/>
    <w:rsid w:val="00436C3C"/>
    <w:rsid w:val="00436D24"/>
    <w:rsid w:val="00437468"/>
    <w:rsid w:val="00440356"/>
    <w:rsid w:val="00440D38"/>
    <w:rsid w:val="004413CE"/>
    <w:rsid w:val="004413F5"/>
    <w:rsid w:val="00441571"/>
    <w:rsid w:val="00441C70"/>
    <w:rsid w:val="00441E47"/>
    <w:rsid w:val="00443445"/>
    <w:rsid w:val="00445C76"/>
    <w:rsid w:val="00446384"/>
    <w:rsid w:val="0044654B"/>
    <w:rsid w:val="00447096"/>
    <w:rsid w:val="00447739"/>
    <w:rsid w:val="004503B3"/>
    <w:rsid w:val="00452565"/>
    <w:rsid w:val="00452BB0"/>
    <w:rsid w:val="004531DD"/>
    <w:rsid w:val="00453E27"/>
    <w:rsid w:val="0045425A"/>
    <w:rsid w:val="00455ED4"/>
    <w:rsid w:val="0045607C"/>
    <w:rsid w:val="004570FB"/>
    <w:rsid w:val="0045732E"/>
    <w:rsid w:val="00457C81"/>
    <w:rsid w:val="00462A29"/>
    <w:rsid w:val="00462B4A"/>
    <w:rsid w:val="0046329B"/>
    <w:rsid w:val="0046364F"/>
    <w:rsid w:val="00464406"/>
    <w:rsid w:val="00464431"/>
    <w:rsid w:val="0046460C"/>
    <w:rsid w:val="00464D70"/>
    <w:rsid w:val="00465476"/>
    <w:rsid w:val="004667CC"/>
    <w:rsid w:val="00466CCF"/>
    <w:rsid w:val="004671E1"/>
    <w:rsid w:val="00467CEC"/>
    <w:rsid w:val="00470323"/>
    <w:rsid w:val="0047065F"/>
    <w:rsid w:val="00470EC2"/>
    <w:rsid w:val="0047123A"/>
    <w:rsid w:val="00471820"/>
    <w:rsid w:val="00471D82"/>
    <w:rsid w:val="00473385"/>
    <w:rsid w:val="004737C5"/>
    <w:rsid w:val="0047447E"/>
    <w:rsid w:val="0047470E"/>
    <w:rsid w:val="00474A75"/>
    <w:rsid w:val="0047541D"/>
    <w:rsid w:val="004804A8"/>
    <w:rsid w:val="004808BA"/>
    <w:rsid w:val="00480A6D"/>
    <w:rsid w:val="00480ADD"/>
    <w:rsid w:val="00481136"/>
    <w:rsid w:val="00482801"/>
    <w:rsid w:val="00482982"/>
    <w:rsid w:val="00484430"/>
    <w:rsid w:val="00486721"/>
    <w:rsid w:val="00486A92"/>
    <w:rsid w:val="00486D2F"/>
    <w:rsid w:val="004875F4"/>
    <w:rsid w:val="00487CFF"/>
    <w:rsid w:val="00490191"/>
    <w:rsid w:val="004905CF"/>
    <w:rsid w:val="00490631"/>
    <w:rsid w:val="00490FE9"/>
    <w:rsid w:val="00492A1D"/>
    <w:rsid w:val="00492E01"/>
    <w:rsid w:val="00493222"/>
    <w:rsid w:val="0049374A"/>
    <w:rsid w:val="00494885"/>
    <w:rsid w:val="0049546A"/>
    <w:rsid w:val="00496548"/>
    <w:rsid w:val="004965C4"/>
    <w:rsid w:val="00496827"/>
    <w:rsid w:val="00496A16"/>
    <w:rsid w:val="00496A2F"/>
    <w:rsid w:val="00496A81"/>
    <w:rsid w:val="00496F2D"/>
    <w:rsid w:val="004A042B"/>
    <w:rsid w:val="004A1679"/>
    <w:rsid w:val="004A2211"/>
    <w:rsid w:val="004A32A7"/>
    <w:rsid w:val="004A5205"/>
    <w:rsid w:val="004A5FE5"/>
    <w:rsid w:val="004A6B37"/>
    <w:rsid w:val="004A709D"/>
    <w:rsid w:val="004A7913"/>
    <w:rsid w:val="004A7A87"/>
    <w:rsid w:val="004B092A"/>
    <w:rsid w:val="004B1016"/>
    <w:rsid w:val="004B1EB8"/>
    <w:rsid w:val="004B1FB7"/>
    <w:rsid w:val="004B2A5B"/>
    <w:rsid w:val="004B350B"/>
    <w:rsid w:val="004B4CC8"/>
    <w:rsid w:val="004B4E61"/>
    <w:rsid w:val="004B50A8"/>
    <w:rsid w:val="004B698F"/>
    <w:rsid w:val="004B6AF8"/>
    <w:rsid w:val="004B718B"/>
    <w:rsid w:val="004C1F8B"/>
    <w:rsid w:val="004C23B6"/>
    <w:rsid w:val="004C2A10"/>
    <w:rsid w:val="004C3216"/>
    <w:rsid w:val="004C39B1"/>
    <w:rsid w:val="004C4344"/>
    <w:rsid w:val="004C4507"/>
    <w:rsid w:val="004C4DB5"/>
    <w:rsid w:val="004C56B3"/>
    <w:rsid w:val="004C5F04"/>
    <w:rsid w:val="004C6850"/>
    <w:rsid w:val="004C6ED6"/>
    <w:rsid w:val="004C7231"/>
    <w:rsid w:val="004C7D24"/>
    <w:rsid w:val="004D1E6C"/>
    <w:rsid w:val="004D1E7F"/>
    <w:rsid w:val="004D3776"/>
    <w:rsid w:val="004D3EF0"/>
    <w:rsid w:val="004D4147"/>
    <w:rsid w:val="004D4591"/>
    <w:rsid w:val="004D4714"/>
    <w:rsid w:val="004D4A3D"/>
    <w:rsid w:val="004D5238"/>
    <w:rsid w:val="004D54F0"/>
    <w:rsid w:val="004D5509"/>
    <w:rsid w:val="004D60A6"/>
    <w:rsid w:val="004D6516"/>
    <w:rsid w:val="004E00E5"/>
    <w:rsid w:val="004E0D61"/>
    <w:rsid w:val="004E14D2"/>
    <w:rsid w:val="004E1A6C"/>
    <w:rsid w:val="004E2095"/>
    <w:rsid w:val="004E235C"/>
    <w:rsid w:val="004E28EB"/>
    <w:rsid w:val="004E2EDF"/>
    <w:rsid w:val="004E48F0"/>
    <w:rsid w:val="004E4CBE"/>
    <w:rsid w:val="004E520B"/>
    <w:rsid w:val="004E52B3"/>
    <w:rsid w:val="004E541F"/>
    <w:rsid w:val="004F0CB6"/>
    <w:rsid w:val="004F0CB8"/>
    <w:rsid w:val="004F0F1B"/>
    <w:rsid w:val="004F15CF"/>
    <w:rsid w:val="004F1AA1"/>
    <w:rsid w:val="004F282D"/>
    <w:rsid w:val="004F34F6"/>
    <w:rsid w:val="004F365D"/>
    <w:rsid w:val="004F371B"/>
    <w:rsid w:val="004F459F"/>
    <w:rsid w:val="004F4BBD"/>
    <w:rsid w:val="004F532A"/>
    <w:rsid w:val="00500508"/>
    <w:rsid w:val="005011E8"/>
    <w:rsid w:val="00501F39"/>
    <w:rsid w:val="005036AD"/>
    <w:rsid w:val="005037BA"/>
    <w:rsid w:val="00503D57"/>
    <w:rsid w:val="00506247"/>
    <w:rsid w:val="00506363"/>
    <w:rsid w:val="005064AD"/>
    <w:rsid w:val="0050682D"/>
    <w:rsid w:val="00507364"/>
    <w:rsid w:val="005079CE"/>
    <w:rsid w:val="0051059A"/>
    <w:rsid w:val="00511BAA"/>
    <w:rsid w:val="00511FEF"/>
    <w:rsid w:val="00512902"/>
    <w:rsid w:val="0051341E"/>
    <w:rsid w:val="0051403B"/>
    <w:rsid w:val="00514820"/>
    <w:rsid w:val="005148AE"/>
    <w:rsid w:val="00514995"/>
    <w:rsid w:val="00514F3D"/>
    <w:rsid w:val="005159A1"/>
    <w:rsid w:val="00515DE6"/>
    <w:rsid w:val="00516183"/>
    <w:rsid w:val="005175A4"/>
    <w:rsid w:val="00520DF9"/>
    <w:rsid w:val="00521E38"/>
    <w:rsid w:val="005232B3"/>
    <w:rsid w:val="00523956"/>
    <w:rsid w:val="00523D00"/>
    <w:rsid w:val="00523D52"/>
    <w:rsid w:val="00523DD7"/>
    <w:rsid w:val="00525265"/>
    <w:rsid w:val="0052580A"/>
    <w:rsid w:val="005266AF"/>
    <w:rsid w:val="00526B59"/>
    <w:rsid w:val="00530224"/>
    <w:rsid w:val="0053049C"/>
    <w:rsid w:val="00530609"/>
    <w:rsid w:val="00530E46"/>
    <w:rsid w:val="00531404"/>
    <w:rsid w:val="0053140D"/>
    <w:rsid w:val="00531652"/>
    <w:rsid w:val="00532001"/>
    <w:rsid w:val="00532282"/>
    <w:rsid w:val="00535EC5"/>
    <w:rsid w:val="00536E6B"/>
    <w:rsid w:val="00537790"/>
    <w:rsid w:val="005379EA"/>
    <w:rsid w:val="00537ADE"/>
    <w:rsid w:val="005405A9"/>
    <w:rsid w:val="005419C1"/>
    <w:rsid w:val="005425A2"/>
    <w:rsid w:val="005432FB"/>
    <w:rsid w:val="00544F63"/>
    <w:rsid w:val="005453E4"/>
    <w:rsid w:val="00546094"/>
    <w:rsid w:val="00546BA4"/>
    <w:rsid w:val="00546BE2"/>
    <w:rsid w:val="00546D92"/>
    <w:rsid w:val="00547133"/>
    <w:rsid w:val="0054730C"/>
    <w:rsid w:val="00547A6E"/>
    <w:rsid w:val="005505A8"/>
    <w:rsid w:val="00550B15"/>
    <w:rsid w:val="0055126D"/>
    <w:rsid w:val="0055168A"/>
    <w:rsid w:val="0055185D"/>
    <w:rsid w:val="00552644"/>
    <w:rsid w:val="00552E7A"/>
    <w:rsid w:val="005538C3"/>
    <w:rsid w:val="0055469A"/>
    <w:rsid w:val="00554A1D"/>
    <w:rsid w:val="00557716"/>
    <w:rsid w:val="00560365"/>
    <w:rsid w:val="005605EB"/>
    <w:rsid w:val="00560DB8"/>
    <w:rsid w:val="005619AC"/>
    <w:rsid w:val="00561C2F"/>
    <w:rsid w:val="005626BA"/>
    <w:rsid w:val="005634AB"/>
    <w:rsid w:val="0056381A"/>
    <w:rsid w:val="0056471D"/>
    <w:rsid w:val="005648F3"/>
    <w:rsid w:val="005653A4"/>
    <w:rsid w:val="00566429"/>
    <w:rsid w:val="00566D80"/>
    <w:rsid w:val="00567FDB"/>
    <w:rsid w:val="00573C9E"/>
    <w:rsid w:val="005744D5"/>
    <w:rsid w:val="005752F5"/>
    <w:rsid w:val="005770E4"/>
    <w:rsid w:val="00577553"/>
    <w:rsid w:val="005777A9"/>
    <w:rsid w:val="00577C2E"/>
    <w:rsid w:val="00577D2C"/>
    <w:rsid w:val="00577FDA"/>
    <w:rsid w:val="0058009A"/>
    <w:rsid w:val="00580275"/>
    <w:rsid w:val="00581135"/>
    <w:rsid w:val="005830A3"/>
    <w:rsid w:val="00583AEA"/>
    <w:rsid w:val="00584498"/>
    <w:rsid w:val="00584F67"/>
    <w:rsid w:val="00585620"/>
    <w:rsid w:val="00585AFD"/>
    <w:rsid w:val="00587468"/>
    <w:rsid w:val="00590253"/>
    <w:rsid w:val="00590479"/>
    <w:rsid w:val="00590C35"/>
    <w:rsid w:val="00591AC1"/>
    <w:rsid w:val="00592124"/>
    <w:rsid w:val="00593E4E"/>
    <w:rsid w:val="00594DCE"/>
    <w:rsid w:val="005953CD"/>
    <w:rsid w:val="00596BE5"/>
    <w:rsid w:val="0059715A"/>
    <w:rsid w:val="00597E82"/>
    <w:rsid w:val="005A03F2"/>
    <w:rsid w:val="005A0C6D"/>
    <w:rsid w:val="005A208A"/>
    <w:rsid w:val="005A23FA"/>
    <w:rsid w:val="005A3333"/>
    <w:rsid w:val="005A3766"/>
    <w:rsid w:val="005A44DF"/>
    <w:rsid w:val="005A51C5"/>
    <w:rsid w:val="005A5B7C"/>
    <w:rsid w:val="005A7FD9"/>
    <w:rsid w:val="005B09F5"/>
    <w:rsid w:val="005B13F0"/>
    <w:rsid w:val="005B156F"/>
    <w:rsid w:val="005B209F"/>
    <w:rsid w:val="005B216A"/>
    <w:rsid w:val="005B226F"/>
    <w:rsid w:val="005B3546"/>
    <w:rsid w:val="005B47C2"/>
    <w:rsid w:val="005B54BF"/>
    <w:rsid w:val="005B58FF"/>
    <w:rsid w:val="005B5C91"/>
    <w:rsid w:val="005B62FE"/>
    <w:rsid w:val="005B64AB"/>
    <w:rsid w:val="005B7346"/>
    <w:rsid w:val="005B7C73"/>
    <w:rsid w:val="005C03E3"/>
    <w:rsid w:val="005C20EB"/>
    <w:rsid w:val="005C224F"/>
    <w:rsid w:val="005C235D"/>
    <w:rsid w:val="005C23BE"/>
    <w:rsid w:val="005C2703"/>
    <w:rsid w:val="005C4ACF"/>
    <w:rsid w:val="005C5026"/>
    <w:rsid w:val="005C548B"/>
    <w:rsid w:val="005C6CA8"/>
    <w:rsid w:val="005C7446"/>
    <w:rsid w:val="005C793D"/>
    <w:rsid w:val="005D0642"/>
    <w:rsid w:val="005D0852"/>
    <w:rsid w:val="005D0AA0"/>
    <w:rsid w:val="005D165C"/>
    <w:rsid w:val="005D1B46"/>
    <w:rsid w:val="005D41C7"/>
    <w:rsid w:val="005D5C61"/>
    <w:rsid w:val="005D5F92"/>
    <w:rsid w:val="005D5FC6"/>
    <w:rsid w:val="005D6D69"/>
    <w:rsid w:val="005D71CC"/>
    <w:rsid w:val="005D7372"/>
    <w:rsid w:val="005D7693"/>
    <w:rsid w:val="005D7BBF"/>
    <w:rsid w:val="005D7E24"/>
    <w:rsid w:val="005D7FAB"/>
    <w:rsid w:val="005E058A"/>
    <w:rsid w:val="005E42DB"/>
    <w:rsid w:val="005E50FE"/>
    <w:rsid w:val="005E568C"/>
    <w:rsid w:val="005E5CA8"/>
    <w:rsid w:val="005E5CF9"/>
    <w:rsid w:val="005E6593"/>
    <w:rsid w:val="005E6C33"/>
    <w:rsid w:val="005E6C9F"/>
    <w:rsid w:val="005E6CA4"/>
    <w:rsid w:val="005E7580"/>
    <w:rsid w:val="005E7661"/>
    <w:rsid w:val="005F1031"/>
    <w:rsid w:val="005F11E2"/>
    <w:rsid w:val="005F2A66"/>
    <w:rsid w:val="005F42E6"/>
    <w:rsid w:val="005F605E"/>
    <w:rsid w:val="005F6A2C"/>
    <w:rsid w:val="005F6C03"/>
    <w:rsid w:val="005F75A1"/>
    <w:rsid w:val="005F79F9"/>
    <w:rsid w:val="0060067D"/>
    <w:rsid w:val="0060080E"/>
    <w:rsid w:val="00600DFB"/>
    <w:rsid w:val="00601C7D"/>
    <w:rsid w:val="00601CA5"/>
    <w:rsid w:val="006023EF"/>
    <w:rsid w:val="0060248A"/>
    <w:rsid w:val="0060367F"/>
    <w:rsid w:val="006050A4"/>
    <w:rsid w:val="00605400"/>
    <w:rsid w:val="00605AB6"/>
    <w:rsid w:val="006063F6"/>
    <w:rsid w:val="00606786"/>
    <w:rsid w:val="00606A26"/>
    <w:rsid w:val="00606F82"/>
    <w:rsid w:val="0061131D"/>
    <w:rsid w:val="00611649"/>
    <w:rsid w:val="00611F46"/>
    <w:rsid w:val="006123A8"/>
    <w:rsid w:val="006126AD"/>
    <w:rsid w:val="00612C08"/>
    <w:rsid w:val="00614583"/>
    <w:rsid w:val="0061460F"/>
    <w:rsid w:val="00615BDD"/>
    <w:rsid w:val="0061674C"/>
    <w:rsid w:val="006178D6"/>
    <w:rsid w:val="006204F4"/>
    <w:rsid w:val="00621F3A"/>
    <w:rsid w:val="006224BD"/>
    <w:rsid w:val="0062285A"/>
    <w:rsid w:val="00623219"/>
    <w:rsid w:val="00623C95"/>
    <w:rsid w:val="006257A3"/>
    <w:rsid w:val="00626828"/>
    <w:rsid w:val="006272D4"/>
    <w:rsid w:val="00630BA3"/>
    <w:rsid w:val="00630D90"/>
    <w:rsid w:val="0063108E"/>
    <w:rsid w:val="0063134B"/>
    <w:rsid w:val="00631A14"/>
    <w:rsid w:val="0063210D"/>
    <w:rsid w:val="0063245E"/>
    <w:rsid w:val="0063262E"/>
    <w:rsid w:val="006326B8"/>
    <w:rsid w:val="00634DED"/>
    <w:rsid w:val="006359C9"/>
    <w:rsid w:val="0063635E"/>
    <w:rsid w:val="006364D9"/>
    <w:rsid w:val="006368CA"/>
    <w:rsid w:val="00636C2C"/>
    <w:rsid w:val="00637C3C"/>
    <w:rsid w:val="00640B4F"/>
    <w:rsid w:val="00640EC3"/>
    <w:rsid w:val="00641246"/>
    <w:rsid w:val="00641447"/>
    <w:rsid w:val="006425B9"/>
    <w:rsid w:val="00642A67"/>
    <w:rsid w:val="00643353"/>
    <w:rsid w:val="00644B34"/>
    <w:rsid w:val="00645F47"/>
    <w:rsid w:val="0064625B"/>
    <w:rsid w:val="0064642E"/>
    <w:rsid w:val="006475A5"/>
    <w:rsid w:val="006501A8"/>
    <w:rsid w:val="00651231"/>
    <w:rsid w:val="00651E35"/>
    <w:rsid w:val="006527DB"/>
    <w:rsid w:val="00652B41"/>
    <w:rsid w:val="00652F81"/>
    <w:rsid w:val="00653CDB"/>
    <w:rsid w:val="006544F7"/>
    <w:rsid w:val="00654B43"/>
    <w:rsid w:val="00655031"/>
    <w:rsid w:val="00655959"/>
    <w:rsid w:val="00655BEE"/>
    <w:rsid w:val="00655E12"/>
    <w:rsid w:val="00656633"/>
    <w:rsid w:val="00657715"/>
    <w:rsid w:val="0066036E"/>
    <w:rsid w:val="00661046"/>
    <w:rsid w:val="006625AA"/>
    <w:rsid w:val="00662E8C"/>
    <w:rsid w:val="00663335"/>
    <w:rsid w:val="006639FE"/>
    <w:rsid w:val="00663F40"/>
    <w:rsid w:val="00663FA5"/>
    <w:rsid w:val="00664F8D"/>
    <w:rsid w:val="00665731"/>
    <w:rsid w:val="00665919"/>
    <w:rsid w:val="0066593A"/>
    <w:rsid w:val="00665D54"/>
    <w:rsid w:val="006661BA"/>
    <w:rsid w:val="006665BE"/>
    <w:rsid w:val="0066662D"/>
    <w:rsid w:val="00667428"/>
    <w:rsid w:val="0067102F"/>
    <w:rsid w:val="00671255"/>
    <w:rsid w:val="00671503"/>
    <w:rsid w:val="006719A1"/>
    <w:rsid w:val="00672957"/>
    <w:rsid w:val="006729F8"/>
    <w:rsid w:val="006748D6"/>
    <w:rsid w:val="006768AA"/>
    <w:rsid w:val="006772A9"/>
    <w:rsid w:val="00677C4D"/>
    <w:rsid w:val="00680310"/>
    <w:rsid w:val="00680D1E"/>
    <w:rsid w:val="0068155A"/>
    <w:rsid w:val="00681C5A"/>
    <w:rsid w:val="00682050"/>
    <w:rsid w:val="00682D68"/>
    <w:rsid w:val="00683537"/>
    <w:rsid w:val="0068368A"/>
    <w:rsid w:val="006837DD"/>
    <w:rsid w:val="00683937"/>
    <w:rsid w:val="00683BDB"/>
    <w:rsid w:val="00684402"/>
    <w:rsid w:val="00684D82"/>
    <w:rsid w:val="00684DF3"/>
    <w:rsid w:val="00685AF5"/>
    <w:rsid w:val="006865BF"/>
    <w:rsid w:val="00686936"/>
    <w:rsid w:val="00691F52"/>
    <w:rsid w:val="00692026"/>
    <w:rsid w:val="006926DC"/>
    <w:rsid w:val="00692D53"/>
    <w:rsid w:val="00694146"/>
    <w:rsid w:val="00694DA4"/>
    <w:rsid w:val="00694F94"/>
    <w:rsid w:val="00694FB9"/>
    <w:rsid w:val="00695394"/>
    <w:rsid w:val="00696761"/>
    <w:rsid w:val="00696EF6"/>
    <w:rsid w:val="00697197"/>
    <w:rsid w:val="006A0F05"/>
    <w:rsid w:val="006A12D8"/>
    <w:rsid w:val="006A12E7"/>
    <w:rsid w:val="006A278E"/>
    <w:rsid w:val="006A2D54"/>
    <w:rsid w:val="006A47B4"/>
    <w:rsid w:val="006A50CB"/>
    <w:rsid w:val="006A5E04"/>
    <w:rsid w:val="006A60EB"/>
    <w:rsid w:val="006A676B"/>
    <w:rsid w:val="006A6B44"/>
    <w:rsid w:val="006A7600"/>
    <w:rsid w:val="006A788C"/>
    <w:rsid w:val="006A7D9D"/>
    <w:rsid w:val="006B0361"/>
    <w:rsid w:val="006B0B41"/>
    <w:rsid w:val="006B0BCC"/>
    <w:rsid w:val="006B32D3"/>
    <w:rsid w:val="006B34A5"/>
    <w:rsid w:val="006B3546"/>
    <w:rsid w:val="006B3702"/>
    <w:rsid w:val="006B3720"/>
    <w:rsid w:val="006B4895"/>
    <w:rsid w:val="006B4A51"/>
    <w:rsid w:val="006B5152"/>
    <w:rsid w:val="006B5594"/>
    <w:rsid w:val="006B64D7"/>
    <w:rsid w:val="006B75FB"/>
    <w:rsid w:val="006B7FA4"/>
    <w:rsid w:val="006C152F"/>
    <w:rsid w:val="006C1643"/>
    <w:rsid w:val="006C1A7A"/>
    <w:rsid w:val="006C1C6D"/>
    <w:rsid w:val="006C20D4"/>
    <w:rsid w:val="006C25CB"/>
    <w:rsid w:val="006C339A"/>
    <w:rsid w:val="006C3AE7"/>
    <w:rsid w:val="006C3B1B"/>
    <w:rsid w:val="006C3D08"/>
    <w:rsid w:val="006C3E9A"/>
    <w:rsid w:val="006C41C7"/>
    <w:rsid w:val="006C5714"/>
    <w:rsid w:val="006D0CAB"/>
    <w:rsid w:val="006D1ABE"/>
    <w:rsid w:val="006D1DDB"/>
    <w:rsid w:val="006D3283"/>
    <w:rsid w:val="006D3554"/>
    <w:rsid w:val="006D3CA9"/>
    <w:rsid w:val="006D4AF2"/>
    <w:rsid w:val="006D5851"/>
    <w:rsid w:val="006D5CE2"/>
    <w:rsid w:val="006D6345"/>
    <w:rsid w:val="006D6CAA"/>
    <w:rsid w:val="006D7F8D"/>
    <w:rsid w:val="006E0FEE"/>
    <w:rsid w:val="006E17F7"/>
    <w:rsid w:val="006E225E"/>
    <w:rsid w:val="006E2DCA"/>
    <w:rsid w:val="006E2EAD"/>
    <w:rsid w:val="006E33C5"/>
    <w:rsid w:val="006E3829"/>
    <w:rsid w:val="006E3918"/>
    <w:rsid w:val="006E4310"/>
    <w:rsid w:val="006E4328"/>
    <w:rsid w:val="006E4C3F"/>
    <w:rsid w:val="006E6005"/>
    <w:rsid w:val="006E6135"/>
    <w:rsid w:val="006E6BA5"/>
    <w:rsid w:val="006E707E"/>
    <w:rsid w:val="006E7452"/>
    <w:rsid w:val="006E7554"/>
    <w:rsid w:val="006E756B"/>
    <w:rsid w:val="006E7788"/>
    <w:rsid w:val="006E7B42"/>
    <w:rsid w:val="006F0B58"/>
    <w:rsid w:val="006F151D"/>
    <w:rsid w:val="006F1657"/>
    <w:rsid w:val="006F1A38"/>
    <w:rsid w:val="006F1B8A"/>
    <w:rsid w:val="006F3E96"/>
    <w:rsid w:val="006F4306"/>
    <w:rsid w:val="006F4779"/>
    <w:rsid w:val="006F65AA"/>
    <w:rsid w:val="006F70AE"/>
    <w:rsid w:val="0070021A"/>
    <w:rsid w:val="007012DB"/>
    <w:rsid w:val="007021AD"/>
    <w:rsid w:val="007023F1"/>
    <w:rsid w:val="0070281B"/>
    <w:rsid w:val="00703D43"/>
    <w:rsid w:val="00704C02"/>
    <w:rsid w:val="00704D07"/>
    <w:rsid w:val="0070505A"/>
    <w:rsid w:val="0070563E"/>
    <w:rsid w:val="00705DB6"/>
    <w:rsid w:val="0070706A"/>
    <w:rsid w:val="007071D1"/>
    <w:rsid w:val="00707531"/>
    <w:rsid w:val="00707C99"/>
    <w:rsid w:val="00707F76"/>
    <w:rsid w:val="00710802"/>
    <w:rsid w:val="00712C47"/>
    <w:rsid w:val="00713D1A"/>
    <w:rsid w:val="00714303"/>
    <w:rsid w:val="00714CC1"/>
    <w:rsid w:val="00715CFD"/>
    <w:rsid w:val="007163A4"/>
    <w:rsid w:val="00716AB5"/>
    <w:rsid w:val="007178D7"/>
    <w:rsid w:val="007202D0"/>
    <w:rsid w:val="0072083C"/>
    <w:rsid w:val="007210BC"/>
    <w:rsid w:val="00721881"/>
    <w:rsid w:val="00721D72"/>
    <w:rsid w:val="00722391"/>
    <w:rsid w:val="007224EC"/>
    <w:rsid w:val="00722766"/>
    <w:rsid w:val="007233DC"/>
    <w:rsid w:val="0072381C"/>
    <w:rsid w:val="00723ABD"/>
    <w:rsid w:val="0072435E"/>
    <w:rsid w:val="00724468"/>
    <w:rsid w:val="00724589"/>
    <w:rsid w:val="0072639E"/>
    <w:rsid w:val="00726C89"/>
    <w:rsid w:val="00727EB5"/>
    <w:rsid w:val="00730050"/>
    <w:rsid w:val="00730289"/>
    <w:rsid w:val="00730811"/>
    <w:rsid w:val="00730E17"/>
    <w:rsid w:val="007325A0"/>
    <w:rsid w:val="00733140"/>
    <w:rsid w:val="0073418A"/>
    <w:rsid w:val="007353EC"/>
    <w:rsid w:val="0073781A"/>
    <w:rsid w:val="00737D7E"/>
    <w:rsid w:val="00737E06"/>
    <w:rsid w:val="00740423"/>
    <w:rsid w:val="00742646"/>
    <w:rsid w:val="00742DB3"/>
    <w:rsid w:val="007444C3"/>
    <w:rsid w:val="007445AB"/>
    <w:rsid w:val="00744B52"/>
    <w:rsid w:val="00744FAE"/>
    <w:rsid w:val="00745A1D"/>
    <w:rsid w:val="00745C33"/>
    <w:rsid w:val="00746332"/>
    <w:rsid w:val="00746927"/>
    <w:rsid w:val="00746D3D"/>
    <w:rsid w:val="00750057"/>
    <w:rsid w:val="00750547"/>
    <w:rsid w:val="007508A4"/>
    <w:rsid w:val="00750B48"/>
    <w:rsid w:val="00752648"/>
    <w:rsid w:val="00752B95"/>
    <w:rsid w:val="0075346D"/>
    <w:rsid w:val="0075449B"/>
    <w:rsid w:val="0075474E"/>
    <w:rsid w:val="007549D9"/>
    <w:rsid w:val="00754FD6"/>
    <w:rsid w:val="0075596C"/>
    <w:rsid w:val="00755F3C"/>
    <w:rsid w:val="00756191"/>
    <w:rsid w:val="007575E3"/>
    <w:rsid w:val="00763AB6"/>
    <w:rsid w:val="007647CA"/>
    <w:rsid w:val="00764C93"/>
    <w:rsid w:val="00765B1C"/>
    <w:rsid w:val="0076635C"/>
    <w:rsid w:val="0076646B"/>
    <w:rsid w:val="00766802"/>
    <w:rsid w:val="007676D7"/>
    <w:rsid w:val="00767F53"/>
    <w:rsid w:val="0077086C"/>
    <w:rsid w:val="00770C55"/>
    <w:rsid w:val="00771269"/>
    <w:rsid w:val="00771316"/>
    <w:rsid w:val="00771DD5"/>
    <w:rsid w:val="00771F68"/>
    <w:rsid w:val="00772122"/>
    <w:rsid w:val="00772505"/>
    <w:rsid w:val="0077283B"/>
    <w:rsid w:val="00772959"/>
    <w:rsid w:val="007738E9"/>
    <w:rsid w:val="00773D56"/>
    <w:rsid w:val="0077541E"/>
    <w:rsid w:val="00776303"/>
    <w:rsid w:val="0077657D"/>
    <w:rsid w:val="0077718A"/>
    <w:rsid w:val="00782F7B"/>
    <w:rsid w:val="00783616"/>
    <w:rsid w:val="0078443B"/>
    <w:rsid w:val="00784E60"/>
    <w:rsid w:val="00786856"/>
    <w:rsid w:val="00786F84"/>
    <w:rsid w:val="00787851"/>
    <w:rsid w:val="00787AC5"/>
    <w:rsid w:val="00790912"/>
    <w:rsid w:val="00791A79"/>
    <w:rsid w:val="00791FA5"/>
    <w:rsid w:val="0079238E"/>
    <w:rsid w:val="00792594"/>
    <w:rsid w:val="00792906"/>
    <w:rsid w:val="0079327C"/>
    <w:rsid w:val="0079396D"/>
    <w:rsid w:val="00794885"/>
    <w:rsid w:val="007957FF"/>
    <w:rsid w:val="00795E33"/>
    <w:rsid w:val="00796264"/>
    <w:rsid w:val="007973CE"/>
    <w:rsid w:val="007A1B31"/>
    <w:rsid w:val="007A2512"/>
    <w:rsid w:val="007A3920"/>
    <w:rsid w:val="007A397E"/>
    <w:rsid w:val="007A43BB"/>
    <w:rsid w:val="007A43BF"/>
    <w:rsid w:val="007A4439"/>
    <w:rsid w:val="007A45C0"/>
    <w:rsid w:val="007A49DB"/>
    <w:rsid w:val="007A4E4C"/>
    <w:rsid w:val="007A4FBA"/>
    <w:rsid w:val="007A5A3F"/>
    <w:rsid w:val="007A63BE"/>
    <w:rsid w:val="007A685E"/>
    <w:rsid w:val="007A77D9"/>
    <w:rsid w:val="007A78D3"/>
    <w:rsid w:val="007A7F16"/>
    <w:rsid w:val="007B065C"/>
    <w:rsid w:val="007B0D26"/>
    <w:rsid w:val="007B2BCE"/>
    <w:rsid w:val="007B3772"/>
    <w:rsid w:val="007B3CC0"/>
    <w:rsid w:val="007B57E8"/>
    <w:rsid w:val="007B5884"/>
    <w:rsid w:val="007B58FA"/>
    <w:rsid w:val="007B5C7B"/>
    <w:rsid w:val="007B6376"/>
    <w:rsid w:val="007C05BD"/>
    <w:rsid w:val="007C0665"/>
    <w:rsid w:val="007C0B5F"/>
    <w:rsid w:val="007C115C"/>
    <w:rsid w:val="007C2445"/>
    <w:rsid w:val="007C252A"/>
    <w:rsid w:val="007C2607"/>
    <w:rsid w:val="007C2785"/>
    <w:rsid w:val="007C2D16"/>
    <w:rsid w:val="007C2DD5"/>
    <w:rsid w:val="007C388E"/>
    <w:rsid w:val="007C3B12"/>
    <w:rsid w:val="007C3D2F"/>
    <w:rsid w:val="007C4400"/>
    <w:rsid w:val="007C4BDD"/>
    <w:rsid w:val="007C4F8C"/>
    <w:rsid w:val="007C5F1B"/>
    <w:rsid w:val="007C6476"/>
    <w:rsid w:val="007C67CD"/>
    <w:rsid w:val="007C6980"/>
    <w:rsid w:val="007C6A31"/>
    <w:rsid w:val="007C73E1"/>
    <w:rsid w:val="007C78A4"/>
    <w:rsid w:val="007D033C"/>
    <w:rsid w:val="007D0FDA"/>
    <w:rsid w:val="007D2AF5"/>
    <w:rsid w:val="007D2B82"/>
    <w:rsid w:val="007D3524"/>
    <w:rsid w:val="007D3B45"/>
    <w:rsid w:val="007D4C58"/>
    <w:rsid w:val="007D5998"/>
    <w:rsid w:val="007D7664"/>
    <w:rsid w:val="007E00C3"/>
    <w:rsid w:val="007E0B3B"/>
    <w:rsid w:val="007E167F"/>
    <w:rsid w:val="007E169D"/>
    <w:rsid w:val="007E1838"/>
    <w:rsid w:val="007E1C0D"/>
    <w:rsid w:val="007E22C8"/>
    <w:rsid w:val="007E4191"/>
    <w:rsid w:val="007E4B08"/>
    <w:rsid w:val="007E5479"/>
    <w:rsid w:val="007E5FA6"/>
    <w:rsid w:val="007E6007"/>
    <w:rsid w:val="007E6249"/>
    <w:rsid w:val="007E640A"/>
    <w:rsid w:val="007E6F36"/>
    <w:rsid w:val="007E78C9"/>
    <w:rsid w:val="007E7CB9"/>
    <w:rsid w:val="007F15DD"/>
    <w:rsid w:val="007F1F4E"/>
    <w:rsid w:val="007F26F2"/>
    <w:rsid w:val="007F33DB"/>
    <w:rsid w:val="007F382B"/>
    <w:rsid w:val="007F385C"/>
    <w:rsid w:val="007F3A64"/>
    <w:rsid w:val="007F4084"/>
    <w:rsid w:val="007F4BFA"/>
    <w:rsid w:val="007F525C"/>
    <w:rsid w:val="007F5B39"/>
    <w:rsid w:val="007F5FDC"/>
    <w:rsid w:val="007F6024"/>
    <w:rsid w:val="007F7145"/>
    <w:rsid w:val="007F7358"/>
    <w:rsid w:val="007F7C1E"/>
    <w:rsid w:val="00800911"/>
    <w:rsid w:val="00800A4E"/>
    <w:rsid w:val="0080122E"/>
    <w:rsid w:val="0080251F"/>
    <w:rsid w:val="008025DE"/>
    <w:rsid w:val="00802786"/>
    <w:rsid w:val="00803E03"/>
    <w:rsid w:val="008041F6"/>
    <w:rsid w:val="00804A3B"/>
    <w:rsid w:val="0080539F"/>
    <w:rsid w:val="00805C20"/>
    <w:rsid w:val="00805E22"/>
    <w:rsid w:val="008074C9"/>
    <w:rsid w:val="00807709"/>
    <w:rsid w:val="00807CED"/>
    <w:rsid w:val="00810318"/>
    <w:rsid w:val="00810898"/>
    <w:rsid w:val="008116E3"/>
    <w:rsid w:val="008128A3"/>
    <w:rsid w:val="00812918"/>
    <w:rsid w:val="00812D9C"/>
    <w:rsid w:val="00813871"/>
    <w:rsid w:val="008138BB"/>
    <w:rsid w:val="0081517F"/>
    <w:rsid w:val="008153AA"/>
    <w:rsid w:val="008153D5"/>
    <w:rsid w:val="00815788"/>
    <w:rsid w:val="00815CE4"/>
    <w:rsid w:val="00816DDA"/>
    <w:rsid w:val="008170F0"/>
    <w:rsid w:val="0081792F"/>
    <w:rsid w:val="00817BCC"/>
    <w:rsid w:val="008203FB"/>
    <w:rsid w:val="00820726"/>
    <w:rsid w:val="00820B15"/>
    <w:rsid w:val="00820BE2"/>
    <w:rsid w:val="008211D7"/>
    <w:rsid w:val="00821EA1"/>
    <w:rsid w:val="00822EA2"/>
    <w:rsid w:val="00823440"/>
    <w:rsid w:val="0082383B"/>
    <w:rsid w:val="00824CC0"/>
    <w:rsid w:val="00826D47"/>
    <w:rsid w:val="0082700B"/>
    <w:rsid w:val="008270BB"/>
    <w:rsid w:val="0082799D"/>
    <w:rsid w:val="00830446"/>
    <w:rsid w:val="00830760"/>
    <w:rsid w:val="00831784"/>
    <w:rsid w:val="0083185F"/>
    <w:rsid w:val="00832DB8"/>
    <w:rsid w:val="00833182"/>
    <w:rsid w:val="0083492F"/>
    <w:rsid w:val="00835B22"/>
    <w:rsid w:val="00836549"/>
    <w:rsid w:val="00837347"/>
    <w:rsid w:val="00840183"/>
    <w:rsid w:val="008403A4"/>
    <w:rsid w:val="0084095D"/>
    <w:rsid w:val="0084121F"/>
    <w:rsid w:val="008414A6"/>
    <w:rsid w:val="00841C21"/>
    <w:rsid w:val="008422A1"/>
    <w:rsid w:val="008432D2"/>
    <w:rsid w:val="008436D8"/>
    <w:rsid w:val="008446F7"/>
    <w:rsid w:val="0084493B"/>
    <w:rsid w:val="00844C73"/>
    <w:rsid w:val="008463DA"/>
    <w:rsid w:val="00846B83"/>
    <w:rsid w:val="0085018D"/>
    <w:rsid w:val="00850E6D"/>
    <w:rsid w:val="00850EF3"/>
    <w:rsid w:val="00852C9A"/>
    <w:rsid w:val="00852F23"/>
    <w:rsid w:val="008533F2"/>
    <w:rsid w:val="008535B2"/>
    <w:rsid w:val="00854612"/>
    <w:rsid w:val="008546F6"/>
    <w:rsid w:val="008552C7"/>
    <w:rsid w:val="00855FE4"/>
    <w:rsid w:val="00856733"/>
    <w:rsid w:val="00856889"/>
    <w:rsid w:val="00856F0B"/>
    <w:rsid w:val="00856F38"/>
    <w:rsid w:val="00857210"/>
    <w:rsid w:val="00857974"/>
    <w:rsid w:val="008610FF"/>
    <w:rsid w:val="008617EA"/>
    <w:rsid w:val="0086259D"/>
    <w:rsid w:val="0086274C"/>
    <w:rsid w:val="008636BE"/>
    <w:rsid w:val="00864FD4"/>
    <w:rsid w:val="00864FFA"/>
    <w:rsid w:val="00866EA0"/>
    <w:rsid w:val="00867131"/>
    <w:rsid w:val="00867396"/>
    <w:rsid w:val="008676E1"/>
    <w:rsid w:val="00870B53"/>
    <w:rsid w:val="0087137C"/>
    <w:rsid w:val="008725BB"/>
    <w:rsid w:val="008727D6"/>
    <w:rsid w:val="00874B57"/>
    <w:rsid w:val="00874EA1"/>
    <w:rsid w:val="0087730A"/>
    <w:rsid w:val="00880274"/>
    <w:rsid w:val="00880C6B"/>
    <w:rsid w:val="00881178"/>
    <w:rsid w:val="00881A4D"/>
    <w:rsid w:val="00881C38"/>
    <w:rsid w:val="00881F8C"/>
    <w:rsid w:val="00882E1F"/>
    <w:rsid w:val="00884026"/>
    <w:rsid w:val="00884425"/>
    <w:rsid w:val="008847AC"/>
    <w:rsid w:val="00884BE6"/>
    <w:rsid w:val="00885A1F"/>
    <w:rsid w:val="00885B05"/>
    <w:rsid w:val="00885C3E"/>
    <w:rsid w:val="008865A2"/>
    <w:rsid w:val="00890B31"/>
    <w:rsid w:val="00892290"/>
    <w:rsid w:val="00892BBE"/>
    <w:rsid w:val="00893CD4"/>
    <w:rsid w:val="00894303"/>
    <w:rsid w:val="00894368"/>
    <w:rsid w:val="0089498C"/>
    <w:rsid w:val="00894C97"/>
    <w:rsid w:val="0089512F"/>
    <w:rsid w:val="008956BB"/>
    <w:rsid w:val="00895833"/>
    <w:rsid w:val="00895866"/>
    <w:rsid w:val="00896302"/>
    <w:rsid w:val="00896895"/>
    <w:rsid w:val="00897B7A"/>
    <w:rsid w:val="008A07C8"/>
    <w:rsid w:val="008A1EBE"/>
    <w:rsid w:val="008A366A"/>
    <w:rsid w:val="008A36B7"/>
    <w:rsid w:val="008A3A41"/>
    <w:rsid w:val="008A430C"/>
    <w:rsid w:val="008A59C9"/>
    <w:rsid w:val="008A5CDD"/>
    <w:rsid w:val="008A67BE"/>
    <w:rsid w:val="008A6A02"/>
    <w:rsid w:val="008A6A25"/>
    <w:rsid w:val="008A6FB3"/>
    <w:rsid w:val="008A7AD9"/>
    <w:rsid w:val="008B17BC"/>
    <w:rsid w:val="008B1EB5"/>
    <w:rsid w:val="008B1F91"/>
    <w:rsid w:val="008B2CEF"/>
    <w:rsid w:val="008B2F61"/>
    <w:rsid w:val="008B447E"/>
    <w:rsid w:val="008B5471"/>
    <w:rsid w:val="008B5794"/>
    <w:rsid w:val="008B5CCA"/>
    <w:rsid w:val="008B6B6F"/>
    <w:rsid w:val="008B7CBE"/>
    <w:rsid w:val="008C04F9"/>
    <w:rsid w:val="008C09A5"/>
    <w:rsid w:val="008C2E09"/>
    <w:rsid w:val="008C355F"/>
    <w:rsid w:val="008C3C59"/>
    <w:rsid w:val="008C4E2C"/>
    <w:rsid w:val="008C5430"/>
    <w:rsid w:val="008C55D5"/>
    <w:rsid w:val="008C5634"/>
    <w:rsid w:val="008C6BE7"/>
    <w:rsid w:val="008C6E54"/>
    <w:rsid w:val="008C7BA4"/>
    <w:rsid w:val="008C7C4B"/>
    <w:rsid w:val="008D0ADF"/>
    <w:rsid w:val="008D122D"/>
    <w:rsid w:val="008D14B5"/>
    <w:rsid w:val="008D1D40"/>
    <w:rsid w:val="008D1ED9"/>
    <w:rsid w:val="008D1F58"/>
    <w:rsid w:val="008D1F89"/>
    <w:rsid w:val="008D25BE"/>
    <w:rsid w:val="008D29A7"/>
    <w:rsid w:val="008D29BF"/>
    <w:rsid w:val="008D3042"/>
    <w:rsid w:val="008D359D"/>
    <w:rsid w:val="008D39E9"/>
    <w:rsid w:val="008D3DB6"/>
    <w:rsid w:val="008D42F6"/>
    <w:rsid w:val="008D45B1"/>
    <w:rsid w:val="008D55FB"/>
    <w:rsid w:val="008D5699"/>
    <w:rsid w:val="008D56C3"/>
    <w:rsid w:val="008D6A10"/>
    <w:rsid w:val="008D70AB"/>
    <w:rsid w:val="008D768C"/>
    <w:rsid w:val="008E02C9"/>
    <w:rsid w:val="008E0361"/>
    <w:rsid w:val="008E07BE"/>
    <w:rsid w:val="008E14BF"/>
    <w:rsid w:val="008E170B"/>
    <w:rsid w:val="008E1F3B"/>
    <w:rsid w:val="008E26EF"/>
    <w:rsid w:val="008E32CD"/>
    <w:rsid w:val="008E3DD6"/>
    <w:rsid w:val="008E43F4"/>
    <w:rsid w:val="008E69B8"/>
    <w:rsid w:val="008E6ABD"/>
    <w:rsid w:val="008E709A"/>
    <w:rsid w:val="008E7325"/>
    <w:rsid w:val="008E741F"/>
    <w:rsid w:val="008E757A"/>
    <w:rsid w:val="008E75C6"/>
    <w:rsid w:val="008E7DF7"/>
    <w:rsid w:val="008F0ED2"/>
    <w:rsid w:val="008F118F"/>
    <w:rsid w:val="008F19FD"/>
    <w:rsid w:val="008F2C4C"/>
    <w:rsid w:val="008F2D8F"/>
    <w:rsid w:val="008F32B1"/>
    <w:rsid w:val="008F4104"/>
    <w:rsid w:val="008F4A52"/>
    <w:rsid w:val="008F56F9"/>
    <w:rsid w:val="008F58AB"/>
    <w:rsid w:val="008F60FE"/>
    <w:rsid w:val="008F6AFC"/>
    <w:rsid w:val="008F7000"/>
    <w:rsid w:val="008F7DCC"/>
    <w:rsid w:val="008F7EEC"/>
    <w:rsid w:val="0090119E"/>
    <w:rsid w:val="00901DE1"/>
    <w:rsid w:val="00902C95"/>
    <w:rsid w:val="009031D3"/>
    <w:rsid w:val="009034FD"/>
    <w:rsid w:val="00904370"/>
    <w:rsid w:val="0090518D"/>
    <w:rsid w:val="00905575"/>
    <w:rsid w:val="009057ED"/>
    <w:rsid w:val="00905896"/>
    <w:rsid w:val="0090598A"/>
    <w:rsid w:val="009068B8"/>
    <w:rsid w:val="00907396"/>
    <w:rsid w:val="00907533"/>
    <w:rsid w:val="00910162"/>
    <w:rsid w:val="009102B2"/>
    <w:rsid w:val="00910B85"/>
    <w:rsid w:val="00910DD4"/>
    <w:rsid w:val="009128B5"/>
    <w:rsid w:val="00913329"/>
    <w:rsid w:val="00913E59"/>
    <w:rsid w:val="00914292"/>
    <w:rsid w:val="009146A8"/>
    <w:rsid w:val="00914C5A"/>
    <w:rsid w:val="00914D71"/>
    <w:rsid w:val="009164CB"/>
    <w:rsid w:val="00916964"/>
    <w:rsid w:val="00916D57"/>
    <w:rsid w:val="00916F29"/>
    <w:rsid w:val="009170B0"/>
    <w:rsid w:val="009171FA"/>
    <w:rsid w:val="00920080"/>
    <w:rsid w:val="009217AB"/>
    <w:rsid w:val="0092291A"/>
    <w:rsid w:val="00922E58"/>
    <w:rsid w:val="00923E35"/>
    <w:rsid w:val="00923F6F"/>
    <w:rsid w:val="00924A3F"/>
    <w:rsid w:val="00925F5C"/>
    <w:rsid w:val="00926470"/>
    <w:rsid w:val="0093217C"/>
    <w:rsid w:val="00932C05"/>
    <w:rsid w:val="00933B3D"/>
    <w:rsid w:val="009341C5"/>
    <w:rsid w:val="009342AA"/>
    <w:rsid w:val="00934BBA"/>
    <w:rsid w:val="009356AC"/>
    <w:rsid w:val="009367B8"/>
    <w:rsid w:val="00936906"/>
    <w:rsid w:val="00936D33"/>
    <w:rsid w:val="00937837"/>
    <w:rsid w:val="00937C1A"/>
    <w:rsid w:val="0094051C"/>
    <w:rsid w:val="00941025"/>
    <w:rsid w:val="0094158E"/>
    <w:rsid w:val="009417D1"/>
    <w:rsid w:val="00941CB8"/>
    <w:rsid w:val="0094203B"/>
    <w:rsid w:val="00942459"/>
    <w:rsid w:val="009426A9"/>
    <w:rsid w:val="00942DA1"/>
    <w:rsid w:val="00943070"/>
    <w:rsid w:val="00943168"/>
    <w:rsid w:val="00943916"/>
    <w:rsid w:val="00943A80"/>
    <w:rsid w:val="009447B6"/>
    <w:rsid w:val="00945D5A"/>
    <w:rsid w:val="009463D7"/>
    <w:rsid w:val="00946651"/>
    <w:rsid w:val="0094666A"/>
    <w:rsid w:val="009468DB"/>
    <w:rsid w:val="00946D13"/>
    <w:rsid w:val="009472C4"/>
    <w:rsid w:val="00947A31"/>
    <w:rsid w:val="00947F1D"/>
    <w:rsid w:val="009509A8"/>
    <w:rsid w:val="009509D7"/>
    <w:rsid w:val="00951D73"/>
    <w:rsid w:val="00953A50"/>
    <w:rsid w:val="0095481F"/>
    <w:rsid w:val="00956117"/>
    <w:rsid w:val="00957160"/>
    <w:rsid w:val="009576AA"/>
    <w:rsid w:val="00957BC2"/>
    <w:rsid w:val="00957F00"/>
    <w:rsid w:val="0096178D"/>
    <w:rsid w:val="009619E2"/>
    <w:rsid w:val="009621C3"/>
    <w:rsid w:val="009621F0"/>
    <w:rsid w:val="00962AD3"/>
    <w:rsid w:val="009632D8"/>
    <w:rsid w:val="009633FB"/>
    <w:rsid w:val="00964913"/>
    <w:rsid w:val="00966575"/>
    <w:rsid w:val="0096706E"/>
    <w:rsid w:val="009676DF"/>
    <w:rsid w:val="00970E39"/>
    <w:rsid w:val="009714F1"/>
    <w:rsid w:val="00971509"/>
    <w:rsid w:val="009730A7"/>
    <w:rsid w:val="00973609"/>
    <w:rsid w:val="00974AD4"/>
    <w:rsid w:val="009752E6"/>
    <w:rsid w:val="00975D64"/>
    <w:rsid w:val="00975F03"/>
    <w:rsid w:val="009763F2"/>
    <w:rsid w:val="009768EC"/>
    <w:rsid w:val="00977096"/>
    <w:rsid w:val="009770E9"/>
    <w:rsid w:val="0097786A"/>
    <w:rsid w:val="00977A9B"/>
    <w:rsid w:val="00980A76"/>
    <w:rsid w:val="00982106"/>
    <w:rsid w:val="00982373"/>
    <w:rsid w:val="00982B73"/>
    <w:rsid w:val="009836BC"/>
    <w:rsid w:val="00983A10"/>
    <w:rsid w:val="00983A58"/>
    <w:rsid w:val="00984103"/>
    <w:rsid w:val="00984957"/>
    <w:rsid w:val="009863C4"/>
    <w:rsid w:val="009875AA"/>
    <w:rsid w:val="00987BA7"/>
    <w:rsid w:val="00991118"/>
    <w:rsid w:val="009918A1"/>
    <w:rsid w:val="00992A50"/>
    <w:rsid w:val="00994829"/>
    <w:rsid w:val="00994F5B"/>
    <w:rsid w:val="00995AF9"/>
    <w:rsid w:val="00996EE7"/>
    <w:rsid w:val="00997410"/>
    <w:rsid w:val="00997A52"/>
    <w:rsid w:val="009A0B2E"/>
    <w:rsid w:val="009A0D6F"/>
    <w:rsid w:val="009A0DD8"/>
    <w:rsid w:val="009A14FF"/>
    <w:rsid w:val="009A180C"/>
    <w:rsid w:val="009A1C82"/>
    <w:rsid w:val="009A1F9D"/>
    <w:rsid w:val="009A2523"/>
    <w:rsid w:val="009A26E8"/>
    <w:rsid w:val="009A2AD5"/>
    <w:rsid w:val="009A2C60"/>
    <w:rsid w:val="009A2E5E"/>
    <w:rsid w:val="009A363F"/>
    <w:rsid w:val="009A45C3"/>
    <w:rsid w:val="009A4AAA"/>
    <w:rsid w:val="009A5991"/>
    <w:rsid w:val="009A5D41"/>
    <w:rsid w:val="009A5FA4"/>
    <w:rsid w:val="009A5FA7"/>
    <w:rsid w:val="009A7762"/>
    <w:rsid w:val="009A780A"/>
    <w:rsid w:val="009A7A17"/>
    <w:rsid w:val="009A7B46"/>
    <w:rsid w:val="009B0471"/>
    <w:rsid w:val="009B105B"/>
    <w:rsid w:val="009B1564"/>
    <w:rsid w:val="009B17C9"/>
    <w:rsid w:val="009B1C2E"/>
    <w:rsid w:val="009B2599"/>
    <w:rsid w:val="009B2E14"/>
    <w:rsid w:val="009B3232"/>
    <w:rsid w:val="009B337B"/>
    <w:rsid w:val="009B33B5"/>
    <w:rsid w:val="009B346E"/>
    <w:rsid w:val="009B478D"/>
    <w:rsid w:val="009B579E"/>
    <w:rsid w:val="009B61D5"/>
    <w:rsid w:val="009B7239"/>
    <w:rsid w:val="009B78D3"/>
    <w:rsid w:val="009C0E9D"/>
    <w:rsid w:val="009C11DB"/>
    <w:rsid w:val="009C190C"/>
    <w:rsid w:val="009C1B8B"/>
    <w:rsid w:val="009C1BB0"/>
    <w:rsid w:val="009C1F6B"/>
    <w:rsid w:val="009C240D"/>
    <w:rsid w:val="009C299F"/>
    <w:rsid w:val="009C31B5"/>
    <w:rsid w:val="009C3C0E"/>
    <w:rsid w:val="009C3C0F"/>
    <w:rsid w:val="009C403C"/>
    <w:rsid w:val="009C4211"/>
    <w:rsid w:val="009C4838"/>
    <w:rsid w:val="009C62DE"/>
    <w:rsid w:val="009C6FEE"/>
    <w:rsid w:val="009C76EB"/>
    <w:rsid w:val="009C7866"/>
    <w:rsid w:val="009C7C5D"/>
    <w:rsid w:val="009D001D"/>
    <w:rsid w:val="009D05D1"/>
    <w:rsid w:val="009D2A1F"/>
    <w:rsid w:val="009D2E17"/>
    <w:rsid w:val="009D318D"/>
    <w:rsid w:val="009D3F27"/>
    <w:rsid w:val="009D4041"/>
    <w:rsid w:val="009D4748"/>
    <w:rsid w:val="009D54F3"/>
    <w:rsid w:val="009D62EB"/>
    <w:rsid w:val="009D74B8"/>
    <w:rsid w:val="009E023B"/>
    <w:rsid w:val="009E0411"/>
    <w:rsid w:val="009E05ED"/>
    <w:rsid w:val="009E0FA7"/>
    <w:rsid w:val="009E11D9"/>
    <w:rsid w:val="009E1330"/>
    <w:rsid w:val="009E51E0"/>
    <w:rsid w:val="009E5971"/>
    <w:rsid w:val="009E6B29"/>
    <w:rsid w:val="009E6EBC"/>
    <w:rsid w:val="009E7936"/>
    <w:rsid w:val="009F19C4"/>
    <w:rsid w:val="009F2036"/>
    <w:rsid w:val="009F2323"/>
    <w:rsid w:val="009F285A"/>
    <w:rsid w:val="009F46B7"/>
    <w:rsid w:val="009F524E"/>
    <w:rsid w:val="009F5565"/>
    <w:rsid w:val="009F6232"/>
    <w:rsid w:val="009F6CB0"/>
    <w:rsid w:val="009F794A"/>
    <w:rsid w:val="00A00DEA"/>
    <w:rsid w:val="00A010F3"/>
    <w:rsid w:val="00A01377"/>
    <w:rsid w:val="00A0338A"/>
    <w:rsid w:val="00A04676"/>
    <w:rsid w:val="00A04838"/>
    <w:rsid w:val="00A05115"/>
    <w:rsid w:val="00A06283"/>
    <w:rsid w:val="00A1025C"/>
    <w:rsid w:val="00A10F45"/>
    <w:rsid w:val="00A111D0"/>
    <w:rsid w:val="00A11480"/>
    <w:rsid w:val="00A12426"/>
    <w:rsid w:val="00A12440"/>
    <w:rsid w:val="00A127A1"/>
    <w:rsid w:val="00A128D7"/>
    <w:rsid w:val="00A12DE8"/>
    <w:rsid w:val="00A131A9"/>
    <w:rsid w:val="00A13431"/>
    <w:rsid w:val="00A13863"/>
    <w:rsid w:val="00A13C56"/>
    <w:rsid w:val="00A15576"/>
    <w:rsid w:val="00A160A1"/>
    <w:rsid w:val="00A20243"/>
    <w:rsid w:val="00A20F4F"/>
    <w:rsid w:val="00A21315"/>
    <w:rsid w:val="00A21FA1"/>
    <w:rsid w:val="00A2230D"/>
    <w:rsid w:val="00A227BC"/>
    <w:rsid w:val="00A22887"/>
    <w:rsid w:val="00A22D61"/>
    <w:rsid w:val="00A230FF"/>
    <w:rsid w:val="00A23D1F"/>
    <w:rsid w:val="00A24BAC"/>
    <w:rsid w:val="00A2596D"/>
    <w:rsid w:val="00A26DBE"/>
    <w:rsid w:val="00A27B35"/>
    <w:rsid w:val="00A30655"/>
    <w:rsid w:val="00A309BF"/>
    <w:rsid w:val="00A313DB"/>
    <w:rsid w:val="00A3148B"/>
    <w:rsid w:val="00A32A0A"/>
    <w:rsid w:val="00A33024"/>
    <w:rsid w:val="00A335E0"/>
    <w:rsid w:val="00A336B1"/>
    <w:rsid w:val="00A34067"/>
    <w:rsid w:val="00A347D0"/>
    <w:rsid w:val="00A350BB"/>
    <w:rsid w:val="00A35D87"/>
    <w:rsid w:val="00A35EAF"/>
    <w:rsid w:val="00A35F1A"/>
    <w:rsid w:val="00A365CC"/>
    <w:rsid w:val="00A36795"/>
    <w:rsid w:val="00A372F2"/>
    <w:rsid w:val="00A3780C"/>
    <w:rsid w:val="00A37C13"/>
    <w:rsid w:val="00A40161"/>
    <w:rsid w:val="00A40311"/>
    <w:rsid w:val="00A406A1"/>
    <w:rsid w:val="00A40E1C"/>
    <w:rsid w:val="00A41248"/>
    <w:rsid w:val="00A416B7"/>
    <w:rsid w:val="00A41C78"/>
    <w:rsid w:val="00A42358"/>
    <w:rsid w:val="00A42FF5"/>
    <w:rsid w:val="00A43728"/>
    <w:rsid w:val="00A44740"/>
    <w:rsid w:val="00A44DB5"/>
    <w:rsid w:val="00A46838"/>
    <w:rsid w:val="00A47885"/>
    <w:rsid w:val="00A50635"/>
    <w:rsid w:val="00A507FF"/>
    <w:rsid w:val="00A51413"/>
    <w:rsid w:val="00A51521"/>
    <w:rsid w:val="00A51C7C"/>
    <w:rsid w:val="00A560D0"/>
    <w:rsid w:val="00A567B6"/>
    <w:rsid w:val="00A5709A"/>
    <w:rsid w:val="00A5720A"/>
    <w:rsid w:val="00A5737F"/>
    <w:rsid w:val="00A60ED0"/>
    <w:rsid w:val="00A622A6"/>
    <w:rsid w:val="00A63341"/>
    <w:rsid w:val="00A64142"/>
    <w:rsid w:val="00A64CC9"/>
    <w:rsid w:val="00A66064"/>
    <w:rsid w:val="00A66EA5"/>
    <w:rsid w:val="00A67568"/>
    <w:rsid w:val="00A706E6"/>
    <w:rsid w:val="00A7138D"/>
    <w:rsid w:val="00A71684"/>
    <w:rsid w:val="00A71CE7"/>
    <w:rsid w:val="00A71EE9"/>
    <w:rsid w:val="00A71FA3"/>
    <w:rsid w:val="00A723FD"/>
    <w:rsid w:val="00A73B0D"/>
    <w:rsid w:val="00A7415D"/>
    <w:rsid w:val="00A74207"/>
    <w:rsid w:val="00A7464F"/>
    <w:rsid w:val="00A7466A"/>
    <w:rsid w:val="00A748F8"/>
    <w:rsid w:val="00A748FD"/>
    <w:rsid w:val="00A75C96"/>
    <w:rsid w:val="00A76EFE"/>
    <w:rsid w:val="00A77A4E"/>
    <w:rsid w:val="00A77D31"/>
    <w:rsid w:val="00A811EC"/>
    <w:rsid w:val="00A8161A"/>
    <w:rsid w:val="00A81EE2"/>
    <w:rsid w:val="00A81F0B"/>
    <w:rsid w:val="00A82180"/>
    <w:rsid w:val="00A82215"/>
    <w:rsid w:val="00A840A2"/>
    <w:rsid w:val="00A84837"/>
    <w:rsid w:val="00A84E7B"/>
    <w:rsid w:val="00A85D20"/>
    <w:rsid w:val="00A86319"/>
    <w:rsid w:val="00A87793"/>
    <w:rsid w:val="00A87D8D"/>
    <w:rsid w:val="00A9017B"/>
    <w:rsid w:val="00A92780"/>
    <w:rsid w:val="00A93729"/>
    <w:rsid w:val="00A9431E"/>
    <w:rsid w:val="00A9604F"/>
    <w:rsid w:val="00A97063"/>
    <w:rsid w:val="00A9726D"/>
    <w:rsid w:val="00A97F04"/>
    <w:rsid w:val="00AA0B49"/>
    <w:rsid w:val="00AA1A28"/>
    <w:rsid w:val="00AA325D"/>
    <w:rsid w:val="00AA37D9"/>
    <w:rsid w:val="00AA5BE2"/>
    <w:rsid w:val="00AA62D4"/>
    <w:rsid w:val="00AA760F"/>
    <w:rsid w:val="00AA7F36"/>
    <w:rsid w:val="00AB096C"/>
    <w:rsid w:val="00AB0BE9"/>
    <w:rsid w:val="00AB0FE2"/>
    <w:rsid w:val="00AB18EE"/>
    <w:rsid w:val="00AB1911"/>
    <w:rsid w:val="00AB5B3F"/>
    <w:rsid w:val="00AB6637"/>
    <w:rsid w:val="00AB6791"/>
    <w:rsid w:val="00AB6CE6"/>
    <w:rsid w:val="00AB743F"/>
    <w:rsid w:val="00AC02B3"/>
    <w:rsid w:val="00AC0633"/>
    <w:rsid w:val="00AC07F4"/>
    <w:rsid w:val="00AC0E6C"/>
    <w:rsid w:val="00AC0F15"/>
    <w:rsid w:val="00AC1201"/>
    <w:rsid w:val="00AC1968"/>
    <w:rsid w:val="00AC1ECE"/>
    <w:rsid w:val="00AC29E7"/>
    <w:rsid w:val="00AC32B9"/>
    <w:rsid w:val="00AC3886"/>
    <w:rsid w:val="00AC4F3D"/>
    <w:rsid w:val="00AC5CE1"/>
    <w:rsid w:val="00AC67B5"/>
    <w:rsid w:val="00AC6A14"/>
    <w:rsid w:val="00AD074E"/>
    <w:rsid w:val="00AD0DD7"/>
    <w:rsid w:val="00AD0DFC"/>
    <w:rsid w:val="00AD2188"/>
    <w:rsid w:val="00AD24F4"/>
    <w:rsid w:val="00AD2AC9"/>
    <w:rsid w:val="00AD2FCF"/>
    <w:rsid w:val="00AD335E"/>
    <w:rsid w:val="00AD3E14"/>
    <w:rsid w:val="00AD52FD"/>
    <w:rsid w:val="00AD5699"/>
    <w:rsid w:val="00AD5A1A"/>
    <w:rsid w:val="00AD5B04"/>
    <w:rsid w:val="00AD5E29"/>
    <w:rsid w:val="00AD6794"/>
    <w:rsid w:val="00AD694E"/>
    <w:rsid w:val="00AD6F4D"/>
    <w:rsid w:val="00AD7AE5"/>
    <w:rsid w:val="00AD7DEC"/>
    <w:rsid w:val="00AE1A80"/>
    <w:rsid w:val="00AE244C"/>
    <w:rsid w:val="00AE260C"/>
    <w:rsid w:val="00AE366F"/>
    <w:rsid w:val="00AE36A6"/>
    <w:rsid w:val="00AE475E"/>
    <w:rsid w:val="00AE487E"/>
    <w:rsid w:val="00AE5F45"/>
    <w:rsid w:val="00AE6E3C"/>
    <w:rsid w:val="00AE703C"/>
    <w:rsid w:val="00AF0607"/>
    <w:rsid w:val="00AF1352"/>
    <w:rsid w:val="00AF1E86"/>
    <w:rsid w:val="00AF1E8C"/>
    <w:rsid w:val="00AF29BB"/>
    <w:rsid w:val="00AF2A8B"/>
    <w:rsid w:val="00AF3098"/>
    <w:rsid w:val="00AF325D"/>
    <w:rsid w:val="00AF3ECA"/>
    <w:rsid w:val="00AF409F"/>
    <w:rsid w:val="00AF4DA4"/>
    <w:rsid w:val="00AF4EDB"/>
    <w:rsid w:val="00AF5790"/>
    <w:rsid w:val="00AF60C7"/>
    <w:rsid w:val="00AF66C2"/>
    <w:rsid w:val="00AF7669"/>
    <w:rsid w:val="00B00324"/>
    <w:rsid w:val="00B00879"/>
    <w:rsid w:val="00B009AA"/>
    <w:rsid w:val="00B0116E"/>
    <w:rsid w:val="00B01A2C"/>
    <w:rsid w:val="00B026EC"/>
    <w:rsid w:val="00B027AC"/>
    <w:rsid w:val="00B03374"/>
    <w:rsid w:val="00B04640"/>
    <w:rsid w:val="00B04766"/>
    <w:rsid w:val="00B05678"/>
    <w:rsid w:val="00B05693"/>
    <w:rsid w:val="00B06787"/>
    <w:rsid w:val="00B06805"/>
    <w:rsid w:val="00B073A8"/>
    <w:rsid w:val="00B07D99"/>
    <w:rsid w:val="00B106BE"/>
    <w:rsid w:val="00B10853"/>
    <w:rsid w:val="00B11C51"/>
    <w:rsid w:val="00B120B7"/>
    <w:rsid w:val="00B12FE4"/>
    <w:rsid w:val="00B13A60"/>
    <w:rsid w:val="00B13D8D"/>
    <w:rsid w:val="00B13EA8"/>
    <w:rsid w:val="00B149D3"/>
    <w:rsid w:val="00B157A2"/>
    <w:rsid w:val="00B159A7"/>
    <w:rsid w:val="00B16388"/>
    <w:rsid w:val="00B16F2C"/>
    <w:rsid w:val="00B204D5"/>
    <w:rsid w:val="00B20590"/>
    <w:rsid w:val="00B206AA"/>
    <w:rsid w:val="00B2156B"/>
    <w:rsid w:val="00B228D6"/>
    <w:rsid w:val="00B2335D"/>
    <w:rsid w:val="00B23416"/>
    <w:rsid w:val="00B237F7"/>
    <w:rsid w:val="00B24114"/>
    <w:rsid w:val="00B24CE6"/>
    <w:rsid w:val="00B258AB"/>
    <w:rsid w:val="00B25C0B"/>
    <w:rsid w:val="00B25F2C"/>
    <w:rsid w:val="00B26053"/>
    <w:rsid w:val="00B265E2"/>
    <w:rsid w:val="00B265FC"/>
    <w:rsid w:val="00B30120"/>
    <w:rsid w:val="00B30B83"/>
    <w:rsid w:val="00B31006"/>
    <w:rsid w:val="00B31C91"/>
    <w:rsid w:val="00B32C0B"/>
    <w:rsid w:val="00B32FA1"/>
    <w:rsid w:val="00B342F7"/>
    <w:rsid w:val="00B34CA4"/>
    <w:rsid w:val="00B352AA"/>
    <w:rsid w:val="00B35737"/>
    <w:rsid w:val="00B35A9B"/>
    <w:rsid w:val="00B36273"/>
    <w:rsid w:val="00B368C8"/>
    <w:rsid w:val="00B3715B"/>
    <w:rsid w:val="00B371E0"/>
    <w:rsid w:val="00B409CA"/>
    <w:rsid w:val="00B40E01"/>
    <w:rsid w:val="00B411A2"/>
    <w:rsid w:val="00B41665"/>
    <w:rsid w:val="00B41AEC"/>
    <w:rsid w:val="00B423DB"/>
    <w:rsid w:val="00B42805"/>
    <w:rsid w:val="00B42EB2"/>
    <w:rsid w:val="00B43068"/>
    <w:rsid w:val="00B4325E"/>
    <w:rsid w:val="00B43523"/>
    <w:rsid w:val="00B43F0F"/>
    <w:rsid w:val="00B45A13"/>
    <w:rsid w:val="00B45AF2"/>
    <w:rsid w:val="00B45C78"/>
    <w:rsid w:val="00B45E8D"/>
    <w:rsid w:val="00B46058"/>
    <w:rsid w:val="00B5099A"/>
    <w:rsid w:val="00B509EC"/>
    <w:rsid w:val="00B51083"/>
    <w:rsid w:val="00B51D4B"/>
    <w:rsid w:val="00B53408"/>
    <w:rsid w:val="00B537A7"/>
    <w:rsid w:val="00B53E23"/>
    <w:rsid w:val="00B5460F"/>
    <w:rsid w:val="00B5498C"/>
    <w:rsid w:val="00B549BA"/>
    <w:rsid w:val="00B54B9A"/>
    <w:rsid w:val="00B5598C"/>
    <w:rsid w:val="00B560A4"/>
    <w:rsid w:val="00B56D69"/>
    <w:rsid w:val="00B57519"/>
    <w:rsid w:val="00B6044A"/>
    <w:rsid w:val="00B60631"/>
    <w:rsid w:val="00B60D58"/>
    <w:rsid w:val="00B6194F"/>
    <w:rsid w:val="00B62126"/>
    <w:rsid w:val="00B636EC"/>
    <w:rsid w:val="00B639D0"/>
    <w:rsid w:val="00B6488D"/>
    <w:rsid w:val="00B6542D"/>
    <w:rsid w:val="00B656E1"/>
    <w:rsid w:val="00B6587D"/>
    <w:rsid w:val="00B65A7C"/>
    <w:rsid w:val="00B663AC"/>
    <w:rsid w:val="00B6658C"/>
    <w:rsid w:val="00B665EB"/>
    <w:rsid w:val="00B66DED"/>
    <w:rsid w:val="00B66F18"/>
    <w:rsid w:val="00B6780A"/>
    <w:rsid w:val="00B67CDE"/>
    <w:rsid w:val="00B702F8"/>
    <w:rsid w:val="00B70AC5"/>
    <w:rsid w:val="00B70DEC"/>
    <w:rsid w:val="00B70E8C"/>
    <w:rsid w:val="00B71E49"/>
    <w:rsid w:val="00B7207E"/>
    <w:rsid w:val="00B72678"/>
    <w:rsid w:val="00B729A6"/>
    <w:rsid w:val="00B73F44"/>
    <w:rsid w:val="00B75846"/>
    <w:rsid w:val="00B75ABD"/>
    <w:rsid w:val="00B763F2"/>
    <w:rsid w:val="00B768E4"/>
    <w:rsid w:val="00B80A1D"/>
    <w:rsid w:val="00B80E76"/>
    <w:rsid w:val="00B8428E"/>
    <w:rsid w:val="00B844F4"/>
    <w:rsid w:val="00B845EE"/>
    <w:rsid w:val="00B84D69"/>
    <w:rsid w:val="00B84D96"/>
    <w:rsid w:val="00B855AA"/>
    <w:rsid w:val="00B864D3"/>
    <w:rsid w:val="00B86578"/>
    <w:rsid w:val="00B86628"/>
    <w:rsid w:val="00B86D8C"/>
    <w:rsid w:val="00B873D9"/>
    <w:rsid w:val="00B877D8"/>
    <w:rsid w:val="00B87B01"/>
    <w:rsid w:val="00B90D03"/>
    <w:rsid w:val="00B91BF7"/>
    <w:rsid w:val="00B92B5F"/>
    <w:rsid w:val="00B9325C"/>
    <w:rsid w:val="00B93864"/>
    <w:rsid w:val="00B93B77"/>
    <w:rsid w:val="00B94309"/>
    <w:rsid w:val="00B947AE"/>
    <w:rsid w:val="00B94A99"/>
    <w:rsid w:val="00B94E32"/>
    <w:rsid w:val="00B95474"/>
    <w:rsid w:val="00B95C96"/>
    <w:rsid w:val="00B95EDF"/>
    <w:rsid w:val="00B9767D"/>
    <w:rsid w:val="00B97777"/>
    <w:rsid w:val="00B97D55"/>
    <w:rsid w:val="00B97EB2"/>
    <w:rsid w:val="00B97F6D"/>
    <w:rsid w:val="00B97F94"/>
    <w:rsid w:val="00BA1FC1"/>
    <w:rsid w:val="00BA2ED2"/>
    <w:rsid w:val="00BA345B"/>
    <w:rsid w:val="00BA42D6"/>
    <w:rsid w:val="00BA44F9"/>
    <w:rsid w:val="00BA47CF"/>
    <w:rsid w:val="00BA4C99"/>
    <w:rsid w:val="00BA4DC4"/>
    <w:rsid w:val="00BA5995"/>
    <w:rsid w:val="00BA69DC"/>
    <w:rsid w:val="00BA6BB2"/>
    <w:rsid w:val="00BB02AF"/>
    <w:rsid w:val="00BB06A3"/>
    <w:rsid w:val="00BB1B4E"/>
    <w:rsid w:val="00BB241A"/>
    <w:rsid w:val="00BB298F"/>
    <w:rsid w:val="00BB2E1D"/>
    <w:rsid w:val="00BB4090"/>
    <w:rsid w:val="00BB4320"/>
    <w:rsid w:val="00BB59F1"/>
    <w:rsid w:val="00BB5A77"/>
    <w:rsid w:val="00BB7A53"/>
    <w:rsid w:val="00BC007E"/>
    <w:rsid w:val="00BC118E"/>
    <w:rsid w:val="00BC2162"/>
    <w:rsid w:val="00BC26DB"/>
    <w:rsid w:val="00BC2B29"/>
    <w:rsid w:val="00BC2CBD"/>
    <w:rsid w:val="00BC39C9"/>
    <w:rsid w:val="00BC3B0F"/>
    <w:rsid w:val="00BC48CD"/>
    <w:rsid w:val="00BC4D76"/>
    <w:rsid w:val="00BC4FCC"/>
    <w:rsid w:val="00BC5936"/>
    <w:rsid w:val="00BC607C"/>
    <w:rsid w:val="00BC6D49"/>
    <w:rsid w:val="00BC6FDB"/>
    <w:rsid w:val="00BC7133"/>
    <w:rsid w:val="00BC71C3"/>
    <w:rsid w:val="00BC72BA"/>
    <w:rsid w:val="00BC7B83"/>
    <w:rsid w:val="00BD1929"/>
    <w:rsid w:val="00BD2381"/>
    <w:rsid w:val="00BD369A"/>
    <w:rsid w:val="00BD4AA8"/>
    <w:rsid w:val="00BD4EB9"/>
    <w:rsid w:val="00BD536E"/>
    <w:rsid w:val="00BD5414"/>
    <w:rsid w:val="00BD5F48"/>
    <w:rsid w:val="00BD6489"/>
    <w:rsid w:val="00BD6746"/>
    <w:rsid w:val="00BD6CDE"/>
    <w:rsid w:val="00BD74B8"/>
    <w:rsid w:val="00BD76AB"/>
    <w:rsid w:val="00BD7916"/>
    <w:rsid w:val="00BD7B8F"/>
    <w:rsid w:val="00BE0045"/>
    <w:rsid w:val="00BE0681"/>
    <w:rsid w:val="00BE0B8C"/>
    <w:rsid w:val="00BE20C2"/>
    <w:rsid w:val="00BE21E6"/>
    <w:rsid w:val="00BE29CB"/>
    <w:rsid w:val="00BE33E2"/>
    <w:rsid w:val="00BE38F0"/>
    <w:rsid w:val="00BE4E4B"/>
    <w:rsid w:val="00BE55C3"/>
    <w:rsid w:val="00BE667A"/>
    <w:rsid w:val="00BE66A8"/>
    <w:rsid w:val="00BE684F"/>
    <w:rsid w:val="00BE7AF9"/>
    <w:rsid w:val="00BE7CCC"/>
    <w:rsid w:val="00BE7ED1"/>
    <w:rsid w:val="00BF23CF"/>
    <w:rsid w:val="00BF277D"/>
    <w:rsid w:val="00BF2847"/>
    <w:rsid w:val="00BF28ED"/>
    <w:rsid w:val="00BF4360"/>
    <w:rsid w:val="00BF53F2"/>
    <w:rsid w:val="00BF5560"/>
    <w:rsid w:val="00BF5929"/>
    <w:rsid w:val="00BF5990"/>
    <w:rsid w:val="00BF6953"/>
    <w:rsid w:val="00BF7A4B"/>
    <w:rsid w:val="00C00567"/>
    <w:rsid w:val="00C01632"/>
    <w:rsid w:val="00C018CB"/>
    <w:rsid w:val="00C018D5"/>
    <w:rsid w:val="00C01BF0"/>
    <w:rsid w:val="00C0218C"/>
    <w:rsid w:val="00C02F2E"/>
    <w:rsid w:val="00C030E0"/>
    <w:rsid w:val="00C048F1"/>
    <w:rsid w:val="00C049E2"/>
    <w:rsid w:val="00C05556"/>
    <w:rsid w:val="00C0556D"/>
    <w:rsid w:val="00C0682E"/>
    <w:rsid w:val="00C06A10"/>
    <w:rsid w:val="00C1030C"/>
    <w:rsid w:val="00C126C1"/>
    <w:rsid w:val="00C136A7"/>
    <w:rsid w:val="00C1396E"/>
    <w:rsid w:val="00C13F82"/>
    <w:rsid w:val="00C14341"/>
    <w:rsid w:val="00C14510"/>
    <w:rsid w:val="00C14E92"/>
    <w:rsid w:val="00C15073"/>
    <w:rsid w:val="00C15A0E"/>
    <w:rsid w:val="00C15A53"/>
    <w:rsid w:val="00C165F4"/>
    <w:rsid w:val="00C16688"/>
    <w:rsid w:val="00C17169"/>
    <w:rsid w:val="00C17497"/>
    <w:rsid w:val="00C17605"/>
    <w:rsid w:val="00C20258"/>
    <w:rsid w:val="00C21AE1"/>
    <w:rsid w:val="00C226E1"/>
    <w:rsid w:val="00C23289"/>
    <w:rsid w:val="00C2619F"/>
    <w:rsid w:val="00C2644B"/>
    <w:rsid w:val="00C26E16"/>
    <w:rsid w:val="00C26FAE"/>
    <w:rsid w:val="00C2798D"/>
    <w:rsid w:val="00C27A09"/>
    <w:rsid w:val="00C30150"/>
    <w:rsid w:val="00C31A21"/>
    <w:rsid w:val="00C33018"/>
    <w:rsid w:val="00C3308C"/>
    <w:rsid w:val="00C338A1"/>
    <w:rsid w:val="00C34A78"/>
    <w:rsid w:val="00C352A1"/>
    <w:rsid w:val="00C35455"/>
    <w:rsid w:val="00C357A2"/>
    <w:rsid w:val="00C35859"/>
    <w:rsid w:val="00C36751"/>
    <w:rsid w:val="00C36F55"/>
    <w:rsid w:val="00C374AB"/>
    <w:rsid w:val="00C37616"/>
    <w:rsid w:val="00C377AC"/>
    <w:rsid w:val="00C37CE4"/>
    <w:rsid w:val="00C40687"/>
    <w:rsid w:val="00C408D7"/>
    <w:rsid w:val="00C40BE9"/>
    <w:rsid w:val="00C41321"/>
    <w:rsid w:val="00C43467"/>
    <w:rsid w:val="00C43BE2"/>
    <w:rsid w:val="00C43EA9"/>
    <w:rsid w:val="00C444CF"/>
    <w:rsid w:val="00C44CEF"/>
    <w:rsid w:val="00C4503C"/>
    <w:rsid w:val="00C452AF"/>
    <w:rsid w:val="00C45FDE"/>
    <w:rsid w:val="00C460BB"/>
    <w:rsid w:val="00C47D7C"/>
    <w:rsid w:val="00C47D80"/>
    <w:rsid w:val="00C51EAD"/>
    <w:rsid w:val="00C52169"/>
    <w:rsid w:val="00C52285"/>
    <w:rsid w:val="00C52922"/>
    <w:rsid w:val="00C54941"/>
    <w:rsid w:val="00C54CFF"/>
    <w:rsid w:val="00C55417"/>
    <w:rsid w:val="00C55B26"/>
    <w:rsid w:val="00C568F9"/>
    <w:rsid w:val="00C573BE"/>
    <w:rsid w:val="00C61F47"/>
    <w:rsid w:val="00C62A83"/>
    <w:rsid w:val="00C66BAA"/>
    <w:rsid w:val="00C672F9"/>
    <w:rsid w:val="00C70502"/>
    <w:rsid w:val="00C70BEC"/>
    <w:rsid w:val="00C71F57"/>
    <w:rsid w:val="00C722FA"/>
    <w:rsid w:val="00C72791"/>
    <w:rsid w:val="00C7510B"/>
    <w:rsid w:val="00C756BA"/>
    <w:rsid w:val="00C75D2B"/>
    <w:rsid w:val="00C76127"/>
    <w:rsid w:val="00C76689"/>
    <w:rsid w:val="00C7676A"/>
    <w:rsid w:val="00C771CB"/>
    <w:rsid w:val="00C77903"/>
    <w:rsid w:val="00C77C22"/>
    <w:rsid w:val="00C80AA0"/>
    <w:rsid w:val="00C810AC"/>
    <w:rsid w:val="00C8224B"/>
    <w:rsid w:val="00C83C71"/>
    <w:rsid w:val="00C83CA0"/>
    <w:rsid w:val="00C83FFB"/>
    <w:rsid w:val="00C85EA4"/>
    <w:rsid w:val="00C864AB"/>
    <w:rsid w:val="00C909FD"/>
    <w:rsid w:val="00C92F5A"/>
    <w:rsid w:val="00C9350F"/>
    <w:rsid w:val="00C943B1"/>
    <w:rsid w:val="00C95D78"/>
    <w:rsid w:val="00C96467"/>
    <w:rsid w:val="00C969B0"/>
    <w:rsid w:val="00CA058D"/>
    <w:rsid w:val="00CA088B"/>
    <w:rsid w:val="00CA10D7"/>
    <w:rsid w:val="00CA1649"/>
    <w:rsid w:val="00CA192E"/>
    <w:rsid w:val="00CA1C9D"/>
    <w:rsid w:val="00CA256A"/>
    <w:rsid w:val="00CA2708"/>
    <w:rsid w:val="00CA27BD"/>
    <w:rsid w:val="00CA2910"/>
    <w:rsid w:val="00CA3515"/>
    <w:rsid w:val="00CA495C"/>
    <w:rsid w:val="00CA56FD"/>
    <w:rsid w:val="00CA570B"/>
    <w:rsid w:val="00CA59DE"/>
    <w:rsid w:val="00CA67AF"/>
    <w:rsid w:val="00CA7779"/>
    <w:rsid w:val="00CB1BE9"/>
    <w:rsid w:val="00CB1CC7"/>
    <w:rsid w:val="00CB20F4"/>
    <w:rsid w:val="00CB2386"/>
    <w:rsid w:val="00CB451D"/>
    <w:rsid w:val="00CB4D36"/>
    <w:rsid w:val="00CB5298"/>
    <w:rsid w:val="00CB655C"/>
    <w:rsid w:val="00CC0672"/>
    <w:rsid w:val="00CC0FC9"/>
    <w:rsid w:val="00CC160E"/>
    <w:rsid w:val="00CC1F94"/>
    <w:rsid w:val="00CC1FCB"/>
    <w:rsid w:val="00CC237E"/>
    <w:rsid w:val="00CC2D3F"/>
    <w:rsid w:val="00CC45BE"/>
    <w:rsid w:val="00CC53BD"/>
    <w:rsid w:val="00CC578F"/>
    <w:rsid w:val="00CC7A3E"/>
    <w:rsid w:val="00CC7CFC"/>
    <w:rsid w:val="00CD0179"/>
    <w:rsid w:val="00CD0E4F"/>
    <w:rsid w:val="00CD132D"/>
    <w:rsid w:val="00CD1ED0"/>
    <w:rsid w:val="00CD2E08"/>
    <w:rsid w:val="00CD4F44"/>
    <w:rsid w:val="00CD55AB"/>
    <w:rsid w:val="00CD604E"/>
    <w:rsid w:val="00CD74D3"/>
    <w:rsid w:val="00CD7AD7"/>
    <w:rsid w:val="00CE0809"/>
    <w:rsid w:val="00CE097E"/>
    <w:rsid w:val="00CE115C"/>
    <w:rsid w:val="00CE2662"/>
    <w:rsid w:val="00CE2ADC"/>
    <w:rsid w:val="00CE31ED"/>
    <w:rsid w:val="00CE32FB"/>
    <w:rsid w:val="00CE3EB5"/>
    <w:rsid w:val="00CE5871"/>
    <w:rsid w:val="00CE750D"/>
    <w:rsid w:val="00CE7700"/>
    <w:rsid w:val="00CF09B2"/>
    <w:rsid w:val="00CF1C87"/>
    <w:rsid w:val="00CF4D0E"/>
    <w:rsid w:val="00CF5335"/>
    <w:rsid w:val="00CF676E"/>
    <w:rsid w:val="00CF6C0C"/>
    <w:rsid w:val="00CF6D90"/>
    <w:rsid w:val="00CF7C8E"/>
    <w:rsid w:val="00CF7F94"/>
    <w:rsid w:val="00D0120D"/>
    <w:rsid w:val="00D0165F"/>
    <w:rsid w:val="00D032B0"/>
    <w:rsid w:val="00D03B66"/>
    <w:rsid w:val="00D03FB0"/>
    <w:rsid w:val="00D04369"/>
    <w:rsid w:val="00D04583"/>
    <w:rsid w:val="00D04C26"/>
    <w:rsid w:val="00D05020"/>
    <w:rsid w:val="00D056FD"/>
    <w:rsid w:val="00D05FF7"/>
    <w:rsid w:val="00D067EB"/>
    <w:rsid w:val="00D06836"/>
    <w:rsid w:val="00D06958"/>
    <w:rsid w:val="00D07E54"/>
    <w:rsid w:val="00D1147E"/>
    <w:rsid w:val="00D12D39"/>
    <w:rsid w:val="00D13027"/>
    <w:rsid w:val="00D132D8"/>
    <w:rsid w:val="00D13343"/>
    <w:rsid w:val="00D145AF"/>
    <w:rsid w:val="00D15427"/>
    <w:rsid w:val="00D20BDD"/>
    <w:rsid w:val="00D210A2"/>
    <w:rsid w:val="00D21833"/>
    <w:rsid w:val="00D21BE0"/>
    <w:rsid w:val="00D21E79"/>
    <w:rsid w:val="00D234D1"/>
    <w:rsid w:val="00D2371F"/>
    <w:rsid w:val="00D2375D"/>
    <w:rsid w:val="00D241FF"/>
    <w:rsid w:val="00D243F1"/>
    <w:rsid w:val="00D24857"/>
    <w:rsid w:val="00D24F85"/>
    <w:rsid w:val="00D26B55"/>
    <w:rsid w:val="00D26EE9"/>
    <w:rsid w:val="00D27BBA"/>
    <w:rsid w:val="00D27F04"/>
    <w:rsid w:val="00D31179"/>
    <w:rsid w:val="00D32466"/>
    <w:rsid w:val="00D32CAB"/>
    <w:rsid w:val="00D32CDC"/>
    <w:rsid w:val="00D33476"/>
    <w:rsid w:val="00D339C2"/>
    <w:rsid w:val="00D34550"/>
    <w:rsid w:val="00D34997"/>
    <w:rsid w:val="00D35359"/>
    <w:rsid w:val="00D3675D"/>
    <w:rsid w:val="00D36C6F"/>
    <w:rsid w:val="00D4137F"/>
    <w:rsid w:val="00D41A15"/>
    <w:rsid w:val="00D424C7"/>
    <w:rsid w:val="00D42D1F"/>
    <w:rsid w:val="00D43590"/>
    <w:rsid w:val="00D4453B"/>
    <w:rsid w:val="00D460F6"/>
    <w:rsid w:val="00D46E92"/>
    <w:rsid w:val="00D502B6"/>
    <w:rsid w:val="00D51172"/>
    <w:rsid w:val="00D52300"/>
    <w:rsid w:val="00D53080"/>
    <w:rsid w:val="00D53E1E"/>
    <w:rsid w:val="00D5416D"/>
    <w:rsid w:val="00D54873"/>
    <w:rsid w:val="00D54FC1"/>
    <w:rsid w:val="00D558AE"/>
    <w:rsid w:val="00D55F52"/>
    <w:rsid w:val="00D5603D"/>
    <w:rsid w:val="00D566FE"/>
    <w:rsid w:val="00D56D9B"/>
    <w:rsid w:val="00D56F63"/>
    <w:rsid w:val="00D573E7"/>
    <w:rsid w:val="00D5753D"/>
    <w:rsid w:val="00D60235"/>
    <w:rsid w:val="00D603E6"/>
    <w:rsid w:val="00D6104F"/>
    <w:rsid w:val="00D61249"/>
    <w:rsid w:val="00D62102"/>
    <w:rsid w:val="00D626FE"/>
    <w:rsid w:val="00D6351D"/>
    <w:rsid w:val="00D65002"/>
    <w:rsid w:val="00D6530A"/>
    <w:rsid w:val="00D6560E"/>
    <w:rsid w:val="00D66106"/>
    <w:rsid w:val="00D67131"/>
    <w:rsid w:val="00D672CD"/>
    <w:rsid w:val="00D70193"/>
    <w:rsid w:val="00D715E4"/>
    <w:rsid w:val="00D72512"/>
    <w:rsid w:val="00D72EC5"/>
    <w:rsid w:val="00D732A6"/>
    <w:rsid w:val="00D7350E"/>
    <w:rsid w:val="00D73A83"/>
    <w:rsid w:val="00D74172"/>
    <w:rsid w:val="00D74292"/>
    <w:rsid w:val="00D74AC1"/>
    <w:rsid w:val="00D74B7C"/>
    <w:rsid w:val="00D74C35"/>
    <w:rsid w:val="00D75B9C"/>
    <w:rsid w:val="00D75BEB"/>
    <w:rsid w:val="00D7689F"/>
    <w:rsid w:val="00D76AA8"/>
    <w:rsid w:val="00D776E7"/>
    <w:rsid w:val="00D803B1"/>
    <w:rsid w:val="00D8082B"/>
    <w:rsid w:val="00D80AE0"/>
    <w:rsid w:val="00D81428"/>
    <w:rsid w:val="00D81A42"/>
    <w:rsid w:val="00D820CA"/>
    <w:rsid w:val="00D825DD"/>
    <w:rsid w:val="00D828D9"/>
    <w:rsid w:val="00D8293C"/>
    <w:rsid w:val="00D82D27"/>
    <w:rsid w:val="00D82FD4"/>
    <w:rsid w:val="00D8387D"/>
    <w:rsid w:val="00D84BB1"/>
    <w:rsid w:val="00D85758"/>
    <w:rsid w:val="00D8735F"/>
    <w:rsid w:val="00D87613"/>
    <w:rsid w:val="00D87912"/>
    <w:rsid w:val="00D90A91"/>
    <w:rsid w:val="00D91F2A"/>
    <w:rsid w:val="00D9214E"/>
    <w:rsid w:val="00D9225A"/>
    <w:rsid w:val="00D92BFB"/>
    <w:rsid w:val="00D92FA2"/>
    <w:rsid w:val="00D94055"/>
    <w:rsid w:val="00D95457"/>
    <w:rsid w:val="00D96775"/>
    <w:rsid w:val="00DA00BA"/>
    <w:rsid w:val="00DA014B"/>
    <w:rsid w:val="00DA0269"/>
    <w:rsid w:val="00DA0707"/>
    <w:rsid w:val="00DA098B"/>
    <w:rsid w:val="00DA0D4F"/>
    <w:rsid w:val="00DA17F9"/>
    <w:rsid w:val="00DA1C0B"/>
    <w:rsid w:val="00DA264C"/>
    <w:rsid w:val="00DA2F36"/>
    <w:rsid w:val="00DA3334"/>
    <w:rsid w:val="00DA3569"/>
    <w:rsid w:val="00DA381E"/>
    <w:rsid w:val="00DA403D"/>
    <w:rsid w:val="00DA436E"/>
    <w:rsid w:val="00DA5974"/>
    <w:rsid w:val="00DA6AA7"/>
    <w:rsid w:val="00DA6CFB"/>
    <w:rsid w:val="00DA78A7"/>
    <w:rsid w:val="00DA7EBC"/>
    <w:rsid w:val="00DB1270"/>
    <w:rsid w:val="00DB3231"/>
    <w:rsid w:val="00DB3BE8"/>
    <w:rsid w:val="00DB3C79"/>
    <w:rsid w:val="00DB4479"/>
    <w:rsid w:val="00DB453B"/>
    <w:rsid w:val="00DB6308"/>
    <w:rsid w:val="00DB67A7"/>
    <w:rsid w:val="00DB6AA9"/>
    <w:rsid w:val="00DB6E67"/>
    <w:rsid w:val="00DB776C"/>
    <w:rsid w:val="00DB7C88"/>
    <w:rsid w:val="00DC094F"/>
    <w:rsid w:val="00DC10EA"/>
    <w:rsid w:val="00DC1583"/>
    <w:rsid w:val="00DC1687"/>
    <w:rsid w:val="00DC1BAA"/>
    <w:rsid w:val="00DC2B5F"/>
    <w:rsid w:val="00DC438E"/>
    <w:rsid w:val="00DC5F67"/>
    <w:rsid w:val="00DC65F8"/>
    <w:rsid w:val="00DC6740"/>
    <w:rsid w:val="00DC6B43"/>
    <w:rsid w:val="00DC749E"/>
    <w:rsid w:val="00DC7A08"/>
    <w:rsid w:val="00DC7C39"/>
    <w:rsid w:val="00DD0ED0"/>
    <w:rsid w:val="00DD24FE"/>
    <w:rsid w:val="00DD2606"/>
    <w:rsid w:val="00DD277A"/>
    <w:rsid w:val="00DD296C"/>
    <w:rsid w:val="00DD4039"/>
    <w:rsid w:val="00DD471D"/>
    <w:rsid w:val="00DD673B"/>
    <w:rsid w:val="00DD6AA4"/>
    <w:rsid w:val="00DE025E"/>
    <w:rsid w:val="00DE02E8"/>
    <w:rsid w:val="00DE08B1"/>
    <w:rsid w:val="00DE31F1"/>
    <w:rsid w:val="00DE376A"/>
    <w:rsid w:val="00DE39BF"/>
    <w:rsid w:val="00DE4D6C"/>
    <w:rsid w:val="00DE5848"/>
    <w:rsid w:val="00DE5931"/>
    <w:rsid w:val="00DE601E"/>
    <w:rsid w:val="00DE64D8"/>
    <w:rsid w:val="00DE6953"/>
    <w:rsid w:val="00DE6DB8"/>
    <w:rsid w:val="00DE7076"/>
    <w:rsid w:val="00DE72C7"/>
    <w:rsid w:val="00DE76C3"/>
    <w:rsid w:val="00DE7712"/>
    <w:rsid w:val="00DF0CAA"/>
    <w:rsid w:val="00DF149F"/>
    <w:rsid w:val="00DF19C6"/>
    <w:rsid w:val="00DF1B4D"/>
    <w:rsid w:val="00DF51C6"/>
    <w:rsid w:val="00DF5D71"/>
    <w:rsid w:val="00DF725A"/>
    <w:rsid w:val="00DF7D14"/>
    <w:rsid w:val="00E005DE"/>
    <w:rsid w:val="00E0160D"/>
    <w:rsid w:val="00E0194C"/>
    <w:rsid w:val="00E020FF"/>
    <w:rsid w:val="00E02C6F"/>
    <w:rsid w:val="00E03E97"/>
    <w:rsid w:val="00E03F05"/>
    <w:rsid w:val="00E03F86"/>
    <w:rsid w:val="00E04EA7"/>
    <w:rsid w:val="00E050DE"/>
    <w:rsid w:val="00E059A5"/>
    <w:rsid w:val="00E05D81"/>
    <w:rsid w:val="00E062A7"/>
    <w:rsid w:val="00E063CD"/>
    <w:rsid w:val="00E06D5B"/>
    <w:rsid w:val="00E07C42"/>
    <w:rsid w:val="00E11660"/>
    <w:rsid w:val="00E1200C"/>
    <w:rsid w:val="00E1203F"/>
    <w:rsid w:val="00E128E3"/>
    <w:rsid w:val="00E130C4"/>
    <w:rsid w:val="00E16EAC"/>
    <w:rsid w:val="00E17691"/>
    <w:rsid w:val="00E17B1C"/>
    <w:rsid w:val="00E17F4A"/>
    <w:rsid w:val="00E209A8"/>
    <w:rsid w:val="00E21187"/>
    <w:rsid w:val="00E21706"/>
    <w:rsid w:val="00E22CB4"/>
    <w:rsid w:val="00E2306D"/>
    <w:rsid w:val="00E2332E"/>
    <w:rsid w:val="00E2381C"/>
    <w:rsid w:val="00E24236"/>
    <w:rsid w:val="00E25FDF"/>
    <w:rsid w:val="00E26407"/>
    <w:rsid w:val="00E267A0"/>
    <w:rsid w:val="00E26D07"/>
    <w:rsid w:val="00E2715C"/>
    <w:rsid w:val="00E31151"/>
    <w:rsid w:val="00E31518"/>
    <w:rsid w:val="00E320C9"/>
    <w:rsid w:val="00E32FA8"/>
    <w:rsid w:val="00E330A5"/>
    <w:rsid w:val="00E33F54"/>
    <w:rsid w:val="00E35810"/>
    <w:rsid w:val="00E36A02"/>
    <w:rsid w:val="00E370F3"/>
    <w:rsid w:val="00E37375"/>
    <w:rsid w:val="00E4018F"/>
    <w:rsid w:val="00E407A6"/>
    <w:rsid w:val="00E40976"/>
    <w:rsid w:val="00E41590"/>
    <w:rsid w:val="00E416C9"/>
    <w:rsid w:val="00E42685"/>
    <w:rsid w:val="00E42870"/>
    <w:rsid w:val="00E42889"/>
    <w:rsid w:val="00E42C87"/>
    <w:rsid w:val="00E42DE1"/>
    <w:rsid w:val="00E43A64"/>
    <w:rsid w:val="00E43D38"/>
    <w:rsid w:val="00E43D7D"/>
    <w:rsid w:val="00E441ED"/>
    <w:rsid w:val="00E44A15"/>
    <w:rsid w:val="00E45097"/>
    <w:rsid w:val="00E45381"/>
    <w:rsid w:val="00E45F20"/>
    <w:rsid w:val="00E46642"/>
    <w:rsid w:val="00E46BBC"/>
    <w:rsid w:val="00E46E96"/>
    <w:rsid w:val="00E47862"/>
    <w:rsid w:val="00E4786A"/>
    <w:rsid w:val="00E51292"/>
    <w:rsid w:val="00E51A53"/>
    <w:rsid w:val="00E525B5"/>
    <w:rsid w:val="00E52726"/>
    <w:rsid w:val="00E52902"/>
    <w:rsid w:val="00E549A6"/>
    <w:rsid w:val="00E564FE"/>
    <w:rsid w:val="00E56753"/>
    <w:rsid w:val="00E56908"/>
    <w:rsid w:val="00E57AF6"/>
    <w:rsid w:val="00E61160"/>
    <w:rsid w:val="00E624E3"/>
    <w:rsid w:val="00E625D3"/>
    <w:rsid w:val="00E62627"/>
    <w:rsid w:val="00E62944"/>
    <w:rsid w:val="00E62DAC"/>
    <w:rsid w:val="00E631CD"/>
    <w:rsid w:val="00E63A9D"/>
    <w:rsid w:val="00E64934"/>
    <w:rsid w:val="00E64EFD"/>
    <w:rsid w:val="00E660D2"/>
    <w:rsid w:val="00E66AA5"/>
    <w:rsid w:val="00E66EB0"/>
    <w:rsid w:val="00E67894"/>
    <w:rsid w:val="00E678F8"/>
    <w:rsid w:val="00E704C0"/>
    <w:rsid w:val="00E70586"/>
    <w:rsid w:val="00E711F6"/>
    <w:rsid w:val="00E71ADB"/>
    <w:rsid w:val="00E72A35"/>
    <w:rsid w:val="00E72FF8"/>
    <w:rsid w:val="00E73EF8"/>
    <w:rsid w:val="00E74E6E"/>
    <w:rsid w:val="00E75440"/>
    <w:rsid w:val="00E761F8"/>
    <w:rsid w:val="00E7655D"/>
    <w:rsid w:val="00E765EB"/>
    <w:rsid w:val="00E76A56"/>
    <w:rsid w:val="00E76B6B"/>
    <w:rsid w:val="00E777CF"/>
    <w:rsid w:val="00E808E8"/>
    <w:rsid w:val="00E81082"/>
    <w:rsid w:val="00E815E3"/>
    <w:rsid w:val="00E8192D"/>
    <w:rsid w:val="00E82581"/>
    <w:rsid w:val="00E8271A"/>
    <w:rsid w:val="00E8293C"/>
    <w:rsid w:val="00E82EA8"/>
    <w:rsid w:val="00E83FA1"/>
    <w:rsid w:val="00E84B58"/>
    <w:rsid w:val="00E84D8B"/>
    <w:rsid w:val="00E854D8"/>
    <w:rsid w:val="00E85998"/>
    <w:rsid w:val="00E85A6A"/>
    <w:rsid w:val="00E85A71"/>
    <w:rsid w:val="00E86E2B"/>
    <w:rsid w:val="00E86F54"/>
    <w:rsid w:val="00E8792F"/>
    <w:rsid w:val="00E9066A"/>
    <w:rsid w:val="00E919E6"/>
    <w:rsid w:val="00E92008"/>
    <w:rsid w:val="00E925BC"/>
    <w:rsid w:val="00E928ED"/>
    <w:rsid w:val="00E930BD"/>
    <w:rsid w:val="00E93E78"/>
    <w:rsid w:val="00E94F5D"/>
    <w:rsid w:val="00E9577D"/>
    <w:rsid w:val="00E95B45"/>
    <w:rsid w:val="00E961CD"/>
    <w:rsid w:val="00E963D5"/>
    <w:rsid w:val="00E9688F"/>
    <w:rsid w:val="00E97827"/>
    <w:rsid w:val="00E97953"/>
    <w:rsid w:val="00E97C32"/>
    <w:rsid w:val="00EA044B"/>
    <w:rsid w:val="00EA04EA"/>
    <w:rsid w:val="00EA0C94"/>
    <w:rsid w:val="00EA46E4"/>
    <w:rsid w:val="00EA4B1B"/>
    <w:rsid w:val="00EA4E83"/>
    <w:rsid w:val="00EA52E2"/>
    <w:rsid w:val="00EA5715"/>
    <w:rsid w:val="00EA6213"/>
    <w:rsid w:val="00EA6C1B"/>
    <w:rsid w:val="00EA75E1"/>
    <w:rsid w:val="00EB0222"/>
    <w:rsid w:val="00EB0463"/>
    <w:rsid w:val="00EB085D"/>
    <w:rsid w:val="00EB13FA"/>
    <w:rsid w:val="00EB2B5D"/>
    <w:rsid w:val="00EB30AB"/>
    <w:rsid w:val="00EB33DD"/>
    <w:rsid w:val="00EB36A7"/>
    <w:rsid w:val="00EB381E"/>
    <w:rsid w:val="00EB3AAD"/>
    <w:rsid w:val="00EB3BA3"/>
    <w:rsid w:val="00EB3BAA"/>
    <w:rsid w:val="00EB4933"/>
    <w:rsid w:val="00EB5753"/>
    <w:rsid w:val="00EB6424"/>
    <w:rsid w:val="00EB735B"/>
    <w:rsid w:val="00EB7D36"/>
    <w:rsid w:val="00EC000B"/>
    <w:rsid w:val="00EC02CC"/>
    <w:rsid w:val="00EC0366"/>
    <w:rsid w:val="00EC0CE8"/>
    <w:rsid w:val="00EC0E13"/>
    <w:rsid w:val="00EC1089"/>
    <w:rsid w:val="00EC2A72"/>
    <w:rsid w:val="00EC2C1D"/>
    <w:rsid w:val="00EC3571"/>
    <w:rsid w:val="00EC3D8A"/>
    <w:rsid w:val="00EC409E"/>
    <w:rsid w:val="00EC4239"/>
    <w:rsid w:val="00EC578A"/>
    <w:rsid w:val="00EC624D"/>
    <w:rsid w:val="00EC6A64"/>
    <w:rsid w:val="00EC7CE1"/>
    <w:rsid w:val="00EC7FAF"/>
    <w:rsid w:val="00ED05BD"/>
    <w:rsid w:val="00ED1483"/>
    <w:rsid w:val="00ED168C"/>
    <w:rsid w:val="00ED1BAF"/>
    <w:rsid w:val="00ED1F3C"/>
    <w:rsid w:val="00ED2398"/>
    <w:rsid w:val="00ED2A23"/>
    <w:rsid w:val="00ED2DBB"/>
    <w:rsid w:val="00ED2E20"/>
    <w:rsid w:val="00ED31DE"/>
    <w:rsid w:val="00ED3427"/>
    <w:rsid w:val="00ED35E5"/>
    <w:rsid w:val="00ED4661"/>
    <w:rsid w:val="00ED4B74"/>
    <w:rsid w:val="00ED5DD2"/>
    <w:rsid w:val="00ED6CAB"/>
    <w:rsid w:val="00ED7EC6"/>
    <w:rsid w:val="00EE0C4E"/>
    <w:rsid w:val="00EE113C"/>
    <w:rsid w:val="00EE1E5B"/>
    <w:rsid w:val="00EE1EA2"/>
    <w:rsid w:val="00EE2734"/>
    <w:rsid w:val="00EE3199"/>
    <w:rsid w:val="00EE5134"/>
    <w:rsid w:val="00EE582D"/>
    <w:rsid w:val="00EE5D74"/>
    <w:rsid w:val="00EE5DA2"/>
    <w:rsid w:val="00EE67C8"/>
    <w:rsid w:val="00EF0609"/>
    <w:rsid w:val="00EF1B5C"/>
    <w:rsid w:val="00EF2096"/>
    <w:rsid w:val="00EF21FE"/>
    <w:rsid w:val="00EF2762"/>
    <w:rsid w:val="00EF4F9E"/>
    <w:rsid w:val="00EF50FA"/>
    <w:rsid w:val="00EF5253"/>
    <w:rsid w:val="00EF61FB"/>
    <w:rsid w:val="00EF66AF"/>
    <w:rsid w:val="00EF6FDE"/>
    <w:rsid w:val="00F00216"/>
    <w:rsid w:val="00F00BDC"/>
    <w:rsid w:val="00F0118F"/>
    <w:rsid w:val="00F018D0"/>
    <w:rsid w:val="00F01A7E"/>
    <w:rsid w:val="00F025C1"/>
    <w:rsid w:val="00F02B35"/>
    <w:rsid w:val="00F02B82"/>
    <w:rsid w:val="00F04373"/>
    <w:rsid w:val="00F04C16"/>
    <w:rsid w:val="00F05374"/>
    <w:rsid w:val="00F05B4F"/>
    <w:rsid w:val="00F06540"/>
    <w:rsid w:val="00F06C96"/>
    <w:rsid w:val="00F06F43"/>
    <w:rsid w:val="00F06FF0"/>
    <w:rsid w:val="00F073C7"/>
    <w:rsid w:val="00F07A5F"/>
    <w:rsid w:val="00F1114D"/>
    <w:rsid w:val="00F114F3"/>
    <w:rsid w:val="00F11669"/>
    <w:rsid w:val="00F11CB9"/>
    <w:rsid w:val="00F11FCD"/>
    <w:rsid w:val="00F12432"/>
    <w:rsid w:val="00F13789"/>
    <w:rsid w:val="00F1396D"/>
    <w:rsid w:val="00F14483"/>
    <w:rsid w:val="00F145FB"/>
    <w:rsid w:val="00F1472D"/>
    <w:rsid w:val="00F1486A"/>
    <w:rsid w:val="00F149F3"/>
    <w:rsid w:val="00F15A8E"/>
    <w:rsid w:val="00F167D7"/>
    <w:rsid w:val="00F175F7"/>
    <w:rsid w:val="00F1780A"/>
    <w:rsid w:val="00F20F5E"/>
    <w:rsid w:val="00F21837"/>
    <w:rsid w:val="00F22530"/>
    <w:rsid w:val="00F23177"/>
    <w:rsid w:val="00F23DEE"/>
    <w:rsid w:val="00F26BB9"/>
    <w:rsid w:val="00F26FFE"/>
    <w:rsid w:val="00F27200"/>
    <w:rsid w:val="00F27FFB"/>
    <w:rsid w:val="00F303FA"/>
    <w:rsid w:val="00F30A41"/>
    <w:rsid w:val="00F30A77"/>
    <w:rsid w:val="00F312B2"/>
    <w:rsid w:val="00F3198C"/>
    <w:rsid w:val="00F31AB6"/>
    <w:rsid w:val="00F34029"/>
    <w:rsid w:val="00F34450"/>
    <w:rsid w:val="00F34672"/>
    <w:rsid w:val="00F35991"/>
    <w:rsid w:val="00F359B6"/>
    <w:rsid w:val="00F37426"/>
    <w:rsid w:val="00F37873"/>
    <w:rsid w:val="00F37B3C"/>
    <w:rsid w:val="00F37DCB"/>
    <w:rsid w:val="00F4018D"/>
    <w:rsid w:val="00F408B6"/>
    <w:rsid w:val="00F4108D"/>
    <w:rsid w:val="00F41896"/>
    <w:rsid w:val="00F41DF1"/>
    <w:rsid w:val="00F43909"/>
    <w:rsid w:val="00F4467B"/>
    <w:rsid w:val="00F4530E"/>
    <w:rsid w:val="00F47360"/>
    <w:rsid w:val="00F4739D"/>
    <w:rsid w:val="00F47A24"/>
    <w:rsid w:val="00F47B78"/>
    <w:rsid w:val="00F5078A"/>
    <w:rsid w:val="00F50B17"/>
    <w:rsid w:val="00F5256A"/>
    <w:rsid w:val="00F5302E"/>
    <w:rsid w:val="00F53615"/>
    <w:rsid w:val="00F54689"/>
    <w:rsid w:val="00F54CAC"/>
    <w:rsid w:val="00F55EDB"/>
    <w:rsid w:val="00F560BF"/>
    <w:rsid w:val="00F56B8B"/>
    <w:rsid w:val="00F57866"/>
    <w:rsid w:val="00F6035D"/>
    <w:rsid w:val="00F605F3"/>
    <w:rsid w:val="00F60C3B"/>
    <w:rsid w:val="00F60FEE"/>
    <w:rsid w:val="00F619AC"/>
    <w:rsid w:val="00F62E5E"/>
    <w:rsid w:val="00F62E7E"/>
    <w:rsid w:val="00F636A9"/>
    <w:rsid w:val="00F63896"/>
    <w:rsid w:val="00F63ED6"/>
    <w:rsid w:val="00F64E76"/>
    <w:rsid w:val="00F65EF6"/>
    <w:rsid w:val="00F66B3C"/>
    <w:rsid w:val="00F66D57"/>
    <w:rsid w:val="00F67322"/>
    <w:rsid w:val="00F7048C"/>
    <w:rsid w:val="00F71484"/>
    <w:rsid w:val="00F71EE8"/>
    <w:rsid w:val="00F71FBA"/>
    <w:rsid w:val="00F7210B"/>
    <w:rsid w:val="00F72619"/>
    <w:rsid w:val="00F73430"/>
    <w:rsid w:val="00F742B7"/>
    <w:rsid w:val="00F74A1B"/>
    <w:rsid w:val="00F75FDA"/>
    <w:rsid w:val="00F76CF7"/>
    <w:rsid w:val="00F7784A"/>
    <w:rsid w:val="00F77DDD"/>
    <w:rsid w:val="00F8062A"/>
    <w:rsid w:val="00F81F5C"/>
    <w:rsid w:val="00F82704"/>
    <w:rsid w:val="00F83A05"/>
    <w:rsid w:val="00F876F7"/>
    <w:rsid w:val="00F9042B"/>
    <w:rsid w:val="00F91D5D"/>
    <w:rsid w:val="00F9234D"/>
    <w:rsid w:val="00F92753"/>
    <w:rsid w:val="00F9300C"/>
    <w:rsid w:val="00F9327C"/>
    <w:rsid w:val="00F93456"/>
    <w:rsid w:val="00F936BA"/>
    <w:rsid w:val="00F93E0F"/>
    <w:rsid w:val="00F94231"/>
    <w:rsid w:val="00F957C7"/>
    <w:rsid w:val="00F95BB9"/>
    <w:rsid w:val="00F960FC"/>
    <w:rsid w:val="00F970E0"/>
    <w:rsid w:val="00F971DA"/>
    <w:rsid w:val="00F9744C"/>
    <w:rsid w:val="00F97A69"/>
    <w:rsid w:val="00FA009A"/>
    <w:rsid w:val="00FA0FC8"/>
    <w:rsid w:val="00FA1191"/>
    <w:rsid w:val="00FA151C"/>
    <w:rsid w:val="00FA19F9"/>
    <w:rsid w:val="00FA4C28"/>
    <w:rsid w:val="00FA4C41"/>
    <w:rsid w:val="00FA5A2B"/>
    <w:rsid w:val="00FA6385"/>
    <w:rsid w:val="00FA65B1"/>
    <w:rsid w:val="00FA6911"/>
    <w:rsid w:val="00FA69C6"/>
    <w:rsid w:val="00FA7BA7"/>
    <w:rsid w:val="00FB0732"/>
    <w:rsid w:val="00FB0753"/>
    <w:rsid w:val="00FB09EA"/>
    <w:rsid w:val="00FB0DF3"/>
    <w:rsid w:val="00FB0E4C"/>
    <w:rsid w:val="00FB1030"/>
    <w:rsid w:val="00FB10D5"/>
    <w:rsid w:val="00FB10E8"/>
    <w:rsid w:val="00FB13BC"/>
    <w:rsid w:val="00FB16E1"/>
    <w:rsid w:val="00FB1C70"/>
    <w:rsid w:val="00FB1CF5"/>
    <w:rsid w:val="00FB33B8"/>
    <w:rsid w:val="00FB3D82"/>
    <w:rsid w:val="00FB3E14"/>
    <w:rsid w:val="00FB41A6"/>
    <w:rsid w:val="00FB44F5"/>
    <w:rsid w:val="00FB466B"/>
    <w:rsid w:val="00FB4CFF"/>
    <w:rsid w:val="00FB5F61"/>
    <w:rsid w:val="00FB62BE"/>
    <w:rsid w:val="00FB72C2"/>
    <w:rsid w:val="00FB7FA4"/>
    <w:rsid w:val="00FC14FD"/>
    <w:rsid w:val="00FC1620"/>
    <w:rsid w:val="00FC304E"/>
    <w:rsid w:val="00FC531A"/>
    <w:rsid w:val="00FC6491"/>
    <w:rsid w:val="00FC7312"/>
    <w:rsid w:val="00FC7B3D"/>
    <w:rsid w:val="00FD1B65"/>
    <w:rsid w:val="00FD21C8"/>
    <w:rsid w:val="00FD26FF"/>
    <w:rsid w:val="00FD2B95"/>
    <w:rsid w:val="00FD3905"/>
    <w:rsid w:val="00FD4410"/>
    <w:rsid w:val="00FD4C32"/>
    <w:rsid w:val="00FD4E97"/>
    <w:rsid w:val="00FD5FA0"/>
    <w:rsid w:val="00FD6869"/>
    <w:rsid w:val="00FD79FE"/>
    <w:rsid w:val="00FE0010"/>
    <w:rsid w:val="00FE0525"/>
    <w:rsid w:val="00FE13B8"/>
    <w:rsid w:val="00FE14CF"/>
    <w:rsid w:val="00FE1C6C"/>
    <w:rsid w:val="00FE27D9"/>
    <w:rsid w:val="00FE2D08"/>
    <w:rsid w:val="00FE43C6"/>
    <w:rsid w:val="00FE4A44"/>
    <w:rsid w:val="00FE4CE3"/>
    <w:rsid w:val="00FE5B38"/>
    <w:rsid w:val="00FE5DE6"/>
    <w:rsid w:val="00FE68CE"/>
    <w:rsid w:val="00FE7C0D"/>
    <w:rsid w:val="00FF02C8"/>
    <w:rsid w:val="00FF0B62"/>
    <w:rsid w:val="00FF1A4D"/>
    <w:rsid w:val="00FF2876"/>
    <w:rsid w:val="00FF2E73"/>
    <w:rsid w:val="00FF3D9A"/>
    <w:rsid w:val="00FF42EA"/>
    <w:rsid w:val="00FF42F8"/>
    <w:rsid w:val="00FF4E3A"/>
    <w:rsid w:val="00FF617C"/>
    <w:rsid w:val="00FF62A4"/>
    <w:rsid w:val="00FF64C2"/>
    <w:rsid w:val="00FF6952"/>
    <w:rsid w:val="00FF6F22"/>
    <w:rsid w:val="00FF7D8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B04563"/>
  <w15:docId w15:val="{36570CDA-6B6F-4ECB-A3C4-488DF934F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35D87"/>
    <w:pPr>
      <w:jc w:val="both"/>
    </w:pPr>
    <w:rPr>
      <w:sz w:val="24"/>
    </w:rPr>
  </w:style>
  <w:style w:type="paragraph" w:styleId="Titolo1">
    <w:name w:val="heading 1"/>
    <w:aliases w:val="Titolo capitolo"/>
    <w:basedOn w:val="Normale"/>
    <w:next w:val="Normale"/>
    <w:link w:val="Titolo1Carattere"/>
    <w:qFormat/>
    <w:pPr>
      <w:keepNext/>
      <w:jc w:val="center"/>
      <w:outlineLvl w:val="0"/>
    </w:pPr>
    <w:rPr>
      <w:b/>
    </w:rPr>
  </w:style>
  <w:style w:type="paragraph" w:styleId="Titolo2">
    <w:name w:val="heading 2"/>
    <w:basedOn w:val="Normale"/>
    <w:next w:val="Normale"/>
    <w:qFormat/>
    <w:pPr>
      <w:keepNext/>
      <w:outlineLvl w:val="1"/>
    </w:pPr>
    <w:rPr>
      <w:b/>
    </w:rPr>
  </w:style>
  <w:style w:type="paragraph" w:styleId="Titolo3">
    <w:name w:val="heading 3"/>
    <w:basedOn w:val="Normale"/>
    <w:next w:val="Normale"/>
    <w:qFormat/>
    <w:pPr>
      <w:keepNext/>
      <w:outlineLvl w:val="2"/>
    </w:pPr>
    <w:rPr>
      <w:b/>
      <w:sz w:val="22"/>
    </w:rPr>
  </w:style>
  <w:style w:type="paragraph" w:styleId="Titolo4">
    <w:name w:val="heading 4"/>
    <w:basedOn w:val="Normale"/>
    <w:next w:val="Normale"/>
    <w:link w:val="Titolo4Carattere"/>
    <w:qFormat/>
    <w:pPr>
      <w:keepNext/>
      <w:outlineLvl w:val="3"/>
    </w:pPr>
    <w:rPr>
      <w:rFonts w:ascii="Verdana" w:hAnsi="Verdana"/>
      <w:b/>
      <w:sz w:val="20"/>
    </w:rPr>
  </w:style>
  <w:style w:type="paragraph" w:styleId="Titolo5">
    <w:name w:val="heading 5"/>
    <w:basedOn w:val="Normale"/>
    <w:next w:val="Normale"/>
    <w:link w:val="Titolo5Carattere"/>
    <w:qFormat/>
    <w:pPr>
      <w:keepNext/>
      <w:jc w:val="center"/>
      <w:outlineLvl w:val="4"/>
    </w:pPr>
    <w:rPr>
      <w:sz w:val="28"/>
    </w:rPr>
  </w:style>
  <w:style w:type="paragraph" w:styleId="Titolo6">
    <w:name w:val="heading 6"/>
    <w:basedOn w:val="Normale"/>
    <w:next w:val="Normale"/>
    <w:link w:val="Titolo6Carattere"/>
    <w:qFormat/>
    <w:pPr>
      <w:keepNext/>
      <w:jc w:val="left"/>
      <w:outlineLvl w:val="5"/>
    </w:pPr>
    <w:rPr>
      <w:rFonts w:ascii="Arial" w:hAnsi="Arial"/>
      <w:b/>
      <w:snapToGrid w:val="0"/>
      <w:color w:val="000000"/>
      <w:sz w:val="18"/>
    </w:rPr>
  </w:style>
  <w:style w:type="paragraph" w:styleId="Titolo7">
    <w:name w:val="heading 7"/>
    <w:basedOn w:val="Normale"/>
    <w:next w:val="Normale"/>
    <w:qFormat/>
    <w:pPr>
      <w:keepNext/>
      <w:outlineLvl w:val="6"/>
    </w:pPr>
    <w:rPr>
      <w:rFonts w:ascii="Arial" w:hAnsi="Arial"/>
      <w:b/>
      <w:sz w:val="18"/>
    </w:rPr>
  </w:style>
  <w:style w:type="paragraph" w:styleId="Titolo8">
    <w:name w:val="heading 8"/>
    <w:basedOn w:val="Normale"/>
    <w:next w:val="Normale"/>
    <w:qFormat/>
    <w:pPr>
      <w:keepNext/>
      <w:ind w:right="-1"/>
      <w:jc w:val="center"/>
      <w:outlineLvl w:val="7"/>
    </w:pPr>
    <w:rPr>
      <w:rFonts w:ascii="MyriadPro-It" w:hAnsi="MyriadPro-It"/>
      <w:snapToGrid w:val="0"/>
      <w:sz w:val="36"/>
    </w:rPr>
  </w:style>
  <w:style w:type="paragraph" w:styleId="Titolo9">
    <w:name w:val="heading 9"/>
    <w:basedOn w:val="Normale"/>
    <w:next w:val="Normale"/>
    <w:qFormat/>
    <w:pPr>
      <w:keepNext/>
      <w:ind w:right="-1"/>
      <w:jc w:val="center"/>
      <w:outlineLvl w:val="8"/>
    </w:pPr>
    <w:rPr>
      <w:rFonts w:ascii="Arial" w:hAnsi="Arial"/>
      <w:b/>
      <w:snapToGrid w:val="0"/>
      <w:sz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link w:val="Titolo4"/>
    <w:rsid w:val="00B844F4"/>
    <w:rPr>
      <w:rFonts w:ascii="Verdana" w:hAnsi="Verdana"/>
      <w:b/>
    </w:rPr>
  </w:style>
  <w:style w:type="character" w:customStyle="1" w:styleId="Titolo5Carattere">
    <w:name w:val="Titolo 5 Carattere"/>
    <w:link w:val="Titolo5"/>
    <w:rsid w:val="00B844F4"/>
    <w:rPr>
      <w:sz w:val="28"/>
    </w:rPr>
  </w:style>
  <w:style w:type="character" w:customStyle="1" w:styleId="Titolo6Carattere">
    <w:name w:val="Titolo 6 Carattere"/>
    <w:link w:val="Titolo6"/>
    <w:rsid w:val="00B844F4"/>
    <w:rPr>
      <w:rFonts w:ascii="Arial" w:hAnsi="Arial"/>
      <w:b/>
      <w:snapToGrid w:val="0"/>
      <w:color w:val="000000"/>
      <w:sz w:val="18"/>
    </w:rPr>
  </w:style>
  <w:style w:type="paragraph" w:styleId="Corpotesto">
    <w:name w:val="Body Text"/>
    <w:aliases w:val="Text,bt,BODY TEXT,body text,t,Block text,heading_txt,bodytxy2,Para,EHPT,Body Text2,bt1,bodytext,BT,txt1,T1,Title 1,EDStext,sp,bullet title,sbs,block text,Resume Text,bt4,body text4,bt5,body text5,body text1,tx,text,Justified,pp,RFP Text"/>
    <w:basedOn w:val="Normale"/>
    <w:semiHidden/>
    <w:rPr>
      <w:sz w:val="28"/>
    </w:rPr>
  </w:style>
  <w:style w:type="paragraph" w:styleId="Corpodeltesto2">
    <w:name w:val="Body Text 2"/>
    <w:basedOn w:val="Normale"/>
    <w:semiHidden/>
    <w:rPr>
      <w:sz w:val="26"/>
    </w:rPr>
  </w:style>
  <w:style w:type="paragraph" w:styleId="Titolo">
    <w:name w:val="Title"/>
    <w:basedOn w:val="Normale"/>
    <w:qFormat/>
    <w:pPr>
      <w:jc w:val="center"/>
    </w:pPr>
    <w:rPr>
      <w:i/>
      <w:sz w:val="26"/>
    </w:rPr>
  </w:style>
  <w:style w:type="paragraph" w:styleId="Sottotitolo">
    <w:name w:val="Subtitle"/>
    <w:basedOn w:val="Normale"/>
    <w:link w:val="SottotitoloCarattere"/>
    <w:uiPriority w:val="11"/>
    <w:qFormat/>
    <w:pPr>
      <w:jc w:val="center"/>
    </w:pPr>
    <w:rPr>
      <w:b/>
      <w:sz w:val="32"/>
    </w:rPr>
  </w:style>
  <w:style w:type="character" w:styleId="Collegamentoipertestuale">
    <w:name w:val="Hyperlink"/>
    <w:uiPriority w:val="99"/>
    <w:semiHidden/>
    <w:rPr>
      <w:color w:val="0000FF"/>
      <w:u w:val="single"/>
    </w:rPr>
  </w:style>
  <w:style w:type="paragraph" w:styleId="Mappadocumento">
    <w:name w:val="Document Map"/>
    <w:basedOn w:val="Normale"/>
    <w:semiHidden/>
    <w:pPr>
      <w:shd w:val="clear" w:color="auto" w:fill="000080"/>
    </w:pPr>
    <w:rPr>
      <w:rFonts w:ascii="Tahoma" w:hAnsi="Tahoma"/>
    </w:rPr>
  </w:style>
  <w:style w:type="paragraph" w:styleId="Intestazione">
    <w:name w:val="header"/>
    <w:basedOn w:val="Normale"/>
    <w:link w:val="IntestazioneCarattere"/>
    <w:uiPriority w:val="99"/>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paragraph" w:styleId="Corpodeltesto3">
    <w:name w:val="Body Text 3"/>
    <w:basedOn w:val="Normale"/>
    <w:semiHidden/>
    <w:rPr>
      <w:i/>
    </w:rPr>
  </w:style>
  <w:style w:type="paragraph" w:customStyle="1" w:styleId="S2">
    <w:name w:val="S2"/>
    <w:basedOn w:val="Normale"/>
    <w:autoRedefine/>
    <w:pPr>
      <w:numPr>
        <w:ilvl w:val="1"/>
        <w:numId w:val="1"/>
      </w:numPr>
      <w:jc w:val="left"/>
      <w:outlineLvl w:val="0"/>
    </w:pPr>
    <w:rPr>
      <w:rFonts w:ascii="Tempus Sans ITC" w:hAnsi="Tempus Sans ITC"/>
      <w:b/>
      <w:sz w:val="26"/>
    </w:rPr>
  </w:style>
  <w:style w:type="paragraph" w:styleId="Testonotaapidipagina">
    <w:name w:val="footnote text"/>
    <w:aliases w:val="Footnote,Footnote1,Footnote2,Footnote3,Footnote4,Footnote5,Footnote6,Footnote7,Footnote8,Footnote9,Footnote10,Footnote11,Footnote21,Footnote31,Footnote41,Footnote51,Footnote61,Footnote71,Footnote81,Footnote91,Footnote12"/>
    <w:basedOn w:val="Normale"/>
    <w:link w:val="TestonotaapidipaginaCarattere"/>
    <w:uiPriority w:val="99"/>
    <w:pPr>
      <w:jc w:val="left"/>
    </w:pPr>
    <w:rPr>
      <w:sz w:val="20"/>
    </w:rPr>
  </w:style>
  <w:style w:type="character" w:styleId="Rimandonotaapidipagina">
    <w:name w:val="footnote reference"/>
    <w:uiPriority w:val="99"/>
    <w:semiHidden/>
    <w:rPr>
      <w:vertAlign w:val="superscript"/>
    </w:rPr>
  </w:style>
  <w:style w:type="paragraph" w:styleId="Testodelblocco">
    <w:name w:val="Block Text"/>
    <w:basedOn w:val="Normale"/>
    <w:semiHidden/>
    <w:pPr>
      <w:ind w:left="-284" w:right="-285"/>
      <w:jc w:val="center"/>
    </w:pPr>
    <w:rPr>
      <w:rFonts w:ascii="Verdana" w:hAnsi="Verdana"/>
      <w:b/>
      <w:sz w:val="32"/>
    </w:rPr>
  </w:style>
  <w:style w:type="paragraph" w:customStyle="1" w:styleId="Tabella">
    <w:name w:val="Tabella"/>
    <w:basedOn w:val="Titolo2"/>
    <w:pPr>
      <w:spacing w:before="120" w:after="60"/>
    </w:pPr>
    <w:rPr>
      <w:b w:val="0"/>
      <w:i/>
    </w:rPr>
  </w:style>
  <w:style w:type="paragraph" w:customStyle="1" w:styleId="xl41">
    <w:name w:val="xl41"/>
    <w:basedOn w:val="Normale"/>
    <w:pPr>
      <w:spacing w:before="100" w:after="100"/>
    </w:pPr>
    <w:rPr>
      <w:rFonts w:eastAsia="Arial Unicode MS"/>
    </w:rPr>
  </w:style>
  <w:style w:type="paragraph" w:styleId="Didascalia">
    <w:name w:val="caption"/>
    <w:basedOn w:val="Normale"/>
    <w:next w:val="Normale"/>
    <w:qFormat/>
    <w:pPr>
      <w:spacing w:after="240"/>
    </w:pPr>
    <w:rPr>
      <w:i/>
      <w:sz w:val="20"/>
    </w:rPr>
  </w:style>
  <w:style w:type="paragraph" w:customStyle="1" w:styleId="Fonte">
    <w:name w:val="Fonte"/>
    <w:basedOn w:val="Didascalia"/>
    <w:pPr>
      <w:spacing w:after="0"/>
    </w:pPr>
    <w:rPr>
      <w:i w:val="0"/>
      <w:sz w:val="18"/>
    </w:rPr>
  </w:style>
  <w:style w:type="paragraph" w:customStyle="1" w:styleId="Stile1">
    <w:name w:val="Stile1"/>
    <w:basedOn w:val="Normale"/>
    <w:pPr>
      <w:spacing w:after="240"/>
    </w:pPr>
    <w:rPr>
      <w:rFonts w:ascii="Courier New" w:hAnsi="Courier New"/>
      <w:sz w:val="20"/>
    </w:rPr>
  </w:style>
  <w:style w:type="paragraph" w:styleId="Sommario4">
    <w:name w:val="toc 4"/>
    <w:basedOn w:val="Normale"/>
    <w:next w:val="Normale"/>
    <w:autoRedefine/>
    <w:semiHidden/>
    <w:pPr>
      <w:spacing w:after="240"/>
      <w:ind w:left="720"/>
    </w:pPr>
  </w:style>
  <w:style w:type="paragraph" w:styleId="Sommario6">
    <w:name w:val="toc 6"/>
    <w:basedOn w:val="Normale"/>
    <w:next w:val="Normale"/>
    <w:autoRedefine/>
    <w:semiHidden/>
    <w:pPr>
      <w:spacing w:after="240"/>
      <w:ind w:left="1200"/>
    </w:pPr>
  </w:style>
  <w:style w:type="paragraph" w:styleId="Sommario3">
    <w:name w:val="toc 3"/>
    <w:basedOn w:val="Normale"/>
    <w:next w:val="Normale"/>
    <w:autoRedefine/>
    <w:semiHidden/>
    <w:pPr>
      <w:spacing w:after="240"/>
      <w:ind w:left="480"/>
    </w:pPr>
  </w:style>
  <w:style w:type="paragraph" w:customStyle="1" w:styleId="StileStileStileTitolo114pt12pt">
    <w:name w:val="Stile Stile Stile Titolo 1 + + 14 pt + 12 pt"/>
    <w:basedOn w:val="Normale"/>
    <w:autoRedefine/>
    <w:rsid w:val="00B844F4"/>
    <w:pPr>
      <w:keepNext/>
      <w:spacing w:line="360" w:lineRule="auto"/>
      <w:ind w:firstLine="708"/>
      <w:outlineLvl w:val="0"/>
    </w:pPr>
    <w:rPr>
      <w:rFonts w:ascii="Tahoma" w:hAnsi="Tahoma"/>
      <w:sz w:val="28"/>
      <w:szCs w:val="24"/>
    </w:rPr>
  </w:style>
  <w:style w:type="character" w:customStyle="1" w:styleId="RientrocorpodeltestoCarattere">
    <w:name w:val="Rientro corpo del testo Carattere"/>
    <w:link w:val="Rientrocorpodeltesto"/>
    <w:semiHidden/>
    <w:rsid w:val="00B844F4"/>
    <w:rPr>
      <w:sz w:val="24"/>
      <w:szCs w:val="24"/>
    </w:rPr>
  </w:style>
  <w:style w:type="paragraph" w:styleId="Rientrocorpodeltesto">
    <w:name w:val="Body Text Indent"/>
    <w:basedOn w:val="Normale"/>
    <w:link w:val="RientrocorpodeltestoCarattere"/>
    <w:semiHidden/>
    <w:rsid w:val="00B844F4"/>
    <w:pPr>
      <w:ind w:left="708"/>
    </w:pPr>
    <w:rPr>
      <w:szCs w:val="24"/>
    </w:rPr>
  </w:style>
  <w:style w:type="character" w:customStyle="1" w:styleId="Rientrocorpodeltesto2Carattere">
    <w:name w:val="Rientro corpo del testo 2 Carattere"/>
    <w:link w:val="Rientrocorpodeltesto2"/>
    <w:semiHidden/>
    <w:rsid w:val="00B844F4"/>
    <w:rPr>
      <w:rFonts w:ascii="Tahoma" w:hAnsi="Tahoma"/>
      <w:b/>
      <w:sz w:val="32"/>
      <w:szCs w:val="24"/>
    </w:rPr>
  </w:style>
  <w:style w:type="paragraph" w:styleId="Rientrocorpodeltesto2">
    <w:name w:val="Body Text Indent 2"/>
    <w:basedOn w:val="Normale"/>
    <w:link w:val="Rientrocorpodeltesto2Carattere"/>
    <w:semiHidden/>
    <w:rsid w:val="00B844F4"/>
    <w:pPr>
      <w:widowControl w:val="0"/>
      <w:spacing w:line="360" w:lineRule="auto"/>
      <w:ind w:left="-840"/>
      <w:jc w:val="left"/>
    </w:pPr>
    <w:rPr>
      <w:rFonts w:ascii="Tahoma" w:hAnsi="Tahoma"/>
      <w:b/>
      <w:sz w:val="32"/>
      <w:szCs w:val="24"/>
    </w:rPr>
  </w:style>
  <w:style w:type="character" w:customStyle="1" w:styleId="Rientrocorpodeltesto3Carattere">
    <w:name w:val="Rientro corpo del testo 3 Carattere"/>
    <w:link w:val="Rientrocorpodeltesto3"/>
    <w:semiHidden/>
    <w:rsid w:val="00B844F4"/>
    <w:rPr>
      <w:rFonts w:ascii="Tahoma" w:hAnsi="Tahoma"/>
      <w:sz w:val="28"/>
      <w:szCs w:val="24"/>
    </w:rPr>
  </w:style>
  <w:style w:type="paragraph" w:styleId="Rientrocorpodeltesto3">
    <w:name w:val="Body Text Indent 3"/>
    <w:basedOn w:val="Normale"/>
    <w:link w:val="Rientrocorpodeltesto3Carattere"/>
    <w:semiHidden/>
    <w:rsid w:val="00B844F4"/>
    <w:pPr>
      <w:ind w:left="708"/>
      <w:jc w:val="left"/>
    </w:pPr>
    <w:rPr>
      <w:rFonts w:ascii="Tahoma" w:hAnsi="Tahoma"/>
      <w:sz w:val="28"/>
      <w:szCs w:val="24"/>
    </w:rPr>
  </w:style>
  <w:style w:type="paragraph" w:customStyle="1" w:styleId="Rientrolettere">
    <w:name w:val="Rientro lettere"/>
    <w:basedOn w:val="Normale"/>
    <w:rsid w:val="00B844F4"/>
    <w:pPr>
      <w:numPr>
        <w:numId w:val="2"/>
      </w:numPr>
      <w:jc w:val="left"/>
    </w:pPr>
    <w:rPr>
      <w:sz w:val="20"/>
      <w:szCs w:val="24"/>
    </w:rPr>
  </w:style>
  <w:style w:type="paragraph" w:styleId="Paragrafoelenco">
    <w:name w:val="List Paragraph"/>
    <w:basedOn w:val="Normale"/>
    <w:uiPriority w:val="34"/>
    <w:qFormat/>
    <w:rsid w:val="00B844F4"/>
    <w:pPr>
      <w:spacing w:after="200" w:line="276" w:lineRule="auto"/>
      <w:ind w:left="720"/>
      <w:jc w:val="left"/>
    </w:pPr>
    <w:rPr>
      <w:rFonts w:ascii="Calibri" w:eastAsia="Calibri" w:hAnsi="Calibri"/>
      <w:sz w:val="22"/>
      <w:szCs w:val="24"/>
    </w:rPr>
  </w:style>
  <w:style w:type="character" w:customStyle="1" w:styleId="TestofumettoCarattere">
    <w:name w:val="Testo fumetto Carattere"/>
    <w:link w:val="Testofumetto"/>
    <w:uiPriority w:val="99"/>
    <w:semiHidden/>
    <w:rsid w:val="00B844F4"/>
    <w:rPr>
      <w:rFonts w:ascii="Tahoma" w:hAnsi="Tahoma"/>
      <w:sz w:val="16"/>
      <w:szCs w:val="16"/>
      <w:lang w:val="x-none" w:eastAsia="x-none"/>
    </w:rPr>
  </w:style>
  <w:style w:type="paragraph" w:styleId="Testofumetto">
    <w:name w:val="Balloon Text"/>
    <w:basedOn w:val="Normale"/>
    <w:link w:val="TestofumettoCarattere"/>
    <w:uiPriority w:val="99"/>
    <w:semiHidden/>
    <w:unhideWhenUsed/>
    <w:rsid w:val="00B844F4"/>
    <w:pPr>
      <w:jc w:val="left"/>
    </w:pPr>
    <w:rPr>
      <w:rFonts w:ascii="Tahoma" w:hAnsi="Tahoma"/>
      <w:sz w:val="16"/>
      <w:szCs w:val="16"/>
      <w:lang w:val="x-none" w:eastAsia="x-none"/>
    </w:rPr>
  </w:style>
  <w:style w:type="character" w:customStyle="1" w:styleId="style132">
    <w:name w:val="style132"/>
    <w:rsid w:val="00B844F4"/>
  </w:style>
  <w:style w:type="paragraph" w:styleId="NormaleWeb">
    <w:name w:val="Normal (Web)"/>
    <w:basedOn w:val="Normale"/>
    <w:uiPriority w:val="99"/>
    <w:semiHidden/>
    <w:unhideWhenUsed/>
    <w:rsid w:val="00B844F4"/>
    <w:pPr>
      <w:spacing w:before="100" w:beforeAutospacing="1" w:after="100" w:afterAutospacing="1"/>
      <w:jc w:val="left"/>
    </w:pPr>
    <w:rPr>
      <w:szCs w:val="24"/>
    </w:rPr>
  </w:style>
  <w:style w:type="character" w:styleId="Enfasigrassetto">
    <w:name w:val="Strong"/>
    <w:uiPriority w:val="22"/>
    <w:qFormat/>
    <w:rsid w:val="00B844F4"/>
    <w:rPr>
      <w:b/>
      <w:bCs/>
    </w:rPr>
  </w:style>
  <w:style w:type="table" w:styleId="Grigliatabella">
    <w:name w:val="Table Grid"/>
    <w:basedOn w:val="Tabellanormale"/>
    <w:uiPriority w:val="59"/>
    <w:rsid w:val="008E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apidipaginaCarattere">
    <w:name w:val="Testo nota a piè di pagina Carattere"/>
    <w:aliases w:val="Footnote Carattere,Footnote1 Carattere,Footnote2 Carattere,Footnote3 Carattere,Footnote4 Carattere,Footnote5 Carattere,Footnote6 Carattere,Footnote7 Carattere,Footnote8 Carattere,Footnote9 Carattere"/>
    <w:link w:val="Testonotaapidipagina"/>
    <w:uiPriority w:val="99"/>
    <w:rsid w:val="00991118"/>
  </w:style>
  <w:style w:type="character" w:customStyle="1" w:styleId="tabitem">
    <w:name w:val="tab item"/>
    <w:rsid w:val="00991118"/>
    <w:rPr>
      <w:rFonts w:ascii="Courier New" w:hAnsi="Courier New" w:cs="Courier New"/>
    </w:rPr>
  </w:style>
  <w:style w:type="paragraph" w:customStyle="1" w:styleId="IsnartTabitem">
    <w:name w:val="Isnart Tab item"/>
    <w:basedOn w:val="Normale"/>
    <w:rsid w:val="00991118"/>
    <w:pPr>
      <w:spacing w:before="60" w:after="60"/>
      <w:jc w:val="left"/>
    </w:pPr>
    <w:rPr>
      <w:rFonts w:ascii="Arial Narrow" w:hAnsi="Arial Narrow"/>
      <w:color w:val="000000"/>
    </w:rPr>
  </w:style>
  <w:style w:type="character" w:customStyle="1" w:styleId="IntestazioneCarattere">
    <w:name w:val="Intestazione Carattere"/>
    <w:link w:val="Intestazione"/>
    <w:uiPriority w:val="99"/>
    <w:rsid w:val="0014309F"/>
    <w:rPr>
      <w:sz w:val="24"/>
    </w:rPr>
  </w:style>
  <w:style w:type="character" w:customStyle="1" w:styleId="PidipaginaCarattere">
    <w:name w:val="Piè di pagina Carattere"/>
    <w:link w:val="Pidipagina"/>
    <w:uiPriority w:val="99"/>
    <w:rsid w:val="0014309F"/>
    <w:rPr>
      <w:sz w:val="24"/>
    </w:rPr>
  </w:style>
  <w:style w:type="character" w:customStyle="1" w:styleId="SottotitoloCarattere">
    <w:name w:val="Sottotitolo Carattere"/>
    <w:link w:val="Sottotitolo"/>
    <w:uiPriority w:val="11"/>
    <w:rsid w:val="00704D07"/>
    <w:rPr>
      <w:b/>
      <w:sz w:val="32"/>
    </w:rPr>
  </w:style>
  <w:style w:type="character" w:customStyle="1" w:styleId="Titolo1Carattere">
    <w:name w:val="Titolo 1 Carattere"/>
    <w:aliases w:val="Titolo capitolo Carattere"/>
    <w:basedOn w:val="Carpredefinitoparagrafo"/>
    <w:link w:val="Titolo1"/>
    <w:rsid w:val="00284A80"/>
    <w:rPr>
      <w:b/>
      <w:sz w:val="24"/>
    </w:rPr>
  </w:style>
  <w:style w:type="character" w:styleId="Menzionenonrisolta">
    <w:name w:val="Unresolved Mention"/>
    <w:basedOn w:val="Carpredefinitoparagrafo"/>
    <w:uiPriority w:val="99"/>
    <w:semiHidden/>
    <w:unhideWhenUsed/>
    <w:rsid w:val="00515D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9196">
      <w:bodyDiv w:val="1"/>
      <w:marLeft w:val="0"/>
      <w:marRight w:val="0"/>
      <w:marTop w:val="0"/>
      <w:marBottom w:val="0"/>
      <w:divBdr>
        <w:top w:val="none" w:sz="0" w:space="0" w:color="auto"/>
        <w:left w:val="none" w:sz="0" w:space="0" w:color="auto"/>
        <w:bottom w:val="none" w:sz="0" w:space="0" w:color="auto"/>
        <w:right w:val="none" w:sz="0" w:space="0" w:color="auto"/>
      </w:divBdr>
    </w:div>
    <w:div w:id="80103865">
      <w:bodyDiv w:val="1"/>
      <w:marLeft w:val="0"/>
      <w:marRight w:val="0"/>
      <w:marTop w:val="0"/>
      <w:marBottom w:val="0"/>
      <w:divBdr>
        <w:top w:val="none" w:sz="0" w:space="0" w:color="auto"/>
        <w:left w:val="none" w:sz="0" w:space="0" w:color="auto"/>
        <w:bottom w:val="none" w:sz="0" w:space="0" w:color="auto"/>
        <w:right w:val="none" w:sz="0" w:space="0" w:color="auto"/>
      </w:divBdr>
    </w:div>
    <w:div w:id="93982762">
      <w:bodyDiv w:val="1"/>
      <w:marLeft w:val="0"/>
      <w:marRight w:val="0"/>
      <w:marTop w:val="0"/>
      <w:marBottom w:val="0"/>
      <w:divBdr>
        <w:top w:val="none" w:sz="0" w:space="0" w:color="auto"/>
        <w:left w:val="none" w:sz="0" w:space="0" w:color="auto"/>
        <w:bottom w:val="none" w:sz="0" w:space="0" w:color="auto"/>
        <w:right w:val="none" w:sz="0" w:space="0" w:color="auto"/>
      </w:divBdr>
    </w:div>
    <w:div w:id="110563065">
      <w:bodyDiv w:val="1"/>
      <w:marLeft w:val="0"/>
      <w:marRight w:val="0"/>
      <w:marTop w:val="0"/>
      <w:marBottom w:val="0"/>
      <w:divBdr>
        <w:top w:val="none" w:sz="0" w:space="0" w:color="auto"/>
        <w:left w:val="none" w:sz="0" w:space="0" w:color="auto"/>
        <w:bottom w:val="none" w:sz="0" w:space="0" w:color="auto"/>
        <w:right w:val="none" w:sz="0" w:space="0" w:color="auto"/>
      </w:divBdr>
    </w:div>
    <w:div w:id="168915329">
      <w:bodyDiv w:val="1"/>
      <w:marLeft w:val="0"/>
      <w:marRight w:val="0"/>
      <w:marTop w:val="0"/>
      <w:marBottom w:val="0"/>
      <w:divBdr>
        <w:top w:val="none" w:sz="0" w:space="0" w:color="auto"/>
        <w:left w:val="none" w:sz="0" w:space="0" w:color="auto"/>
        <w:bottom w:val="none" w:sz="0" w:space="0" w:color="auto"/>
        <w:right w:val="none" w:sz="0" w:space="0" w:color="auto"/>
      </w:divBdr>
    </w:div>
    <w:div w:id="225343864">
      <w:bodyDiv w:val="1"/>
      <w:marLeft w:val="0"/>
      <w:marRight w:val="0"/>
      <w:marTop w:val="0"/>
      <w:marBottom w:val="0"/>
      <w:divBdr>
        <w:top w:val="none" w:sz="0" w:space="0" w:color="auto"/>
        <w:left w:val="none" w:sz="0" w:space="0" w:color="auto"/>
        <w:bottom w:val="none" w:sz="0" w:space="0" w:color="auto"/>
        <w:right w:val="none" w:sz="0" w:space="0" w:color="auto"/>
      </w:divBdr>
    </w:div>
    <w:div w:id="230315304">
      <w:bodyDiv w:val="1"/>
      <w:marLeft w:val="0"/>
      <w:marRight w:val="0"/>
      <w:marTop w:val="0"/>
      <w:marBottom w:val="0"/>
      <w:divBdr>
        <w:top w:val="none" w:sz="0" w:space="0" w:color="auto"/>
        <w:left w:val="none" w:sz="0" w:space="0" w:color="auto"/>
        <w:bottom w:val="none" w:sz="0" w:space="0" w:color="auto"/>
        <w:right w:val="none" w:sz="0" w:space="0" w:color="auto"/>
      </w:divBdr>
    </w:div>
    <w:div w:id="239608274">
      <w:bodyDiv w:val="1"/>
      <w:marLeft w:val="0"/>
      <w:marRight w:val="0"/>
      <w:marTop w:val="0"/>
      <w:marBottom w:val="0"/>
      <w:divBdr>
        <w:top w:val="none" w:sz="0" w:space="0" w:color="auto"/>
        <w:left w:val="none" w:sz="0" w:space="0" w:color="auto"/>
        <w:bottom w:val="none" w:sz="0" w:space="0" w:color="auto"/>
        <w:right w:val="none" w:sz="0" w:space="0" w:color="auto"/>
      </w:divBdr>
    </w:div>
    <w:div w:id="337195840">
      <w:bodyDiv w:val="1"/>
      <w:marLeft w:val="0"/>
      <w:marRight w:val="0"/>
      <w:marTop w:val="0"/>
      <w:marBottom w:val="0"/>
      <w:divBdr>
        <w:top w:val="none" w:sz="0" w:space="0" w:color="auto"/>
        <w:left w:val="none" w:sz="0" w:space="0" w:color="auto"/>
        <w:bottom w:val="none" w:sz="0" w:space="0" w:color="auto"/>
        <w:right w:val="none" w:sz="0" w:space="0" w:color="auto"/>
      </w:divBdr>
      <w:divsChild>
        <w:div w:id="252472106">
          <w:marLeft w:val="0"/>
          <w:marRight w:val="0"/>
          <w:marTop w:val="0"/>
          <w:marBottom w:val="0"/>
          <w:divBdr>
            <w:top w:val="none" w:sz="0" w:space="0" w:color="auto"/>
            <w:left w:val="none" w:sz="0" w:space="0" w:color="auto"/>
            <w:bottom w:val="none" w:sz="0" w:space="0" w:color="auto"/>
            <w:right w:val="none" w:sz="0" w:space="0" w:color="auto"/>
          </w:divBdr>
        </w:div>
        <w:div w:id="1171019247">
          <w:marLeft w:val="0"/>
          <w:marRight w:val="0"/>
          <w:marTop w:val="0"/>
          <w:marBottom w:val="0"/>
          <w:divBdr>
            <w:top w:val="none" w:sz="0" w:space="0" w:color="auto"/>
            <w:left w:val="none" w:sz="0" w:space="0" w:color="auto"/>
            <w:bottom w:val="none" w:sz="0" w:space="0" w:color="auto"/>
            <w:right w:val="none" w:sz="0" w:space="0" w:color="auto"/>
          </w:divBdr>
        </w:div>
        <w:div w:id="1173036458">
          <w:marLeft w:val="0"/>
          <w:marRight w:val="0"/>
          <w:marTop w:val="0"/>
          <w:marBottom w:val="0"/>
          <w:divBdr>
            <w:top w:val="none" w:sz="0" w:space="0" w:color="auto"/>
            <w:left w:val="none" w:sz="0" w:space="0" w:color="auto"/>
            <w:bottom w:val="none" w:sz="0" w:space="0" w:color="auto"/>
            <w:right w:val="none" w:sz="0" w:space="0" w:color="auto"/>
          </w:divBdr>
        </w:div>
        <w:div w:id="1658530962">
          <w:marLeft w:val="0"/>
          <w:marRight w:val="0"/>
          <w:marTop w:val="0"/>
          <w:marBottom w:val="0"/>
          <w:divBdr>
            <w:top w:val="none" w:sz="0" w:space="0" w:color="auto"/>
            <w:left w:val="none" w:sz="0" w:space="0" w:color="auto"/>
            <w:bottom w:val="none" w:sz="0" w:space="0" w:color="auto"/>
            <w:right w:val="none" w:sz="0" w:space="0" w:color="auto"/>
          </w:divBdr>
        </w:div>
        <w:div w:id="1758594219">
          <w:marLeft w:val="0"/>
          <w:marRight w:val="0"/>
          <w:marTop w:val="0"/>
          <w:marBottom w:val="0"/>
          <w:divBdr>
            <w:top w:val="none" w:sz="0" w:space="0" w:color="auto"/>
            <w:left w:val="none" w:sz="0" w:space="0" w:color="auto"/>
            <w:bottom w:val="none" w:sz="0" w:space="0" w:color="auto"/>
            <w:right w:val="none" w:sz="0" w:space="0" w:color="auto"/>
          </w:divBdr>
        </w:div>
      </w:divsChild>
    </w:div>
    <w:div w:id="348720864">
      <w:bodyDiv w:val="1"/>
      <w:marLeft w:val="0"/>
      <w:marRight w:val="0"/>
      <w:marTop w:val="0"/>
      <w:marBottom w:val="0"/>
      <w:divBdr>
        <w:top w:val="none" w:sz="0" w:space="0" w:color="auto"/>
        <w:left w:val="none" w:sz="0" w:space="0" w:color="auto"/>
        <w:bottom w:val="none" w:sz="0" w:space="0" w:color="auto"/>
        <w:right w:val="none" w:sz="0" w:space="0" w:color="auto"/>
      </w:divBdr>
    </w:div>
    <w:div w:id="361639117">
      <w:bodyDiv w:val="1"/>
      <w:marLeft w:val="0"/>
      <w:marRight w:val="0"/>
      <w:marTop w:val="0"/>
      <w:marBottom w:val="0"/>
      <w:divBdr>
        <w:top w:val="none" w:sz="0" w:space="0" w:color="auto"/>
        <w:left w:val="none" w:sz="0" w:space="0" w:color="auto"/>
        <w:bottom w:val="none" w:sz="0" w:space="0" w:color="auto"/>
        <w:right w:val="none" w:sz="0" w:space="0" w:color="auto"/>
      </w:divBdr>
    </w:div>
    <w:div w:id="527380353">
      <w:bodyDiv w:val="1"/>
      <w:marLeft w:val="60"/>
      <w:marRight w:val="60"/>
      <w:marTop w:val="60"/>
      <w:marBottom w:val="15"/>
      <w:divBdr>
        <w:top w:val="none" w:sz="0" w:space="0" w:color="auto"/>
        <w:left w:val="none" w:sz="0" w:space="0" w:color="auto"/>
        <w:bottom w:val="none" w:sz="0" w:space="0" w:color="auto"/>
        <w:right w:val="none" w:sz="0" w:space="0" w:color="auto"/>
      </w:divBdr>
      <w:divsChild>
        <w:div w:id="787703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3871721">
              <w:marLeft w:val="0"/>
              <w:marRight w:val="0"/>
              <w:marTop w:val="0"/>
              <w:marBottom w:val="0"/>
              <w:divBdr>
                <w:top w:val="none" w:sz="0" w:space="0" w:color="auto"/>
                <w:left w:val="none" w:sz="0" w:space="0" w:color="auto"/>
                <w:bottom w:val="none" w:sz="0" w:space="0" w:color="auto"/>
                <w:right w:val="none" w:sz="0" w:space="0" w:color="auto"/>
              </w:divBdr>
              <w:divsChild>
                <w:div w:id="993679631">
                  <w:marLeft w:val="0"/>
                  <w:marRight w:val="0"/>
                  <w:marTop w:val="0"/>
                  <w:marBottom w:val="0"/>
                  <w:divBdr>
                    <w:top w:val="none" w:sz="0" w:space="0" w:color="auto"/>
                    <w:left w:val="none" w:sz="0" w:space="0" w:color="auto"/>
                    <w:bottom w:val="none" w:sz="0" w:space="0" w:color="auto"/>
                    <w:right w:val="none" w:sz="0" w:space="0" w:color="auto"/>
                  </w:divBdr>
                  <w:divsChild>
                    <w:div w:id="118888145">
                      <w:marLeft w:val="0"/>
                      <w:marRight w:val="0"/>
                      <w:marTop w:val="0"/>
                      <w:marBottom w:val="0"/>
                      <w:divBdr>
                        <w:top w:val="none" w:sz="0" w:space="0" w:color="auto"/>
                        <w:left w:val="none" w:sz="0" w:space="0" w:color="auto"/>
                        <w:bottom w:val="none" w:sz="0" w:space="0" w:color="auto"/>
                        <w:right w:val="none" w:sz="0" w:space="0" w:color="auto"/>
                      </w:divBdr>
                    </w:div>
                    <w:div w:id="197277268">
                      <w:marLeft w:val="0"/>
                      <w:marRight w:val="0"/>
                      <w:marTop w:val="0"/>
                      <w:marBottom w:val="0"/>
                      <w:divBdr>
                        <w:top w:val="none" w:sz="0" w:space="0" w:color="auto"/>
                        <w:left w:val="none" w:sz="0" w:space="0" w:color="auto"/>
                        <w:bottom w:val="none" w:sz="0" w:space="0" w:color="auto"/>
                        <w:right w:val="none" w:sz="0" w:space="0" w:color="auto"/>
                      </w:divBdr>
                    </w:div>
                    <w:div w:id="218980954">
                      <w:marLeft w:val="0"/>
                      <w:marRight w:val="0"/>
                      <w:marTop w:val="0"/>
                      <w:marBottom w:val="0"/>
                      <w:divBdr>
                        <w:top w:val="none" w:sz="0" w:space="0" w:color="auto"/>
                        <w:left w:val="none" w:sz="0" w:space="0" w:color="auto"/>
                        <w:bottom w:val="none" w:sz="0" w:space="0" w:color="auto"/>
                        <w:right w:val="none" w:sz="0" w:space="0" w:color="auto"/>
                      </w:divBdr>
                    </w:div>
                    <w:div w:id="242493734">
                      <w:marLeft w:val="0"/>
                      <w:marRight w:val="0"/>
                      <w:marTop w:val="0"/>
                      <w:marBottom w:val="0"/>
                      <w:divBdr>
                        <w:top w:val="none" w:sz="0" w:space="0" w:color="auto"/>
                        <w:left w:val="none" w:sz="0" w:space="0" w:color="auto"/>
                        <w:bottom w:val="none" w:sz="0" w:space="0" w:color="auto"/>
                        <w:right w:val="none" w:sz="0" w:space="0" w:color="auto"/>
                      </w:divBdr>
                    </w:div>
                    <w:div w:id="295718139">
                      <w:marLeft w:val="0"/>
                      <w:marRight w:val="0"/>
                      <w:marTop w:val="0"/>
                      <w:marBottom w:val="0"/>
                      <w:divBdr>
                        <w:top w:val="none" w:sz="0" w:space="0" w:color="auto"/>
                        <w:left w:val="none" w:sz="0" w:space="0" w:color="auto"/>
                        <w:bottom w:val="none" w:sz="0" w:space="0" w:color="auto"/>
                        <w:right w:val="none" w:sz="0" w:space="0" w:color="auto"/>
                      </w:divBdr>
                    </w:div>
                    <w:div w:id="370571282">
                      <w:marLeft w:val="0"/>
                      <w:marRight w:val="0"/>
                      <w:marTop w:val="0"/>
                      <w:marBottom w:val="0"/>
                      <w:divBdr>
                        <w:top w:val="none" w:sz="0" w:space="0" w:color="auto"/>
                        <w:left w:val="none" w:sz="0" w:space="0" w:color="auto"/>
                        <w:bottom w:val="none" w:sz="0" w:space="0" w:color="auto"/>
                        <w:right w:val="none" w:sz="0" w:space="0" w:color="auto"/>
                      </w:divBdr>
                    </w:div>
                    <w:div w:id="395662424">
                      <w:marLeft w:val="0"/>
                      <w:marRight w:val="0"/>
                      <w:marTop w:val="0"/>
                      <w:marBottom w:val="0"/>
                      <w:divBdr>
                        <w:top w:val="none" w:sz="0" w:space="0" w:color="auto"/>
                        <w:left w:val="none" w:sz="0" w:space="0" w:color="auto"/>
                        <w:bottom w:val="none" w:sz="0" w:space="0" w:color="auto"/>
                        <w:right w:val="none" w:sz="0" w:space="0" w:color="auto"/>
                      </w:divBdr>
                    </w:div>
                    <w:div w:id="404451095">
                      <w:marLeft w:val="0"/>
                      <w:marRight w:val="0"/>
                      <w:marTop w:val="0"/>
                      <w:marBottom w:val="0"/>
                      <w:divBdr>
                        <w:top w:val="none" w:sz="0" w:space="0" w:color="auto"/>
                        <w:left w:val="none" w:sz="0" w:space="0" w:color="auto"/>
                        <w:bottom w:val="none" w:sz="0" w:space="0" w:color="auto"/>
                        <w:right w:val="none" w:sz="0" w:space="0" w:color="auto"/>
                      </w:divBdr>
                    </w:div>
                    <w:div w:id="425351344">
                      <w:marLeft w:val="0"/>
                      <w:marRight w:val="0"/>
                      <w:marTop w:val="0"/>
                      <w:marBottom w:val="0"/>
                      <w:divBdr>
                        <w:top w:val="none" w:sz="0" w:space="0" w:color="auto"/>
                        <w:left w:val="none" w:sz="0" w:space="0" w:color="auto"/>
                        <w:bottom w:val="none" w:sz="0" w:space="0" w:color="auto"/>
                        <w:right w:val="none" w:sz="0" w:space="0" w:color="auto"/>
                      </w:divBdr>
                    </w:div>
                    <w:div w:id="443765691">
                      <w:marLeft w:val="0"/>
                      <w:marRight w:val="0"/>
                      <w:marTop w:val="0"/>
                      <w:marBottom w:val="0"/>
                      <w:divBdr>
                        <w:top w:val="none" w:sz="0" w:space="0" w:color="auto"/>
                        <w:left w:val="none" w:sz="0" w:space="0" w:color="auto"/>
                        <w:bottom w:val="none" w:sz="0" w:space="0" w:color="auto"/>
                        <w:right w:val="none" w:sz="0" w:space="0" w:color="auto"/>
                      </w:divBdr>
                    </w:div>
                    <w:div w:id="636110531">
                      <w:marLeft w:val="0"/>
                      <w:marRight w:val="0"/>
                      <w:marTop w:val="0"/>
                      <w:marBottom w:val="0"/>
                      <w:divBdr>
                        <w:top w:val="none" w:sz="0" w:space="0" w:color="auto"/>
                        <w:left w:val="none" w:sz="0" w:space="0" w:color="auto"/>
                        <w:bottom w:val="none" w:sz="0" w:space="0" w:color="auto"/>
                        <w:right w:val="none" w:sz="0" w:space="0" w:color="auto"/>
                      </w:divBdr>
                    </w:div>
                    <w:div w:id="718211617">
                      <w:marLeft w:val="0"/>
                      <w:marRight w:val="0"/>
                      <w:marTop w:val="0"/>
                      <w:marBottom w:val="0"/>
                      <w:divBdr>
                        <w:top w:val="none" w:sz="0" w:space="0" w:color="auto"/>
                        <w:left w:val="none" w:sz="0" w:space="0" w:color="auto"/>
                        <w:bottom w:val="none" w:sz="0" w:space="0" w:color="auto"/>
                        <w:right w:val="none" w:sz="0" w:space="0" w:color="auto"/>
                      </w:divBdr>
                    </w:div>
                    <w:div w:id="786706067">
                      <w:marLeft w:val="0"/>
                      <w:marRight w:val="0"/>
                      <w:marTop w:val="0"/>
                      <w:marBottom w:val="0"/>
                      <w:divBdr>
                        <w:top w:val="none" w:sz="0" w:space="0" w:color="auto"/>
                        <w:left w:val="none" w:sz="0" w:space="0" w:color="auto"/>
                        <w:bottom w:val="none" w:sz="0" w:space="0" w:color="auto"/>
                        <w:right w:val="none" w:sz="0" w:space="0" w:color="auto"/>
                      </w:divBdr>
                    </w:div>
                    <w:div w:id="935208139">
                      <w:marLeft w:val="0"/>
                      <w:marRight w:val="0"/>
                      <w:marTop w:val="0"/>
                      <w:marBottom w:val="0"/>
                      <w:divBdr>
                        <w:top w:val="none" w:sz="0" w:space="0" w:color="auto"/>
                        <w:left w:val="none" w:sz="0" w:space="0" w:color="auto"/>
                        <w:bottom w:val="none" w:sz="0" w:space="0" w:color="auto"/>
                        <w:right w:val="none" w:sz="0" w:space="0" w:color="auto"/>
                      </w:divBdr>
                    </w:div>
                    <w:div w:id="1118531261">
                      <w:marLeft w:val="0"/>
                      <w:marRight w:val="0"/>
                      <w:marTop w:val="0"/>
                      <w:marBottom w:val="0"/>
                      <w:divBdr>
                        <w:top w:val="none" w:sz="0" w:space="0" w:color="auto"/>
                        <w:left w:val="none" w:sz="0" w:space="0" w:color="auto"/>
                        <w:bottom w:val="none" w:sz="0" w:space="0" w:color="auto"/>
                        <w:right w:val="none" w:sz="0" w:space="0" w:color="auto"/>
                      </w:divBdr>
                    </w:div>
                    <w:div w:id="1129013779">
                      <w:marLeft w:val="0"/>
                      <w:marRight w:val="0"/>
                      <w:marTop w:val="0"/>
                      <w:marBottom w:val="0"/>
                      <w:divBdr>
                        <w:top w:val="none" w:sz="0" w:space="0" w:color="auto"/>
                        <w:left w:val="none" w:sz="0" w:space="0" w:color="auto"/>
                        <w:bottom w:val="none" w:sz="0" w:space="0" w:color="auto"/>
                        <w:right w:val="none" w:sz="0" w:space="0" w:color="auto"/>
                      </w:divBdr>
                    </w:div>
                    <w:div w:id="1159809215">
                      <w:marLeft w:val="0"/>
                      <w:marRight w:val="0"/>
                      <w:marTop w:val="0"/>
                      <w:marBottom w:val="0"/>
                      <w:divBdr>
                        <w:top w:val="none" w:sz="0" w:space="0" w:color="auto"/>
                        <w:left w:val="none" w:sz="0" w:space="0" w:color="auto"/>
                        <w:bottom w:val="none" w:sz="0" w:space="0" w:color="auto"/>
                        <w:right w:val="none" w:sz="0" w:space="0" w:color="auto"/>
                      </w:divBdr>
                    </w:div>
                    <w:div w:id="1196188716">
                      <w:marLeft w:val="0"/>
                      <w:marRight w:val="0"/>
                      <w:marTop w:val="0"/>
                      <w:marBottom w:val="0"/>
                      <w:divBdr>
                        <w:top w:val="none" w:sz="0" w:space="0" w:color="auto"/>
                        <w:left w:val="none" w:sz="0" w:space="0" w:color="auto"/>
                        <w:bottom w:val="none" w:sz="0" w:space="0" w:color="auto"/>
                        <w:right w:val="none" w:sz="0" w:space="0" w:color="auto"/>
                      </w:divBdr>
                    </w:div>
                    <w:div w:id="1204366974">
                      <w:marLeft w:val="0"/>
                      <w:marRight w:val="0"/>
                      <w:marTop w:val="0"/>
                      <w:marBottom w:val="0"/>
                      <w:divBdr>
                        <w:top w:val="none" w:sz="0" w:space="0" w:color="auto"/>
                        <w:left w:val="none" w:sz="0" w:space="0" w:color="auto"/>
                        <w:bottom w:val="none" w:sz="0" w:space="0" w:color="auto"/>
                        <w:right w:val="none" w:sz="0" w:space="0" w:color="auto"/>
                      </w:divBdr>
                    </w:div>
                    <w:div w:id="1347750212">
                      <w:marLeft w:val="0"/>
                      <w:marRight w:val="0"/>
                      <w:marTop w:val="0"/>
                      <w:marBottom w:val="0"/>
                      <w:divBdr>
                        <w:top w:val="none" w:sz="0" w:space="0" w:color="auto"/>
                        <w:left w:val="none" w:sz="0" w:space="0" w:color="auto"/>
                        <w:bottom w:val="none" w:sz="0" w:space="0" w:color="auto"/>
                        <w:right w:val="none" w:sz="0" w:space="0" w:color="auto"/>
                      </w:divBdr>
                    </w:div>
                    <w:div w:id="1497187709">
                      <w:marLeft w:val="0"/>
                      <w:marRight w:val="0"/>
                      <w:marTop w:val="0"/>
                      <w:marBottom w:val="0"/>
                      <w:divBdr>
                        <w:top w:val="none" w:sz="0" w:space="0" w:color="auto"/>
                        <w:left w:val="none" w:sz="0" w:space="0" w:color="auto"/>
                        <w:bottom w:val="none" w:sz="0" w:space="0" w:color="auto"/>
                        <w:right w:val="none" w:sz="0" w:space="0" w:color="auto"/>
                      </w:divBdr>
                    </w:div>
                    <w:div w:id="1578637947">
                      <w:marLeft w:val="0"/>
                      <w:marRight w:val="0"/>
                      <w:marTop w:val="0"/>
                      <w:marBottom w:val="0"/>
                      <w:divBdr>
                        <w:top w:val="none" w:sz="0" w:space="0" w:color="auto"/>
                        <w:left w:val="none" w:sz="0" w:space="0" w:color="auto"/>
                        <w:bottom w:val="none" w:sz="0" w:space="0" w:color="auto"/>
                        <w:right w:val="none" w:sz="0" w:space="0" w:color="auto"/>
                      </w:divBdr>
                    </w:div>
                    <w:div w:id="1607693097">
                      <w:marLeft w:val="0"/>
                      <w:marRight w:val="0"/>
                      <w:marTop w:val="0"/>
                      <w:marBottom w:val="0"/>
                      <w:divBdr>
                        <w:top w:val="none" w:sz="0" w:space="0" w:color="auto"/>
                        <w:left w:val="none" w:sz="0" w:space="0" w:color="auto"/>
                        <w:bottom w:val="none" w:sz="0" w:space="0" w:color="auto"/>
                        <w:right w:val="none" w:sz="0" w:space="0" w:color="auto"/>
                      </w:divBdr>
                    </w:div>
                    <w:div w:id="1675256274">
                      <w:marLeft w:val="0"/>
                      <w:marRight w:val="0"/>
                      <w:marTop w:val="0"/>
                      <w:marBottom w:val="0"/>
                      <w:divBdr>
                        <w:top w:val="none" w:sz="0" w:space="0" w:color="auto"/>
                        <w:left w:val="none" w:sz="0" w:space="0" w:color="auto"/>
                        <w:bottom w:val="none" w:sz="0" w:space="0" w:color="auto"/>
                        <w:right w:val="none" w:sz="0" w:space="0" w:color="auto"/>
                      </w:divBdr>
                    </w:div>
                    <w:div w:id="1696343343">
                      <w:marLeft w:val="0"/>
                      <w:marRight w:val="0"/>
                      <w:marTop w:val="0"/>
                      <w:marBottom w:val="0"/>
                      <w:divBdr>
                        <w:top w:val="none" w:sz="0" w:space="0" w:color="auto"/>
                        <w:left w:val="none" w:sz="0" w:space="0" w:color="auto"/>
                        <w:bottom w:val="none" w:sz="0" w:space="0" w:color="auto"/>
                        <w:right w:val="none" w:sz="0" w:space="0" w:color="auto"/>
                      </w:divBdr>
                    </w:div>
                    <w:div w:id="1704819612">
                      <w:marLeft w:val="0"/>
                      <w:marRight w:val="0"/>
                      <w:marTop w:val="0"/>
                      <w:marBottom w:val="0"/>
                      <w:divBdr>
                        <w:top w:val="none" w:sz="0" w:space="0" w:color="auto"/>
                        <w:left w:val="none" w:sz="0" w:space="0" w:color="auto"/>
                        <w:bottom w:val="none" w:sz="0" w:space="0" w:color="auto"/>
                        <w:right w:val="none" w:sz="0" w:space="0" w:color="auto"/>
                      </w:divBdr>
                    </w:div>
                    <w:div w:id="1744139266">
                      <w:marLeft w:val="0"/>
                      <w:marRight w:val="0"/>
                      <w:marTop w:val="0"/>
                      <w:marBottom w:val="0"/>
                      <w:divBdr>
                        <w:top w:val="none" w:sz="0" w:space="0" w:color="auto"/>
                        <w:left w:val="none" w:sz="0" w:space="0" w:color="auto"/>
                        <w:bottom w:val="none" w:sz="0" w:space="0" w:color="auto"/>
                        <w:right w:val="none" w:sz="0" w:space="0" w:color="auto"/>
                      </w:divBdr>
                    </w:div>
                    <w:div w:id="1749182822">
                      <w:marLeft w:val="0"/>
                      <w:marRight w:val="0"/>
                      <w:marTop w:val="0"/>
                      <w:marBottom w:val="0"/>
                      <w:divBdr>
                        <w:top w:val="none" w:sz="0" w:space="0" w:color="auto"/>
                        <w:left w:val="none" w:sz="0" w:space="0" w:color="auto"/>
                        <w:bottom w:val="none" w:sz="0" w:space="0" w:color="auto"/>
                        <w:right w:val="none" w:sz="0" w:space="0" w:color="auto"/>
                      </w:divBdr>
                    </w:div>
                    <w:div w:id="1818377946">
                      <w:marLeft w:val="0"/>
                      <w:marRight w:val="0"/>
                      <w:marTop w:val="0"/>
                      <w:marBottom w:val="0"/>
                      <w:divBdr>
                        <w:top w:val="none" w:sz="0" w:space="0" w:color="auto"/>
                        <w:left w:val="none" w:sz="0" w:space="0" w:color="auto"/>
                        <w:bottom w:val="none" w:sz="0" w:space="0" w:color="auto"/>
                        <w:right w:val="none" w:sz="0" w:space="0" w:color="auto"/>
                      </w:divBdr>
                    </w:div>
                    <w:div w:id="1880363467">
                      <w:marLeft w:val="0"/>
                      <w:marRight w:val="0"/>
                      <w:marTop w:val="0"/>
                      <w:marBottom w:val="0"/>
                      <w:divBdr>
                        <w:top w:val="none" w:sz="0" w:space="0" w:color="auto"/>
                        <w:left w:val="none" w:sz="0" w:space="0" w:color="auto"/>
                        <w:bottom w:val="none" w:sz="0" w:space="0" w:color="auto"/>
                        <w:right w:val="none" w:sz="0" w:space="0" w:color="auto"/>
                      </w:divBdr>
                    </w:div>
                    <w:div w:id="19613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038650">
      <w:bodyDiv w:val="1"/>
      <w:marLeft w:val="0"/>
      <w:marRight w:val="0"/>
      <w:marTop w:val="0"/>
      <w:marBottom w:val="0"/>
      <w:divBdr>
        <w:top w:val="none" w:sz="0" w:space="0" w:color="auto"/>
        <w:left w:val="none" w:sz="0" w:space="0" w:color="auto"/>
        <w:bottom w:val="none" w:sz="0" w:space="0" w:color="auto"/>
        <w:right w:val="none" w:sz="0" w:space="0" w:color="auto"/>
      </w:divBdr>
    </w:div>
    <w:div w:id="571041582">
      <w:bodyDiv w:val="1"/>
      <w:marLeft w:val="0"/>
      <w:marRight w:val="0"/>
      <w:marTop w:val="0"/>
      <w:marBottom w:val="0"/>
      <w:divBdr>
        <w:top w:val="none" w:sz="0" w:space="0" w:color="auto"/>
        <w:left w:val="none" w:sz="0" w:space="0" w:color="auto"/>
        <w:bottom w:val="none" w:sz="0" w:space="0" w:color="auto"/>
        <w:right w:val="none" w:sz="0" w:space="0" w:color="auto"/>
      </w:divBdr>
    </w:div>
    <w:div w:id="606620971">
      <w:bodyDiv w:val="1"/>
      <w:marLeft w:val="0"/>
      <w:marRight w:val="0"/>
      <w:marTop w:val="0"/>
      <w:marBottom w:val="0"/>
      <w:divBdr>
        <w:top w:val="none" w:sz="0" w:space="0" w:color="auto"/>
        <w:left w:val="none" w:sz="0" w:space="0" w:color="auto"/>
        <w:bottom w:val="none" w:sz="0" w:space="0" w:color="auto"/>
        <w:right w:val="none" w:sz="0" w:space="0" w:color="auto"/>
      </w:divBdr>
    </w:div>
    <w:div w:id="613027191">
      <w:bodyDiv w:val="1"/>
      <w:marLeft w:val="0"/>
      <w:marRight w:val="0"/>
      <w:marTop w:val="0"/>
      <w:marBottom w:val="0"/>
      <w:divBdr>
        <w:top w:val="none" w:sz="0" w:space="0" w:color="auto"/>
        <w:left w:val="none" w:sz="0" w:space="0" w:color="auto"/>
        <w:bottom w:val="none" w:sz="0" w:space="0" w:color="auto"/>
        <w:right w:val="none" w:sz="0" w:space="0" w:color="auto"/>
      </w:divBdr>
    </w:div>
    <w:div w:id="632368101">
      <w:bodyDiv w:val="1"/>
      <w:marLeft w:val="0"/>
      <w:marRight w:val="0"/>
      <w:marTop w:val="0"/>
      <w:marBottom w:val="0"/>
      <w:divBdr>
        <w:top w:val="none" w:sz="0" w:space="0" w:color="auto"/>
        <w:left w:val="none" w:sz="0" w:space="0" w:color="auto"/>
        <w:bottom w:val="none" w:sz="0" w:space="0" w:color="auto"/>
        <w:right w:val="none" w:sz="0" w:space="0" w:color="auto"/>
      </w:divBdr>
    </w:div>
    <w:div w:id="711541801">
      <w:bodyDiv w:val="1"/>
      <w:marLeft w:val="0"/>
      <w:marRight w:val="0"/>
      <w:marTop w:val="0"/>
      <w:marBottom w:val="0"/>
      <w:divBdr>
        <w:top w:val="none" w:sz="0" w:space="0" w:color="auto"/>
        <w:left w:val="none" w:sz="0" w:space="0" w:color="auto"/>
        <w:bottom w:val="none" w:sz="0" w:space="0" w:color="auto"/>
        <w:right w:val="none" w:sz="0" w:space="0" w:color="auto"/>
      </w:divBdr>
      <w:divsChild>
        <w:div w:id="140924208">
          <w:marLeft w:val="0"/>
          <w:marRight w:val="0"/>
          <w:marTop w:val="0"/>
          <w:marBottom w:val="0"/>
          <w:divBdr>
            <w:top w:val="none" w:sz="0" w:space="0" w:color="auto"/>
            <w:left w:val="none" w:sz="0" w:space="0" w:color="auto"/>
            <w:bottom w:val="none" w:sz="0" w:space="0" w:color="auto"/>
            <w:right w:val="none" w:sz="0" w:space="0" w:color="auto"/>
          </w:divBdr>
        </w:div>
        <w:div w:id="375929827">
          <w:marLeft w:val="0"/>
          <w:marRight w:val="0"/>
          <w:marTop w:val="0"/>
          <w:marBottom w:val="0"/>
          <w:divBdr>
            <w:top w:val="none" w:sz="0" w:space="0" w:color="auto"/>
            <w:left w:val="none" w:sz="0" w:space="0" w:color="auto"/>
            <w:bottom w:val="none" w:sz="0" w:space="0" w:color="auto"/>
            <w:right w:val="none" w:sz="0" w:space="0" w:color="auto"/>
          </w:divBdr>
        </w:div>
        <w:div w:id="674891118">
          <w:marLeft w:val="0"/>
          <w:marRight w:val="0"/>
          <w:marTop w:val="0"/>
          <w:marBottom w:val="0"/>
          <w:divBdr>
            <w:top w:val="none" w:sz="0" w:space="0" w:color="auto"/>
            <w:left w:val="none" w:sz="0" w:space="0" w:color="auto"/>
            <w:bottom w:val="none" w:sz="0" w:space="0" w:color="auto"/>
            <w:right w:val="none" w:sz="0" w:space="0" w:color="auto"/>
          </w:divBdr>
        </w:div>
        <w:div w:id="972059360">
          <w:marLeft w:val="0"/>
          <w:marRight w:val="0"/>
          <w:marTop w:val="0"/>
          <w:marBottom w:val="0"/>
          <w:divBdr>
            <w:top w:val="none" w:sz="0" w:space="0" w:color="auto"/>
            <w:left w:val="none" w:sz="0" w:space="0" w:color="auto"/>
            <w:bottom w:val="none" w:sz="0" w:space="0" w:color="auto"/>
            <w:right w:val="none" w:sz="0" w:space="0" w:color="auto"/>
          </w:divBdr>
        </w:div>
        <w:div w:id="1348748709">
          <w:marLeft w:val="0"/>
          <w:marRight w:val="0"/>
          <w:marTop w:val="0"/>
          <w:marBottom w:val="0"/>
          <w:divBdr>
            <w:top w:val="none" w:sz="0" w:space="0" w:color="auto"/>
            <w:left w:val="none" w:sz="0" w:space="0" w:color="auto"/>
            <w:bottom w:val="none" w:sz="0" w:space="0" w:color="auto"/>
            <w:right w:val="none" w:sz="0" w:space="0" w:color="auto"/>
          </w:divBdr>
        </w:div>
        <w:div w:id="1622833749">
          <w:marLeft w:val="0"/>
          <w:marRight w:val="0"/>
          <w:marTop w:val="0"/>
          <w:marBottom w:val="0"/>
          <w:divBdr>
            <w:top w:val="none" w:sz="0" w:space="0" w:color="auto"/>
            <w:left w:val="none" w:sz="0" w:space="0" w:color="auto"/>
            <w:bottom w:val="none" w:sz="0" w:space="0" w:color="auto"/>
            <w:right w:val="none" w:sz="0" w:space="0" w:color="auto"/>
          </w:divBdr>
        </w:div>
        <w:div w:id="1650207843">
          <w:marLeft w:val="0"/>
          <w:marRight w:val="0"/>
          <w:marTop w:val="0"/>
          <w:marBottom w:val="0"/>
          <w:divBdr>
            <w:top w:val="none" w:sz="0" w:space="0" w:color="auto"/>
            <w:left w:val="none" w:sz="0" w:space="0" w:color="auto"/>
            <w:bottom w:val="none" w:sz="0" w:space="0" w:color="auto"/>
            <w:right w:val="none" w:sz="0" w:space="0" w:color="auto"/>
          </w:divBdr>
        </w:div>
        <w:div w:id="1736929861">
          <w:marLeft w:val="0"/>
          <w:marRight w:val="0"/>
          <w:marTop w:val="0"/>
          <w:marBottom w:val="0"/>
          <w:divBdr>
            <w:top w:val="none" w:sz="0" w:space="0" w:color="auto"/>
            <w:left w:val="none" w:sz="0" w:space="0" w:color="auto"/>
            <w:bottom w:val="none" w:sz="0" w:space="0" w:color="auto"/>
            <w:right w:val="none" w:sz="0" w:space="0" w:color="auto"/>
          </w:divBdr>
        </w:div>
        <w:div w:id="1840928600">
          <w:marLeft w:val="0"/>
          <w:marRight w:val="0"/>
          <w:marTop w:val="0"/>
          <w:marBottom w:val="0"/>
          <w:divBdr>
            <w:top w:val="none" w:sz="0" w:space="0" w:color="auto"/>
            <w:left w:val="none" w:sz="0" w:space="0" w:color="auto"/>
            <w:bottom w:val="none" w:sz="0" w:space="0" w:color="auto"/>
            <w:right w:val="none" w:sz="0" w:space="0" w:color="auto"/>
          </w:divBdr>
        </w:div>
        <w:div w:id="2025016716">
          <w:marLeft w:val="0"/>
          <w:marRight w:val="0"/>
          <w:marTop w:val="0"/>
          <w:marBottom w:val="0"/>
          <w:divBdr>
            <w:top w:val="none" w:sz="0" w:space="0" w:color="auto"/>
            <w:left w:val="none" w:sz="0" w:space="0" w:color="auto"/>
            <w:bottom w:val="none" w:sz="0" w:space="0" w:color="auto"/>
            <w:right w:val="none" w:sz="0" w:space="0" w:color="auto"/>
          </w:divBdr>
        </w:div>
      </w:divsChild>
    </w:div>
    <w:div w:id="715349337">
      <w:bodyDiv w:val="1"/>
      <w:marLeft w:val="0"/>
      <w:marRight w:val="0"/>
      <w:marTop w:val="0"/>
      <w:marBottom w:val="0"/>
      <w:divBdr>
        <w:top w:val="none" w:sz="0" w:space="0" w:color="auto"/>
        <w:left w:val="none" w:sz="0" w:space="0" w:color="auto"/>
        <w:bottom w:val="none" w:sz="0" w:space="0" w:color="auto"/>
        <w:right w:val="none" w:sz="0" w:space="0" w:color="auto"/>
      </w:divBdr>
    </w:div>
    <w:div w:id="743375062">
      <w:bodyDiv w:val="1"/>
      <w:marLeft w:val="0"/>
      <w:marRight w:val="0"/>
      <w:marTop w:val="0"/>
      <w:marBottom w:val="0"/>
      <w:divBdr>
        <w:top w:val="none" w:sz="0" w:space="0" w:color="auto"/>
        <w:left w:val="none" w:sz="0" w:space="0" w:color="auto"/>
        <w:bottom w:val="none" w:sz="0" w:space="0" w:color="auto"/>
        <w:right w:val="none" w:sz="0" w:space="0" w:color="auto"/>
      </w:divBdr>
    </w:div>
    <w:div w:id="816721927">
      <w:bodyDiv w:val="1"/>
      <w:marLeft w:val="0"/>
      <w:marRight w:val="0"/>
      <w:marTop w:val="0"/>
      <w:marBottom w:val="0"/>
      <w:divBdr>
        <w:top w:val="none" w:sz="0" w:space="0" w:color="auto"/>
        <w:left w:val="none" w:sz="0" w:space="0" w:color="auto"/>
        <w:bottom w:val="none" w:sz="0" w:space="0" w:color="auto"/>
        <w:right w:val="none" w:sz="0" w:space="0" w:color="auto"/>
      </w:divBdr>
    </w:div>
    <w:div w:id="870611672">
      <w:bodyDiv w:val="1"/>
      <w:marLeft w:val="0"/>
      <w:marRight w:val="0"/>
      <w:marTop w:val="0"/>
      <w:marBottom w:val="0"/>
      <w:divBdr>
        <w:top w:val="none" w:sz="0" w:space="0" w:color="auto"/>
        <w:left w:val="none" w:sz="0" w:space="0" w:color="auto"/>
        <w:bottom w:val="none" w:sz="0" w:space="0" w:color="auto"/>
        <w:right w:val="none" w:sz="0" w:space="0" w:color="auto"/>
      </w:divBdr>
    </w:div>
    <w:div w:id="900479671">
      <w:bodyDiv w:val="1"/>
      <w:marLeft w:val="0"/>
      <w:marRight w:val="0"/>
      <w:marTop w:val="0"/>
      <w:marBottom w:val="0"/>
      <w:divBdr>
        <w:top w:val="none" w:sz="0" w:space="0" w:color="auto"/>
        <w:left w:val="none" w:sz="0" w:space="0" w:color="auto"/>
        <w:bottom w:val="none" w:sz="0" w:space="0" w:color="auto"/>
        <w:right w:val="none" w:sz="0" w:space="0" w:color="auto"/>
      </w:divBdr>
    </w:div>
    <w:div w:id="900680141">
      <w:bodyDiv w:val="1"/>
      <w:marLeft w:val="0"/>
      <w:marRight w:val="0"/>
      <w:marTop w:val="0"/>
      <w:marBottom w:val="0"/>
      <w:divBdr>
        <w:top w:val="none" w:sz="0" w:space="0" w:color="auto"/>
        <w:left w:val="none" w:sz="0" w:space="0" w:color="auto"/>
        <w:bottom w:val="none" w:sz="0" w:space="0" w:color="auto"/>
        <w:right w:val="none" w:sz="0" w:space="0" w:color="auto"/>
      </w:divBdr>
    </w:div>
    <w:div w:id="1030032154">
      <w:bodyDiv w:val="1"/>
      <w:marLeft w:val="0"/>
      <w:marRight w:val="0"/>
      <w:marTop w:val="0"/>
      <w:marBottom w:val="0"/>
      <w:divBdr>
        <w:top w:val="none" w:sz="0" w:space="0" w:color="auto"/>
        <w:left w:val="none" w:sz="0" w:space="0" w:color="auto"/>
        <w:bottom w:val="none" w:sz="0" w:space="0" w:color="auto"/>
        <w:right w:val="none" w:sz="0" w:space="0" w:color="auto"/>
      </w:divBdr>
    </w:div>
    <w:div w:id="1160577428">
      <w:bodyDiv w:val="1"/>
      <w:marLeft w:val="0"/>
      <w:marRight w:val="0"/>
      <w:marTop w:val="0"/>
      <w:marBottom w:val="0"/>
      <w:divBdr>
        <w:top w:val="none" w:sz="0" w:space="0" w:color="auto"/>
        <w:left w:val="none" w:sz="0" w:space="0" w:color="auto"/>
        <w:bottom w:val="none" w:sz="0" w:space="0" w:color="auto"/>
        <w:right w:val="none" w:sz="0" w:space="0" w:color="auto"/>
      </w:divBdr>
    </w:div>
    <w:div w:id="1236432513">
      <w:bodyDiv w:val="1"/>
      <w:marLeft w:val="0"/>
      <w:marRight w:val="0"/>
      <w:marTop w:val="0"/>
      <w:marBottom w:val="0"/>
      <w:divBdr>
        <w:top w:val="none" w:sz="0" w:space="0" w:color="auto"/>
        <w:left w:val="none" w:sz="0" w:space="0" w:color="auto"/>
        <w:bottom w:val="none" w:sz="0" w:space="0" w:color="auto"/>
        <w:right w:val="none" w:sz="0" w:space="0" w:color="auto"/>
      </w:divBdr>
    </w:div>
    <w:div w:id="1279527438">
      <w:bodyDiv w:val="1"/>
      <w:marLeft w:val="0"/>
      <w:marRight w:val="0"/>
      <w:marTop w:val="0"/>
      <w:marBottom w:val="0"/>
      <w:divBdr>
        <w:top w:val="none" w:sz="0" w:space="0" w:color="auto"/>
        <w:left w:val="none" w:sz="0" w:space="0" w:color="auto"/>
        <w:bottom w:val="none" w:sz="0" w:space="0" w:color="auto"/>
        <w:right w:val="none" w:sz="0" w:space="0" w:color="auto"/>
      </w:divBdr>
    </w:div>
    <w:div w:id="1282230354">
      <w:bodyDiv w:val="1"/>
      <w:marLeft w:val="0"/>
      <w:marRight w:val="0"/>
      <w:marTop w:val="0"/>
      <w:marBottom w:val="0"/>
      <w:divBdr>
        <w:top w:val="none" w:sz="0" w:space="0" w:color="auto"/>
        <w:left w:val="none" w:sz="0" w:space="0" w:color="auto"/>
        <w:bottom w:val="none" w:sz="0" w:space="0" w:color="auto"/>
        <w:right w:val="none" w:sz="0" w:space="0" w:color="auto"/>
      </w:divBdr>
    </w:div>
    <w:div w:id="1341541470">
      <w:bodyDiv w:val="1"/>
      <w:marLeft w:val="0"/>
      <w:marRight w:val="0"/>
      <w:marTop w:val="0"/>
      <w:marBottom w:val="0"/>
      <w:divBdr>
        <w:top w:val="none" w:sz="0" w:space="0" w:color="auto"/>
        <w:left w:val="none" w:sz="0" w:space="0" w:color="auto"/>
        <w:bottom w:val="none" w:sz="0" w:space="0" w:color="auto"/>
        <w:right w:val="none" w:sz="0" w:space="0" w:color="auto"/>
      </w:divBdr>
    </w:div>
    <w:div w:id="1345018206">
      <w:bodyDiv w:val="1"/>
      <w:marLeft w:val="0"/>
      <w:marRight w:val="0"/>
      <w:marTop w:val="0"/>
      <w:marBottom w:val="0"/>
      <w:divBdr>
        <w:top w:val="none" w:sz="0" w:space="0" w:color="auto"/>
        <w:left w:val="none" w:sz="0" w:space="0" w:color="auto"/>
        <w:bottom w:val="none" w:sz="0" w:space="0" w:color="auto"/>
        <w:right w:val="none" w:sz="0" w:space="0" w:color="auto"/>
      </w:divBdr>
    </w:div>
    <w:div w:id="1376854046">
      <w:bodyDiv w:val="1"/>
      <w:marLeft w:val="0"/>
      <w:marRight w:val="0"/>
      <w:marTop w:val="0"/>
      <w:marBottom w:val="0"/>
      <w:divBdr>
        <w:top w:val="none" w:sz="0" w:space="0" w:color="auto"/>
        <w:left w:val="none" w:sz="0" w:space="0" w:color="auto"/>
        <w:bottom w:val="none" w:sz="0" w:space="0" w:color="auto"/>
        <w:right w:val="none" w:sz="0" w:space="0" w:color="auto"/>
      </w:divBdr>
    </w:div>
    <w:div w:id="1387337853">
      <w:bodyDiv w:val="1"/>
      <w:marLeft w:val="60"/>
      <w:marRight w:val="60"/>
      <w:marTop w:val="60"/>
      <w:marBottom w:val="15"/>
      <w:divBdr>
        <w:top w:val="none" w:sz="0" w:space="0" w:color="auto"/>
        <w:left w:val="none" w:sz="0" w:space="0" w:color="auto"/>
        <w:bottom w:val="none" w:sz="0" w:space="0" w:color="auto"/>
        <w:right w:val="none" w:sz="0" w:space="0" w:color="auto"/>
      </w:divBdr>
      <w:divsChild>
        <w:div w:id="578447316">
          <w:marLeft w:val="0"/>
          <w:marRight w:val="0"/>
          <w:marTop w:val="0"/>
          <w:marBottom w:val="0"/>
          <w:divBdr>
            <w:top w:val="none" w:sz="0" w:space="0" w:color="auto"/>
            <w:left w:val="none" w:sz="0" w:space="0" w:color="auto"/>
            <w:bottom w:val="none" w:sz="0" w:space="0" w:color="auto"/>
            <w:right w:val="none" w:sz="0" w:space="0" w:color="auto"/>
          </w:divBdr>
        </w:div>
      </w:divsChild>
    </w:div>
    <w:div w:id="1439908490">
      <w:bodyDiv w:val="1"/>
      <w:marLeft w:val="0"/>
      <w:marRight w:val="0"/>
      <w:marTop w:val="0"/>
      <w:marBottom w:val="0"/>
      <w:divBdr>
        <w:top w:val="none" w:sz="0" w:space="0" w:color="auto"/>
        <w:left w:val="none" w:sz="0" w:space="0" w:color="auto"/>
        <w:bottom w:val="none" w:sz="0" w:space="0" w:color="auto"/>
        <w:right w:val="none" w:sz="0" w:space="0" w:color="auto"/>
      </w:divBdr>
    </w:div>
    <w:div w:id="1513370428">
      <w:bodyDiv w:val="1"/>
      <w:marLeft w:val="0"/>
      <w:marRight w:val="0"/>
      <w:marTop w:val="0"/>
      <w:marBottom w:val="0"/>
      <w:divBdr>
        <w:top w:val="none" w:sz="0" w:space="0" w:color="auto"/>
        <w:left w:val="none" w:sz="0" w:space="0" w:color="auto"/>
        <w:bottom w:val="none" w:sz="0" w:space="0" w:color="auto"/>
        <w:right w:val="none" w:sz="0" w:space="0" w:color="auto"/>
      </w:divBdr>
    </w:div>
    <w:div w:id="1592814663">
      <w:bodyDiv w:val="1"/>
      <w:marLeft w:val="0"/>
      <w:marRight w:val="0"/>
      <w:marTop w:val="0"/>
      <w:marBottom w:val="0"/>
      <w:divBdr>
        <w:top w:val="none" w:sz="0" w:space="0" w:color="auto"/>
        <w:left w:val="none" w:sz="0" w:space="0" w:color="auto"/>
        <w:bottom w:val="none" w:sz="0" w:space="0" w:color="auto"/>
        <w:right w:val="none" w:sz="0" w:space="0" w:color="auto"/>
      </w:divBdr>
    </w:div>
    <w:div w:id="1659764910">
      <w:bodyDiv w:val="1"/>
      <w:marLeft w:val="0"/>
      <w:marRight w:val="0"/>
      <w:marTop w:val="0"/>
      <w:marBottom w:val="0"/>
      <w:divBdr>
        <w:top w:val="none" w:sz="0" w:space="0" w:color="auto"/>
        <w:left w:val="none" w:sz="0" w:space="0" w:color="auto"/>
        <w:bottom w:val="none" w:sz="0" w:space="0" w:color="auto"/>
        <w:right w:val="none" w:sz="0" w:space="0" w:color="auto"/>
      </w:divBdr>
      <w:divsChild>
        <w:div w:id="1013845970">
          <w:marLeft w:val="0"/>
          <w:marRight w:val="0"/>
          <w:marTop w:val="0"/>
          <w:marBottom w:val="0"/>
          <w:divBdr>
            <w:top w:val="none" w:sz="0" w:space="0" w:color="auto"/>
            <w:left w:val="none" w:sz="0" w:space="0" w:color="auto"/>
            <w:bottom w:val="none" w:sz="0" w:space="0" w:color="auto"/>
            <w:right w:val="none" w:sz="0" w:space="0" w:color="auto"/>
          </w:divBdr>
        </w:div>
        <w:div w:id="1015503239">
          <w:marLeft w:val="0"/>
          <w:marRight w:val="0"/>
          <w:marTop w:val="0"/>
          <w:marBottom w:val="0"/>
          <w:divBdr>
            <w:top w:val="none" w:sz="0" w:space="0" w:color="auto"/>
            <w:left w:val="none" w:sz="0" w:space="0" w:color="auto"/>
            <w:bottom w:val="none" w:sz="0" w:space="0" w:color="auto"/>
            <w:right w:val="none" w:sz="0" w:space="0" w:color="auto"/>
          </w:divBdr>
          <w:divsChild>
            <w:div w:id="580871597">
              <w:marLeft w:val="0"/>
              <w:marRight w:val="0"/>
              <w:marTop w:val="0"/>
              <w:marBottom w:val="0"/>
              <w:divBdr>
                <w:top w:val="none" w:sz="0" w:space="0" w:color="auto"/>
                <w:left w:val="none" w:sz="0" w:space="0" w:color="auto"/>
                <w:bottom w:val="none" w:sz="0" w:space="0" w:color="auto"/>
                <w:right w:val="none" w:sz="0" w:space="0" w:color="auto"/>
              </w:divBdr>
              <w:divsChild>
                <w:div w:id="201865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872165">
          <w:marLeft w:val="0"/>
          <w:marRight w:val="0"/>
          <w:marTop w:val="0"/>
          <w:marBottom w:val="0"/>
          <w:divBdr>
            <w:top w:val="none" w:sz="0" w:space="0" w:color="auto"/>
            <w:left w:val="none" w:sz="0" w:space="0" w:color="auto"/>
            <w:bottom w:val="none" w:sz="0" w:space="0" w:color="auto"/>
            <w:right w:val="none" w:sz="0" w:space="0" w:color="auto"/>
          </w:divBdr>
        </w:div>
        <w:div w:id="488254700">
          <w:marLeft w:val="0"/>
          <w:marRight w:val="0"/>
          <w:marTop w:val="0"/>
          <w:marBottom w:val="0"/>
          <w:divBdr>
            <w:top w:val="none" w:sz="0" w:space="0" w:color="auto"/>
            <w:left w:val="none" w:sz="0" w:space="0" w:color="auto"/>
            <w:bottom w:val="none" w:sz="0" w:space="0" w:color="auto"/>
            <w:right w:val="none" w:sz="0" w:space="0" w:color="auto"/>
          </w:divBdr>
          <w:divsChild>
            <w:div w:id="1963880393">
              <w:marLeft w:val="0"/>
              <w:marRight w:val="0"/>
              <w:marTop w:val="0"/>
              <w:marBottom w:val="0"/>
              <w:divBdr>
                <w:top w:val="none" w:sz="0" w:space="0" w:color="auto"/>
                <w:left w:val="none" w:sz="0" w:space="0" w:color="auto"/>
                <w:bottom w:val="none" w:sz="0" w:space="0" w:color="auto"/>
                <w:right w:val="none" w:sz="0" w:space="0" w:color="auto"/>
              </w:divBdr>
              <w:divsChild>
                <w:div w:id="909971407">
                  <w:marLeft w:val="0"/>
                  <w:marRight w:val="0"/>
                  <w:marTop w:val="0"/>
                  <w:marBottom w:val="0"/>
                  <w:divBdr>
                    <w:top w:val="none" w:sz="0" w:space="0" w:color="auto"/>
                    <w:left w:val="none" w:sz="0" w:space="0" w:color="auto"/>
                    <w:bottom w:val="none" w:sz="0" w:space="0" w:color="auto"/>
                    <w:right w:val="none" w:sz="0" w:space="0" w:color="auto"/>
                  </w:divBdr>
                  <w:divsChild>
                    <w:div w:id="142757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6001522">
      <w:bodyDiv w:val="1"/>
      <w:marLeft w:val="0"/>
      <w:marRight w:val="0"/>
      <w:marTop w:val="0"/>
      <w:marBottom w:val="0"/>
      <w:divBdr>
        <w:top w:val="none" w:sz="0" w:space="0" w:color="auto"/>
        <w:left w:val="none" w:sz="0" w:space="0" w:color="auto"/>
        <w:bottom w:val="none" w:sz="0" w:space="0" w:color="auto"/>
        <w:right w:val="none" w:sz="0" w:space="0" w:color="auto"/>
      </w:divBdr>
    </w:div>
    <w:div w:id="1787041232">
      <w:bodyDiv w:val="1"/>
      <w:marLeft w:val="0"/>
      <w:marRight w:val="0"/>
      <w:marTop w:val="0"/>
      <w:marBottom w:val="0"/>
      <w:divBdr>
        <w:top w:val="none" w:sz="0" w:space="0" w:color="auto"/>
        <w:left w:val="none" w:sz="0" w:space="0" w:color="auto"/>
        <w:bottom w:val="none" w:sz="0" w:space="0" w:color="auto"/>
        <w:right w:val="none" w:sz="0" w:space="0" w:color="auto"/>
      </w:divBdr>
    </w:div>
    <w:div w:id="1847287982">
      <w:bodyDiv w:val="1"/>
      <w:marLeft w:val="0"/>
      <w:marRight w:val="0"/>
      <w:marTop w:val="0"/>
      <w:marBottom w:val="0"/>
      <w:divBdr>
        <w:top w:val="none" w:sz="0" w:space="0" w:color="auto"/>
        <w:left w:val="none" w:sz="0" w:space="0" w:color="auto"/>
        <w:bottom w:val="none" w:sz="0" w:space="0" w:color="auto"/>
        <w:right w:val="none" w:sz="0" w:space="0" w:color="auto"/>
      </w:divBdr>
    </w:div>
    <w:div w:id="1849829109">
      <w:bodyDiv w:val="1"/>
      <w:marLeft w:val="0"/>
      <w:marRight w:val="0"/>
      <w:marTop w:val="0"/>
      <w:marBottom w:val="0"/>
      <w:divBdr>
        <w:top w:val="none" w:sz="0" w:space="0" w:color="auto"/>
        <w:left w:val="none" w:sz="0" w:space="0" w:color="auto"/>
        <w:bottom w:val="none" w:sz="0" w:space="0" w:color="auto"/>
        <w:right w:val="none" w:sz="0" w:space="0" w:color="auto"/>
      </w:divBdr>
    </w:div>
    <w:div w:id="1928806618">
      <w:bodyDiv w:val="1"/>
      <w:marLeft w:val="0"/>
      <w:marRight w:val="0"/>
      <w:marTop w:val="0"/>
      <w:marBottom w:val="0"/>
      <w:divBdr>
        <w:top w:val="none" w:sz="0" w:space="0" w:color="auto"/>
        <w:left w:val="none" w:sz="0" w:space="0" w:color="auto"/>
        <w:bottom w:val="none" w:sz="0" w:space="0" w:color="auto"/>
        <w:right w:val="none" w:sz="0" w:space="0" w:color="auto"/>
      </w:divBdr>
    </w:div>
    <w:div w:id="1985965482">
      <w:bodyDiv w:val="1"/>
      <w:marLeft w:val="0"/>
      <w:marRight w:val="0"/>
      <w:marTop w:val="0"/>
      <w:marBottom w:val="0"/>
      <w:divBdr>
        <w:top w:val="none" w:sz="0" w:space="0" w:color="auto"/>
        <w:left w:val="none" w:sz="0" w:space="0" w:color="auto"/>
        <w:bottom w:val="none" w:sz="0" w:space="0" w:color="auto"/>
        <w:right w:val="none" w:sz="0" w:space="0" w:color="auto"/>
      </w:divBdr>
    </w:div>
    <w:div w:id="1992058091">
      <w:bodyDiv w:val="1"/>
      <w:marLeft w:val="0"/>
      <w:marRight w:val="0"/>
      <w:marTop w:val="0"/>
      <w:marBottom w:val="0"/>
      <w:divBdr>
        <w:top w:val="none" w:sz="0" w:space="0" w:color="auto"/>
        <w:left w:val="none" w:sz="0" w:space="0" w:color="auto"/>
        <w:bottom w:val="none" w:sz="0" w:space="0" w:color="auto"/>
        <w:right w:val="none" w:sz="0" w:space="0" w:color="auto"/>
      </w:divBdr>
    </w:div>
    <w:div w:id="205411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hyperlink" Target="mailto:silvia.trevisan@tb.camcom.it"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mailto:statistica@tb.camcom.it"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10.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9.emf"/><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image" Target="media/image14.emf"/><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8" Type="http://schemas.openxmlformats.org/officeDocument/2006/relationships/image" Target="media/image20.jpeg"/><Relationship Id="rId3" Type="http://schemas.openxmlformats.org/officeDocument/2006/relationships/hyperlink" Target="mailto:ufficio.stampa@tb.camcom.it" TargetMode="External"/><Relationship Id="rId7" Type="http://schemas.openxmlformats.org/officeDocument/2006/relationships/hyperlink" Target="https://twitter.com/TrevisoBelluno" TargetMode="External"/><Relationship Id="rId2" Type="http://schemas.openxmlformats.org/officeDocument/2006/relationships/image" Target="media/image17.jpeg"/><Relationship Id="rId1" Type="http://schemas.openxmlformats.org/officeDocument/2006/relationships/hyperlink" Target="http://www.tb.camcom.gov.it/" TargetMode="External"/><Relationship Id="rId6" Type="http://schemas.openxmlformats.org/officeDocument/2006/relationships/image" Target="media/image19.png"/><Relationship Id="rId5" Type="http://schemas.openxmlformats.org/officeDocument/2006/relationships/hyperlink" Target="http://www.facebook.com/trevisobellunosystem" TargetMode="External"/><Relationship Id="rId10" Type="http://schemas.openxmlformats.org/officeDocument/2006/relationships/image" Target="media/image21.png"/><Relationship Id="rId4" Type="http://schemas.openxmlformats.org/officeDocument/2006/relationships/image" Target="media/image18.jpeg"/><Relationship Id="rId9" Type="http://schemas.openxmlformats.org/officeDocument/2006/relationships/hyperlink" Target="https://www.youtube.com/channel/UCgeCM6Sy9Bc4nUFy_x8Dq9Q"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_rels/header2.xml.rels><?xml version="1.0" encoding="UTF-8" standalone="yes"?>
<Relationships xmlns="http://schemas.openxmlformats.org/package/2006/relationships"><Relationship Id="rId2" Type="http://schemas.openxmlformats.org/officeDocument/2006/relationships/image" Target="media/image16.jpeg"/><Relationship Id="rId1" Type="http://schemas.openxmlformats.org/officeDocument/2006/relationships/image" Target="media/image15.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FB453-32D4-406C-B28B-7F5B43742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2773</Words>
  <Characters>15812</Characters>
  <Application>Microsoft Office Word</Application>
  <DocSecurity>0</DocSecurity>
  <Lines>131</Lines>
  <Paragraphs>37</Paragraphs>
  <ScaleCrop>false</ScaleCrop>
  <HeadingPairs>
    <vt:vector size="2" baseType="variant">
      <vt:variant>
        <vt:lpstr>Titolo</vt:lpstr>
      </vt:variant>
      <vt:variant>
        <vt:i4>1</vt:i4>
      </vt:variant>
    </vt:vector>
  </HeadingPairs>
  <TitlesOfParts>
    <vt:vector size="1" baseType="lpstr">
      <vt:lpstr>comunicato stampa</vt:lpstr>
    </vt:vector>
  </TitlesOfParts>
  <Company>Unioncamere</Company>
  <LinksUpToDate>false</LinksUpToDate>
  <CharactersWithSpaces>18548</CharactersWithSpaces>
  <SharedDoc>false</SharedDoc>
  <HLinks>
    <vt:vector size="30" baseType="variant">
      <vt:variant>
        <vt:i4>4063251</vt:i4>
      </vt:variant>
      <vt:variant>
        <vt:i4>18</vt:i4>
      </vt:variant>
      <vt:variant>
        <vt:i4>0</vt:i4>
      </vt:variant>
      <vt:variant>
        <vt:i4>5</vt:i4>
      </vt:variant>
      <vt:variant>
        <vt:lpwstr>https://www.youtube.com/channel/UCgeCM6Sy9Bc4nUFy_x8Dq9Q</vt:lpwstr>
      </vt:variant>
      <vt:variant>
        <vt:lpwstr/>
      </vt:variant>
      <vt:variant>
        <vt:i4>7995429</vt:i4>
      </vt:variant>
      <vt:variant>
        <vt:i4>15</vt:i4>
      </vt:variant>
      <vt:variant>
        <vt:i4>0</vt:i4>
      </vt:variant>
      <vt:variant>
        <vt:i4>5</vt:i4>
      </vt:variant>
      <vt:variant>
        <vt:lpwstr>https://twitter.com/TrevisoBelluno</vt:lpwstr>
      </vt:variant>
      <vt:variant>
        <vt:lpwstr/>
      </vt:variant>
      <vt:variant>
        <vt:i4>5111883</vt:i4>
      </vt:variant>
      <vt:variant>
        <vt:i4>9</vt:i4>
      </vt:variant>
      <vt:variant>
        <vt:i4>0</vt:i4>
      </vt:variant>
      <vt:variant>
        <vt:i4>5</vt:i4>
      </vt:variant>
      <vt:variant>
        <vt:lpwstr>http://www.facebook.com/trevisobellunosystem</vt:lpwstr>
      </vt:variant>
      <vt:variant>
        <vt:lpwstr/>
      </vt:variant>
      <vt:variant>
        <vt:i4>393254</vt:i4>
      </vt:variant>
      <vt:variant>
        <vt:i4>6</vt:i4>
      </vt:variant>
      <vt:variant>
        <vt:i4>0</vt:i4>
      </vt:variant>
      <vt:variant>
        <vt:i4>5</vt:i4>
      </vt:variant>
      <vt:variant>
        <vt:lpwstr>mailto:ufficio.stampa@tb.camcom.it</vt:lpwstr>
      </vt:variant>
      <vt:variant>
        <vt:lpwstr/>
      </vt:variant>
      <vt:variant>
        <vt:i4>4784200</vt:i4>
      </vt:variant>
      <vt:variant>
        <vt:i4>3</vt:i4>
      </vt:variant>
      <vt:variant>
        <vt:i4>0</vt:i4>
      </vt:variant>
      <vt:variant>
        <vt:i4>5</vt:i4>
      </vt:variant>
      <vt:variant>
        <vt:lpwstr>http://www.tb.camcom.gov.it/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dc:title>
  <dc:creator>Ufficio Stampa</dc:creator>
  <cp:lastModifiedBy>silvia trevisan</cp:lastModifiedBy>
  <cp:revision>2</cp:revision>
  <cp:lastPrinted>2024-02-12T11:35:00Z</cp:lastPrinted>
  <dcterms:created xsi:type="dcterms:W3CDTF">2024-05-27T10:14:00Z</dcterms:created>
  <dcterms:modified xsi:type="dcterms:W3CDTF">2024-05-27T10:14:00Z</dcterms:modified>
</cp:coreProperties>
</file>