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3E3AF" w14:textId="77777777" w:rsidR="00B91013" w:rsidRPr="006A2072" w:rsidRDefault="00B91013" w:rsidP="00D96000">
      <w:pPr>
        <w:spacing w:line="276" w:lineRule="auto"/>
        <w:jc w:val="center"/>
        <w:rPr>
          <w:rFonts w:asciiTheme="minorHAnsi" w:eastAsiaTheme="minorHAnsi" w:hAnsiTheme="minorHAnsi" w:cstheme="minorBidi"/>
          <w:bCs/>
          <w:sz w:val="28"/>
          <w:szCs w:val="28"/>
          <w:lang w:eastAsia="en-US"/>
        </w:rPr>
      </w:pPr>
    </w:p>
    <w:p w14:paraId="301DD540" w14:textId="1B6397EF" w:rsidR="00D96000" w:rsidRPr="006A2072" w:rsidRDefault="00D96000" w:rsidP="00D96000">
      <w:pPr>
        <w:spacing w:line="276" w:lineRule="auto"/>
        <w:jc w:val="center"/>
        <w:rPr>
          <w:rFonts w:asciiTheme="minorHAnsi" w:eastAsiaTheme="minorHAnsi" w:hAnsiTheme="minorHAnsi" w:cstheme="minorBidi"/>
          <w:bCs/>
          <w:sz w:val="28"/>
          <w:szCs w:val="28"/>
          <w:lang w:eastAsia="en-US"/>
        </w:rPr>
      </w:pPr>
      <w:r w:rsidRPr="006A2072">
        <w:rPr>
          <w:rFonts w:asciiTheme="minorHAnsi" w:eastAsiaTheme="minorHAnsi" w:hAnsiTheme="minorHAnsi" w:cstheme="minorBidi"/>
          <w:bCs/>
          <w:sz w:val="28"/>
          <w:szCs w:val="28"/>
          <w:lang w:eastAsia="en-US"/>
        </w:rPr>
        <w:t xml:space="preserve">I dati dell’interscambio con l’estero </w:t>
      </w:r>
      <w:r w:rsidR="00D8064E" w:rsidRPr="006A2072">
        <w:rPr>
          <w:rFonts w:asciiTheme="minorHAnsi" w:eastAsiaTheme="minorHAnsi" w:hAnsiTheme="minorHAnsi" w:cstheme="minorBidi"/>
          <w:bCs/>
          <w:sz w:val="28"/>
          <w:szCs w:val="28"/>
          <w:lang w:eastAsia="en-US"/>
        </w:rPr>
        <w:t>ne</w:t>
      </w:r>
      <w:r w:rsidR="006A2072" w:rsidRPr="006A2072">
        <w:rPr>
          <w:rFonts w:asciiTheme="minorHAnsi" w:eastAsiaTheme="minorHAnsi" w:hAnsiTheme="minorHAnsi" w:cstheme="minorBidi"/>
          <w:bCs/>
          <w:sz w:val="28"/>
          <w:szCs w:val="28"/>
          <w:lang w:eastAsia="en-US"/>
        </w:rPr>
        <w:t>i primi tre mesi dell’anno 2024</w:t>
      </w:r>
    </w:p>
    <w:p w14:paraId="4BF14D8A" w14:textId="689BD8EA" w:rsidR="00054CA6" w:rsidRPr="006A2072" w:rsidRDefault="005033DC" w:rsidP="00882F3F">
      <w:pPr>
        <w:spacing w:line="276" w:lineRule="auto"/>
        <w:jc w:val="center"/>
        <w:rPr>
          <w:rFonts w:asciiTheme="minorHAnsi" w:eastAsiaTheme="minorHAnsi" w:hAnsiTheme="minorHAnsi" w:cstheme="minorBidi"/>
          <w:b/>
          <w:sz w:val="28"/>
          <w:szCs w:val="28"/>
          <w:lang w:eastAsia="en-US"/>
        </w:rPr>
      </w:pPr>
      <w:r w:rsidRPr="006A2072">
        <w:rPr>
          <w:rFonts w:asciiTheme="minorHAnsi" w:eastAsiaTheme="minorHAnsi" w:hAnsiTheme="minorHAnsi" w:cstheme="minorBidi"/>
          <w:b/>
          <w:sz w:val="28"/>
          <w:szCs w:val="28"/>
          <w:lang w:eastAsia="en-US"/>
        </w:rPr>
        <w:t xml:space="preserve">Export </w:t>
      </w:r>
      <w:r w:rsidR="006A2072" w:rsidRPr="006A2072">
        <w:rPr>
          <w:rFonts w:asciiTheme="minorHAnsi" w:eastAsiaTheme="minorHAnsi" w:hAnsiTheme="minorHAnsi" w:cstheme="minorBidi"/>
          <w:b/>
          <w:sz w:val="28"/>
          <w:szCs w:val="28"/>
          <w:lang w:eastAsia="en-US"/>
        </w:rPr>
        <w:t>Veneto in calo del -5,1% su base annua, ma il confronto è con un periodo ancora di crescita sostenuta anche dalla componente “prezzi”</w:t>
      </w:r>
    </w:p>
    <w:p w14:paraId="385A85A5" w14:textId="5ACACC44" w:rsidR="00FD5D41" w:rsidRPr="006A2072" w:rsidRDefault="006A2072" w:rsidP="00FD5D41">
      <w:pPr>
        <w:spacing w:line="276" w:lineRule="auto"/>
        <w:jc w:val="center"/>
        <w:rPr>
          <w:rFonts w:asciiTheme="minorHAnsi" w:eastAsiaTheme="minorHAnsi" w:hAnsiTheme="minorHAnsi" w:cstheme="minorBidi"/>
          <w:bCs/>
          <w:i/>
          <w:iCs/>
          <w:szCs w:val="24"/>
          <w:lang w:eastAsia="en-US"/>
        </w:rPr>
      </w:pPr>
      <w:r w:rsidRPr="006A2072">
        <w:rPr>
          <w:rFonts w:asciiTheme="minorHAnsi" w:eastAsiaTheme="minorHAnsi" w:hAnsiTheme="minorHAnsi" w:cstheme="minorBidi"/>
          <w:bCs/>
          <w:i/>
          <w:iCs/>
          <w:szCs w:val="24"/>
          <w:lang w:eastAsia="en-US"/>
        </w:rPr>
        <w:t xml:space="preserve">Stesse tendenze anche per </w:t>
      </w:r>
      <w:r w:rsidR="005033DC" w:rsidRPr="006A2072">
        <w:rPr>
          <w:rFonts w:asciiTheme="minorHAnsi" w:eastAsiaTheme="minorHAnsi" w:hAnsiTheme="minorHAnsi" w:cstheme="minorBidi"/>
          <w:bCs/>
          <w:i/>
          <w:iCs/>
          <w:szCs w:val="24"/>
          <w:lang w:eastAsia="en-US"/>
        </w:rPr>
        <w:t>Treviso</w:t>
      </w:r>
      <w:r w:rsidRPr="006A2072">
        <w:rPr>
          <w:rFonts w:asciiTheme="minorHAnsi" w:eastAsiaTheme="minorHAnsi" w:hAnsiTheme="minorHAnsi" w:cstheme="minorBidi"/>
          <w:bCs/>
          <w:i/>
          <w:iCs/>
          <w:szCs w:val="24"/>
          <w:lang w:eastAsia="en-US"/>
        </w:rPr>
        <w:t xml:space="preserve"> (</w:t>
      </w:r>
      <w:r w:rsidR="005033DC" w:rsidRPr="006A2072">
        <w:rPr>
          <w:rFonts w:asciiTheme="minorHAnsi" w:eastAsiaTheme="minorHAnsi" w:hAnsiTheme="minorHAnsi" w:cstheme="minorBidi"/>
          <w:bCs/>
          <w:i/>
          <w:iCs/>
          <w:szCs w:val="24"/>
          <w:lang w:eastAsia="en-US"/>
        </w:rPr>
        <w:t>-</w:t>
      </w:r>
      <w:r w:rsidRPr="006A2072">
        <w:rPr>
          <w:rFonts w:asciiTheme="minorHAnsi" w:eastAsiaTheme="minorHAnsi" w:hAnsiTheme="minorHAnsi" w:cstheme="minorBidi"/>
          <w:bCs/>
          <w:i/>
          <w:iCs/>
          <w:szCs w:val="24"/>
          <w:lang w:eastAsia="en-US"/>
        </w:rPr>
        <w:t>6</w:t>
      </w:r>
      <w:r w:rsidR="005033DC" w:rsidRPr="006A2072">
        <w:rPr>
          <w:rFonts w:asciiTheme="minorHAnsi" w:eastAsiaTheme="minorHAnsi" w:hAnsiTheme="minorHAnsi" w:cstheme="minorBidi"/>
          <w:bCs/>
          <w:i/>
          <w:iCs/>
          <w:szCs w:val="24"/>
          <w:lang w:eastAsia="en-US"/>
        </w:rPr>
        <w:t>,</w:t>
      </w:r>
      <w:r w:rsidRPr="006A2072">
        <w:rPr>
          <w:rFonts w:asciiTheme="minorHAnsi" w:eastAsiaTheme="minorHAnsi" w:hAnsiTheme="minorHAnsi" w:cstheme="minorBidi"/>
          <w:bCs/>
          <w:i/>
          <w:iCs/>
          <w:szCs w:val="24"/>
          <w:lang w:eastAsia="en-US"/>
        </w:rPr>
        <w:t>3</w:t>
      </w:r>
      <w:r w:rsidR="005033DC" w:rsidRPr="006A2072">
        <w:rPr>
          <w:rFonts w:asciiTheme="minorHAnsi" w:eastAsiaTheme="minorHAnsi" w:hAnsiTheme="minorHAnsi" w:cstheme="minorBidi"/>
          <w:bCs/>
          <w:i/>
          <w:iCs/>
          <w:szCs w:val="24"/>
          <w:lang w:eastAsia="en-US"/>
        </w:rPr>
        <w:t>%</w:t>
      </w:r>
      <w:r w:rsidR="002E3082">
        <w:rPr>
          <w:rFonts w:asciiTheme="minorHAnsi" w:eastAsiaTheme="minorHAnsi" w:hAnsiTheme="minorHAnsi" w:cstheme="minorBidi"/>
          <w:bCs/>
          <w:i/>
          <w:iCs/>
          <w:szCs w:val="24"/>
          <w:lang w:eastAsia="en-US"/>
        </w:rPr>
        <w:t>)</w:t>
      </w:r>
      <w:r w:rsidRPr="006A2072">
        <w:rPr>
          <w:rFonts w:asciiTheme="minorHAnsi" w:eastAsiaTheme="minorHAnsi" w:hAnsiTheme="minorHAnsi" w:cstheme="minorBidi"/>
          <w:bCs/>
          <w:i/>
          <w:iCs/>
          <w:szCs w:val="24"/>
          <w:lang w:eastAsia="en-US"/>
        </w:rPr>
        <w:t xml:space="preserve"> e per </w:t>
      </w:r>
      <w:r w:rsidR="00DA4B51" w:rsidRPr="006A2072">
        <w:rPr>
          <w:rFonts w:asciiTheme="minorHAnsi" w:eastAsiaTheme="minorHAnsi" w:hAnsiTheme="minorHAnsi" w:cstheme="minorBidi"/>
          <w:bCs/>
          <w:i/>
          <w:iCs/>
          <w:szCs w:val="24"/>
          <w:lang w:eastAsia="en-US"/>
        </w:rPr>
        <w:t xml:space="preserve">Belluno </w:t>
      </w:r>
      <w:r w:rsidRPr="006A2072">
        <w:rPr>
          <w:rFonts w:asciiTheme="minorHAnsi" w:eastAsiaTheme="minorHAnsi" w:hAnsiTheme="minorHAnsi" w:cstheme="minorBidi"/>
          <w:bCs/>
          <w:i/>
          <w:iCs/>
          <w:szCs w:val="24"/>
          <w:lang w:eastAsia="en-US"/>
        </w:rPr>
        <w:t>(-4,6</w:t>
      </w:r>
      <w:r w:rsidR="00466637" w:rsidRPr="006A2072">
        <w:rPr>
          <w:rFonts w:asciiTheme="minorHAnsi" w:eastAsiaTheme="minorHAnsi" w:hAnsiTheme="minorHAnsi" w:cstheme="minorBidi"/>
          <w:bCs/>
          <w:i/>
          <w:iCs/>
          <w:szCs w:val="24"/>
          <w:lang w:eastAsia="en-US"/>
        </w:rPr>
        <w:t>%</w:t>
      </w:r>
      <w:r w:rsidR="002E3082">
        <w:rPr>
          <w:rFonts w:asciiTheme="minorHAnsi" w:eastAsiaTheme="minorHAnsi" w:hAnsiTheme="minorHAnsi" w:cstheme="minorBidi"/>
          <w:bCs/>
          <w:i/>
          <w:iCs/>
          <w:szCs w:val="24"/>
          <w:lang w:eastAsia="en-US"/>
        </w:rPr>
        <w:t xml:space="preserve">). Soffre, in particolare, a Treviso il sistema moda, </w:t>
      </w:r>
      <w:r w:rsidR="004B3306">
        <w:rPr>
          <w:rFonts w:asciiTheme="minorHAnsi" w:eastAsiaTheme="minorHAnsi" w:hAnsiTheme="minorHAnsi" w:cstheme="minorBidi"/>
          <w:bCs/>
          <w:i/>
          <w:iCs/>
          <w:szCs w:val="24"/>
          <w:lang w:eastAsia="en-US"/>
        </w:rPr>
        <w:t xml:space="preserve">in flessione </w:t>
      </w:r>
      <w:r w:rsidR="002E3082">
        <w:rPr>
          <w:rFonts w:asciiTheme="minorHAnsi" w:eastAsiaTheme="minorHAnsi" w:hAnsiTheme="minorHAnsi" w:cstheme="minorBidi"/>
          <w:bCs/>
          <w:i/>
          <w:iCs/>
          <w:szCs w:val="24"/>
          <w:lang w:eastAsia="en-US"/>
        </w:rPr>
        <w:t xml:space="preserve">i </w:t>
      </w:r>
      <w:r w:rsidRPr="006A2072">
        <w:rPr>
          <w:rFonts w:asciiTheme="minorHAnsi" w:eastAsiaTheme="minorHAnsi" w:hAnsiTheme="minorHAnsi" w:cstheme="minorBidi"/>
          <w:bCs/>
          <w:i/>
          <w:iCs/>
          <w:szCs w:val="24"/>
          <w:lang w:eastAsia="en-US"/>
        </w:rPr>
        <w:t>macchinari</w:t>
      </w:r>
      <w:r w:rsidR="002E3082">
        <w:rPr>
          <w:rFonts w:asciiTheme="minorHAnsi" w:eastAsiaTheme="minorHAnsi" w:hAnsiTheme="minorHAnsi" w:cstheme="minorBidi"/>
          <w:bCs/>
          <w:i/>
          <w:iCs/>
          <w:szCs w:val="24"/>
          <w:lang w:eastAsia="en-US"/>
        </w:rPr>
        <w:t xml:space="preserve"> in entrambe le province</w:t>
      </w:r>
      <w:r w:rsidR="00DA4B51" w:rsidRPr="006A2072">
        <w:rPr>
          <w:rFonts w:asciiTheme="minorHAnsi" w:eastAsiaTheme="minorHAnsi" w:hAnsiTheme="minorHAnsi" w:cstheme="minorBidi"/>
          <w:bCs/>
          <w:i/>
          <w:iCs/>
          <w:szCs w:val="24"/>
          <w:lang w:eastAsia="en-US"/>
        </w:rPr>
        <w:t>.</w:t>
      </w:r>
      <w:r w:rsidR="00FD5D41" w:rsidRPr="006A2072">
        <w:rPr>
          <w:rFonts w:asciiTheme="minorHAnsi" w:eastAsiaTheme="minorHAnsi" w:hAnsiTheme="minorHAnsi" w:cstheme="minorBidi"/>
          <w:bCs/>
          <w:i/>
          <w:iCs/>
          <w:szCs w:val="24"/>
          <w:lang w:eastAsia="en-US"/>
        </w:rPr>
        <w:t xml:space="preserve"> </w:t>
      </w:r>
    </w:p>
    <w:p w14:paraId="4E0EA64D" w14:textId="77777777" w:rsidR="00D96000" w:rsidRPr="00D96000" w:rsidRDefault="00D96000" w:rsidP="00D96000">
      <w:pPr>
        <w:spacing w:line="320" w:lineRule="exact"/>
        <w:rPr>
          <w:rFonts w:asciiTheme="minorHAnsi" w:hAnsiTheme="minorHAnsi" w:cstheme="minorHAnsi"/>
          <w:color w:val="1D1B11"/>
          <w:szCs w:val="24"/>
          <w:highlight w:val="yellow"/>
        </w:rPr>
      </w:pPr>
    </w:p>
    <w:p w14:paraId="230EC43F" w14:textId="3649B571" w:rsidR="00D96000" w:rsidRPr="00D96000" w:rsidRDefault="00180FA2" w:rsidP="00D96000">
      <w:pPr>
        <w:spacing w:line="320" w:lineRule="exact"/>
        <w:rPr>
          <w:rFonts w:asciiTheme="minorHAnsi" w:hAnsiTheme="minorHAnsi" w:cstheme="minorHAnsi"/>
          <w:color w:val="1D1B11"/>
          <w:szCs w:val="24"/>
          <w:highlight w:val="yellow"/>
        </w:rPr>
      </w:pPr>
      <w:r w:rsidRPr="00180FA2">
        <w:rPr>
          <w:rFonts w:asciiTheme="minorHAnsi" w:hAnsiTheme="minorHAnsi" w:cstheme="minorHAnsi"/>
          <w:color w:val="1D1B11"/>
          <w:szCs w:val="24"/>
        </w:rPr>
        <w:t xml:space="preserve"> </w:t>
      </w:r>
    </w:p>
    <w:p w14:paraId="088B6A6D" w14:textId="239FD556" w:rsidR="00D96000" w:rsidRPr="00CF5636" w:rsidRDefault="00D96000" w:rsidP="00D96000">
      <w:pPr>
        <w:spacing w:line="320" w:lineRule="exact"/>
        <w:rPr>
          <w:rFonts w:asciiTheme="minorHAnsi" w:hAnsiTheme="minorHAnsi" w:cstheme="minorHAnsi"/>
          <w:color w:val="1D1B11"/>
          <w:szCs w:val="24"/>
        </w:rPr>
      </w:pPr>
      <w:r w:rsidRPr="00CF5636">
        <w:rPr>
          <w:rFonts w:asciiTheme="minorHAnsi" w:hAnsiTheme="minorHAnsi" w:cstheme="minorHAnsi"/>
          <w:color w:val="1D1B11"/>
          <w:szCs w:val="24"/>
        </w:rPr>
        <w:t>Treviso,</w:t>
      </w:r>
      <w:r w:rsidR="0081582C">
        <w:rPr>
          <w:rFonts w:asciiTheme="minorHAnsi" w:hAnsiTheme="minorHAnsi" w:cstheme="minorHAnsi"/>
          <w:color w:val="1D1B11"/>
          <w:szCs w:val="24"/>
        </w:rPr>
        <w:t>18</w:t>
      </w:r>
      <w:r w:rsidR="005A249D">
        <w:rPr>
          <w:rFonts w:asciiTheme="minorHAnsi" w:hAnsiTheme="minorHAnsi" w:cstheme="minorHAnsi"/>
          <w:color w:val="1D1B11"/>
          <w:szCs w:val="24"/>
        </w:rPr>
        <w:t xml:space="preserve"> </w:t>
      </w:r>
      <w:r w:rsidR="00E36E47">
        <w:rPr>
          <w:rFonts w:asciiTheme="minorHAnsi" w:hAnsiTheme="minorHAnsi" w:cstheme="minorHAnsi"/>
          <w:color w:val="1D1B11"/>
          <w:szCs w:val="24"/>
        </w:rPr>
        <w:t>giugno</w:t>
      </w:r>
      <w:r w:rsidRPr="00CF5636">
        <w:rPr>
          <w:rFonts w:asciiTheme="minorHAnsi" w:hAnsiTheme="minorHAnsi" w:cstheme="minorHAnsi"/>
          <w:color w:val="1D1B11"/>
          <w:szCs w:val="24"/>
        </w:rPr>
        <w:t xml:space="preserve"> 20</w:t>
      </w:r>
      <w:r w:rsidR="00CF5636" w:rsidRPr="00CF5636">
        <w:rPr>
          <w:rFonts w:asciiTheme="minorHAnsi" w:hAnsiTheme="minorHAnsi" w:cstheme="minorHAnsi"/>
          <w:color w:val="1D1B11"/>
          <w:szCs w:val="24"/>
        </w:rPr>
        <w:t>2</w:t>
      </w:r>
      <w:r w:rsidR="00D47F0B">
        <w:rPr>
          <w:rFonts w:asciiTheme="minorHAnsi" w:hAnsiTheme="minorHAnsi" w:cstheme="minorHAnsi"/>
          <w:color w:val="1D1B11"/>
          <w:szCs w:val="24"/>
        </w:rPr>
        <w:t>4</w:t>
      </w:r>
    </w:p>
    <w:p w14:paraId="677E7A4A" w14:textId="77777777" w:rsidR="00D96000" w:rsidRDefault="00D96000" w:rsidP="00D96000">
      <w:pPr>
        <w:spacing w:line="320" w:lineRule="exact"/>
        <w:rPr>
          <w:rFonts w:asciiTheme="minorHAnsi" w:hAnsiTheme="minorHAnsi" w:cstheme="minorHAnsi"/>
          <w:color w:val="1D1B11"/>
          <w:szCs w:val="24"/>
          <w:highlight w:val="yellow"/>
        </w:rPr>
      </w:pPr>
    </w:p>
    <w:p w14:paraId="36463630" w14:textId="77777777" w:rsidR="00913FDD" w:rsidRPr="00D96000" w:rsidRDefault="00913FDD" w:rsidP="00D96000">
      <w:pPr>
        <w:spacing w:line="320" w:lineRule="exact"/>
        <w:rPr>
          <w:rFonts w:asciiTheme="minorHAnsi" w:hAnsiTheme="minorHAnsi" w:cstheme="minorHAnsi"/>
          <w:color w:val="1D1B11"/>
          <w:szCs w:val="24"/>
          <w:highlight w:val="yellow"/>
        </w:rPr>
      </w:pPr>
    </w:p>
    <w:p w14:paraId="307BA094" w14:textId="77777777" w:rsidR="004802C4" w:rsidRPr="00172674" w:rsidRDefault="004802C4" w:rsidP="004802C4">
      <w:pPr>
        <w:keepNext/>
        <w:spacing w:before="120" w:after="200" w:line="320" w:lineRule="exact"/>
        <w:rPr>
          <w:rFonts w:asciiTheme="minorHAnsi" w:hAnsiTheme="minorHAnsi" w:cstheme="minorHAnsi"/>
          <w:b/>
          <w:szCs w:val="24"/>
        </w:rPr>
      </w:pPr>
      <w:r w:rsidRPr="00172674">
        <w:rPr>
          <w:rFonts w:asciiTheme="minorHAnsi" w:hAnsiTheme="minorHAnsi" w:cstheme="minorHAnsi"/>
          <w:b/>
          <w:szCs w:val="24"/>
        </w:rPr>
        <w:t>Il commento del Presidente Mario Pozza</w:t>
      </w:r>
    </w:p>
    <w:p w14:paraId="2FB546AD" w14:textId="331C6B61" w:rsidR="00363C02" w:rsidRDefault="00172674" w:rsidP="001D4623">
      <w:pPr>
        <w:spacing w:before="120" w:after="200" w:line="320" w:lineRule="exact"/>
        <w:rPr>
          <w:rFonts w:asciiTheme="minorHAnsi" w:hAnsiTheme="minorHAnsi" w:cstheme="minorHAnsi"/>
          <w:i/>
          <w:szCs w:val="24"/>
        </w:rPr>
      </w:pPr>
      <w:r w:rsidRPr="00172674">
        <w:rPr>
          <w:rFonts w:asciiTheme="minorHAnsi" w:hAnsiTheme="minorHAnsi" w:cstheme="minorHAnsi"/>
          <w:i/>
          <w:szCs w:val="24"/>
        </w:rPr>
        <w:t>“</w:t>
      </w:r>
      <w:r w:rsidR="002D6E97">
        <w:rPr>
          <w:rFonts w:asciiTheme="minorHAnsi" w:hAnsiTheme="minorHAnsi" w:cstheme="minorHAnsi"/>
          <w:i/>
          <w:szCs w:val="24"/>
        </w:rPr>
        <w:t xml:space="preserve">Nel primo trimestre 2024 le esportazioni venete, trevigiane e bellunesi sono accomunate da una dinamica, su base annua, </w:t>
      </w:r>
      <w:r w:rsidR="00FF3791">
        <w:rPr>
          <w:rFonts w:asciiTheme="minorHAnsi" w:hAnsiTheme="minorHAnsi" w:cstheme="minorHAnsi"/>
          <w:i/>
          <w:szCs w:val="24"/>
        </w:rPr>
        <w:t>con segno</w:t>
      </w:r>
      <w:r w:rsidR="002D6E97">
        <w:rPr>
          <w:rFonts w:asciiTheme="minorHAnsi" w:hAnsiTheme="minorHAnsi" w:cstheme="minorHAnsi"/>
          <w:i/>
          <w:szCs w:val="24"/>
        </w:rPr>
        <w:t xml:space="preserve"> negativo </w:t>
      </w:r>
      <w:r w:rsidRPr="00172674">
        <w:rPr>
          <w:rFonts w:asciiTheme="minorHAnsi" w:hAnsiTheme="minorHAnsi" w:cstheme="minorHAnsi"/>
          <w:i/>
          <w:szCs w:val="24"/>
        </w:rPr>
        <w:t xml:space="preserve">- </w:t>
      </w:r>
      <w:r w:rsidRPr="00172674">
        <w:rPr>
          <w:rFonts w:asciiTheme="minorHAnsi" w:hAnsiTheme="minorHAnsi" w:cstheme="minorHAnsi"/>
          <w:szCs w:val="24"/>
        </w:rPr>
        <w:t>commenta Mario Pozza, Presidente della Camera di Commercio di Treviso e Belluno|Dolomiti</w:t>
      </w:r>
      <w:r w:rsidR="00F00237">
        <w:rPr>
          <w:rFonts w:asciiTheme="minorHAnsi" w:hAnsiTheme="minorHAnsi" w:cstheme="minorHAnsi"/>
          <w:szCs w:val="24"/>
        </w:rPr>
        <w:t>.</w:t>
      </w:r>
      <w:r w:rsidRPr="00172674">
        <w:rPr>
          <w:rFonts w:asciiTheme="minorHAnsi" w:hAnsiTheme="minorHAnsi" w:cstheme="minorHAnsi"/>
          <w:i/>
          <w:szCs w:val="24"/>
        </w:rPr>
        <w:t xml:space="preserve"> –</w:t>
      </w:r>
      <w:r w:rsidR="00FF3791">
        <w:rPr>
          <w:rFonts w:asciiTheme="minorHAnsi" w:hAnsiTheme="minorHAnsi" w:cstheme="minorHAnsi"/>
          <w:i/>
          <w:szCs w:val="24"/>
        </w:rPr>
        <w:t xml:space="preserve"> </w:t>
      </w:r>
      <w:r w:rsidR="009D3173">
        <w:rPr>
          <w:rFonts w:asciiTheme="minorHAnsi" w:hAnsiTheme="minorHAnsi" w:cstheme="minorHAnsi"/>
          <w:i/>
          <w:szCs w:val="24"/>
        </w:rPr>
        <w:t xml:space="preserve">Analogo andamento negativo si registra per l’export lombardo ed emiliano. </w:t>
      </w:r>
      <w:r w:rsidR="00506C22">
        <w:rPr>
          <w:rFonts w:asciiTheme="minorHAnsi" w:hAnsiTheme="minorHAnsi" w:cstheme="minorHAnsi"/>
          <w:i/>
          <w:szCs w:val="24"/>
        </w:rPr>
        <w:t>È</w:t>
      </w:r>
      <w:r w:rsidR="009D3173">
        <w:rPr>
          <w:rFonts w:asciiTheme="minorHAnsi" w:hAnsiTheme="minorHAnsi" w:cstheme="minorHAnsi"/>
          <w:i/>
          <w:szCs w:val="24"/>
        </w:rPr>
        <w:t xml:space="preserve"> dunque </w:t>
      </w:r>
      <w:r w:rsidR="00FF3791">
        <w:rPr>
          <w:rFonts w:asciiTheme="minorHAnsi" w:hAnsiTheme="minorHAnsi" w:cstheme="minorHAnsi"/>
          <w:i/>
          <w:szCs w:val="24"/>
        </w:rPr>
        <w:t>un risultato che va collocato nel</w:t>
      </w:r>
      <w:r w:rsidR="009D3E22">
        <w:rPr>
          <w:rFonts w:asciiTheme="minorHAnsi" w:hAnsiTheme="minorHAnsi" w:cstheme="minorHAnsi"/>
          <w:i/>
          <w:szCs w:val="24"/>
        </w:rPr>
        <w:t xml:space="preserve"> più ampio contesto di una debolezza della </w:t>
      </w:r>
      <w:r w:rsidR="002D6E97">
        <w:rPr>
          <w:rFonts w:asciiTheme="minorHAnsi" w:hAnsiTheme="minorHAnsi" w:cstheme="minorHAnsi"/>
          <w:i/>
          <w:szCs w:val="24"/>
        </w:rPr>
        <w:t>domanda internazionale</w:t>
      </w:r>
      <w:r w:rsidR="009D3173">
        <w:rPr>
          <w:rFonts w:asciiTheme="minorHAnsi" w:hAnsiTheme="minorHAnsi" w:cstheme="minorHAnsi"/>
          <w:i/>
          <w:szCs w:val="24"/>
        </w:rPr>
        <w:t>: a</w:t>
      </w:r>
      <w:r w:rsidR="00363C02">
        <w:rPr>
          <w:rFonts w:asciiTheme="minorHAnsi" w:hAnsiTheme="minorHAnsi" w:cstheme="minorHAnsi"/>
          <w:i/>
          <w:szCs w:val="24"/>
        </w:rPr>
        <w:t xml:space="preserve">i conflitti ancora aperti, si somma il calo del potere d’acquisto delle famiglie e l’incertezza sugli investimenti futuri, penalizzati da tassi di interesse ancora elevati, </w:t>
      </w:r>
      <w:r w:rsidR="00CE5858">
        <w:rPr>
          <w:rFonts w:asciiTheme="minorHAnsi" w:hAnsiTheme="minorHAnsi" w:cstheme="minorHAnsi"/>
          <w:i/>
          <w:szCs w:val="24"/>
        </w:rPr>
        <w:t xml:space="preserve">nonostante un primo segnale di riduzione da parte della </w:t>
      </w:r>
      <w:r w:rsidR="00363C02">
        <w:rPr>
          <w:rFonts w:asciiTheme="minorHAnsi" w:hAnsiTheme="minorHAnsi" w:cstheme="minorHAnsi"/>
          <w:i/>
          <w:szCs w:val="24"/>
        </w:rPr>
        <w:t>BCE.</w:t>
      </w:r>
    </w:p>
    <w:p w14:paraId="7431A4FE" w14:textId="1EA84F40" w:rsidR="00774947" w:rsidRDefault="00C56355" w:rsidP="001D4623">
      <w:pPr>
        <w:spacing w:before="120" w:after="200" w:line="320" w:lineRule="exact"/>
        <w:rPr>
          <w:rFonts w:asciiTheme="minorHAnsi" w:hAnsiTheme="minorHAnsi" w:cstheme="minorHAnsi"/>
          <w:i/>
          <w:szCs w:val="24"/>
        </w:rPr>
      </w:pPr>
      <w:r>
        <w:rPr>
          <w:rFonts w:asciiTheme="minorHAnsi" w:hAnsiTheme="minorHAnsi" w:cstheme="minorHAnsi"/>
          <w:i/>
          <w:szCs w:val="24"/>
        </w:rPr>
        <w:t xml:space="preserve">I dati negativi del primo trimestre 2024 sono peraltro enfatizzati </w:t>
      </w:r>
      <w:r w:rsidR="00363C02" w:rsidRPr="00363C02">
        <w:rPr>
          <w:rFonts w:asciiTheme="minorHAnsi" w:hAnsiTheme="minorHAnsi" w:cstheme="minorHAnsi"/>
          <w:iCs/>
          <w:szCs w:val="24"/>
        </w:rPr>
        <w:t>– continua il Presidente -</w:t>
      </w:r>
      <w:r w:rsidR="00363C02">
        <w:rPr>
          <w:rFonts w:asciiTheme="minorHAnsi" w:hAnsiTheme="minorHAnsi" w:cstheme="minorHAnsi"/>
          <w:i/>
          <w:szCs w:val="24"/>
        </w:rPr>
        <w:t xml:space="preserve"> </w:t>
      </w:r>
      <w:r>
        <w:rPr>
          <w:rFonts w:asciiTheme="minorHAnsi" w:hAnsiTheme="minorHAnsi" w:cstheme="minorHAnsi"/>
          <w:i/>
          <w:szCs w:val="24"/>
        </w:rPr>
        <w:t>dal ridotto periodo di osservazione come anche da un termine di confronto (il primo trimestre 2023) ancora ampiamente positivo, con variazioni sostenute</w:t>
      </w:r>
      <w:r w:rsidR="009D3173">
        <w:rPr>
          <w:rFonts w:asciiTheme="minorHAnsi" w:hAnsiTheme="minorHAnsi" w:cstheme="minorHAnsi"/>
          <w:i/>
          <w:szCs w:val="24"/>
        </w:rPr>
        <w:t>, al tempo,</w:t>
      </w:r>
      <w:r>
        <w:rPr>
          <w:rFonts w:asciiTheme="minorHAnsi" w:hAnsiTheme="minorHAnsi" w:cstheme="minorHAnsi"/>
          <w:i/>
          <w:szCs w:val="24"/>
        </w:rPr>
        <w:t xml:space="preserve"> </w:t>
      </w:r>
      <w:r w:rsidR="009D3E22">
        <w:rPr>
          <w:rFonts w:asciiTheme="minorHAnsi" w:hAnsiTheme="minorHAnsi" w:cstheme="minorHAnsi"/>
          <w:i/>
          <w:szCs w:val="24"/>
        </w:rPr>
        <w:t>dal</w:t>
      </w:r>
      <w:r w:rsidR="009D3173">
        <w:rPr>
          <w:rFonts w:asciiTheme="minorHAnsi" w:hAnsiTheme="minorHAnsi" w:cstheme="minorHAnsi"/>
          <w:i/>
          <w:szCs w:val="24"/>
        </w:rPr>
        <w:t xml:space="preserve"> rialzo dei </w:t>
      </w:r>
      <w:r w:rsidR="009D3E22">
        <w:rPr>
          <w:rFonts w:asciiTheme="minorHAnsi" w:hAnsiTheme="minorHAnsi" w:cstheme="minorHAnsi"/>
          <w:i/>
          <w:szCs w:val="24"/>
        </w:rPr>
        <w:t xml:space="preserve">prezzi.  </w:t>
      </w:r>
    </w:p>
    <w:p w14:paraId="2F7FA64A" w14:textId="4C3A2C2A" w:rsidR="00C56355" w:rsidRPr="00E9356E" w:rsidRDefault="00C56355" w:rsidP="00C56355">
      <w:pPr>
        <w:spacing w:before="120" w:after="200" w:line="320" w:lineRule="exact"/>
        <w:rPr>
          <w:rFonts w:asciiTheme="minorHAnsi" w:hAnsiTheme="minorHAnsi" w:cstheme="minorHAnsi"/>
          <w:i/>
          <w:szCs w:val="24"/>
        </w:rPr>
      </w:pPr>
      <w:r>
        <w:rPr>
          <w:rFonts w:asciiTheme="minorHAnsi" w:hAnsiTheme="minorHAnsi" w:cstheme="minorHAnsi"/>
          <w:i/>
          <w:szCs w:val="24"/>
        </w:rPr>
        <w:t>Detto questo, bisogna prendere atto dei numeri e interpretarli con la giusta tara</w:t>
      </w:r>
      <w:r w:rsidR="009D3E22">
        <w:rPr>
          <w:rFonts w:asciiTheme="minorHAnsi" w:hAnsiTheme="minorHAnsi" w:cstheme="minorHAnsi"/>
          <w:i/>
          <w:szCs w:val="24"/>
        </w:rPr>
        <w:t xml:space="preserve"> </w:t>
      </w:r>
      <w:r w:rsidR="00774947" w:rsidRPr="00774947">
        <w:rPr>
          <w:rFonts w:asciiTheme="minorHAnsi" w:hAnsiTheme="minorHAnsi" w:cstheme="minorHAnsi"/>
          <w:iCs/>
          <w:szCs w:val="24"/>
        </w:rPr>
        <w:t>– prosegue Pozza</w:t>
      </w:r>
      <w:r w:rsidR="00E9356E">
        <w:rPr>
          <w:rFonts w:asciiTheme="minorHAnsi" w:hAnsiTheme="minorHAnsi" w:cstheme="minorHAnsi"/>
          <w:iCs/>
          <w:szCs w:val="24"/>
        </w:rPr>
        <w:t xml:space="preserve"> -</w:t>
      </w:r>
      <w:r>
        <w:rPr>
          <w:rFonts w:asciiTheme="minorHAnsi" w:hAnsiTheme="minorHAnsi" w:cstheme="minorHAnsi"/>
          <w:iCs/>
          <w:szCs w:val="24"/>
        </w:rPr>
        <w:t>:</w:t>
      </w:r>
      <w:r w:rsidR="00E9356E">
        <w:t xml:space="preserve"> </w:t>
      </w:r>
      <w:r w:rsidRPr="00E9356E">
        <w:rPr>
          <w:rFonts w:asciiTheme="minorHAnsi" w:hAnsiTheme="minorHAnsi" w:cstheme="minorHAnsi"/>
          <w:i/>
          <w:szCs w:val="24"/>
        </w:rPr>
        <w:t xml:space="preserve">l’export veneto registra una variazione negativa del -5,1% in valori, che però diventa del -1,4% in quantità. Si consideri che un anno fa, nel primo trimestre 2023, la variazione su base annua delle quantità esportate era del -6,7% (gli ordini esteri erano già fortemente in calo in quel periodo) a fronte però di una crescita in valori che si manteneva al +8,5%. </w:t>
      </w:r>
    </w:p>
    <w:p w14:paraId="4F1B2EC3" w14:textId="33E2422F" w:rsidR="00C56355" w:rsidRPr="00E9356E" w:rsidRDefault="00C56355" w:rsidP="00C56355">
      <w:pPr>
        <w:spacing w:before="120" w:after="200" w:line="320" w:lineRule="exact"/>
        <w:rPr>
          <w:rFonts w:asciiTheme="minorHAnsi" w:hAnsiTheme="minorHAnsi" w:cstheme="minorHAnsi"/>
          <w:i/>
          <w:szCs w:val="24"/>
        </w:rPr>
      </w:pPr>
      <w:r w:rsidRPr="00E9356E">
        <w:rPr>
          <w:rFonts w:asciiTheme="minorHAnsi" w:hAnsiTheme="minorHAnsi" w:cstheme="minorHAnsi"/>
          <w:i/>
          <w:szCs w:val="24"/>
        </w:rPr>
        <w:t xml:space="preserve">Questi dati – </w:t>
      </w:r>
      <w:r w:rsidRPr="00E9356E">
        <w:rPr>
          <w:rFonts w:asciiTheme="minorHAnsi" w:hAnsiTheme="minorHAnsi" w:cstheme="minorHAnsi"/>
          <w:iCs/>
          <w:szCs w:val="24"/>
        </w:rPr>
        <w:t>comme</w:t>
      </w:r>
      <w:r w:rsidR="00E9356E" w:rsidRPr="00E9356E">
        <w:rPr>
          <w:rFonts w:asciiTheme="minorHAnsi" w:hAnsiTheme="minorHAnsi" w:cstheme="minorHAnsi"/>
          <w:iCs/>
          <w:szCs w:val="24"/>
        </w:rPr>
        <w:t>n</w:t>
      </w:r>
      <w:r w:rsidRPr="00E9356E">
        <w:rPr>
          <w:rFonts w:asciiTheme="minorHAnsi" w:hAnsiTheme="minorHAnsi" w:cstheme="minorHAnsi"/>
          <w:iCs/>
          <w:szCs w:val="24"/>
        </w:rPr>
        <w:t xml:space="preserve">ta </w:t>
      </w:r>
      <w:r w:rsidR="000B7A6F">
        <w:rPr>
          <w:rFonts w:asciiTheme="minorHAnsi" w:hAnsiTheme="minorHAnsi" w:cstheme="minorHAnsi"/>
          <w:iCs/>
          <w:szCs w:val="24"/>
        </w:rPr>
        <w:t>il Presidente</w:t>
      </w:r>
      <w:r w:rsidRPr="00E9356E">
        <w:rPr>
          <w:rFonts w:asciiTheme="minorHAnsi" w:hAnsiTheme="minorHAnsi" w:cstheme="minorHAnsi"/>
          <w:i/>
          <w:szCs w:val="24"/>
        </w:rPr>
        <w:t xml:space="preserve"> - fanno ben capire come l’attuale dinamica dell’export risulti ancora condizionata dalla concatenazione di shock recenti:</w:t>
      </w:r>
      <w:r w:rsidR="00436150">
        <w:rPr>
          <w:rFonts w:asciiTheme="minorHAnsi" w:hAnsiTheme="minorHAnsi" w:cstheme="minorHAnsi"/>
          <w:i/>
          <w:szCs w:val="24"/>
        </w:rPr>
        <w:t xml:space="preserve"> </w:t>
      </w:r>
      <w:r w:rsidRPr="00E9356E">
        <w:rPr>
          <w:rFonts w:asciiTheme="minorHAnsi" w:hAnsiTheme="minorHAnsi" w:cstheme="minorHAnsi"/>
          <w:i/>
          <w:szCs w:val="24"/>
        </w:rPr>
        <w:t xml:space="preserve">debolezza della domanda internazionale che segue una situazione di effervescenza post pandemia, listini dei prezzi sulle montagne </w:t>
      </w:r>
      <w:r w:rsidR="00583D34" w:rsidRPr="00E9356E">
        <w:rPr>
          <w:rFonts w:asciiTheme="minorHAnsi" w:hAnsiTheme="minorHAnsi" w:cstheme="minorHAnsi"/>
          <w:i/>
          <w:szCs w:val="24"/>
        </w:rPr>
        <w:t>russe (</w:t>
      </w:r>
      <w:r w:rsidRPr="00E9356E">
        <w:rPr>
          <w:rFonts w:asciiTheme="minorHAnsi" w:hAnsiTheme="minorHAnsi" w:cstheme="minorHAnsi"/>
          <w:i/>
          <w:szCs w:val="24"/>
        </w:rPr>
        <w:t xml:space="preserve">ieri al rialzo per trasferire a valle i maggiori costi degli input, oggi in </w:t>
      </w:r>
      <w:r w:rsidRPr="00E9356E">
        <w:rPr>
          <w:rFonts w:asciiTheme="minorHAnsi" w:hAnsiTheme="minorHAnsi" w:cstheme="minorHAnsi"/>
          <w:i/>
          <w:szCs w:val="24"/>
        </w:rPr>
        <w:lastRenderedPageBreak/>
        <w:t>fase di normalizzazione), minore potere d’acquisto dei consumatori per effetto dell’inflazione stessa</w:t>
      </w:r>
      <w:r w:rsidR="009D3173">
        <w:rPr>
          <w:rFonts w:asciiTheme="minorHAnsi" w:hAnsiTheme="minorHAnsi" w:cstheme="minorHAnsi"/>
          <w:i/>
          <w:szCs w:val="24"/>
        </w:rPr>
        <w:t>.</w:t>
      </w:r>
      <w:r w:rsidRPr="00E9356E">
        <w:rPr>
          <w:rFonts w:asciiTheme="minorHAnsi" w:hAnsiTheme="minorHAnsi" w:cstheme="minorHAnsi"/>
          <w:i/>
          <w:szCs w:val="24"/>
        </w:rPr>
        <w:t xml:space="preserve"> Tant’è che se, di brutto, confrontiamo l’attuale valore export del Veneto (19,9 miliardi di euro) con quello del primo trimestre 2019 (“anno di grazia” lontano dai vari shock), notiamo un incremento del +25,8% (certo, in valori correnti).</w:t>
      </w:r>
    </w:p>
    <w:p w14:paraId="47FC82F9" w14:textId="19700F2C" w:rsidR="00C56355" w:rsidRPr="00E9356E" w:rsidRDefault="00C56355" w:rsidP="00C56355">
      <w:pPr>
        <w:spacing w:before="120" w:after="200" w:line="320" w:lineRule="exact"/>
        <w:rPr>
          <w:rFonts w:asciiTheme="minorHAnsi" w:hAnsiTheme="minorHAnsi" w:cstheme="minorHAnsi"/>
          <w:i/>
          <w:szCs w:val="24"/>
        </w:rPr>
      </w:pPr>
      <w:r w:rsidRPr="00E9356E">
        <w:rPr>
          <w:rFonts w:asciiTheme="minorHAnsi" w:hAnsiTheme="minorHAnsi" w:cstheme="minorHAnsi"/>
          <w:i/>
          <w:szCs w:val="24"/>
        </w:rPr>
        <w:t xml:space="preserve">Queste tare non vanno </w:t>
      </w:r>
      <w:r w:rsidR="009D3173">
        <w:rPr>
          <w:rFonts w:asciiTheme="minorHAnsi" w:hAnsiTheme="minorHAnsi" w:cstheme="minorHAnsi"/>
          <w:i/>
          <w:szCs w:val="24"/>
        </w:rPr>
        <w:t>intese</w:t>
      </w:r>
      <w:r w:rsidRPr="00E9356E">
        <w:rPr>
          <w:rFonts w:asciiTheme="minorHAnsi" w:hAnsiTheme="minorHAnsi" w:cstheme="minorHAnsi"/>
          <w:i/>
          <w:szCs w:val="24"/>
        </w:rPr>
        <w:t xml:space="preserve"> in termini consolatori </w:t>
      </w:r>
      <w:r w:rsidRPr="005F66B6">
        <w:rPr>
          <w:rFonts w:asciiTheme="minorHAnsi" w:hAnsiTheme="minorHAnsi" w:cstheme="minorHAnsi"/>
          <w:iCs/>
          <w:szCs w:val="24"/>
        </w:rPr>
        <w:t xml:space="preserve">– ci tiene a </w:t>
      </w:r>
      <w:r w:rsidR="005F66B6" w:rsidRPr="005F66B6">
        <w:rPr>
          <w:rFonts w:asciiTheme="minorHAnsi" w:hAnsiTheme="minorHAnsi" w:cstheme="minorHAnsi"/>
          <w:iCs/>
          <w:szCs w:val="24"/>
        </w:rPr>
        <w:t>sottolineare</w:t>
      </w:r>
      <w:r w:rsidRPr="005F66B6">
        <w:rPr>
          <w:rFonts w:asciiTheme="minorHAnsi" w:hAnsiTheme="minorHAnsi" w:cstheme="minorHAnsi"/>
          <w:iCs/>
          <w:szCs w:val="24"/>
        </w:rPr>
        <w:t xml:space="preserve"> il Presidente</w:t>
      </w:r>
      <w:r w:rsidR="005F66B6" w:rsidRPr="005F66B6">
        <w:rPr>
          <w:rFonts w:asciiTheme="minorHAnsi" w:hAnsiTheme="minorHAnsi" w:cstheme="minorHAnsi"/>
          <w:iCs/>
          <w:szCs w:val="24"/>
        </w:rPr>
        <w:t xml:space="preserve"> -</w:t>
      </w:r>
      <w:r w:rsidRPr="00E9356E">
        <w:rPr>
          <w:rFonts w:asciiTheme="minorHAnsi" w:hAnsiTheme="minorHAnsi" w:cstheme="minorHAnsi"/>
          <w:i/>
          <w:szCs w:val="24"/>
        </w:rPr>
        <w:t>. Alcuni settori presentano andamenti negativi sia in termini di valori che in termini di quantità. È il caso dei macchinari, prima voce export per il Veneto che, rispetto al primo trimestre 2023, scende con la stessa intensità sia in valori (-5,3%) che in quantità (-7,6%).</w:t>
      </w:r>
      <w:r w:rsidR="009D3E22" w:rsidRPr="00E9356E">
        <w:rPr>
          <w:rFonts w:asciiTheme="minorHAnsi" w:hAnsiTheme="minorHAnsi" w:cstheme="minorHAnsi"/>
          <w:i/>
          <w:szCs w:val="24"/>
        </w:rPr>
        <w:t xml:space="preserve"> </w:t>
      </w:r>
    </w:p>
    <w:p w14:paraId="25AD96D8" w14:textId="3DD025BD" w:rsidR="00C56355" w:rsidRPr="00E9356E" w:rsidRDefault="00C56355" w:rsidP="00C56355">
      <w:pPr>
        <w:spacing w:before="120" w:after="200" w:line="320" w:lineRule="exact"/>
        <w:rPr>
          <w:rFonts w:asciiTheme="minorHAnsi" w:hAnsiTheme="minorHAnsi" w:cstheme="minorHAnsi"/>
          <w:i/>
          <w:szCs w:val="24"/>
        </w:rPr>
      </w:pPr>
      <w:r w:rsidRPr="00E9356E">
        <w:rPr>
          <w:rFonts w:asciiTheme="minorHAnsi" w:hAnsiTheme="minorHAnsi" w:cstheme="minorHAnsi"/>
          <w:i/>
          <w:szCs w:val="24"/>
        </w:rPr>
        <w:t xml:space="preserve">A livello di territori </w:t>
      </w:r>
      <w:r w:rsidR="009D3E22" w:rsidRPr="00E9356E">
        <w:rPr>
          <w:rFonts w:asciiTheme="minorHAnsi" w:hAnsiTheme="minorHAnsi" w:cstheme="minorHAnsi"/>
          <w:i/>
          <w:szCs w:val="24"/>
        </w:rPr>
        <w:t>l</w:t>
      </w:r>
      <w:r w:rsidR="00774947" w:rsidRPr="00E9356E">
        <w:rPr>
          <w:rFonts w:asciiTheme="minorHAnsi" w:hAnsiTheme="minorHAnsi" w:cstheme="minorHAnsi"/>
          <w:i/>
          <w:szCs w:val="24"/>
        </w:rPr>
        <w:t>e esportazioni</w:t>
      </w:r>
      <w:r w:rsidR="009D3E22" w:rsidRPr="00E9356E">
        <w:rPr>
          <w:rFonts w:asciiTheme="minorHAnsi" w:hAnsiTheme="minorHAnsi" w:cstheme="minorHAnsi"/>
          <w:i/>
          <w:szCs w:val="24"/>
        </w:rPr>
        <w:t xml:space="preserve"> trevigian</w:t>
      </w:r>
      <w:r w:rsidR="00774947" w:rsidRPr="00E9356E">
        <w:rPr>
          <w:rFonts w:asciiTheme="minorHAnsi" w:hAnsiTheme="minorHAnsi" w:cstheme="minorHAnsi"/>
          <w:i/>
          <w:szCs w:val="24"/>
        </w:rPr>
        <w:t>e</w:t>
      </w:r>
      <w:r w:rsidR="009D3E22" w:rsidRPr="00E9356E">
        <w:rPr>
          <w:rFonts w:asciiTheme="minorHAnsi" w:hAnsiTheme="minorHAnsi" w:cstheme="minorHAnsi"/>
          <w:i/>
          <w:szCs w:val="24"/>
        </w:rPr>
        <w:t xml:space="preserve"> </w:t>
      </w:r>
      <w:r w:rsidRPr="00E9356E">
        <w:rPr>
          <w:rFonts w:asciiTheme="minorHAnsi" w:hAnsiTheme="minorHAnsi" w:cstheme="minorHAnsi"/>
          <w:i/>
          <w:szCs w:val="24"/>
        </w:rPr>
        <w:t xml:space="preserve">flettono del </w:t>
      </w:r>
      <w:r w:rsidR="00697E10">
        <w:rPr>
          <w:rFonts w:asciiTheme="minorHAnsi" w:hAnsiTheme="minorHAnsi" w:cstheme="minorHAnsi"/>
          <w:i/>
          <w:szCs w:val="24"/>
        </w:rPr>
        <w:t>-</w:t>
      </w:r>
      <w:r w:rsidR="009D3E22" w:rsidRPr="00E9356E">
        <w:rPr>
          <w:rFonts w:asciiTheme="minorHAnsi" w:hAnsiTheme="minorHAnsi" w:cstheme="minorHAnsi"/>
          <w:i/>
          <w:szCs w:val="24"/>
        </w:rPr>
        <w:t xml:space="preserve">6,3% </w:t>
      </w:r>
      <w:r w:rsidR="00697E10">
        <w:rPr>
          <w:rFonts w:asciiTheme="minorHAnsi" w:hAnsiTheme="minorHAnsi" w:cstheme="minorHAnsi"/>
          <w:i/>
          <w:szCs w:val="24"/>
        </w:rPr>
        <w:t>ne</w:t>
      </w:r>
      <w:r w:rsidR="009D3E22" w:rsidRPr="00E9356E">
        <w:rPr>
          <w:rFonts w:asciiTheme="minorHAnsi" w:hAnsiTheme="minorHAnsi" w:cstheme="minorHAnsi"/>
          <w:i/>
          <w:szCs w:val="24"/>
        </w:rPr>
        <w:t>l trimestre attuale, contro un +5,4%</w:t>
      </w:r>
      <w:r w:rsidRPr="00E9356E">
        <w:rPr>
          <w:rFonts w:asciiTheme="minorHAnsi" w:hAnsiTheme="minorHAnsi" w:cstheme="minorHAnsi"/>
          <w:i/>
          <w:szCs w:val="24"/>
        </w:rPr>
        <w:t xml:space="preserve"> dello scorso anno</w:t>
      </w:r>
      <w:r w:rsidR="00697E10">
        <w:rPr>
          <w:rFonts w:asciiTheme="minorHAnsi" w:hAnsiTheme="minorHAnsi" w:cstheme="minorHAnsi"/>
          <w:i/>
          <w:szCs w:val="24"/>
        </w:rPr>
        <w:t>,</w:t>
      </w:r>
      <w:r w:rsidR="00774947" w:rsidRPr="00E9356E">
        <w:rPr>
          <w:rFonts w:asciiTheme="minorHAnsi" w:hAnsiTheme="minorHAnsi" w:cstheme="minorHAnsi"/>
          <w:i/>
          <w:szCs w:val="24"/>
        </w:rPr>
        <w:t xml:space="preserve"> e</w:t>
      </w:r>
      <w:r w:rsidR="00B85966" w:rsidRPr="00E9356E">
        <w:rPr>
          <w:rFonts w:asciiTheme="minorHAnsi" w:hAnsiTheme="minorHAnsi" w:cstheme="minorHAnsi"/>
          <w:i/>
          <w:szCs w:val="24"/>
        </w:rPr>
        <w:t xml:space="preserve"> quelle</w:t>
      </w:r>
      <w:r w:rsidR="00774947" w:rsidRPr="00E9356E">
        <w:rPr>
          <w:rFonts w:asciiTheme="minorHAnsi" w:hAnsiTheme="minorHAnsi" w:cstheme="minorHAnsi"/>
          <w:i/>
          <w:szCs w:val="24"/>
        </w:rPr>
        <w:t xml:space="preserve"> bellunes</w:t>
      </w:r>
      <w:r w:rsidR="006124E6" w:rsidRPr="00E9356E">
        <w:rPr>
          <w:rFonts w:asciiTheme="minorHAnsi" w:hAnsiTheme="minorHAnsi" w:cstheme="minorHAnsi"/>
          <w:i/>
          <w:szCs w:val="24"/>
        </w:rPr>
        <w:t>i</w:t>
      </w:r>
      <w:r w:rsidR="00774947" w:rsidRPr="00E9356E">
        <w:rPr>
          <w:rFonts w:asciiTheme="minorHAnsi" w:hAnsiTheme="minorHAnsi" w:cstheme="minorHAnsi"/>
          <w:i/>
          <w:szCs w:val="24"/>
        </w:rPr>
        <w:t xml:space="preserve"> </w:t>
      </w:r>
      <w:r w:rsidRPr="00E9356E">
        <w:rPr>
          <w:rFonts w:asciiTheme="minorHAnsi" w:hAnsiTheme="minorHAnsi" w:cstheme="minorHAnsi"/>
          <w:i/>
          <w:szCs w:val="24"/>
        </w:rPr>
        <w:t xml:space="preserve">del </w:t>
      </w:r>
      <w:r w:rsidR="00774947" w:rsidRPr="00E9356E">
        <w:rPr>
          <w:rFonts w:asciiTheme="minorHAnsi" w:hAnsiTheme="minorHAnsi" w:cstheme="minorHAnsi"/>
          <w:i/>
          <w:szCs w:val="24"/>
        </w:rPr>
        <w:t>-4,6%</w:t>
      </w:r>
      <w:r w:rsidR="00697E10">
        <w:rPr>
          <w:rFonts w:asciiTheme="minorHAnsi" w:hAnsiTheme="minorHAnsi" w:cstheme="minorHAnsi"/>
          <w:i/>
          <w:szCs w:val="24"/>
        </w:rPr>
        <w:t>,</w:t>
      </w:r>
      <w:r w:rsidR="00774947" w:rsidRPr="00E9356E">
        <w:rPr>
          <w:rFonts w:asciiTheme="minorHAnsi" w:hAnsiTheme="minorHAnsi" w:cstheme="minorHAnsi"/>
          <w:i/>
          <w:szCs w:val="24"/>
        </w:rPr>
        <w:t xml:space="preserve"> contro il +17,4%</w:t>
      </w:r>
      <w:r w:rsidRPr="00E9356E">
        <w:rPr>
          <w:rFonts w:asciiTheme="minorHAnsi" w:hAnsiTheme="minorHAnsi" w:cstheme="minorHAnsi"/>
          <w:i/>
          <w:szCs w:val="24"/>
        </w:rPr>
        <w:t xml:space="preserve"> dello scorso anno.</w:t>
      </w:r>
    </w:p>
    <w:p w14:paraId="10FADCA7" w14:textId="7A856E75" w:rsidR="00C56355" w:rsidRDefault="00C56355" w:rsidP="00C56355">
      <w:pPr>
        <w:spacing w:before="120" w:after="200" w:line="320" w:lineRule="exact"/>
        <w:rPr>
          <w:rFonts w:asciiTheme="minorHAnsi" w:hAnsiTheme="minorHAnsi" w:cstheme="minorHAnsi"/>
          <w:i/>
          <w:szCs w:val="24"/>
        </w:rPr>
      </w:pPr>
      <w:r w:rsidRPr="00E9356E">
        <w:rPr>
          <w:rFonts w:asciiTheme="minorHAnsi" w:hAnsiTheme="minorHAnsi" w:cstheme="minorHAnsi"/>
          <w:i/>
          <w:szCs w:val="24"/>
        </w:rPr>
        <w:t xml:space="preserve">I macchinari, </w:t>
      </w:r>
      <w:r w:rsidR="00925F66" w:rsidRPr="00E9356E">
        <w:rPr>
          <w:rFonts w:asciiTheme="minorHAnsi" w:hAnsiTheme="minorHAnsi" w:cstheme="minorHAnsi"/>
          <w:i/>
          <w:szCs w:val="24"/>
        </w:rPr>
        <w:t>prima</w:t>
      </w:r>
      <w:r w:rsidRPr="00E9356E">
        <w:rPr>
          <w:rFonts w:asciiTheme="minorHAnsi" w:hAnsiTheme="minorHAnsi" w:cstheme="minorHAnsi"/>
          <w:i/>
          <w:szCs w:val="24"/>
        </w:rPr>
        <w:t xml:space="preserve"> voce </w:t>
      </w:r>
      <w:r w:rsidR="009D3173">
        <w:rPr>
          <w:rFonts w:asciiTheme="minorHAnsi" w:hAnsiTheme="minorHAnsi" w:cstheme="minorHAnsi"/>
          <w:i/>
          <w:szCs w:val="24"/>
        </w:rPr>
        <w:t>anche dell’</w:t>
      </w:r>
      <w:r w:rsidRPr="00E9356E">
        <w:rPr>
          <w:rFonts w:asciiTheme="minorHAnsi" w:hAnsiTheme="minorHAnsi" w:cstheme="minorHAnsi"/>
          <w:i/>
          <w:szCs w:val="24"/>
        </w:rPr>
        <w:t xml:space="preserve">export trevigiana, </w:t>
      </w:r>
      <w:r w:rsidR="00925F66" w:rsidRPr="00E9356E">
        <w:rPr>
          <w:rFonts w:asciiTheme="minorHAnsi" w:hAnsiTheme="minorHAnsi" w:cstheme="minorHAnsi"/>
          <w:i/>
          <w:szCs w:val="24"/>
        </w:rPr>
        <w:t>accusano</w:t>
      </w:r>
      <w:r w:rsidRPr="00E9356E">
        <w:rPr>
          <w:rFonts w:asciiTheme="minorHAnsi" w:hAnsiTheme="minorHAnsi" w:cstheme="minorHAnsi"/>
          <w:i/>
          <w:szCs w:val="24"/>
        </w:rPr>
        <w:t xml:space="preserve"> una </w:t>
      </w:r>
      <w:r w:rsidR="00925F66" w:rsidRPr="00E9356E">
        <w:rPr>
          <w:rFonts w:asciiTheme="minorHAnsi" w:hAnsiTheme="minorHAnsi" w:cstheme="minorHAnsi"/>
          <w:i/>
          <w:szCs w:val="24"/>
        </w:rPr>
        <w:t>flessione</w:t>
      </w:r>
      <w:r w:rsidRPr="00E9356E">
        <w:rPr>
          <w:rFonts w:asciiTheme="minorHAnsi" w:hAnsiTheme="minorHAnsi" w:cstheme="minorHAnsi"/>
          <w:i/>
          <w:szCs w:val="24"/>
        </w:rPr>
        <w:t xml:space="preserve"> </w:t>
      </w:r>
      <w:r w:rsidR="00657EA8">
        <w:rPr>
          <w:rFonts w:asciiTheme="minorHAnsi" w:hAnsiTheme="minorHAnsi" w:cstheme="minorHAnsi"/>
          <w:i/>
          <w:szCs w:val="24"/>
        </w:rPr>
        <w:t xml:space="preserve">tendenziale </w:t>
      </w:r>
      <w:r w:rsidR="00925F66" w:rsidRPr="00E9356E">
        <w:rPr>
          <w:rFonts w:asciiTheme="minorHAnsi" w:hAnsiTheme="minorHAnsi" w:cstheme="minorHAnsi"/>
          <w:i/>
          <w:szCs w:val="24"/>
        </w:rPr>
        <w:t>del</w:t>
      </w:r>
      <w:r w:rsidRPr="00E9356E">
        <w:rPr>
          <w:rFonts w:asciiTheme="minorHAnsi" w:hAnsiTheme="minorHAnsi" w:cstheme="minorHAnsi"/>
          <w:i/>
          <w:szCs w:val="24"/>
        </w:rPr>
        <w:t xml:space="preserve"> -4</w:t>
      </w:r>
      <w:r w:rsidR="00925F66">
        <w:rPr>
          <w:rFonts w:asciiTheme="minorHAnsi" w:hAnsiTheme="minorHAnsi" w:cstheme="minorHAnsi"/>
          <w:i/>
          <w:szCs w:val="24"/>
        </w:rPr>
        <w:t>%,</w:t>
      </w:r>
      <w:r w:rsidR="00657EA8">
        <w:rPr>
          <w:rFonts w:asciiTheme="minorHAnsi" w:hAnsiTheme="minorHAnsi" w:cstheme="minorHAnsi"/>
          <w:i/>
          <w:szCs w:val="24"/>
        </w:rPr>
        <w:t xml:space="preserve"> </w:t>
      </w:r>
      <w:r w:rsidR="00657EA8" w:rsidRPr="00657EA8">
        <w:rPr>
          <w:rFonts w:asciiTheme="minorHAnsi" w:hAnsiTheme="minorHAnsi" w:cstheme="minorHAnsi"/>
          <w:i/>
          <w:szCs w:val="24"/>
        </w:rPr>
        <w:t>che tuttavia va confrontata con una crescita ancora molto sostenuta (+19,8%) registrata lo scorso anno.</w:t>
      </w:r>
      <w:r w:rsidR="00657EA8">
        <w:rPr>
          <w:rFonts w:asciiTheme="minorHAnsi" w:hAnsiTheme="minorHAnsi" w:cstheme="minorHAnsi"/>
          <w:i/>
          <w:szCs w:val="24"/>
        </w:rPr>
        <w:t xml:space="preserve"> </w:t>
      </w:r>
      <w:r w:rsidRPr="00E9356E">
        <w:rPr>
          <w:rFonts w:asciiTheme="minorHAnsi" w:hAnsiTheme="minorHAnsi" w:cstheme="minorHAnsi"/>
          <w:i/>
          <w:szCs w:val="24"/>
        </w:rPr>
        <w:t>Diversa storia per i</w:t>
      </w:r>
      <w:r w:rsidR="00657EA8">
        <w:rPr>
          <w:rFonts w:asciiTheme="minorHAnsi" w:hAnsiTheme="minorHAnsi" w:cstheme="minorHAnsi"/>
          <w:i/>
          <w:szCs w:val="24"/>
        </w:rPr>
        <w:t>l</w:t>
      </w:r>
      <w:r w:rsidRPr="00E9356E">
        <w:rPr>
          <w:rFonts w:asciiTheme="minorHAnsi" w:hAnsiTheme="minorHAnsi" w:cstheme="minorHAnsi"/>
          <w:i/>
          <w:szCs w:val="24"/>
        </w:rPr>
        <w:t xml:space="preserve"> sistema moda che</w:t>
      </w:r>
      <w:r w:rsidR="00AF3A56">
        <w:rPr>
          <w:rFonts w:asciiTheme="minorHAnsi" w:hAnsiTheme="minorHAnsi" w:cstheme="minorHAnsi"/>
          <w:i/>
          <w:szCs w:val="24"/>
        </w:rPr>
        <w:t>,</w:t>
      </w:r>
      <w:r w:rsidRPr="00E9356E">
        <w:rPr>
          <w:rFonts w:asciiTheme="minorHAnsi" w:hAnsiTheme="minorHAnsi" w:cstheme="minorHAnsi"/>
          <w:i/>
          <w:szCs w:val="24"/>
        </w:rPr>
        <w:t xml:space="preserve"> invece,</w:t>
      </w:r>
      <w:r w:rsidR="00AF3A56">
        <w:rPr>
          <w:rFonts w:asciiTheme="minorHAnsi" w:hAnsiTheme="minorHAnsi" w:cstheme="minorHAnsi"/>
          <w:i/>
          <w:szCs w:val="24"/>
        </w:rPr>
        <w:t xml:space="preserve"> conosce una flessione molto più accentuata: è del </w:t>
      </w:r>
      <w:r w:rsidR="00AF3A56" w:rsidRPr="00AF3A56">
        <w:rPr>
          <w:rFonts w:asciiTheme="minorHAnsi" w:hAnsiTheme="minorHAnsi" w:cstheme="minorHAnsi"/>
          <w:i/>
          <w:szCs w:val="24"/>
        </w:rPr>
        <w:t>-16,2% per il tessile-abbigliamento, e del -21,2% per le calzature. Con tali flessioni viene vanificato il recupero del 2023: i due settori vanno a posizionarsi al di sotto dei risultati del primo trimestre 2019 (-6,6% per il tessile</w:t>
      </w:r>
      <w:r w:rsidR="00EC3C2A">
        <w:rPr>
          <w:rFonts w:asciiTheme="minorHAnsi" w:hAnsiTheme="minorHAnsi" w:cstheme="minorHAnsi"/>
          <w:i/>
          <w:szCs w:val="24"/>
        </w:rPr>
        <w:t>-</w:t>
      </w:r>
      <w:r w:rsidR="00AF3A56" w:rsidRPr="00AF3A56">
        <w:rPr>
          <w:rFonts w:asciiTheme="minorHAnsi" w:hAnsiTheme="minorHAnsi" w:cstheme="minorHAnsi"/>
          <w:i/>
          <w:szCs w:val="24"/>
        </w:rPr>
        <w:t>abbigliamento; -10,4% per le calzature).</w:t>
      </w:r>
    </w:p>
    <w:p w14:paraId="6D9D3999" w14:textId="258E63F6" w:rsidR="009D3E22" w:rsidRPr="00E9356E" w:rsidRDefault="00C56355" w:rsidP="00C56355">
      <w:pPr>
        <w:spacing w:before="120" w:after="200" w:line="320" w:lineRule="exact"/>
        <w:rPr>
          <w:rFonts w:asciiTheme="minorHAnsi" w:hAnsiTheme="minorHAnsi" w:cstheme="minorHAnsi"/>
          <w:i/>
          <w:szCs w:val="24"/>
        </w:rPr>
      </w:pPr>
      <w:r w:rsidRPr="00E9356E">
        <w:rPr>
          <w:rFonts w:asciiTheme="minorHAnsi" w:hAnsiTheme="minorHAnsi" w:cstheme="minorHAnsi"/>
          <w:i/>
          <w:szCs w:val="24"/>
        </w:rPr>
        <w:t xml:space="preserve">Per Belluno l’occhialeria </w:t>
      </w:r>
      <w:r w:rsidR="002B3873">
        <w:rPr>
          <w:rFonts w:asciiTheme="minorHAnsi" w:hAnsiTheme="minorHAnsi" w:cstheme="minorHAnsi"/>
          <w:i/>
          <w:szCs w:val="24"/>
        </w:rPr>
        <w:t>tiene</w:t>
      </w:r>
      <w:r w:rsidR="000B7A6F">
        <w:rPr>
          <w:rFonts w:asciiTheme="minorHAnsi" w:hAnsiTheme="minorHAnsi" w:cstheme="minorHAnsi"/>
          <w:i/>
          <w:szCs w:val="24"/>
        </w:rPr>
        <w:t>,</w:t>
      </w:r>
      <w:r w:rsidR="002B3873">
        <w:rPr>
          <w:rFonts w:asciiTheme="minorHAnsi" w:hAnsiTheme="minorHAnsi" w:cstheme="minorHAnsi"/>
          <w:i/>
          <w:szCs w:val="24"/>
        </w:rPr>
        <w:t xml:space="preserve"> con </w:t>
      </w:r>
      <w:r w:rsidR="000B7A6F">
        <w:rPr>
          <w:rFonts w:asciiTheme="minorHAnsi" w:hAnsiTheme="minorHAnsi" w:cstheme="minorHAnsi"/>
          <w:i/>
          <w:szCs w:val="24"/>
        </w:rPr>
        <w:t>l’</w:t>
      </w:r>
      <w:r w:rsidR="002B3873">
        <w:rPr>
          <w:rFonts w:asciiTheme="minorHAnsi" w:hAnsiTheme="minorHAnsi" w:cstheme="minorHAnsi"/>
          <w:i/>
          <w:szCs w:val="24"/>
        </w:rPr>
        <w:t xml:space="preserve">export che si </w:t>
      </w:r>
      <w:r w:rsidR="00E05075">
        <w:rPr>
          <w:rFonts w:asciiTheme="minorHAnsi" w:hAnsiTheme="minorHAnsi" w:cstheme="minorHAnsi"/>
          <w:i/>
          <w:szCs w:val="24"/>
        </w:rPr>
        <w:t xml:space="preserve">colloca </w:t>
      </w:r>
      <w:r w:rsidR="002B3873">
        <w:rPr>
          <w:rFonts w:asciiTheme="minorHAnsi" w:hAnsiTheme="minorHAnsi" w:cstheme="minorHAnsi"/>
          <w:i/>
          <w:szCs w:val="24"/>
        </w:rPr>
        <w:t>poco al di sotto dei valori dello scorso anno (-1,3%)</w:t>
      </w:r>
      <w:r w:rsidRPr="00E9356E">
        <w:rPr>
          <w:rFonts w:asciiTheme="minorHAnsi" w:hAnsiTheme="minorHAnsi" w:cstheme="minorHAnsi"/>
          <w:i/>
          <w:szCs w:val="24"/>
        </w:rPr>
        <w:t>. Va male</w:t>
      </w:r>
      <w:r w:rsidR="000B7A6F">
        <w:rPr>
          <w:rFonts w:asciiTheme="minorHAnsi" w:hAnsiTheme="minorHAnsi" w:cstheme="minorHAnsi"/>
          <w:i/>
          <w:szCs w:val="24"/>
        </w:rPr>
        <w:t xml:space="preserve"> invece</w:t>
      </w:r>
      <w:r w:rsidRPr="00E9356E">
        <w:rPr>
          <w:rFonts w:asciiTheme="minorHAnsi" w:hAnsiTheme="minorHAnsi" w:cstheme="minorHAnsi"/>
          <w:i/>
          <w:szCs w:val="24"/>
        </w:rPr>
        <w:t xml:space="preserve"> la voce dei macchinari sia </w:t>
      </w:r>
      <w:r w:rsidR="002B3873" w:rsidRPr="00E9356E">
        <w:rPr>
          <w:rFonts w:asciiTheme="minorHAnsi" w:hAnsiTheme="minorHAnsi" w:cstheme="minorHAnsi"/>
          <w:i/>
          <w:szCs w:val="24"/>
        </w:rPr>
        <w:t>rispetto</w:t>
      </w:r>
      <w:r w:rsidRPr="00E9356E">
        <w:rPr>
          <w:rFonts w:asciiTheme="minorHAnsi" w:hAnsiTheme="minorHAnsi" w:cstheme="minorHAnsi"/>
          <w:i/>
          <w:szCs w:val="24"/>
        </w:rPr>
        <w:t xml:space="preserve"> allo scorso anno </w:t>
      </w:r>
      <w:r w:rsidR="002B3873">
        <w:rPr>
          <w:rFonts w:asciiTheme="minorHAnsi" w:hAnsiTheme="minorHAnsi" w:cstheme="minorHAnsi"/>
          <w:i/>
          <w:szCs w:val="24"/>
        </w:rPr>
        <w:t xml:space="preserve">(-29,1%) </w:t>
      </w:r>
      <w:r w:rsidRPr="00E9356E">
        <w:rPr>
          <w:rFonts w:asciiTheme="minorHAnsi" w:hAnsiTheme="minorHAnsi" w:cstheme="minorHAnsi"/>
          <w:i/>
          <w:szCs w:val="24"/>
        </w:rPr>
        <w:t>che rispetto al 2019</w:t>
      </w:r>
      <w:r w:rsidR="002B3873">
        <w:rPr>
          <w:rFonts w:asciiTheme="minorHAnsi" w:hAnsiTheme="minorHAnsi" w:cstheme="minorHAnsi"/>
          <w:i/>
          <w:szCs w:val="24"/>
        </w:rPr>
        <w:t xml:space="preserve"> (-7,3%</w:t>
      </w:r>
      <w:r w:rsidR="00774947" w:rsidRPr="00E9356E">
        <w:rPr>
          <w:rFonts w:asciiTheme="minorHAnsi" w:hAnsiTheme="minorHAnsi" w:cstheme="minorHAnsi"/>
          <w:i/>
          <w:szCs w:val="24"/>
        </w:rPr>
        <w:t>).</w:t>
      </w:r>
    </w:p>
    <w:p w14:paraId="3115C263" w14:textId="5FC21BE4" w:rsidR="007B5222" w:rsidRPr="00E9356E" w:rsidRDefault="007B5222" w:rsidP="00166A92">
      <w:pPr>
        <w:spacing w:before="120" w:after="200" w:line="320" w:lineRule="exact"/>
        <w:rPr>
          <w:rFonts w:asciiTheme="minorHAnsi" w:hAnsiTheme="minorHAnsi" w:cstheme="minorHAnsi"/>
          <w:i/>
          <w:szCs w:val="24"/>
        </w:rPr>
      </w:pPr>
      <w:r w:rsidRPr="00E9356E">
        <w:rPr>
          <w:rFonts w:asciiTheme="minorHAnsi" w:hAnsiTheme="minorHAnsi" w:cstheme="minorHAnsi"/>
          <w:i/>
          <w:szCs w:val="24"/>
        </w:rPr>
        <w:t>Ci si muove nell’incertezza</w:t>
      </w:r>
      <w:r w:rsidR="001B51D0">
        <w:rPr>
          <w:rFonts w:asciiTheme="minorHAnsi" w:hAnsiTheme="minorHAnsi" w:cstheme="minorHAnsi"/>
          <w:i/>
          <w:szCs w:val="24"/>
        </w:rPr>
        <w:t xml:space="preserve"> </w:t>
      </w:r>
      <w:r w:rsidR="001B51D0" w:rsidRPr="001B51D0">
        <w:rPr>
          <w:rFonts w:asciiTheme="minorHAnsi" w:hAnsiTheme="minorHAnsi" w:cstheme="minorHAnsi"/>
          <w:iCs/>
          <w:szCs w:val="24"/>
        </w:rPr>
        <w:t>– conclude Pozza -</w:t>
      </w:r>
      <w:r w:rsidR="00E05075">
        <w:rPr>
          <w:rFonts w:asciiTheme="minorHAnsi" w:hAnsiTheme="minorHAnsi" w:cstheme="minorHAnsi"/>
          <w:iCs/>
          <w:szCs w:val="24"/>
        </w:rPr>
        <w:t xml:space="preserve">. È </w:t>
      </w:r>
      <w:r w:rsidRPr="00E9356E">
        <w:rPr>
          <w:rFonts w:asciiTheme="minorHAnsi" w:hAnsiTheme="minorHAnsi" w:cstheme="minorHAnsi"/>
          <w:i/>
          <w:szCs w:val="24"/>
        </w:rPr>
        <w:t xml:space="preserve">importante che le imprese si attrezzino </w:t>
      </w:r>
      <w:r w:rsidR="000B7A6F">
        <w:rPr>
          <w:rFonts w:asciiTheme="minorHAnsi" w:hAnsiTheme="minorHAnsi" w:cstheme="minorHAnsi"/>
          <w:i/>
          <w:szCs w:val="24"/>
        </w:rPr>
        <w:t>per</w:t>
      </w:r>
      <w:r w:rsidRPr="00E9356E">
        <w:rPr>
          <w:rFonts w:asciiTheme="minorHAnsi" w:hAnsiTheme="minorHAnsi" w:cstheme="minorHAnsi"/>
          <w:i/>
          <w:szCs w:val="24"/>
        </w:rPr>
        <w:t xml:space="preserve"> navigare in questa incertezza, adottando i più moderni strumenti di gestione strategica, tattica e predittiva. In tale direzione va il nuovo bando camerale che </w:t>
      </w:r>
      <w:r w:rsidR="001B51D0" w:rsidRPr="00E9356E">
        <w:rPr>
          <w:rFonts w:asciiTheme="minorHAnsi" w:hAnsiTheme="minorHAnsi" w:cstheme="minorHAnsi"/>
          <w:i/>
          <w:szCs w:val="24"/>
        </w:rPr>
        <w:t>mette</w:t>
      </w:r>
      <w:r w:rsidR="001B51D0">
        <w:rPr>
          <w:rFonts w:asciiTheme="minorHAnsi" w:hAnsiTheme="minorHAnsi" w:cstheme="minorHAnsi"/>
          <w:i/>
          <w:szCs w:val="24"/>
        </w:rPr>
        <w:t xml:space="preserve"> a</w:t>
      </w:r>
      <w:r w:rsidRPr="00E9356E">
        <w:rPr>
          <w:rFonts w:asciiTheme="minorHAnsi" w:hAnsiTheme="minorHAnsi" w:cstheme="minorHAnsi"/>
          <w:i/>
          <w:szCs w:val="24"/>
        </w:rPr>
        <w:t xml:space="preserve"> </w:t>
      </w:r>
      <w:r w:rsidR="001B51D0" w:rsidRPr="00E9356E">
        <w:rPr>
          <w:rFonts w:asciiTheme="minorHAnsi" w:hAnsiTheme="minorHAnsi" w:cstheme="minorHAnsi"/>
          <w:i/>
          <w:szCs w:val="24"/>
        </w:rPr>
        <w:t>disposizione</w:t>
      </w:r>
      <w:r w:rsidRPr="00E9356E">
        <w:rPr>
          <w:rFonts w:asciiTheme="minorHAnsi" w:hAnsiTheme="minorHAnsi" w:cstheme="minorHAnsi"/>
          <w:i/>
          <w:szCs w:val="24"/>
        </w:rPr>
        <w:t xml:space="preserve"> delle imprese 1 milione di euro </w:t>
      </w:r>
      <w:r w:rsidR="001B51D0" w:rsidRPr="00E9356E">
        <w:rPr>
          <w:rFonts w:asciiTheme="minorHAnsi" w:hAnsiTheme="minorHAnsi" w:cstheme="minorHAnsi"/>
          <w:i/>
          <w:szCs w:val="24"/>
        </w:rPr>
        <w:t>proprio</w:t>
      </w:r>
      <w:r w:rsidRPr="00E9356E">
        <w:rPr>
          <w:rFonts w:asciiTheme="minorHAnsi" w:hAnsiTheme="minorHAnsi" w:cstheme="minorHAnsi"/>
          <w:i/>
          <w:szCs w:val="24"/>
        </w:rPr>
        <w:t xml:space="preserve"> per sostenere le </w:t>
      </w:r>
      <w:r w:rsidR="001B51D0" w:rsidRPr="00E9356E">
        <w:rPr>
          <w:rFonts w:asciiTheme="minorHAnsi" w:hAnsiTheme="minorHAnsi" w:cstheme="minorHAnsi"/>
          <w:i/>
          <w:szCs w:val="24"/>
        </w:rPr>
        <w:t>imprese</w:t>
      </w:r>
      <w:r w:rsidR="000B7A6F">
        <w:rPr>
          <w:rFonts w:asciiTheme="minorHAnsi" w:hAnsiTheme="minorHAnsi" w:cstheme="minorHAnsi"/>
          <w:i/>
          <w:szCs w:val="24"/>
        </w:rPr>
        <w:t xml:space="preserve"> provinciali</w:t>
      </w:r>
      <w:r w:rsidRPr="00E9356E">
        <w:rPr>
          <w:rFonts w:asciiTheme="minorHAnsi" w:hAnsiTheme="minorHAnsi" w:cstheme="minorHAnsi"/>
          <w:i/>
          <w:szCs w:val="24"/>
        </w:rPr>
        <w:t xml:space="preserve"> nella doppia transizione digitale e green.</w:t>
      </w:r>
    </w:p>
    <w:p w14:paraId="41FEEF08" w14:textId="77777777" w:rsidR="000559D3" w:rsidRPr="00E36E47" w:rsidRDefault="000559D3" w:rsidP="00D96000">
      <w:pPr>
        <w:spacing w:line="320" w:lineRule="exact"/>
        <w:rPr>
          <w:rFonts w:asciiTheme="minorHAnsi" w:hAnsiTheme="minorHAnsi" w:cstheme="minorHAnsi"/>
          <w:b/>
          <w:color w:val="1D1B11"/>
          <w:szCs w:val="24"/>
          <w:highlight w:val="yellow"/>
        </w:rPr>
      </w:pPr>
    </w:p>
    <w:p w14:paraId="08511C15" w14:textId="62141ECD" w:rsidR="00E36E47" w:rsidRPr="00E36E47" w:rsidRDefault="00E36E47" w:rsidP="00146D9A">
      <w:pPr>
        <w:spacing w:before="240" w:after="200" w:line="320" w:lineRule="exact"/>
        <w:rPr>
          <w:rFonts w:ascii="Calibri" w:hAnsi="Calibri" w:cs="Calibri"/>
          <w:b/>
          <w:bCs/>
          <w:szCs w:val="24"/>
        </w:rPr>
      </w:pPr>
      <w:r w:rsidRPr="00E36E47">
        <w:rPr>
          <w:rFonts w:ascii="Calibri" w:hAnsi="Calibri" w:cs="Calibri"/>
          <w:b/>
          <w:bCs/>
          <w:szCs w:val="24"/>
        </w:rPr>
        <w:t>Il quadro nazionale</w:t>
      </w:r>
    </w:p>
    <w:p w14:paraId="1F710A56" w14:textId="712F3281" w:rsidR="009B532A" w:rsidRDefault="00953EAC" w:rsidP="00E36E47">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L</w:t>
      </w:r>
      <w:r w:rsidR="00E36E47">
        <w:rPr>
          <w:rFonts w:asciiTheme="minorHAnsi" w:eastAsiaTheme="minorHAnsi" w:hAnsiTheme="minorHAnsi" w:cstheme="minorBidi"/>
          <w:bCs/>
          <w:szCs w:val="24"/>
          <w:lang w:eastAsia="en-US"/>
        </w:rPr>
        <w:t>’Istat ha diffuso i dati dell’interscambio commerciale nazionale, regionale e provinciale dei primi tre mesi dell’anno 2024.</w:t>
      </w:r>
      <w:r w:rsidR="00B369C3">
        <w:rPr>
          <w:rFonts w:asciiTheme="minorHAnsi" w:eastAsiaTheme="minorHAnsi" w:hAnsiTheme="minorHAnsi" w:cstheme="minorBidi"/>
          <w:bCs/>
          <w:szCs w:val="24"/>
          <w:lang w:eastAsia="en-US"/>
        </w:rPr>
        <w:t xml:space="preserve"> </w:t>
      </w:r>
    </w:p>
    <w:p w14:paraId="4686FF5F" w14:textId="005FCE26" w:rsidR="005E1231" w:rsidRPr="00616FE9" w:rsidRDefault="00BF1245" w:rsidP="00E36E47">
      <w:pPr>
        <w:spacing w:before="120" w:after="200" w:line="320" w:lineRule="exact"/>
        <w:rPr>
          <w:rFonts w:asciiTheme="minorHAnsi" w:eastAsiaTheme="minorHAnsi" w:hAnsiTheme="minorHAnsi" w:cstheme="minorBidi"/>
          <w:bCs/>
          <w:szCs w:val="24"/>
          <w:lang w:eastAsia="en-US"/>
        </w:rPr>
      </w:pPr>
      <w:r w:rsidRPr="00616FE9">
        <w:rPr>
          <w:rFonts w:asciiTheme="minorHAnsi" w:eastAsiaTheme="minorHAnsi" w:hAnsiTheme="minorHAnsi" w:cstheme="minorBidi"/>
          <w:bCs/>
          <w:szCs w:val="24"/>
          <w:lang w:eastAsia="en-US"/>
        </w:rPr>
        <w:t xml:space="preserve">La debolezza della domanda internazionale, evidenziata da diversi trimestri </w:t>
      </w:r>
      <w:r w:rsidR="006035A0" w:rsidRPr="00616FE9">
        <w:rPr>
          <w:rFonts w:asciiTheme="minorHAnsi" w:eastAsiaTheme="minorHAnsi" w:hAnsiTheme="minorHAnsi" w:cstheme="minorBidi"/>
          <w:bCs/>
          <w:szCs w:val="24"/>
          <w:lang w:eastAsia="en-US"/>
        </w:rPr>
        <w:t xml:space="preserve">anche </w:t>
      </w:r>
      <w:r w:rsidRPr="00616FE9">
        <w:rPr>
          <w:rFonts w:asciiTheme="minorHAnsi" w:eastAsiaTheme="minorHAnsi" w:hAnsiTheme="minorHAnsi" w:cstheme="minorBidi"/>
          <w:bCs/>
          <w:szCs w:val="24"/>
          <w:lang w:eastAsia="en-US"/>
        </w:rPr>
        <w:t>dalle varie survey sul manifatturiero</w:t>
      </w:r>
      <w:r w:rsidR="006035A0" w:rsidRPr="00616FE9">
        <w:rPr>
          <w:rFonts w:asciiTheme="minorHAnsi" w:eastAsiaTheme="minorHAnsi" w:hAnsiTheme="minorHAnsi" w:cstheme="minorBidi"/>
          <w:bCs/>
          <w:szCs w:val="24"/>
          <w:lang w:eastAsia="en-US"/>
        </w:rPr>
        <w:t>,</w:t>
      </w:r>
      <w:r w:rsidRPr="00616FE9">
        <w:rPr>
          <w:rFonts w:asciiTheme="minorHAnsi" w:eastAsiaTheme="minorHAnsi" w:hAnsiTheme="minorHAnsi" w:cstheme="minorBidi"/>
          <w:bCs/>
          <w:szCs w:val="24"/>
          <w:lang w:eastAsia="en-US"/>
        </w:rPr>
        <w:t xml:space="preserve"> condiziona inevitabilmente </w:t>
      </w:r>
      <w:r w:rsidRPr="00616FE9">
        <w:rPr>
          <w:rFonts w:asciiTheme="minorHAnsi" w:eastAsiaTheme="minorHAnsi" w:hAnsiTheme="minorHAnsi" w:cstheme="minorBidi"/>
          <w:b/>
          <w:szCs w:val="24"/>
          <w:lang w:eastAsia="en-US"/>
        </w:rPr>
        <w:t xml:space="preserve">l’export italiano </w:t>
      </w:r>
      <w:r w:rsidRPr="00616FE9">
        <w:rPr>
          <w:rFonts w:asciiTheme="minorHAnsi" w:eastAsiaTheme="minorHAnsi" w:hAnsiTheme="minorHAnsi" w:cstheme="minorBidi"/>
          <w:bCs/>
          <w:szCs w:val="24"/>
          <w:lang w:eastAsia="en-US"/>
        </w:rPr>
        <w:t>che riporta una flessione del -2,8%</w:t>
      </w:r>
      <w:r w:rsidR="00616FE9">
        <w:rPr>
          <w:rFonts w:asciiTheme="minorHAnsi" w:eastAsiaTheme="minorHAnsi" w:hAnsiTheme="minorHAnsi" w:cstheme="minorBidi"/>
          <w:bCs/>
          <w:szCs w:val="24"/>
          <w:lang w:eastAsia="en-US"/>
        </w:rPr>
        <w:t xml:space="preserve"> in valori</w:t>
      </w:r>
      <w:r w:rsidRPr="00616FE9">
        <w:rPr>
          <w:rFonts w:asciiTheme="minorHAnsi" w:eastAsiaTheme="minorHAnsi" w:hAnsiTheme="minorHAnsi" w:cstheme="minorBidi"/>
          <w:bCs/>
          <w:szCs w:val="24"/>
          <w:lang w:eastAsia="en-US"/>
        </w:rPr>
        <w:t xml:space="preserve"> rispetto allo stesso periodo del 2023</w:t>
      </w:r>
      <w:r w:rsidR="006035A0" w:rsidRPr="00616FE9">
        <w:rPr>
          <w:rFonts w:asciiTheme="minorHAnsi" w:eastAsiaTheme="minorHAnsi" w:hAnsiTheme="minorHAnsi" w:cstheme="minorBidi"/>
          <w:bCs/>
          <w:szCs w:val="24"/>
          <w:lang w:eastAsia="en-US"/>
        </w:rPr>
        <w:t xml:space="preserve">. È ormai dal secondo trimestre dello scorso anno che </w:t>
      </w:r>
      <w:r w:rsidR="00616FE9">
        <w:rPr>
          <w:rFonts w:asciiTheme="minorHAnsi" w:eastAsiaTheme="minorHAnsi" w:hAnsiTheme="minorHAnsi" w:cstheme="minorBidi"/>
          <w:bCs/>
          <w:szCs w:val="24"/>
          <w:lang w:eastAsia="en-US"/>
        </w:rPr>
        <w:t>l’export</w:t>
      </w:r>
      <w:r w:rsidR="006035A0" w:rsidRPr="00616FE9">
        <w:rPr>
          <w:rFonts w:asciiTheme="minorHAnsi" w:eastAsiaTheme="minorHAnsi" w:hAnsiTheme="minorHAnsi" w:cstheme="minorBidi"/>
          <w:bCs/>
          <w:szCs w:val="24"/>
          <w:lang w:eastAsia="en-US"/>
        </w:rPr>
        <w:t xml:space="preserve"> registra una variazione tendenziale </w:t>
      </w:r>
      <w:r w:rsidR="00EC3C2A">
        <w:rPr>
          <w:rFonts w:asciiTheme="minorHAnsi" w:eastAsiaTheme="minorHAnsi" w:hAnsiTheme="minorHAnsi" w:cstheme="minorBidi"/>
          <w:bCs/>
          <w:szCs w:val="24"/>
          <w:lang w:eastAsia="en-US"/>
        </w:rPr>
        <w:t xml:space="preserve">trimestrale </w:t>
      </w:r>
      <w:r w:rsidR="006035A0" w:rsidRPr="00616FE9">
        <w:rPr>
          <w:rFonts w:asciiTheme="minorHAnsi" w:eastAsiaTheme="minorHAnsi" w:hAnsiTheme="minorHAnsi" w:cstheme="minorBidi"/>
          <w:bCs/>
          <w:szCs w:val="24"/>
          <w:lang w:eastAsia="en-US"/>
        </w:rPr>
        <w:t>con segno negativo. L’ultimo aumento risale al primo trimestre 2023 quando cresceva del +9,7%</w:t>
      </w:r>
      <w:r w:rsidR="00616FE9" w:rsidRPr="00616FE9">
        <w:rPr>
          <w:rFonts w:asciiTheme="minorHAnsi" w:eastAsiaTheme="minorHAnsi" w:hAnsiTheme="minorHAnsi" w:cstheme="minorBidi"/>
          <w:bCs/>
          <w:szCs w:val="24"/>
          <w:lang w:eastAsia="en-US"/>
        </w:rPr>
        <w:t>. Nel cambio di segno e nella diversa intensità delle variazioni entra in gioco anche il passaggio da una fase inflazionistica ad una fase opposta, di calo dei prezzi.</w:t>
      </w:r>
      <w:r w:rsidR="006035A0" w:rsidRPr="00616FE9">
        <w:rPr>
          <w:rFonts w:asciiTheme="minorHAnsi" w:eastAsiaTheme="minorHAnsi" w:hAnsiTheme="minorHAnsi" w:cstheme="minorBidi"/>
          <w:bCs/>
          <w:szCs w:val="24"/>
          <w:lang w:eastAsia="en-US"/>
        </w:rPr>
        <w:t xml:space="preserve">   </w:t>
      </w:r>
    </w:p>
    <w:p w14:paraId="395A63B9" w14:textId="39E64675" w:rsidR="00B369C3" w:rsidRDefault="004835E1" w:rsidP="00E36E47">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 xml:space="preserve">Il quadro nazionale fa </w:t>
      </w:r>
      <w:r w:rsidR="00B369C3">
        <w:rPr>
          <w:rFonts w:asciiTheme="minorHAnsi" w:eastAsiaTheme="minorHAnsi" w:hAnsiTheme="minorHAnsi" w:cstheme="minorBidi"/>
          <w:bCs/>
          <w:szCs w:val="24"/>
          <w:lang w:eastAsia="en-US"/>
        </w:rPr>
        <w:t xml:space="preserve">media di dinamiche territoriali piuttosto eterogenee, amplificate dal breve periodo oggetto di osservazione: c’è una performance molto negativa del Centro </w:t>
      </w:r>
      <w:r w:rsidR="00B369C3">
        <w:rPr>
          <w:rFonts w:asciiTheme="minorHAnsi" w:eastAsiaTheme="minorHAnsi" w:hAnsiTheme="minorHAnsi" w:cstheme="minorBidi"/>
          <w:bCs/>
          <w:szCs w:val="24"/>
          <w:lang w:eastAsia="en-US"/>
        </w:rPr>
        <w:lastRenderedPageBreak/>
        <w:t xml:space="preserve">Italia, </w:t>
      </w:r>
      <w:r w:rsidR="00470046">
        <w:rPr>
          <w:rFonts w:asciiTheme="minorHAnsi" w:eastAsiaTheme="minorHAnsi" w:hAnsiTheme="minorHAnsi" w:cstheme="minorBidi"/>
          <w:bCs/>
          <w:szCs w:val="24"/>
          <w:lang w:eastAsia="en-US"/>
        </w:rPr>
        <w:t xml:space="preserve">in particolare delle Marche (-55,5%), </w:t>
      </w:r>
      <w:r w:rsidR="00B369C3">
        <w:rPr>
          <w:rFonts w:asciiTheme="minorHAnsi" w:eastAsiaTheme="minorHAnsi" w:hAnsiTheme="minorHAnsi" w:cstheme="minorBidi"/>
          <w:bCs/>
          <w:szCs w:val="24"/>
          <w:lang w:eastAsia="en-US"/>
        </w:rPr>
        <w:t>condizionata</w:t>
      </w:r>
      <w:r w:rsidR="00470046">
        <w:rPr>
          <w:rFonts w:asciiTheme="minorHAnsi" w:eastAsiaTheme="minorHAnsi" w:hAnsiTheme="minorHAnsi" w:cstheme="minorBidi"/>
          <w:bCs/>
          <w:szCs w:val="24"/>
          <w:lang w:eastAsia="en-US"/>
        </w:rPr>
        <w:t xml:space="preserve"> dalla contrazione dell’export di prodotti farmaceutici verso la Cina (-9</w:t>
      </w:r>
      <w:r w:rsidR="00EC3C2A">
        <w:rPr>
          <w:rFonts w:asciiTheme="minorHAnsi" w:eastAsiaTheme="minorHAnsi" w:hAnsiTheme="minorHAnsi" w:cstheme="minorBidi"/>
          <w:bCs/>
          <w:szCs w:val="24"/>
          <w:lang w:eastAsia="en-US"/>
        </w:rPr>
        <w:t>0</w:t>
      </w:r>
      <w:r w:rsidR="00470046">
        <w:rPr>
          <w:rFonts w:asciiTheme="minorHAnsi" w:eastAsiaTheme="minorHAnsi" w:hAnsiTheme="minorHAnsi" w:cstheme="minorBidi"/>
          <w:bCs/>
          <w:szCs w:val="24"/>
          <w:lang w:eastAsia="en-US"/>
        </w:rPr>
        <w:t>,</w:t>
      </w:r>
      <w:r w:rsidR="00EC3C2A">
        <w:rPr>
          <w:rFonts w:asciiTheme="minorHAnsi" w:eastAsiaTheme="minorHAnsi" w:hAnsiTheme="minorHAnsi" w:cstheme="minorBidi"/>
          <w:bCs/>
          <w:szCs w:val="24"/>
          <w:lang w:eastAsia="en-US"/>
        </w:rPr>
        <w:t>2</w:t>
      </w:r>
      <w:r w:rsidR="00470046">
        <w:rPr>
          <w:rFonts w:asciiTheme="minorHAnsi" w:eastAsiaTheme="minorHAnsi" w:hAnsiTheme="minorHAnsi" w:cstheme="minorBidi"/>
          <w:bCs/>
          <w:szCs w:val="24"/>
          <w:lang w:eastAsia="en-US"/>
        </w:rPr>
        <w:t xml:space="preserve">%), ed effetto del confronto con il primo trimestre 2023, quando si registrarono vendite eccezionali di questi prodotti verso tale paese. Questo calo, come commenta l’Istat, contribuisce per 2,8 punti percentuali alla flessione dell’export nazionale. All’opposto, il Friuli-Venezia Giulia ha una </w:t>
      </w:r>
      <w:r w:rsidR="00470046" w:rsidRPr="00712363">
        <w:rPr>
          <w:rFonts w:asciiTheme="minorHAnsi" w:eastAsiaTheme="minorHAnsi" w:hAnsiTheme="minorHAnsi" w:cstheme="minorBidi"/>
          <w:bCs/>
          <w:i/>
          <w:iCs/>
          <w:szCs w:val="24"/>
          <w:lang w:eastAsia="en-US"/>
        </w:rPr>
        <w:t>performance</w:t>
      </w:r>
      <w:r w:rsidR="00470046">
        <w:rPr>
          <w:rFonts w:asciiTheme="minorHAnsi" w:eastAsiaTheme="minorHAnsi" w:hAnsiTheme="minorHAnsi" w:cstheme="minorBidi"/>
          <w:bCs/>
          <w:szCs w:val="24"/>
          <w:lang w:eastAsia="en-US"/>
        </w:rPr>
        <w:t xml:space="preserve"> positiva (+9</w:t>
      </w:r>
      <w:r w:rsidR="00EC3C2A">
        <w:rPr>
          <w:rFonts w:asciiTheme="minorHAnsi" w:eastAsiaTheme="minorHAnsi" w:hAnsiTheme="minorHAnsi" w:cstheme="minorBidi"/>
          <w:bCs/>
          <w:szCs w:val="24"/>
          <w:lang w:eastAsia="en-US"/>
        </w:rPr>
        <w:t>,1</w:t>
      </w:r>
      <w:r w:rsidR="00470046">
        <w:rPr>
          <w:rFonts w:asciiTheme="minorHAnsi" w:eastAsiaTheme="minorHAnsi" w:hAnsiTheme="minorHAnsi" w:cstheme="minorBidi"/>
          <w:bCs/>
          <w:szCs w:val="24"/>
          <w:lang w:eastAsia="en-US"/>
        </w:rPr>
        <w:t xml:space="preserve">%) grazie alla nautica, </w:t>
      </w:r>
      <w:r w:rsidR="00A41354">
        <w:rPr>
          <w:rFonts w:asciiTheme="minorHAnsi" w:eastAsiaTheme="minorHAnsi" w:hAnsiTheme="minorHAnsi" w:cstheme="minorBidi"/>
          <w:bCs/>
          <w:szCs w:val="24"/>
          <w:lang w:eastAsia="en-US"/>
        </w:rPr>
        <w:t>l’export</w:t>
      </w:r>
      <w:r w:rsidR="00470046">
        <w:rPr>
          <w:rFonts w:asciiTheme="minorHAnsi" w:eastAsiaTheme="minorHAnsi" w:hAnsiTheme="minorHAnsi" w:cstheme="minorBidi"/>
          <w:bCs/>
          <w:szCs w:val="24"/>
          <w:lang w:eastAsia="en-US"/>
        </w:rPr>
        <w:t xml:space="preserve"> dell’Abruzzo è sostenuto </w:t>
      </w:r>
      <w:proofErr w:type="spellStart"/>
      <w:r w:rsidR="00470046">
        <w:rPr>
          <w:rFonts w:asciiTheme="minorHAnsi" w:eastAsiaTheme="minorHAnsi" w:hAnsiTheme="minorHAnsi" w:cstheme="minorBidi"/>
          <w:bCs/>
          <w:szCs w:val="24"/>
          <w:lang w:eastAsia="en-US"/>
        </w:rPr>
        <w:t>dall’</w:t>
      </w:r>
      <w:r w:rsidR="00470046" w:rsidRPr="009B532A">
        <w:rPr>
          <w:rFonts w:asciiTheme="minorHAnsi" w:eastAsiaTheme="minorHAnsi" w:hAnsiTheme="minorHAnsi" w:cstheme="minorBidi"/>
          <w:bCs/>
          <w:i/>
          <w:iCs/>
          <w:szCs w:val="24"/>
          <w:lang w:eastAsia="en-US"/>
        </w:rPr>
        <w:t>automotive</w:t>
      </w:r>
      <w:proofErr w:type="spellEnd"/>
      <w:r w:rsidR="00470046">
        <w:rPr>
          <w:rFonts w:asciiTheme="minorHAnsi" w:eastAsiaTheme="minorHAnsi" w:hAnsiTheme="minorHAnsi" w:cstheme="minorBidi"/>
          <w:bCs/>
          <w:szCs w:val="24"/>
          <w:lang w:eastAsia="en-US"/>
        </w:rPr>
        <w:t xml:space="preserve">, </w:t>
      </w:r>
      <w:r w:rsidR="00A41354">
        <w:rPr>
          <w:rFonts w:asciiTheme="minorHAnsi" w:eastAsiaTheme="minorHAnsi" w:hAnsiTheme="minorHAnsi" w:cstheme="minorBidi"/>
          <w:bCs/>
          <w:szCs w:val="24"/>
          <w:lang w:eastAsia="en-US"/>
        </w:rPr>
        <w:t xml:space="preserve">quello della </w:t>
      </w:r>
      <w:r w:rsidR="00470046">
        <w:rPr>
          <w:rFonts w:asciiTheme="minorHAnsi" w:eastAsiaTheme="minorHAnsi" w:hAnsiTheme="minorHAnsi" w:cstheme="minorBidi"/>
          <w:bCs/>
          <w:szCs w:val="24"/>
          <w:lang w:eastAsia="en-US"/>
        </w:rPr>
        <w:t>Calabria (+26,9%) è sostenuto dai prodotti</w:t>
      </w:r>
      <w:r w:rsidR="00A41354">
        <w:rPr>
          <w:rFonts w:asciiTheme="minorHAnsi" w:eastAsiaTheme="minorHAnsi" w:hAnsiTheme="minorHAnsi" w:cstheme="minorBidi"/>
          <w:bCs/>
          <w:szCs w:val="24"/>
          <w:lang w:eastAsia="en-US"/>
        </w:rPr>
        <w:t xml:space="preserve"> alimentari e chimici.</w:t>
      </w:r>
    </w:p>
    <w:p w14:paraId="32AA10CE" w14:textId="77777777" w:rsidR="000916B8" w:rsidRDefault="00470046" w:rsidP="00E36E47">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Al di fuori di queste</w:t>
      </w:r>
      <w:r w:rsidR="00A41354">
        <w:rPr>
          <w:rFonts w:asciiTheme="minorHAnsi" w:eastAsiaTheme="minorHAnsi" w:hAnsiTheme="minorHAnsi" w:cstheme="minorBidi"/>
          <w:bCs/>
          <w:szCs w:val="24"/>
          <w:lang w:eastAsia="en-US"/>
        </w:rPr>
        <w:t xml:space="preserve"> e poche altre</w:t>
      </w:r>
      <w:r>
        <w:rPr>
          <w:rFonts w:asciiTheme="minorHAnsi" w:eastAsiaTheme="minorHAnsi" w:hAnsiTheme="minorHAnsi" w:cstheme="minorBidi"/>
          <w:bCs/>
          <w:szCs w:val="24"/>
          <w:lang w:eastAsia="en-US"/>
        </w:rPr>
        <w:t xml:space="preserve"> situazioni singolari, </w:t>
      </w:r>
      <w:r w:rsidR="00A41354">
        <w:rPr>
          <w:rFonts w:asciiTheme="minorHAnsi" w:eastAsiaTheme="minorHAnsi" w:hAnsiTheme="minorHAnsi" w:cstheme="minorBidi"/>
          <w:bCs/>
          <w:szCs w:val="24"/>
          <w:lang w:eastAsia="en-US"/>
        </w:rPr>
        <w:t xml:space="preserve">il dato più rilevante riguarda </w:t>
      </w:r>
      <w:r w:rsidR="00B54C52">
        <w:rPr>
          <w:rFonts w:asciiTheme="minorHAnsi" w:eastAsiaTheme="minorHAnsi" w:hAnsiTheme="minorHAnsi" w:cstheme="minorBidi"/>
          <w:bCs/>
          <w:szCs w:val="24"/>
          <w:lang w:eastAsia="en-US"/>
        </w:rPr>
        <w:t>le tre regioni (Lombardia, Emilia-Romagna e Veneto) che realizzano oltre la metà dell’export nazionale</w:t>
      </w:r>
      <w:r w:rsidR="001A5D67">
        <w:rPr>
          <w:rFonts w:asciiTheme="minorHAnsi" w:eastAsiaTheme="minorHAnsi" w:hAnsiTheme="minorHAnsi" w:cstheme="minorBidi"/>
          <w:bCs/>
          <w:szCs w:val="24"/>
          <w:lang w:eastAsia="en-US"/>
        </w:rPr>
        <w:t xml:space="preserve"> e che, per il trimestre in esame, sono </w:t>
      </w:r>
      <w:r w:rsidR="00A41354">
        <w:rPr>
          <w:rFonts w:asciiTheme="minorHAnsi" w:eastAsiaTheme="minorHAnsi" w:hAnsiTheme="minorHAnsi" w:cstheme="minorBidi"/>
          <w:bCs/>
          <w:szCs w:val="24"/>
          <w:lang w:eastAsia="en-US"/>
        </w:rPr>
        <w:t xml:space="preserve">purtroppo </w:t>
      </w:r>
      <w:r w:rsidR="001A5D67">
        <w:rPr>
          <w:rFonts w:asciiTheme="minorHAnsi" w:eastAsiaTheme="minorHAnsi" w:hAnsiTheme="minorHAnsi" w:cstheme="minorBidi"/>
          <w:bCs/>
          <w:szCs w:val="24"/>
          <w:lang w:eastAsia="en-US"/>
        </w:rPr>
        <w:t>accomunate da</w:t>
      </w:r>
      <w:r w:rsidR="00A41354">
        <w:rPr>
          <w:rFonts w:asciiTheme="minorHAnsi" w:eastAsiaTheme="minorHAnsi" w:hAnsiTheme="minorHAnsi" w:cstheme="minorBidi"/>
          <w:bCs/>
          <w:szCs w:val="24"/>
          <w:lang w:eastAsia="en-US"/>
        </w:rPr>
        <w:t xml:space="preserve"> una flessione delle vendite all’estero rispetto allo stesso periodo dell’anno precedente: nell’ordine, Emilia-Romagna (-3,0%), Lombardia (-3,4%), Veneto (-5,1%). Peraltro, l’ulteriore dato trasversale alle tre regioni è il calo delle </w:t>
      </w:r>
      <w:r w:rsidR="001A5D67">
        <w:rPr>
          <w:rFonts w:asciiTheme="minorHAnsi" w:eastAsiaTheme="minorHAnsi" w:hAnsiTheme="minorHAnsi" w:cstheme="minorBidi"/>
          <w:bCs/>
          <w:szCs w:val="24"/>
          <w:lang w:eastAsia="en-US"/>
        </w:rPr>
        <w:t>vendite di macchinari industriali</w:t>
      </w:r>
      <w:r w:rsidR="000916B8">
        <w:rPr>
          <w:rFonts w:asciiTheme="minorHAnsi" w:eastAsiaTheme="minorHAnsi" w:hAnsiTheme="minorHAnsi" w:cstheme="minorBidi"/>
          <w:bCs/>
          <w:szCs w:val="24"/>
          <w:lang w:eastAsia="en-US"/>
        </w:rPr>
        <w:t>.</w:t>
      </w:r>
    </w:p>
    <w:p w14:paraId="5978DCBC" w14:textId="5DE3C90A" w:rsidR="000C2F30" w:rsidRDefault="000916B8" w:rsidP="00E36E47">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La frenata della domanda internazionale si percepisce chiara anche dal lato delle importazioni: n</w:t>
      </w:r>
      <w:r w:rsidR="000C2F30">
        <w:rPr>
          <w:rFonts w:asciiTheme="minorHAnsi" w:eastAsiaTheme="minorHAnsi" w:hAnsiTheme="minorHAnsi" w:cstheme="minorBidi"/>
          <w:bCs/>
          <w:szCs w:val="24"/>
          <w:lang w:eastAsia="en-US"/>
        </w:rPr>
        <w:t>e</w:t>
      </w:r>
      <w:r w:rsidR="00A7083D">
        <w:rPr>
          <w:rFonts w:asciiTheme="minorHAnsi" w:eastAsiaTheme="minorHAnsi" w:hAnsiTheme="minorHAnsi" w:cstheme="minorBidi"/>
          <w:bCs/>
          <w:szCs w:val="24"/>
          <w:lang w:eastAsia="en-US"/>
        </w:rPr>
        <w:t>l periodo gennaio-marzo</w:t>
      </w:r>
      <w:r w:rsidR="000C2F30">
        <w:rPr>
          <w:rFonts w:asciiTheme="minorHAnsi" w:eastAsiaTheme="minorHAnsi" w:hAnsiTheme="minorHAnsi" w:cstheme="minorBidi"/>
          <w:bCs/>
          <w:szCs w:val="24"/>
          <w:lang w:eastAsia="en-US"/>
        </w:rPr>
        <w:t xml:space="preserve"> 2024 le </w:t>
      </w:r>
      <w:r w:rsidR="000C2F30" w:rsidRPr="00A64417">
        <w:rPr>
          <w:rFonts w:asciiTheme="minorHAnsi" w:eastAsiaTheme="minorHAnsi" w:hAnsiTheme="minorHAnsi" w:cstheme="minorBidi"/>
          <w:b/>
          <w:szCs w:val="24"/>
          <w:lang w:eastAsia="en-US"/>
        </w:rPr>
        <w:t>importazioni</w:t>
      </w:r>
      <w:r w:rsidR="000C2F30">
        <w:rPr>
          <w:rFonts w:asciiTheme="minorHAnsi" w:eastAsiaTheme="minorHAnsi" w:hAnsiTheme="minorHAnsi" w:cstheme="minorBidi"/>
          <w:bCs/>
          <w:szCs w:val="24"/>
          <w:lang w:eastAsia="en-US"/>
        </w:rPr>
        <w:t xml:space="preserve"> nazionali </w:t>
      </w:r>
      <w:r>
        <w:rPr>
          <w:rFonts w:asciiTheme="minorHAnsi" w:eastAsiaTheme="minorHAnsi" w:hAnsiTheme="minorHAnsi" w:cstheme="minorBidi"/>
          <w:bCs/>
          <w:szCs w:val="24"/>
          <w:lang w:eastAsia="en-US"/>
        </w:rPr>
        <w:t xml:space="preserve">risultano in </w:t>
      </w:r>
      <w:r w:rsidR="000C2F30">
        <w:rPr>
          <w:rFonts w:asciiTheme="minorHAnsi" w:eastAsiaTheme="minorHAnsi" w:hAnsiTheme="minorHAnsi" w:cstheme="minorBidi"/>
          <w:bCs/>
          <w:szCs w:val="24"/>
          <w:lang w:eastAsia="en-US"/>
        </w:rPr>
        <w:t xml:space="preserve">calo del -10,1% </w:t>
      </w:r>
      <w:r>
        <w:rPr>
          <w:rFonts w:asciiTheme="minorHAnsi" w:eastAsiaTheme="minorHAnsi" w:hAnsiTheme="minorHAnsi" w:cstheme="minorBidi"/>
          <w:bCs/>
          <w:szCs w:val="24"/>
          <w:lang w:eastAsia="en-US"/>
        </w:rPr>
        <w:t>su base tendenziale annua, quando nel primo trimestre 2023 crescevano del</w:t>
      </w:r>
      <w:r w:rsidR="0017587D">
        <w:rPr>
          <w:rFonts w:asciiTheme="minorHAnsi" w:eastAsiaTheme="minorHAnsi" w:hAnsiTheme="minorHAnsi" w:cstheme="minorBidi"/>
          <w:bCs/>
          <w:szCs w:val="24"/>
          <w:lang w:eastAsia="en-US"/>
        </w:rPr>
        <w:t xml:space="preserve"> +2,2%.</w:t>
      </w:r>
    </w:p>
    <w:p w14:paraId="2B4146DC" w14:textId="77777777" w:rsidR="00712363" w:rsidRDefault="00712363" w:rsidP="008F4D26">
      <w:pPr>
        <w:keepNext/>
        <w:jc w:val="center"/>
        <w:rPr>
          <w:rFonts w:ascii="Calibri" w:hAnsi="Calibri" w:cs="Calibri"/>
          <w:b/>
          <w:szCs w:val="24"/>
        </w:rPr>
      </w:pPr>
    </w:p>
    <w:p w14:paraId="3B341969" w14:textId="492F1DC5" w:rsidR="000C2F30" w:rsidRPr="00E36E47" w:rsidRDefault="000C2F30" w:rsidP="000C2F30">
      <w:pPr>
        <w:spacing w:before="240" w:after="200" w:line="320" w:lineRule="exact"/>
        <w:rPr>
          <w:rFonts w:ascii="Calibri" w:hAnsi="Calibri" w:cs="Calibri"/>
          <w:b/>
          <w:bCs/>
          <w:szCs w:val="24"/>
        </w:rPr>
      </w:pPr>
      <w:r w:rsidRPr="00E36E47">
        <w:rPr>
          <w:rFonts w:ascii="Calibri" w:hAnsi="Calibri" w:cs="Calibri"/>
          <w:b/>
          <w:bCs/>
          <w:szCs w:val="24"/>
        </w:rPr>
        <w:t xml:space="preserve">Il quadro </w:t>
      </w:r>
      <w:r>
        <w:rPr>
          <w:rFonts w:ascii="Calibri" w:hAnsi="Calibri" w:cs="Calibri"/>
          <w:b/>
          <w:bCs/>
          <w:szCs w:val="24"/>
        </w:rPr>
        <w:t>regionale</w:t>
      </w:r>
    </w:p>
    <w:p w14:paraId="3AD35E1E" w14:textId="77777777" w:rsidR="00E96C33" w:rsidRDefault="000916B8"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Come appena detto, ne</w:t>
      </w:r>
      <w:r w:rsidR="00DD6513">
        <w:rPr>
          <w:rFonts w:asciiTheme="minorHAnsi" w:eastAsiaTheme="minorHAnsi" w:hAnsiTheme="minorHAnsi" w:cstheme="minorBidi"/>
          <w:bCs/>
          <w:szCs w:val="24"/>
          <w:lang w:eastAsia="en-US"/>
        </w:rPr>
        <w:t>l primo trimestre 2024 l</w:t>
      </w:r>
      <w:r w:rsidR="00501C67">
        <w:rPr>
          <w:rFonts w:asciiTheme="minorHAnsi" w:eastAsiaTheme="minorHAnsi" w:hAnsiTheme="minorHAnsi" w:cstheme="minorBidi"/>
          <w:bCs/>
          <w:szCs w:val="24"/>
          <w:lang w:eastAsia="en-US"/>
        </w:rPr>
        <w:t>’</w:t>
      </w:r>
      <w:r w:rsidR="00501C67" w:rsidRPr="00BA7B1E">
        <w:rPr>
          <w:rFonts w:asciiTheme="minorHAnsi" w:eastAsiaTheme="minorHAnsi" w:hAnsiTheme="minorHAnsi" w:cstheme="minorBidi"/>
          <w:b/>
          <w:szCs w:val="24"/>
          <w:lang w:eastAsia="en-US"/>
        </w:rPr>
        <w:t>export</w:t>
      </w:r>
      <w:r w:rsidR="00501C67">
        <w:rPr>
          <w:rFonts w:asciiTheme="minorHAnsi" w:eastAsiaTheme="minorHAnsi" w:hAnsiTheme="minorHAnsi" w:cstheme="minorBidi"/>
          <w:bCs/>
          <w:szCs w:val="24"/>
          <w:lang w:eastAsia="en-US"/>
        </w:rPr>
        <w:t xml:space="preserve"> Veneto </w:t>
      </w:r>
      <w:bookmarkStart w:id="0" w:name="_Hlk169528594"/>
      <w:r w:rsidR="006555E4">
        <w:rPr>
          <w:rFonts w:asciiTheme="minorHAnsi" w:eastAsiaTheme="minorHAnsi" w:hAnsiTheme="minorHAnsi" w:cstheme="minorBidi"/>
          <w:bCs/>
          <w:szCs w:val="24"/>
          <w:lang w:eastAsia="en-US"/>
        </w:rPr>
        <w:t>registra una variazione negativa del -5,1%</w:t>
      </w:r>
      <w:r>
        <w:rPr>
          <w:rFonts w:asciiTheme="minorHAnsi" w:eastAsiaTheme="minorHAnsi" w:hAnsiTheme="minorHAnsi" w:cstheme="minorBidi"/>
          <w:bCs/>
          <w:szCs w:val="24"/>
          <w:lang w:eastAsia="en-US"/>
        </w:rPr>
        <w:t xml:space="preserve"> in valori, </w:t>
      </w:r>
      <w:r w:rsidR="00974B42">
        <w:rPr>
          <w:rFonts w:asciiTheme="minorHAnsi" w:eastAsiaTheme="minorHAnsi" w:hAnsiTheme="minorHAnsi" w:cstheme="minorBidi"/>
          <w:bCs/>
          <w:szCs w:val="24"/>
          <w:lang w:eastAsia="en-US"/>
        </w:rPr>
        <w:t>che però diventa del -1,4% in quantità</w:t>
      </w:r>
      <w:r>
        <w:rPr>
          <w:rFonts w:asciiTheme="minorHAnsi" w:eastAsiaTheme="minorHAnsi" w:hAnsiTheme="minorHAnsi" w:cstheme="minorBidi"/>
          <w:bCs/>
          <w:szCs w:val="24"/>
          <w:lang w:eastAsia="en-US"/>
        </w:rPr>
        <w:t xml:space="preserve">. </w:t>
      </w:r>
      <w:r w:rsidR="00974B42">
        <w:rPr>
          <w:rFonts w:asciiTheme="minorHAnsi" w:eastAsiaTheme="minorHAnsi" w:hAnsiTheme="minorHAnsi" w:cstheme="minorBidi"/>
          <w:bCs/>
          <w:szCs w:val="24"/>
          <w:lang w:eastAsia="en-US"/>
        </w:rPr>
        <w:t xml:space="preserve">Si consideri che un anno fa, nel primo trimestre 2023, la variazione su base annua delle quantità </w:t>
      </w:r>
      <w:r w:rsidR="007611BA">
        <w:rPr>
          <w:rFonts w:asciiTheme="minorHAnsi" w:eastAsiaTheme="minorHAnsi" w:hAnsiTheme="minorHAnsi" w:cstheme="minorBidi"/>
          <w:bCs/>
          <w:szCs w:val="24"/>
          <w:lang w:eastAsia="en-US"/>
        </w:rPr>
        <w:t xml:space="preserve">esportate </w:t>
      </w:r>
      <w:r w:rsidR="00974B42">
        <w:rPr>
          <w:rFonts w:asciiTheme="minorHAnsi" w:eastAsiaTheme="minorHAnsi" w:hAnsiTheme="minorHAnsi" w:cstheme="minorBidi"/>
          <w:bCs/>
          <w:szCs w:val="24"/>
          <w:lang w:eastAsia="en-US"/>
        </w:rPr>
        <w:t xml:space="preserve">era del -6,7% </w:t>
      </w:r>
      <w:r w:rsidR="007611BA">
        <w:rPr>
          <w:rFonts w:asciiTheme="minorHAnsi" w:eastAsiaTheme="minorHAnsi" w:hAnsiTheme="minorHAnsi" w:cstheme="minorBidi"/>
          <w:bCs/>
          <w:szCs w:val="24"/>
          <w:lang w:eastAsia="en-US"/>
        </w:rPr>
        <w:t xml:space="preserve">(gli ordini esteri erano già fortemente in calo in quel periodo) </w:t>
      </w:r>
      <w:r w:rsidR="00974B42">
        <w:rPr>
          <w:rFonts w:asciiTheme="minorHAnsi" w:eastAsiaTheme="minorHAnsi" w:hAnsiTheme="minorHAnsi" w:cstheme="minorBidi"/>
          <w:bCs/>
          <w:szCs w:val="24"/>
          <w:lang w:eastAsia="en-US"/>
        </w:rPr>
        <w:t xml:space="preserve">a fronte </w:t>
      </w:r>
      <w:r w:rsidR="00E96C33">
        <w:rPr>
          <w:rFonts w:asciiTheme="minorHAnsi" w:eastAsiaTheme="minorHAnsi" w:hAnsiTheme="minorHAnsi" w:cstheme="minorBidi"/>
          <w:bCs/>
          <w:szCs w:val="24"/>
          <w:lang w:eastAsia="en-US"/>
        </w:rPr>
        <w:t xml:space="preserve">però </w:t>
      </w:r>
      <w:r w:rsidR="00974B42">
        <w:rPr>
          <w:rFonts w:asciiTheme="minorHAnsi" w:eastAsiaTheme="minorHAnsi" w:hAnsiTheme="minorHAnsi" w:cstheme="minorBidi"/>
          <w:bCs/>
          <w:szCs w:val="24"/>
          <w:lang w:eastAsia="en-US"/>
        </w:rPr>
        <w:t xml:space="preserve">di una crescita in valori </w:t>
      </w:r>
      <w:r w:rsidR="007611BA">
        <w:rPr>
          <w:rFonts w:asciiTheme="minorHAnsi" w:eastAsiaTheme="minorHAnsi" w:hAnsiTheme="minorHAnsi" w:cstheme="minorBidi"/>
          <w:bCs/>
          <w:szCs w:val="24"/>
          <w:lang w:eastAsia="en-US"/>
        </w:rPr>
        <w:t xml:space="preserve">che si manteneva al </w:t>
      </w:r>
      <w:r w:rsidR="00974B42">
        <w:rPr>
          <w:rFonts w:asciiTheme="minorHAnsi" w:eastAsiaTheme="minorHAnsi" w:hAnsiTheme="minorHAnsi" w:cstheme="minorBidi"/>
          <w:bCs/>
          <w:szCs w:val="24"/>
          <w:lang w:eastAsia="en-US"/>
        </w:rPr>
        <w:t>+8,5%</w:t>
      </w:r>
      <w:r w:rsidR="007611BA">
        <w:rPr>
          <w:rFonts w:asciiTheme="minorHAnsi" w:eastAsiaTheme="minorHAnsi" w:hAnsiTheme="minorHAnsi" w:cstheme="minorBidi"/>
          <w:bCs/>
          <w:szCs w:val="24"/>
          <w:lang w:eastAsia="en-US"/>
        </w:rPr>
        <w:t xml:space="preserve">. </w:t>
      </w:r>
    </w:p>
    <w:p w14:paraId="7351F246" w14:textId="0FD00394" w:rsidR="00264B08" w:rsidRDefault="007611BA"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Questi dati fanno ben capire come l</w:t>
      </w:r>
      <w:r w:rsidR="00E96C33">
        <w:rPr>
          <w:rFonts w:asciiTheme="minorHAnsi" w:eastAsiaTheme="minorHAnsi" w:hAnsiTheme="minorHAnsi" w:cstheme="minorBidi"/>
          <w:bCs/>
          <w:szCs w:val="24"/>
          <w:lang w:eastAsia="en-US"/>
        </w:rPr>
        <w:t>’attuale</w:t>
      </w:r>
      <w:r>
        <w:rPr>
          <w:rFonts w:asciiTheme="minorHAnsi" w:eastAsiaTheme="minorHAnsi" w:hAnsiTheme="minorHAnsi" w:cstheme="minorBidi"/>
          <w:bCs/>
          <w:szCs w:val="24"/>
          <w:lang w:eastAsia="en-US"/>
        </w:rPr>
        <w:t xml:space="preserve"> dinamica dell’export risulti ancora condizionata </w:t>
      </w:r>
      <w:r w:rsidR="00E96C33">
        <w:rPr>
          <w:rFonts w:asciiTheme="minorHAnsi" w:eastAsiaTheme="minorHAnsi" w:hAnsiTheme="minorHAnsi" w:cstheme="minorBidi"/>
          <w:bCs/>
          <w:szCs w:val="24"/>
          <w:lang w:eastAsia="en-US"/>
        </w:rPr>
        <w:t>dalla concatenazione di shock recenti</w:t>
      </w:r>
      <w:r>
        <w:rPr>
          <w:rFonts w:asciiTheme="minorHAnsi" w:eastAsiaTheme="minorHAnsi" w:hAnsiTheme="minorHAnsi" w:cstheme="minorBidi"/>
          <w:bCs/>
          <w:szCs w:val="24"/>
          <w:lang w:eastAsia="en-US"/>
        </w:rPr>
        <w:t>:  debolezza della domanda internazionale</w:t>
      </w:r>
      <w:r w:rsidR="00E96C33">
        <w:rPr>
          <w:rFonts w:asciiTheme="minorHAnsi" w:eastAsiaTheme="minorHAnsi" w:hAnsiTheme="minorHAnsi" w:cstheme="minorBidi"/>
          <w:bCs/>
          <w:szCs w:val="24"/>
          <w:lang w:eastAsia="en-US"/>
        </w:rPr>
        <w:t xml:space="preserve"> che segue una situazione di effervescenza post pandemia</w:t>
      </w:r>
      <w:r>
        <w:rPr>
          <w:rFonts w:asciiTheme="minorHAnsi" w:eastAsiaTheme="minorHAnsi" w:hAnsiTheme="minorHAnsi" w:cstheme="minorBidi"/>
          <w:bCs/>
          <w:szCs w:val="24"/>
          <w:lang w:eastAsia="en-US"/>
        </w:rPr>
        <w:t xml:space="preserve">, listini </w:t>
      </w:r>
      <w:r w:rsidR="00E96C33">
        <w:rPr>
          <w:rFonts w:asciiTheme="minorHAnsi" w:eastAsiaTheme="minorHAnsi" w:hAnsiTheme="minorHAnsi" w:cstheme="minorBidi"/>
          <w:bCs/>
          <w:szCs w:val="24"/>
          <w:lang w:eastAsia="en-US"/>
        </w:rPr>
        <w:t xml:space="preserve">dei </w:t>
      </w:r>
      <w:r>
        <w:rPr>
          <w:rFonts w:asciiTheme="minorHAnsi" w:eastAsiaTheme="minorHAnsi" w:hAnsiTheme="minorHAnsi" w:cstheme="minorBidi"/>
          <w:bCs/>
          <w:szCs w:val="24"/>
          <w:lang w:eastAsia="en-US"/>
        </w:rPr>
        <w:t>prezzi</w:t>
      </w:r>
      <w:r w:rsidR="00E96C33">
        <w:rPr>
          <w:rFonts w:asciiTheme="minorHAnsi" w:eastAsiaTheme="minorHAnsi" w:hAnsiTheme="minorHAnsi" w:cstheme="minorBidi"/>
          <w:bCs/>
          <w:szCs w:val="24"/>
          <w:lang w:eastAsia="en-US"/>
        </w:rPr>
        <w:t xml:space="preserve"> sulle montagne russe </w:t>
      </w:r>
      <w:r>
        <w:rPr>
          <w:rFonts w:asciiTheme="minorHAnsi" w:eastAsiaTheme="minorHAnsi" w:hAnsiTheme="minorHAnsi" w:cstheme="minorBidi"/>
          <w:bCs/>
          <w:szCs w:val="24"/>
          <w:lang w:eastAsia="en-US"/>
        </w:rPr>
        <w:t xml:space="preserve"> (</w:t>
      </w:r>
      <w:r w:rsidR="00E96C33">
        <w:rPr>
          <w:rFonts w:asciiTheme="minorHAnsi" w:eastAsiaTheme="minorHAnsi" w:hAnsiTheme="minorHAnsi" w:cstheme="minorBidi"/>
          <w:bCs/>
          <w:szCs w:val="24"/>
          <w:lang w:eastAsia="en-US"/>
        </w:rPr>
        <w:t xml:space="preserve">ieri al rialzo per trasferire a valle i maggiori costi degli input, </w:t>
      </w:r>
      <w:r>
        <w:rPr>
          <w:rFonts w:asciiTheme="minorHAnsi" w:eastAsiaTheme="minorHAnsi" w:hAnsiTheme="minorHAnsi" w:cstheme="minorBidi"/>
          <w:bCs/>
          <w:szCs w:val="24"/>
          <w:lang w:eastAsia="en-US"/>
        </w:rPr>
        <w:t>oggi in fase di normalizzazione</w:t>
      </w:r>
      <w:r w:rsidR="00E96C33">
        <w:rPr>
          <w:rFonts w:asciiTheme="minorHAnsi" w:eastAsiaTheme="minorHAnsi" w:hAnsiTheme="minorHAnsi" w:cstheme="minorBidi"/>
          <w:bCs/>
          <w:szCs w:val="24"/>
          <w:lang w:eastAsia="en-US"/>
        </w:rPr>
        <w:t>), minore potere d’acquisto dei consumatori per effetto dell’inflazione</w:t>
      </w:r>
      <w:r w:rsidR="00D522B7">
        <w:rPr>
          <w:rFonts w:asciiTheme="minorHAnsi" w:eastAsiaTheme="minorHAnsi" w:hAnsiTheme="minorHAnsi" w:cstheme="minorBidi"/>
          <w:bCs/>
          <w:szCs w:val="24"/>
          <w:lang w:eastAsia="en-US"/>
        </w:rPr>
        <w:t xml:space="preserve"> stessa</w:t>
      </w:r>
      <w:r w:rsidR="00E96C33">
        <w:rPr>
          <w:rFonts w:asciiTheme="minorHAnsi" w:eastAsiaTheme="minorHAnsi" w:hAnsiTheme="minorHAnsi" w:cstheme="minorBidi"/>
          <w:bCs/>
          <w:szCs w:val="24"/>
          <w:lang w:eastAsia="en-US"/>
        </w:rPr>
        <w:t xml:space="preserve"> e, non ultimo, termini di confronto essi stessi anomali</w:t>
      </w:r>
      <w:r w:rsidR="00264B08">
        <w:rPr>
          <w:rFonts w:asciiTheme="minorHAnsi" w:eastAsiaTheme="minorHAnsi" w:hAnsiTheme="minorHAnsi" w:cstheme="minorBidi"/>
          <w:bCs/>
          <w:szCs w:val="24"/>
          <w:lang w:eastAsia="en-US"/>
        </w:rPr>
        <w:t xml:space="preserve"> sul piano statistico. Tant’è che se, di brutto, confrontiamo l’attuale valore export del Veneto (19,9 miliardi di euro) con quello del primo trimestre 2019 (“anno di grazia” lontano dai vari shock), notiamo un incremento del +25,8% (certo, in valori correnti).</w:t>
      </w:r>
    </w:p>
    <w:p w14:paraId="183F7CE3" w14:textId="62DF62B3" w:rsidR="004438AA" w:rsidRDefault="00616FE9" w:rsidP="004438AA">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Q</w:t>
      </w:r>
      <w:r w:rsidR="00264B08" w:rsidRPr="00676FA3">
        <w:rPr>
          <w:rFonts w:asciiTheme="minorHAnsi" w:eastAsiaTheme="minorHAnsi" w:hAnsiTheme="minorHAnsi" w:cstheme="minorBidi"/>
          <w:bCs/>
          <w:szCs w:val="24"/>
          <w:lang w:eastAsia="en-US"/>
        </w:rPr>
        <w:t xml:space="preserve">ueste tare non vanno lette in termini consolatori. Alcuni </w:t>
      </w:r>
      <w:r w:rsidR="00264B08" w:rsidRPr="003951C7">
        <w:rPr>
          <w:rFonts w:asciiTheme="minorHAnsi" w:eastAsiaTheme="minorHAnsi" w:hAnsiTheme="minorHAnsi" w:cstheme="minorBidi"/>
          <w:b/>
          <w:szCs w:val="24"/>
          <w:lang w:eastAsia="en-US"/>
        </w:rPr>
        <w:t>settori</w:t>
      </w:r>
      <w:r w:rsidR="00264B08" w:rsidRPr="00676FA3">
        <w:rPr>
          <w:rFonts w:asciiTheme="minorHAnsi" w:eastAsiaTheme="minorHAnsi" w:hAnsiTheme="minorHAnsi" w:cstheme="minorBidi"/>
          <w:bCs/>
          <w:szCs w:val="24"/>
          <w:lang w:eastAsia="en-US"/>
        </w:rPr>
        <w:t xml:space="preserve"> presentano andamenti negativi sia in termini di valori che in termini di quantità.</w:t>
      </w:r>
      <w:r>
        <w:rPr>
          <w:rFonts w:asciiTheme="minorHAnsi" w:eastAsiaTheme="minorHAnsi" w:hAnsiTheme="minorHAnsi" w:cstheme="minorBidi"/>
          <w:bCs/>
          <w:szCs w:val="24"/>
          <w:lang w:eastAsia="en-US"/>
        </w:rPr>
        <w:t xml:space="preserve"> </w:t>
      </w:r>
      <w:r w:rsidR="00915E6C">
        <w:rPr>
          <w:rFonts w:asciiTheme="minorHAnsi" w:eastAsiaTheme="minorHAnsi" w:hAnsiTheme="minorHAnsi" w:cstheme="minorBidi"/>
          <w:bCs/>
          <w:szCs w:val="24"/>
          <w:lang w:eastAsia="en-US"/>
        </w:rPr>
        <w:t>È il caso dei macchinari, prima voce export per il Veneto che</w:t>
      </w:r>
      <w:r w:rsidR="00E33AB0">
        <w:rPr>
          <w:rFonts w:asciiTheme="minorHAnsi" w:eastAsiaTheme="minorHAnsi" w:hAnsiTheme="minorHAnsi" w:cstheme="minorBidi"/>
          <w:bCs/>
          <w:szCs w:val="24"/>
          <w:lang w:eastAsia="en-US"/>
        </w:rPr>
        <w:t>, rispetto al primo trimestre 2023,</w:t>
      </w:r>
      <w:r w:rsidR="00915E6C">
        <w:rPr>
          <w:rFonts w:asciiTheme="minorHAnsi" w:eastAsiaTheme="minorHAnsi" w:hAnsiTheme="minorHAnsi" w:cstheme="minorBidi"/>
          <w:bCs/>
          <w:szCs w:val="24"/>
          <w:lang w:eastAsia="en-US"/>
        </w:rPr>
        <w:t xml:space="preserve"> scende </w:t>
      </w:r>
      <w:r w:rsidR="00DE6124">
        <w:rPr>
          <w:rFonts w:asciiTheme="minorHAnsi" w:eastAsiaTheme="minorHAnsi" w:hAnsiTheme="minorHAnsi" w:cstheme="minorBidi"/>
          <w:bCs/>
          <w:szCs w:val="24"/>
          <w:lang w:eastAsia="en-US"/>
        </w:rPr>
        <w:t xml:space="preserve">con la stessa intensità sia </w:t>
      </w:r>
      <w:r w:rsidR="00915E6C">
        <w:rPr>
          <w:rFonts w:asciiTheme="minorHAnsi" w:eastAsiaTheme="minorHAnsi" w:hAnsiTheme="minorHAnsi" w:cstheme="minorBidi"/>
          <w:bCs/>
          <w:szCs w:val="24"/>
          <w:lang w:eastAsia="en-US"/>
        </w:rPr>
        <w:t>in valori (-5,3%)</w:t>
      </w:r>
      <w:r w:rsidR="00DE6124">
        <w:rPr>
          <w:rFonts w:asciiTheme="minorHAnsi" w:eastAsiaTheme="minorHAnsi" w:hAnsiTheme="minorHAnsi" w:cstheme="minorBidi"/>
          <w:bCs/>
          <w:szCs w:val="24"/>
          <w:lang w:eastAsia="en-US"/>
        </w:rPr>
        <w:t xml:space="preserve"> che</w:t>
      </w:r>
      <w:r w:rsidR="00915E6C">
        <w:rPr>
          <w:rFonts w:asciiTheme="minorHAnsi" w:eastAsiaTheme="minorHAnsi" w:hAnsiTheme="minorHAnsi" w:cstheme="minorBidi"/>
          <w:bCs/>
          <w:szCs w:val="24"/>
          <w:lang w:eastAsia="en-US"/>
        </w:rPr>
        <w:t xml:space="preserve"> in quantità (-7,6%)</w:t>
      </w:r>
      <w:r w:rsidR="00E33AB0">
        <w:rPr>
          <w:rFonts w:asciiTheme="minorHAnsi" w:eastAsiaTheme="minorHAnsi" w:hAnsiTheme="minorHAnsi" w:cstheme="minorBidi"/>
          <w:bCs/>
          <w:szCs w:val="24"/>
          <w:lang w:eastAsia="en-US"/>
        </w:rPr>
        <w:t xml:space="preserve">. Lo scorso anno l’aumento </w:t>
      </w:r>
      <w:r w:rsidR="00DE6124">
        <w:rPr>
          <w:rFonts w:asciiTheme="minorHAnsi" w:eastAsiaTheme="minorHAnsi" w:hAnsiTheme="minorHAnsi" w:cstheme="minorBidi"/>
          <w:bCs/>
          <w:szCs w:val="24"/>
          <w:lang w:eastAsia="en-US"/>
        </w:rPr>
        <w:t xml:space="preserve">su base annua </w:t>
      </w:r>
      <w:r w:rsidR="00CE24D3">
        <w:rPr>
          <w:rFonts w:asciiTheme="minorHAnsi" w:eastAsiaTheme="minorHAnsi" w:hAnsiTheme="minorHAnsi" w:cstheme="minorBidi"/>
          <w:bCs/>
          <w:szCs w:val="24"/>
          <w:lang w:eastAsia="en-US"/>
        </w:rPr>
        <w:t>era</w:t>
      </w:r>
      <w:r w:rsidR="00E33AB0">
        <w:rPr>
          <w:rFonts w:asciiTheme="minorHAnsi" w:eastAsiaTheme="minorHAnsi" w:hAnsiTheme="minorHAnsi" w:cstheme="minorBidi"/>
          <w:bCs/>
          <w:szCs w:val="24"/>
          <w:lang w:eastAsia="en-US"/>
        </w:rPr>
        <w:t xml:space="preserve"> stato</w:t>
      </w:r>
      <w:r w:rsidR="00CE24D3">
        <w:rPr>
          <w:rFonts w:asciiTheme="minorHAnsi" w:eastAsiaTheme="minorHAnsi" w:hAnsiTheme="minorHAnsi" w:cstheme="minorBidi"/>
          <w:bCs/>
          <w:szCs w:val="24"/>
          <w:lang w:eastAsia="en-US"/>
        </w:rPr>
        <w:t xml:space="preserve"> del +18,8% </w:t>
      </w:r>
      <w:r w:rsidR="00E33AB0">
        <w:rPr>
          <w:rFonts w:asciiTheme="minorHAnsi" w:eastAsiaTheme="minorHAnsi" w:hAnsiTheme="minorHAnsi" w:cstheme="minorBidi"/>
          <w:bCs/>
          <w:szCs w:val="24"/>
          <w:lang w:eastAsia="en-US"/>
        </w:rPr>
        <w:t xml:space="preserve">in valori </w:t>
      </w:r>
      <w:r w:rsidR="00CE24D3">
        <w:rPr>
          <w:rFonts w:asciiTheme="minorHAnsi" w:eastAsiaTheme="minorHAnsi" w:hAnsiTheme="minorHAnsi" w:cstheme="minorBidi"/>
          <w:bCs/>
          <w:szCs w:val="24"/>
          <w:lang w:eastAsia="en-US"/>
        </w:rPr>
        <w:t>a fronte di una stabilità delle vendite in quantità.</w:t>
      </w:r>
      <w:r w:rsidR="004438AA">
        <w:rPr>
          <w:rFonts w:asciiTheme="minorHAnsi" w:eastAsiaTheme="minorHAnsi" w:hAnsiTheme="minorHAnsi" w:cstheme="minorBidi"/>
          <w:bCs/>
          <w:szCs w:val="24"/>
          <w:lang w:eastAsia="en-US"/>
        </w:rPr>
        <w:t xml:space="preserve"> </w:t>
      </w:r>
    </w:p>
    <w:bookmarkEnd w:id="0"/>
    <w:p w14:paraId="193EF630" w14:textId="2AD16425" w:rsidR="004A4720" w:rsidRDefault="00DE6124"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lastRenderedPageBreak/>
        <w:t xml:space="preserve">Stesso segno ma intensità differente si osserva anche per la dinamica dei </w:t>
      </w:r>
      <w:r w:rsidR="001E152C">
        <w:rPr>
          <w:rFonts w:asciiTheme="minorHAnsi" w:eastAsiaTheme="minorHAnsi" w:hAnsiTheme="minorHAnsi" w:cstheme="minorBidi"/>
          <w:bCs/>
          <w:szCs w:val="24"/>
          <w:lang w:eastAsia="en-US"/>
        </w:rPr>
        <w:t>mezzi di trasporto e componentistica</w:t>
      </w:r>
      <w:r w:rsidR="00676FA3">
        <w:rPr>
          <w:rFonts w:asciiTheme="minorHAnsi" w:eastAsiaTheme="minorHAnsi" w:hAnsiTheme="minorHAnsi" w:cstheme="minorBidi"/>
          <w:bCs/>
          <w:szCs w:val="24"/>
          <w:lang w:eastAsia="en-US"/>
        </w:rPr>
        <w:t xml:space="preserve">, comparto che a livello regionale comprende </w:t>
      </w:r>
      <w:r w:rsidR="00D24407">
        <w:rPr>
          <w:rFonts w:asciiTheme="minorHAnsi" w:eastAsiaTheme="minorHAnsi" w:hAnsiTheme="minorHAnsi" w:cstheme="minorBidi"/>
          <w:bCs/>
          <w:szCs w:val="24"/>
          <w:lang w:eastAsia="en-US"/>
        </w:rPr>
        <w:t>soprattutto</w:t>
      </w:r>
      <w:r w:rsidR="00676FA3">
        <w:rPr>
          <w:rFonts w:asciiTheme="minorHAnsi" w:eastAsiaTheme="minorHAnsi" w:hAnsiTheme="minorHAnsi" w:cstheme="minorBidi"/>
          <w:bCs/>
          <w:szCs w:val="24"/>
          <w:lang w:eastAsia="en-US"/>
        </w:rPr>
        <w:t xml:space="preserve"> la filiera </w:t>
      </w:r>
      <w:proofErr w:type="spellStart"/>
      <w:r w:rsidR="00676FA3">
        <w:rPr>
          <w:rFonts w:asciiTheme="minorHAnsi" w:eastAsiaTheme="minorHAnsi" w:hAnsiTheme="minorHAnsi" w:cstheme="minorBidi"/>
          <w:bCs/>
          <w:szCs w:val="24"/>
          <w:lang w:eastAsia="en-US"/>
        </w:rPr>
        <w:t>dell’</w:t>
      </w:r>
      <w:r w:rsidR="00676FA3" w:rsidRPr="00676FA3">
        <w:rPr>
          <w:rFonts w:asciiTheme="minorHAnsi" w:eastAsiaTheme="minorHAnsi" w:hAnsiTheme="minorHAnsi" w:cstheme="minorBidi"/>
          <w:bCs/>
          <w:i/>
          <w:iCs/>
          <w:szCs w:val="24"/>
          <w:lang w:eastAsia="en-US"/>
        </w:rPr>
        <w:t>automotive</w:t>
      </w:r>
      <w:proofErr w:type="spellEnd"/>
      <w:r w:rsidR="00676FA3">
        <w:rPr>
          <w:rFonts w:asciiTheme="minorHAnsi" w:eastAsiaTheme="minorHAnsi" w:hAnsiTheme="minorHAnsi" w:cstheme="minorBidi"/>
          <w:bCs/>
          <w:szCs w:val="24"/>
          <w:lang w:eastAsia="en-US"/>
        </w:rPr>
        <w:t xml:space="preserve"> </w:t>
      </w:r>
      <w:r w:rsidR="00707240">
        <w:rPr>
          <w:rFonts w:asciiTheme="minorHAnsi" w:eastAsiaTheme="minorHAnsi" w:hAnsiTheme="minorHAnsi" w:cstheme="minorBidi"/>
          <w:bCs/>
          <w:szCs w:val="24"/>
          <w:lang w:eastAsia="en-US"/>
        </w:rPr>
        <w:t>ma</w:t>
      </w:r>
      <w:r w:rsidR="00D24407">
        <w:rPr>
          <w:rFonts w:asciiTheme="minorHAnsi" w:eastAsiaTheme="minorHAnsi" w:hAnsiTheme="minorHAnsi" w:cstheme="minorBidi"/>
          <w:bCs/>
          <w:szCs w:val="24"/>
          <w:lang w:eastAsia="en-US"/>
        </w:rPr>
        <w:t xml:space="preserve"> anche</w:t>
      </w:r>
      <w:r w:rsidR="00676FA3">
        <w:rPr>
          <w:rFonts w:asciiTheme="minorHAnsi" w:eastAsiaTheme="minorHAnsi" w:hAnsiTheme="minorHAnsi" w:cstheme="minorBidi"/>
          <w:bCs/>
          <w:szCs w:val="24"/>
          <w:lang w:eastAsia="en-US"/>
        </w:rPr>
        <w:t xml:space="preserve"> la cantieristica navale</w:t>
      </w:r>
      <w:r w:rsidR="00D24407">
        <w:rPr>
          <w:rFonts w:asciiTheme="minorHAnsi" w:eastAsiaTheme="minorHAnsi" w:hAnsiTheme="minorHAnsi" w:cstheme="minorBidi"/>
          <w:bCs/>
          <w:szCs w:val="24"/>
          <w:lang w:eastAsia="en-US"/>
        </w:rPr>
        <w:t>. Per questo comparto</w:t>
      </w:r>
      <w:r>
        <w:rPr>
          <w:rFonts w:asciiTheme="minorHAnsi" w:eastAsiaTheme="minorHAnsi" w:hAnsiTheme="minorHAnsi" w:cstheme="minorBidi"/>
          <w:bCs/>
          <w:szCs w:val="24"/>
          <w:lang w:eastAsia="en-US"/>
        </w:rPr>
        <w:t xml:space="preserve"> </w:t>
      </w:r>
      <w:r w:rsidR="00F51A74">
        <w:rPr>
          <w:rFonts w:asciiTheme="minorHAnsi" w:eastAsiaTheme="minorHAnsi" w:hAnsiTheme="minorHAnsi" w:cstheme="minorBidi"/>
          <w:bCs/>
          <w:szCs w:val="24"/>
          <w:lang w:eastAsia="en-US"/>
        </w:rPr>
        <w:t xml:space="preserve">le esportazioni </w:t>
      </w:r>
      <w:r>
        <w:rPr>
          <w:rFonts w:asciiTheme="minorHAnsi" w:eastAsiaTheme="minorHAnsi" w:hAnsiTheme="minorHAnsi" w:cstheme="minorBidi"/>
          <w:bCs/>
          <w:szCs w:val="24"/>
          <w:lang w:eastAsia="en-US"/>
        </w:rPr>
        <w:t>sono in calo</w:t>
      </w:r>
      <w:r w:rsidR="004438AA">
        <w:rPr>
          <w:rFonts w:asciiTheme="minorHAnsi" w:eastAsiaTheme="minorHAnsi" w:hAnsiTheme="minorHAnsi" w:cstheme="minorBidi"/>
          <w:bCs/>
          <w:szCs w:val="24"/>
          <w:lang w:eastAsia="en-US"/>
        </w:rPr>
        <w:t xml:space="preserve"> </w:t>
      </w:r>
      <w:r>
        <w:rPr>
          <w:rFonts w:asciiTheme="minorHAnsi" w:eastAsiaTheme="minorHAnsi" w:hAnsiTheme="minorHAnsi" w:cstheme="minorBidi"/>
          <w:bCs/>
          <w:szCs w:val="24"/>
          <w:lang w:eastAsia="en-US"/>
        </w:rPr>
        <w:t xml:space="preserve">del </w:t>
      </w:r>
      <w:r w:rsidR="004438AA">
        <w:rPr>
          <w:rFonts w:asciiTheme="minorHAnsi" w:eastAsiaTheme="minorHAnsi" w:hAnsiTheme="minorHAnsi" w:cstheme="minorBidi"/>
          <w:bCs/>
          <w:szCs w:val="24"/>
          <w:lang w:eastAsia="en-US"/>
        </w:rPr>
        <w:t>-12,8%</w:t>
      </w:r>
      <w:r>
        <w:rPr>
          <w:rFonts w:asciiTheme="minorHAnsi" w:eastAsiaTheme="minorHAnsi" w:hAnsiTheme="minorHAnsi" w:cstheme="minorBidi"/>
          <w:bCs/>
          <w:szCs w:val="24"/>
          <w:lang w:eastAsia="en-US"/>
        </w:rPr>
        <w:t xml:space="preserve"> in valori </w:t>
      </w:r>
      <w:r w:rsidR="00676FA3">
        <w:rPr>
          <w:rFonts w:asciiTheme="minorHAnsi" w:eastAsiaTheme="minorHAnsi" w:hAnsiTheme="minorHAnsi" w:cstheme="minorBidi"/>
          <w:bCs/>
          <w:szCs w:val="24"/>
          <w:lang w:eastAsia="en-US"/>
        </w:rPr>
        <w:t xml:space="preserve">(contro il +9,8% dello scorso anno) </w:t>
      </w:r>
      <w:r>
        <w:rPr>
          <w:rFonts w:asciiTheme="minorHAnsi" w:eastAsiaTheme="minorHAnsi" w:hAnsiTheme="minorHAnsi" w:cstheme="minorBidi"/>
          <w:bCs/>
          <w:szCs w:val="24"/>
          <w:lang w:eastAsia="en-US"/>
        </w:rPr>
        <w:t>e del -5,3%</w:t>
      </w:r>
      <w:r w:rsidR="004438AA">
        <w:rPr>
          <w:rFonts w:asciiTheme="minorHAnsi" w:eastAsiaTheme="minorHAnsi" w:hAnsiTheme="minorHAnsi" w:cstheme="minorBidi"/>
          <w:bCs/>
          <w:szCs w:val="24"/>
          <w:lang w:eastAsia="en-US"/>
        </w:rPr>
        <w:t xml:space="preserve"> in quantità</w:t>
      </w:r>
      <w:r w:rsidR="00676FA3">
        <w:rPr>
          <w:rFonts w:asciiTheme="minorHAnsi" w:eastAsiaTheme="minorHAnsi" w:hAnsiTheme="minorHAnsi" w:cstheme="minorBidi"/>
          <w:bCs/>
          <w:szCs w:val="24"/>
          <w:lang w:eastAsia="en-US"/>
        </w:rPr>
        <w:t xml:space="preserve"> (contro il -1,</w:t>
      </w:r>
      <w:r w:rsidR="00D25E3E">
        <w:rPr>
          <w:rFonts w:asciiTheme="minorHAnsi" w:eastAsiaTheme="minorHAnsi" w:hAnsiTheme="minorHAnsi" w:cstheme="minorBidi"/>
          <w:bCs/>
          <w:szCs w:val="24"/>
          <w:lang w:eastAsia="en-US"/>
        </w:rPr>
        <w:t>8</w:t>
      </w:r>
      <w:r w:rsidR="00676FA3">
        <w:rPr>
          <w:rFonts w:asciiTheme="minorHAnsi" w:eastAsiaTheme="minorHAnsi" w:hAnsiTheme="minorHAnsi" w:cstheme="minorBidi"/>
          <w:bCs/>
          <w:szCs w:val="24"/>
          <w:lang w:eastAsia="en-US"/>
        </w:rPr>
        <w:t>% dell’anno precedente).</w:t>
      </w:r>
    </w:p>
    <w:p w14:paraId="6ED32CA0" w14:textId="46DF0F29" w:rsidR="00CE24D3" w:rsidRDefault="00E33AB0"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Una riduzione dell</w:t>
      </w:r>
      <w:r w:rsidR="00DE6124">
        <w:rPr>
          <w:rFonts w:asciiTheme="minorHAnsi" w:eastAsiaTheme="minorHAnsi" w:hAnsiTheme="minorHAnsi" w:cstheme="minorBidi"/>
          <w:bCs/>
          <w:szCs w:val="24"/>
          <w:lang w:eastAsia="en-US"/>
        </w:rPr>
        <w:t>e vendite</w:t>
      </w:r>
      <w:r>
        <w:rPr>
          <w:rFonts w:asciiTheme="minorHAnsi" w:eastAsiaTheme="minorHAnsi" w:hAnsiTheme="minorHAnsi" w:cstheme="minorBidi"/>
          <w:bCs/>
          <w:szCs w:val="24"/>
          <w:lang w:eastAsia="en-US"/>
        </w:rPr>
        <w:t xml:space="preserve"> in valori ed in quantità si osserva anche per il sistema moda</w:t>
      </w:r>
      <w:r w:rsidR="00616FE9">
        <w:rPr>
          <w:rFonts w:asciiTheme="minorHAnsi" w:eastAsiaTheme="minorHAnsi" w:hAnsiTheme="minorHAnsi" w:cstheme="minorBidi"/>
          <w:bCs/>
          <w:szCs w:val="24"/>
          <w:lang w:eastAsia="en-US"/>
        </w:rPr>
        <w:t>, sebbene con una differente decelerazione fra le due componenti</w:t>
      </w:r>
      <w:r>
        <w:rPr>
          <w:rFonts w:asciiTheme="minorHAnsi" w:eastAsiaTheme="minorHAnsi" w:hAnsiTheme="minorHAnsi" w:cstheme="minorBidi"/>
          <w:bCs/>
          <w:szCs w:val="24"/>
          <w:lang w:eastAsia="en-US"/>
        </w:rPr>
        <w:t xml:space="preserve">: l’export </w:t>
      </w:r>
      <w:r w:rsidR="00CB6649">
        <w:rPr>
          <w:rFonts w:asciiTheme="minorHAnsi" w:eastAsiaTheme="minorHAnsi" w:hAnsiTheme="minorHAnsi" w:cstheme="minorBidi"/>
          <w:bCs/>
          <w:szCs w:val="24"/>
          <w:lang w:eastAsia="en-US"/>
        </w:rPr>
        <w:t>veneto</w:t>
      </w:r>
      <w:r>
        <w:rPr>
          <w:rFonts w:asciiTheme="minorHAnsi" w:eastAsiaTheme="minorHAnsi" w:hAnsiTheme="minorHAnsi" w:cstheme="minorBidi"/>
          <w:bCs/>
          <w:szCs w:val="24"/>
          <w:lang w:eastAsia="en-US"/>
        </w:rPr>
        <w:t xml:space="preserve"> di abbigliamento e calzature scende complessivamente del -9,1% </w:t>
      </w:r>
      <w:r w:rsidR="008B3CA1">
        <w:rPr>
          <w:rFonts w:asciiTheme="minorHAnsi" w:eastAsiaTheme="minorHAnsi" w:hAnsiTheme="minorHAnsi" w:cstheme="minorBidi"/>
          <w:bCs/>
          <w:szCs w:val="24"/>
          <w:lang w:eastAsia="en-US"/>
        </w:rPr>
        <w:t xml:space="preserve">in valori </w:t>
      </w:r>
      <w:r w:rsidR="00616FE9">
        <w:rPr>
          <w:rFonts w:asciiTheme="minorHAnsi" w:eastAsiaTheme="minorHAnsi" w:hAnsiTheme="minorHAnsi" w:cstheme="minorBidi"/>
          <w:bCs/>
          <w:szCs w:val="24"/>
          <w:lang w:eastAsia="en-US"/>
        </w:rPr>
        <w:t xml:space="preserve">e del -2,7% in quantità. Lo </w:t>
      </w:r>
      <w:r w:rsidR="0017587D">
        <w:rPr>
          <w:rFonts w:asciiTheme="minorHAnsi" w:eastAsiaTheme="minorHAnsi" w:hAnsiTheme="minorHAnsi" w:cstheme="minorBidi"/>
          <w:bCs/>
          <w:szCs w:val="24"/>
          <w:lang w:eastAsia="en-US"/>
        </w:rPr>
        <w:t xml:space="preserve">scorso anno </w:t>
      </w:r>
      <w:r w:rsidR="00616FE9">
        <w:rPr>
          <w:rFonts w:asciiTheme="minorHAnsi" w:eastAsiaTheme="minorHAnsi" w:hAnsiTheme="minorHAnsi" w:cstheme="minorBidi"/>
          <w:bCs/>
          <w:szCs w:val="24"/>
          <w:lang w:eastAsia="en-US"/>
        </w:rPr>
        <w:t>potevano ancora permettersi di crescere in valori (</w:t>
      </w:r>
      <w:r>
        <w:rPr>
          <w:rFonts w:asciiTheme="minorHAnsi" w:eastAsiaTheme="minorHAnsi" w:hAnsiTheme="minorHAnsi" w:cstheme="minorBidi"/>
          <w:bCs/>
          <w:szCs w:val="24"/>
          <w:lang w:eastAsia="en-US"/>
        </w:rPr>
        <w:t>+5,3%</w:t>
      </w:r>
      <w:r w:rsidR="00616FE9">
        <w:rPr>
          <w:rFonts w:asciiTheme="minorHAnsi" w:eastAsiaTheme="minorHAnsi" w:hAnsiTheme="minorHAnsi" w:cstheme="minorBidi"/>
          <w:bCs/>
          <w:szCs w:val="24"/>
          <w:lang w:eastAsia="en-US"/>
        </w:rPr>
        <w:t>) a fronte di un andamento negativo delle quantità esportate</w:t>
      </w:r>
      <w:r>
        <w:rPr>
          <w:rFonts w:asciiTheme="minorHAnsi" w:eastAsiaTheme="minorHAnsi" w:hAnsiTheme="minorHAnsi" w:cstheme="minorBidi"/>
          <w:bCs/>
          <w:szCs w:val="24"/>
          <w:lang w:eastAsia="en-US"/>
        </w:rPr>
        <w:t xml:space="preserve"> (-8,8%).</w:t>
      </w:r>
    </w:p>
    <w:p w14:paraId="1D880B74" w14:textId="2DA5B327" w:rsidR="00E32A94" w:rsidRDefault="00616FE9" w:rsidP="00A9500F">
      <w:pPr>
        <w:spacing w:before="120" w:after="200" w:line="320" w:lineRule="exact"/>
        <w:rPr>
          <w:rFonts w:asciiTheme="minorHAnsi" w:eastAsiaTheme="minorHAnsi" w:hAnsiTheme="minorHAnsi" w:cstheme="minorBidi"/>
          <w:bCs/>
          <w:szCs w:val="24"/>
          <w:lang w:eastAsia="en-US"/>
        </w:rPr>
      </w:pPr>
      <w:r w:rsidRPr="0087496B">
        <w:rPr>
          <w:rFonts w:asciiTheme="minorHAnsi" w:eastAsiaTheme="minorHAnsi" w:hAnsiTheme="minorHAnsi" w:cstheme="minorBidi"/>
          <w:bCs/>
          <w:szCs w:val="24"/>
          <w:lang w:eastAsia="en-US"/>
        </w:rPr>
        <w:t>Analoga asimmetria nelle dinamiche tra valori e quantità si evidenzia per i</w:t>
      </w:r>
      <w:r w:rsidR="00E32A94" w:rsidRPr="0087496B">
        <w:rPr>
          <w:rFonts w:asciiTheme="minorHAnsi" w:eastAsiaTheme="minorHAnsi" w:hAnsiTheme="minorHAnsi" w:cstheme="minorBidi"/>
          <w:bCs/>
          <w:szCs w:val="24"/>
          <w:lang w:eastAsia="en-US"/>
        </w:rPr>
        <w:t xml:space="preserve"> prodotti metallurgici</w:t>
      </w:r>
      <w:r w:rsidR="007D0E7E" w:rsidRPr="0087496B">
        <w:rPr>
          <w:rFonts w:asciiTheme="minorHAnsi" w:eastAsiaTheme="minorHAnsi" w:hAnsiTheme="minorHAnsi" w:cstheme="minorBidi"/>
          <w:bCs/>
          <w:szCs w:val="24"/>
          <w:lang w:eastAsia="en-US"/>
        </w:rPr>
        <w:t xml:space="preserve"> e per la carpenteria metallica</w:t>
      </w:r>
      <w:r w:rsidRPr="0087496B">
        <w:rPr>
          <w:rFonts w:asciiTheme="minorHAnsi" w:eastAsiaTheme="minorHAnsi" w:hAnsiTheme="minorHAnsi" w:cstheme="minorBidi"/>
          <w:bCs/>
          <w:szCs w:val="24"/>
          <w:lang w:eastAsia="en-US"/>
        </w:rPr>
        <w:t>: l’export</w:t>
      </w:r>
      <w:r w:rsidRPr="00616FE9">
        <w:rPr>
          <w:rFonts w:asciiTheme="minorHAnsi" w:eastAsiaTheme="minorHAnsi" w:hAnsiTheme="minorHAnsi" w:cstheme="minorBidi"/>
          <w:bCs/>
          <w:szCs w:val="24"/>
          <w:lang w:eastAsia="en-US"/>
        </w:rPr>
        <w:t xml:space="preserve"> cala </w:t>
      </w:r>
      <w:r w:rsidR="00E32A94" w:rsidRPr="00616FE9">
        <w:rPr>
          <w:rFonts w:asciiTheme="minorHAnsi" w:eastAsiaTheme="minorHAnsi" w:hAnsiTheme="minorHAnsi" w:cstheme="minorBidi"/>
          <w:bCs/>
          <w:szCs w:val="24"/>
          <w:lang w:eastAsia="en-US"/>
        </w:rPr>
        <w:t xml:space="preserve">in valori del -14,8% </w:t>
      </w:r>
      <w:r w:rsidRPr="00616FE9">
        <w:rPr>
          <w:rFonts w:asciiTheme="minorHAnsi" w:eastAsiaTheme="minorHAnsi" w:hAnsiTheme="minorHAnsi" w:cstheme="minorBidi"/>
          <w:bCs/>
          <w:szCs w:val="24"/>
          <w:lang w:eastAsia="en-US"/>
        </w:rPr>
        <w:t xml:space="preserve">a fronte di un </w:t>
      </w:r>
      <w:r w:rsidR="006D64DA" w:rsidRPr="00616FE9">
        <w:rPr>
          <w:rFonts w:asciiTheme="minorHAnsi" w:eastAsiaTheme="minorHAnsi" w:hAnsiTheme="minorHAnsi" w:cstheme="minorBidi"/>
          <w:bCs/>
          <w:szCs w:val="24"/>
          <w:lang w:eastAsia="en-US"/>
        </w:rPr>
        <w:t>-3,7% in quantità.</w:t>
      </w:r>
    </w:p>
    <w:p w14:paraId="49EAF6DD" w14:textId="145D59D3" w:rsidR="0069505C" w:rsidRDefault="0069505C"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 xml:space="preserve">Bilancio positivo, invece, per i </w:t>
      </w:r>
      <w:r w:rsidR="00D24407">
        <w:rPr>
          <w:rFonts w:asciiTheme="minorHAnsi" w:eastAsiaTheme="minorHAnsi" w:hAnsiTheme="minorHAnsi" w:cstheme="minorBidi"/>
          <w:bCs/>
          <w:szCs w:val="24"/>
          <w:lang w:eastAsia="en-US"/>
        </w:rPr>
        <w:t>prodotti alimentari e bevande</w:t>
      </w:r>
      <w:r>
        <w:rPr>
          <w:rFonts w:asciiTheme="minorHAnsi" w:eastAsiaTheme="minorHAnsi" w:hAnsiTheme="minorHAnsi" w:cstheme="minorBidi"/>
          <w:bCs/>
          <w:szCs w:val="24"/>
          <w:lang w:eastAsia="en-US"/>
        </w:rPr>
        <w:t xml:space="preserve">: queste ultime crescono </w:t>
      </w:r>
      <w:r w:rsidR="00712363">
        <w:rPr>
          <w:rFonts w:asciiTheme="minorHAnsi" w:eastAsiaTheme="minorHAnsi" w:hAnsiTheme="minorHAnsi" w:cstheme="minorBidi"/>
          <w:bCs/>
          <w:szCs w:val="24"/>
          <w:lang w:eastAsia="en-US"/>
        </w:rPr>
        <w:t>del +</w:t>
      </w:r>
      <w:r w:rsidR="00E534A2">
        <w:rPr>
          <w:rFonts w:asciiTheme="minorHAnsi" w:eastAsiaTheme="minorHAnsi" w:hAnsiTheme="minorHAnsi" w:cstheme="minorBidi"/>
          <w:bCs/>
          <w:szCs w:val="24"/>
          <w:lang w:eastAsia="en-US"/>
        </w:rPr>
        <w:t>6,3% in valori nella prima porzione dell’anno 2024. Per gli alimentari</w:t>
      </w:r>
      <w:r>
        <w:rPr>
          <w:rFonts w:asciiTheme="minorHAnsi" w:eastAsiaTheme="minorHAnsi" w:hAnsiTheme="minorHAnsi" w:cstheme="minorBidi"/>
          <w:bCs/>
          <w:szCs w:val="24"/>
          <w:lang w:eastAsia="en-US"/>
        </w:rPr>
        <w:t>, dopo che lo scorso anno la crescita dell’export è stata sostenuta dai prezzi (+20,8%), nel trimestre in esame si evidenzia una sostanziale tenuta dei valori (</w:t>
      </w:r>
      <w:r w:rsidR="00E534A2">
        <w:rPr>
          <w:rFonts w:asciiTheme="minorHAnsi" w:eastAsiaTheme="minorHAnsi" w:hAnsiTheme="minorHAnsi" w:cstheme="minorBidi"/>
          <w:bCs/>
          <w:szCs w:val="24"/>
          <w:lang w:eastAsia="en-US"/>
        </w:rPr>
        <w:t>+1,3%</w:t>
      </w:r>
      <w:r>
        <w:rPr>
          <w:rFonts w:asciiTheme="minorHAnsi" w:eastAsiaTheme="minorHAnsi" w:hAnsiTheme="minorHAnsi" w:cstheme="minorBidi"/>
          <w:bCs/>
          <w:szCs w:val="24"/>
          <w:lang w:eastAsia="en-US"/>
        </w:rPr>
        <w:t>)</w:t>
      </w:r>
      <w:r w:rsidR="00E534A2">
        <w:rPr>
          <w:rFonts w:asciiTheme="minorHAnsi" w:eastAsiaTheme="minorHAnsi" w:hAnsiTheme="minorHAnsi" w:cstheme="minorBidi"/>
          <w:bCs/>
          <w:szCs w:val="24"/>
          <w:lang w:eastAsia="en-US"/>
        </w:rPr>
        <w:t>.</w:t>
      </w:r>
      <w:r>
        <w:rPr>
          <w:rFonts w:asciiTheme="minorHAnsi" w:eastAsiaTheme="minorHAnsi" w:hAnsiTheme="minorHAnsi" w:cstheme="minorBidi"/>
          <w:bCs/>
          <w:szCs w:val="24"/>
          <w:lang w:eastAsia="en-US"/>
        </w:rPr>
        <w:t xml:space="preserve">  Per il comparto nel suo complesso sono in crescita anche le quantità (+2,2%)</w:t>
      </w:r>
      <w:r w:rsidR="00E534A2">
        <w:rPr>
          <w:rFonts w:asciiTheme="minorHAnsi" w:eastAsiaTheme="minorHAnsi" w:hAnsiTheme="minorHAnsi" w:cstheme="minorBidi"/>
          <w:bCs/>
          <w:szCs w:val="24"/>
          <w:lang w:eastAsia="en-US"/>
        </w:rPr>
        <w:t xml:space="preserve"> </w:t>
      </w:r>
    </w:p>
    <w:p w14:paraId="61A4744F" w14:textId="6251CA8B" w:rsidR="00E534A2" w:rsidRPr="00925F66" w:rsidRDefault="0069505C"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 xml:space="preserve">In tenuta anche l’export </w:t>
      </w:r>
      <w:r w:rsidR="00E534A2">
        <w:rPr>
          <w:rFonts w:asciiTheme="minorHAnsi" w:eastAsiaTheme="minorHAnsi" w:hAnsiTheme="minorHAnsi" w:cstheme="minorBidi"/>
          <w:bCs/>
          <w:szCs w:val="24"/>
          <w:lang w:eastAsia="en-US"/>
        </w:rPr>
        <w:t>per l’occhialeria, seconda voce dell’export regionale, per la quale</w:t>
      </w:r>
      <w:r w:rsidR="00B522E4">
        <w:rPr>
          <w:rFonts w:asciiTheme="minorHAnsi" w:eastAsiaTheme="minorHAnsi" w:hAnsiTheme="minorHAnsi" w:cstheme="minorBidi"/>
          <w:bCs/>
          <w:szCs w:val="24"/>
          <w:lang w:eastAsia="en-US"/>
        </w:rPr>
        <w:t xml:space="preserve"> nel trimestre in esame</w:t>
      </w:r>
      <w:r w:rsidR="00E534A2">
        <w:rPr>
          <w:rFonts w:asciiTheme="minorHAnsi" w:eastAsiaTheme="minorHAnsi" w:hAnsiTheme="minorHAnsi" w:cstheme="minorBidi"/>
          <w:bCs/>
          <w:szCs w:val="24"/>
          <w:lang w:eastAsia="en-US"/>
        </w:rPr>
        <w:t xml:space="preserve"> il valore delle vendite </w:t>
      </w:r>
      <w:r w:rsidR="00F51A74">
        <w:rPr>
          <w:rFonts w:asciiTheme="minorHAnsi" w:eastAsiaTheme="minorHAnsi" w:hAnsiTheme="minorHAnsi" w:cstheme="minorBidi"/>
          <w:bCs/>
          <w:szCs w:val="24"/>
          <w:lang w:eastAsia="en-US"/>
        </w:rPr>
        <w:t xml:space="preserve">registra un lieve aumento </w:t>
      </w:r>
      <w:r>
        <w:rPr>
          <w:rFonts w:asciiTheme="minorHAnsi" w:eastAsiaTheme="minorHAnsi" w:hAnsiTheme="minorHAnsi" w:cstheme="minorBidi"/>
          <w:bCs/>
          <w:szCs w:val="24"/>
          <w:lang w:eastAsia="en-US"/>
        </w:rPr>
        <w:t xml:space="preserve">su base tendenziale </w:t>
      </w:r>
      <w:r w:rsidR="00E534A2" w:rsidRPr="00925F66">
        <w:rPr>
          <w:rFonts w:asciiTheme="minorHAnsi" w:eastAsiaTheme="minorHAnsi" w:hAnsiTheme="minorHAnsi" w:cstheme="minorBidi"/>
          <w:bCs/>
          <w:szCs w:val="24"/>
          <w:lang w:eastAsia="en-US"/>
        </w:rPr>
        <w:t>(+1,</w:t>
      </w:r>
      <w:r w:rsidR="00C61ADA">
        <w:rPr>
          <w:rFonts w:asciiTheme="minorHAnsi" w:eastAsiaTheme="minorHAnsi" w:hAnsiTheme="minorHAnsi" w:cstheme="minorBidi"/>
          <w:bCs/>
          <w:szCs w:val="24"/>
          <w:lang w:eastAsia="en-US"/>
        </w:rPr>
        <w:t>5</w:t>
      </w:r>
      <w:r w:rsidR="00E534A2" w:rsidRPr="00925F66">
        <w:rPr>
          <w:rFonts w:asciiTheme="minorHAnsi" w:eastAsiaTheme="minorHAnsi" w:hAnsiTheme="minorHAnsi" w:cstheme="minorBidi"/>
          <w:bCs/>
          <w:szCs w:val="24"/>
          <w:lang w:eastAsia="en-US"/>
        </w:rPr>
        <w:t>%, contro il +13,4% dello scorso anno</w:t>
      </w:r>
      <w:r w:rsidR="00973C75" w:rsidRPr="00925F66">
        <w:rPr>
          <w:rFonts w:asciiTheme="minorHAnsi" w:eastAsiaTheme="minorHAnsi" w:hAnsiTheme="minorHAnsi" w:cstheme="minorBidi"/>
          <w:bCs/>
          <w:szCs w:val="24"/>
          <w:lang w:eastAsia="en-US"/>
        </w:rPr>
        <w:t>)</w:t>
      </w:r>
      <w:r w:rsidR="00E534A2" w:rsidRPr="00925F66">
        <w:rPr>
          <w:rFonts w:asciiTheme="minorHAnsi" w:eastAsiaTheme="minorHAnsi" w:hAnsiTheme="minorHAnsi" w:cstheme="minorBidi"/>
          <w:bCs/>
          <w:szCs w:val="24"/>
          <w:lang w:eastAsia="en-US"/>
        </w:rPr>
        <w:t>.</w:t>
      </w:r>
    </w:p>
    <w:p w14:paraId="54D8C009" w14:textId="07B47260" w:rsidR="00E534A2" w:rsidRDefault="00F51A74" w:rsidP="00A9500F">
      <w:pPr>
        <w:spacing w:before="120" w:after="200" w:line="320" w:lineRule="exact"/>
        <w:rPr>
          <w:rFonts w:asciiTheme="minorHAnsi" w:eastAsiaTheme="minorHAnsi" w:hAnsiTheme="minorHAnsi" w:cstheme="minorBidi"/>
          <w:bCs/>
          <w:szCs w:val="24"/>
          <w:lang w:eastAsia="en-US"/>
        </w:rPr>
      </w:pPr>
      <w:r w:rsidRPr="00925F66">
        <w:rPr>
          <w:rFonts w:asciiTheme="minorHAnsi" w:eastAsiaTheme="minorHAnsi" w:hAnsiTheme="minorHAnsi" w:cstheme="minorBidi"/>
          <w:bCs/>
          <w:szCs w:val="24"/>
          <w:lang w:eastAsia="en-US"/>
        </w:rPr>
        <w:t xml:space="preserve">Guardando ai </w:t>
      </w:r>
      <w:r w:rsidRPr="00925F66">
        <w:rPr>
          <w:rFonts w:asciiTheme="minorHAnsi" w:eastAsiaTheme="minorHAnsi" w:hAnsiTheme="minorHAnsi" w:cstheme="minorBidi"/>
          <w:b/>
          <w:szCs w:val="24"/>
          <w:lang w:eastAsia="en-US"/>
        </w:rPr>
        <w:t>mercati</w:t>
      </w:r>
      <w:r w:rsidRPr="00925F66">
        <w:rPr>
          <w:rFonts w:asciiTheme="minorHAnsi" w:eastAsiaTheme="minorHAnsi" w:hAnsiTheme="minorHAnsi" w:cstheme="minorBidi"/>
          <w:bCs/>
          <w:szCs w:val="24"/>
          <w:lang w:eastAsia="en-US"/>
        </w:rPr>
        <w:t>, a</w:t>
      </w:r>
      <w:r w:rsidR="00973C75" w:rsidRPr="00925F66">
        <w:rPr>
          <w:rFonts w:asciiTheme="minorHAnsi" w:eastAsiaTheme="minorHAnsi" w:hAnsiTheme="minorHAnsi" w:cstheme="minorBidi"/>
          <w:bCs/>
          <w:szCs w:val="24"/>
          <w:lang w:eastAsia="en-US"/>
        </w:rPr>
        <w:t xml:space="preserve"> condizionare</w:t>
      </w:r>
      <w:r w:rsidR="00E534A2" w:rsidRPr="00925F66">
        <w:rPr>
          <w:rFonts w:asciiTheme="minorHAnsi" w:eastAsiaTheme="minorHAnsi" w:hAnsiTheme="minorHAnsi" w:cstheme="minorBidi"/>
          <w:bCs/>
          <w:szCs w:val="24"/>
          <w:lang w:eastAsia="en-US"/>
        </w:rPr>
        <w:t xml:space="preserve"> il valore delle esportazioni venete</w:t>
      </w:r>
      <w:r w:rsidR="00973C75" w:rsidRPr="00925F66">
        <w:rPr>
          <w:rFonts w:asciiTheme="minorHAnsi" w:eastAsiaTheme="minorHAnsi" w:hAnsiTheme="minorHAnsi" w:cstheme="minorBidi"/>
          <w:bCs/>
          <w:szCs w:val="24"/>
          <w:lang w:eastAsia="en-US"/>
        </w:rPr>
        <w:t xml:space="preserve"> è in particolare la f</w:t>
      </w:r>
      <w:r w:rsidR="00E534A2" w:rsidRPr="00925F66">
        <w:rPr>
          <w:rFonts w:asciiTheme="minorHAnsi" w:eastAsiaTheme="minorHAnsi" w:hAnsiTheme="minorHAnsi" w:cstheme="minorBidi"/>
          <w:bCs/>
          <w:szCs w:val="24"/>
          <w:lang w:eastAsia="en-US"/>
        </w:rPr>
        <w:t>lessione</w:t>
      </w:r>
      <w:r w:rsidR="00973C75" w:rsidRPr="00925F66">
        <w:rPr>
          <w:rFonts w:asciiTheme="minorHAnsi" w:eastAsiaTheme="minorHAnsi" w:hAnsiTheme="minorHAnsi" w:cstheme="minorBidi"/>
          <w:bCs/>
          <w:szCs w:val="24"/>
          <w:lang w:eastAsia="en-US"/>
        </w:rPr>
        <w:t xml:space="preserve"> delle vendite</w:t>
      </w:r>
      <w:r w:rsidR="00E534A2" w:rsidRPr="00925F66">
        <w:rPr>
          <w:rFonts w:asciiTheme="minorHAnsi" w:eastAsiaTheme="minorHAnsi" w:hAnsiTheme="minorHAnsi" w:cstheme="minorBidi"/>
          <w:bCs/>
          <w:szCs w:val="24"/>
          <w:lang w:eastAsia="en-US"/>
        </w:rPr>
        <w:t xml:space="preserve"> verso il mercato tedesco (-11,3%),</w:t>
      </w:r>
      <w:r w:rsidR="00973C75" w:rsidRPr="00925F66">
        <w:rPr>
          <w:rFonts w:asciiTheme="minorHAnsi" w:eastAsiaTheme="minorHAnsi" w:hAnsiTheme="minorHAnsi" w:cstheme="minorBidi"/>
          <w:bCs/>
          <w:szCs w:val="24"/>
          <w:lang w:eastAsia="en-US"/>
        </w:rPr>
        <w:t xml:space="preserve"> cui si aggiungono per l’area Ue 27</w:t>
      </w:r>
      <w:r w:rsidR="00097D6D">
        <w:rPr>
          <w:rFonts w:asciiTheme="minorHAnsi" w:eastAsiaTheme="minorHAnsi" w:hAnsiTheme="minorHAnsi" w:cstheme="minorBidi"/>
          <w:bCs/>
          <w:szCs w:val="24"/>
          <w:lang w:eastAsia="en-US"/>
        </w:rPr>
        <w:t>, in particolare, la</w:t>
      </w:r>
      <w:r w:rsidR="00973C75" w:rsidRPr="00925F66">
        <w:rPr>
          <w:rFonts w:asciiTheme="minorHAnsi" w:eastAsiaTheme="minorHAnsi" w:hAnsiTheme="minorHAnsi" w:cstheme="minorBidi"/>
          <w:bCs/>
          <w:szCs w:val="24"/>
          <w:lang w:eastAsia="en-US"/>
        </w:rPr>
        <w:t xml:space="preserve"> Francia </w:t>
      </w:r>
      <w:r w:rsidR="00E534A2" w:rsidRPr="00925F66">
        <w:rPr>
          <w:rFonts w:asciiTheme="minorHAnsi" w:eastAsiaTheme="minorHAnsi" w:hAnsiTheme="minorHAnsi" w:cstheme="minorBidi"/>
          <w:bCs/>
          <w:szCs w:val="24"/>
          <w:lang w:eastAsia="en-US"/>
        </w:rPr>
        <w:t>(-3,7%) e</w:t>
      </w:r>
      <w:r w:rsidR="00097D6D">
        <w:rPr>
          <w:rFonts w:asciiTheme="minorHAnsi" w:eastAsiaTheme="minorHAnsi" w:hAnsiTheme="minorHAnsi" w:cstheme="minorBidi"/>
          <w:bCs/>
          <w:szCs w:val="24"/>
          <w:lang w:eastAsia="en-US"/>
        </w:rPr>
        <w:t xml:space="preserve"> la</w:t>
      </w:r>
      <w:r w:rsidR="00E534A2" w:rsidRPr="00925F66">
        <w:rPr>
          <w:rFonts w:asciiTheme="minorHAnsi" w:eastAsiaTheme="minorHAnsi" w:hAnsiTheme="minorHAnsi" w:cstheme="minorBidi"/>
          <w:bCs/>
          <w:szCs w:val="24"/>
          <w:lang w:eastAsia="en-US"/>
        </w:rPr>
        <w:t xml:space="preserve"> </w:t>
      </w:r>
      <w:r w:rsidR="00973C75" w:rsidRPr="00925F66">
        <w:rPr>
          <w:rFonts w:asciiTheme="minorHAnsi" w:eastAsiaTheme="minorHAnsi" w:hAnsiTheme="minorHAnsi" w:cstheme="minorBidi"/>
          <w:bCs/>
          <w:szCs w:val="24"/>
          <w:lang w:eastAsia="en-US"/>
        </w:rPr>
        <w:t>Spagna</w:t>
      </w:r>
      <w:r w:rsidR="00E534A2" w:rsidRPr="00925F66">
        <w:rPr>
          <w:rFonts w:asciiTheme="minorHAnsi" w:eastAsiaTheme="minorHAnsi" w:hAnsiTheme="minorHAnsi" w:cstheme="minorBidi"/>
          <w:bCs/>
          <w:szCs w:val="24"/>
          <w:lang w:eastAsia="en-US"/>
        </w:rPr>
        <w:t xml:space="preserve"> (-3,1%)</w:t>
      </w:r>
      <w:r w:rsidR="00973C75" w:rsidRPr="00925F66">
        <w:rPr>
          <w:rFonts w:asciiTheme="minorHAnsi" w:eastAsiaTheme="minorHAnsi" w:hAnsiTheme="minorHAnsi" w:cstheme="minorBidi"/>
          <w:bCs/>
          <w:szCs w:val="24"/>
          <w:lang w:eastAsia="en-US"/>
        </w:rPr>
        <w:t xml:space="preserve">. In calo anche l’export verso </w:t>
      </w:r>
      <w:r w:rsidR="00676FA3" w:rsidRPr="00925F66">
        <w:rPr>
          <w:rFonts w:asciiTheme="minorHAnsi" w:eastAsiaTheme="minorHAnsi" w:hAnsiTheme="minorHAnsi" w:cstheme="minorBidi"/>
          <w:bCs/>
          <w:szCs w:val="24"/>
          <w:lang w:eastAsia="en-US"/>
        </w:rPr>
        <w:t xml:space="preserve">l’area </w:t>
      </w:r>
      <w:r w:rsidR="0069505C" w:rsidRPr="00925F66">
        <w:rPr>
          <w:rFonts w:asciiTheme="minorHAnsi" w:eastAsiaTheme="minorHAnsi" w:hAnsiTheme="minorHAnsi" w:cstheme="minorBidi"/>
          <w:bCs/>
          <w:szCs w:val="24"/>
          <w:lang w:eastAsia="en-US"/>
        </w:rPr>
        <w:t>extra-</w:t>
      </w:r>
      <w:r w:rsidR="00676FA3" w:rsidRPr="00925F66">
        <w:rPr>
          <w:rFonts w:asciiTheme="minorHAnsi" w:eastAsiaTheme="minorHAnsi" w:hAnsiTheme="minorHAnsi" w:cstheme="minorBidi"/>
          <w:bCs/>
          <w:szCs w:val="24"/>
          <w:lang w:eastAsia="en-US"/>
        </w:rPr>
        <w:t>Ue27</w:t>
      </w:r>
      <w:r w:rsidR="00973C75" w:rsidRPr="00925F66">
        <w:rPr>
          <w:rFonts w:asciiTheme="minorHAnsi" w:eastAsiaTheme="minorHAnsi" w:hAnsiTheme="minorHAnsi" w:cstheme="minorBidi"/>
          <w:bCs/>
          <w:szCs w:val="24"/>
          <w:lang w:eastAsia="en-US"/>
        </w:rPr>
        <w:t xml:space="preserve">, </w:t>
      </w:r>
      <w:r w:rsidR="00676FA3" w:rsidRPr="00925F66">
        <w:rPr>
          <w:rFonts w:asciiTheme="minorHAnsi" w:eastAsiaTheme="minorHAnsi" w:hAnsiTheme="minorHAnsi" w:cstheme="minorBidi"/>
          <w:bCs/>
          <w:szCs w:val="24"/>
          <w:lang w:eastAsia="en-US"/>
        </w:rPr>
        <w:t xml:space="preserve">verso </w:t>
      </w:r>
      <w:r w:rsidR="00973C75" w:rsidRPr="00925F66">
        <w:rPr>
          <w:rFonts w:asciiTheme="minorHAnsi" w:eastAsiaTheme="minorHAnsi" w:hAnsiTheme="minorHAnsi" w:cstheme="minorBidi"/>
          <w:bCs/>
          <w:szCs w:val="24"/>
          <w:lang w:eastAsia="en-US"/>
        </w:rPr>
        <w:t xml:space="preserve">cui pesano le flessioni del </w:t>
      </w:r>
      <w:r w:rsidR="00676FA3" w:rsidRPr="00925F66">
        <w:rPr>
          <w:rFonts w:asciiTheme="minorHAnsi" w:eastAsiaTheme="minorHAnsi" w:hAnsiTheme="minorHAnsi" w:cstheme="minorBidi"/>
          <w:bCs/>
          <w:szCs w:val="24"/>
          <w:lang w:eastAsia="en-US"/>
        </w:rPr>
        <w:t>mercato statunitense (-6,6%) e britannico (-5</w:t>
      </w:r>
      <w:r w:rsidR="00097D6D">
        <w:rPr>
          <w:rFonts w:asciiTheme="minorHAnsi" w:eastAsiaTheme="minorHAnsi" w:hAnsiTheme="minorHAnsi" w:cstheme="minorBidi"/>
          <w:bCs/>
          <w:szCs w:val="24"/>
          <w:lang w:eastAsia="en-US"/>
        </w:rPr>
        <w:t>,0</w:t>
      </w:r>
      <w:r w:rsidR="00676FA3" w:rsidRPr="00925F66">
        <w:rPr>
          <w:rFonts w:asciiTheme="minorHAnsi" w:eastAsiaTheme="minorHAnsi" w:hAnsiTheme="minorHAnsi" w:cstheme="minorBidi"/>
          <w:bCs/>
          <w:szCs w:val="24"/>
          <w:lang w:eastAsia="en-US"/>
        </w:rPr>
        <w:t>%).</w:t>
      </w:r>
    </w:p>
    <w:p w14:paraId="210A5262" w14:textId="7210C857" w:rsidR="00B31329" w:rsidRDefault="00B31329" w:rsidP="000C2F30">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Tenendo sempre presente il periodo limitato (primi tre mesi dell’anno) che tende ad amplificare i risultati, i</w:t>
      </w:r>
      <w:r w:rsidR="007937F9">
        <w:rPr>
          <w:rFonts w:asciiTheme="minorHAnsi" w:eastAsiaTheme="minorHAnsi" w:hAnsiTheme="minorHAnsi" w:cstheme="minorBidi"/>
          <w:bCs/>
          <w:szCs w:val="24"/>
          <w:lang w:eastAsia="en-US"/>
        </w:rPr>
        <w:t>l rientro della spinta inflattiva e la “normalizzazione dei</w:t>
      </w:r>
      <w:r w:rsidR="00707240">
        <w:rPr>
          <w:rFonts w:asciiTheme="minorHAnsi" w:eastAsiaTheme="minorHAnsi" w:hAnsiTheme="minorHAnsi" w:cstheme="minorBidi"/>
          <w:bCs/>
          <w:szCs w:val="24"/>
          <w:lang w:eastAsia="en-US"/>
        </w:rPr>
        <w:t xml:space="preserve"> prezzi” </w:t>
      </w:r>
      <w:r w:rsidR="007937F9">
        <w:rPr>
          <w:rFonts w:asciiTheme="minorHAnsi" w:eastAsiaTheme="minorHAnsi" w:hAnsiTheme="minorHAnsi" w:cstheme="minorBidi"/>
          <w:bCs/>
          <w:szCs w:val="24"/>
          <w:lang w:eastAsia="en-US"/>
        </w:rPr>
        <w:t>sono ancor più apprezzabili</w:t>
      </w:r>
      <w:r w:rsidR="00707240">
        <w:rPr>
          <w:rFonts w:asciiTheme="minorHAnsi" w:eastAsiaTheme="minorHAnsi" w:hAnsiTheme="minorHAnsi" w:cstheme="minorBidi"/>
          <w:bCs/>
          <w:szCs w:val="24"/>
          <w:lang w:eastAsia="en-US"/>
        </w:rPr>
        <w:t xml:space="preserve"> sul fronte delle </w:t>
      </w:r>
      <w:r w:rsidR="00707240">
        <w:rPr>
          <w:rFonts w:asciiTheme="minorHAnsi" w:eastAsiaTheme="minorHAnsi" w:hAnsiTheme="minorHAnsi" w:cstheme="minorBidi"/>
          <w:b/>
          <w:szCs w:val="24"/>
          <w:lang w:eastAsia="en-US"/>
        </w:rPr>
        <w:t>importazioni</w:t>
      </w:r>
      <w:r>
        <w:rPr>
          <w:rFonts w:asciiTheme="minorHAnsi" w:eastAsiaTheme="minorHAnsi" w:hAnsiTheme="minorHAnsi" w:cstheme="minorBidi"/>
          <w:b/>
          <w:szCs w:val="24"/>
          <w:lang w:eastAsia="en-US"/>
        </w:rPr>
        <w:t>.</w:t>
      </w:r>
      <w:r w:rsidR="00707240">
        <w:rPr>
          <w:rFonts w:asciiTheme="minorHAnsi" w:eastAsiaTheme="minorHAnsi" w:hAnsiTheme="minorHAnsi" w:cstheme="minorBidi"/>
          <w:b/>
          <w:szCs w:val="24"/>
          <w:lang w:eastAsia="en-US"/>
        </w:rPr>
        <w:t xml:space="preserve"> </w:t>
      </w:r>
      <w:r w:rsidRPr="00B31329">
        <w:rPr>
          <w:rFonts w:asciiTheme="minorHAnsi" w:eastAsiaTheme="minorHAnsi" w:hAnsiTheme="minorHAnsi" w:cstheme="minorBidi"/>
          <w:bCs/>
          <w:szCs w:val="24"/>
          <w:lang w:eastAsia="en-US"/>
        </w:rPr>
        <w:t>N</w:t>
      </w:r>
      <w:r w:rsidR="00707240">
        <w:rPr>
          <w:rFonts w:asciiTheme="minorHAnsi" w:eastAsiaTheme="minorHAnsi" w:hAnsiTheme="minorHAnsi" w:cstheme="minorBidi"/>
          <w:bCs/>
          <w:szCs w:val="24"/>
          <w:lang w:eastAsia="en-US"/>
        </w:rPr>
        <w:t>el primo trimestre 2024 gli acquisti regionali dall’estero scendono su base annua del -11,6% in valori</w:t>
      </w:r>
      <w:r w:rsidR="007937F9">
        <w:rPr>
          <w:rFonts w:asciiTheme="minorHAnsi" w:eastAsiaTheme="minorHAnsi" w:hAnsiTheme="minorHAnsi" w:cstheme="minorBidi"/>
          <w:bCs/>
          <w:szCs w:val="24"/>
          <w:lang w:eastAsia="en-US"/>
        </w:rPr>
        <w:t xml:space="preserve"> (lo scorso anno la variazione era di poco superiore alla stabilità), </w:t>
      </w:r>
      <w:r>
        <w:rPr>
          <w:rFonts w:asciiTheme="minorHAnsi" w:eastAsiaTheme="minorHAnsi" w:hAnsiTheme="minorHAnsi" w:cstheme="minorBidi"/>
          <w:bCs/>
          <w:szCs w:val="24"/>
          <w:lang w:eastAsia="en-US"/>
        </w:rPr>
        <w:t xml:space="preserve">dall’altro lato l’import in quantità aumenta del </w:t>
      </w:r>
      <w:r w:rsidR="007937F9">
        <w:rPr>
          <w:rFonts w:asciiTheme="minorHAnsi" w:eastAsiaTheme="minorHAnsi" w:hAnsiTheme="minorHAnsi" w:cstheme="minorBidi"/>
          <w:bCs/>
          <w:szCs w:val="24"/>
          <w:lang w:eastAsia="en-US"/>
        </w:rPr>
        <w:t xml:space="preserve">+2,8% (contro il -1,8% dell’anno precedente). </w:t>
      </w:r>
      <w:r>
        <w:rPr>
          <w:rFonts w:asciiTheme="minorHAnsi" w:eastAsiaTheme="minorHAnsi" w:hAnsiTheme="minorHAnsi" w:cstheme="minorBidi"/>
          <w:bCs/>
          <w:szCs w:val="24"/>
          <w:lang w:eastAsia="en-US"/>
        </w:rPr>
        <w:t xml:space="preserve">Su questa dinamica influiscono in particolare le politiche di acquisto degli energetici, ricompresi nella voce “prodotti dell’estrazione di </w:t>
      </w:r>
      <w:r w:rsidR="000D488C">
        <w:rPr>
          <w:rFonts w:asciiTheme="minorHAnsi" w:eastAsiaTheme="minorHAnsi" w:hAnsiTheme="minorHAnsi" w:cstheme="minorBidi"/>
          <w:bCs/>
          <w:szCs w:val="24"/>
          <w:lang w:eastAsia="en-US"/>
        </w:rPr>
        <w:t>minerali da cave e miniere” per le quali il valore degli acquisti passa da 1,5 miliardi del primo trimestre 2023 a quasi 760 milioni del trimestre in esame.</w:t>
      </w:r>
    </w:p>
    <w:p w14:paraId="568C0F45" w14:textId="77777777" w:rsidR="000D488C" w:rsidRDefault="000D488C" w:rsidP="00E36E47">
      <w:pPr>
        <w:spacing w:before="120" w:after="200" w:line="320" w:lineRule="exact"/>
        <w:rPr>
          <w:rFonts w:asciiTheme="minorHAnsi" w:eastAsiaTheme="minorHAnsi" w:hAnsiTheme="minorHAnsi" w:cstheme="minorBidi"/>
          <w:bCs/>
          <w:szCs w:val="24"/>
          <w:lang w:eastAsia="en-US"/>
        </w:rPr>
      </w:pPr>
    </w:p>
    <w:p w14:paraId="4C3752A3" w14:textId="77777777" w:rsidR="00712363" w:rsidRDefault="00712363" w:rsidP="00913FDD">
      <w:pPr>
        <w:jc w:val="center"/>
        <w:rPr>
          <w:rFonts w:ascii="Calibri" w:hAnsi="Calibri" w:cs="Calibri"/>
          <w:b/>
          <w:szCs w:val="24"/>
        </w:rPr>
      </w:pPr>
    </w:p>
    <w:p w14:paraId="449A3171" w14:textId="77777777" w:rsidR="00913FDD" w:rsidRDefault="00913FDD" w:rsidP="00913FDD">
      <w:pPr>
        <w:jc w:val="center"/>
        <w:rPr>
          <w:rFonts w:ascii="Calibri" w:hAnsi="Calibri" w:cs="Calibri"/>
          <w:b/>
          <w:szCs w:val="24"/>
        </w:rPr>
      </w:pPr>
    </w:p>
    <w:p w14:paraId="5EF61C99" w14:textId="2D19A763" w:rsidR="00D71C33" w:rsidRPr="000A6CE2" w:rsidRDefault="00A368D2" w:rsidP="00D71C33">
      <w:pPr>
        <w:keepNext/>
        <w:jc w:val="center"/>
        <w:rPr>
          <w:rFonts w:ascii="Calibri" w:hAnsi="Calibri" w:cs="Calibri"/>
          <w:b/>
          <w:szCs w:val="24"/>
        </w:rPr>
      </w:pPr>
      <w:r>
        <w:rPr>
          <w:rFonts w:ascii="Calibri" w:hAnsi="Calibri" w:cs="Calibri"/>
          <w:b/>
          <w:szCs w:val="24"/>
        </w:rPr>
        <w:lastRenderedPageBreak/>
        <w:t xml:space="preserve">VENETO - </w:t>
      </w:r>
      <w:r w:rsidR="00D71C33" w:rsidRPr="000A6CE2">
        <w:rPr>
          <w:rFonts w:ascii="Calibri" w:hAnsi="Calibri" w:cs="Calibri"/>
          <w:b/>
          <w:szCs w:val="24"/>
        </w:rPr>
        <w:t>Esportazioni</w:t>
      </w:r>
      <w:r w:rsidR="000A6CE2" w:rsidRPr="000A6CE2">
        <w:rPr>
          <w:rFonts w:ascii="Calibri" w:hAnsi="Calibri" w:cs="Calibri"/>
          <w:b/>
          <w:szCs w:val="24"/>
        </w:rPr>
        <w:t xml:space="preserve"> </w:t>
      </w:r>
      <w:r w:rsidR="00657EA8" w:rsidRPr="000A6CE2">
        <w:rPr>
          <w:rFonts w:ascii="Calibri" w:hAnsi="Calibri" w:cs="Calibri"/>
          <w:b/>
          <w:szCs w:val="24"/>
        </w:rPr>
        <w:t>e</w:t>
      </w:r>
      <w:r w:rsidR="000A6CE2" w:rsidRPr="000A6CE2">
        <w:rPr>
          <w:rFonts w:ascii="Calibri" w:hAnsi="Calibri" w:cs="Calibri"/>
          <w:b/>
          <w:szCs w:val="24"/>
        </w:rPr>
        <w:t xml:space="preserve"> importazioni</w:t>
      </w:r>
      <w:r w:rsidR="00D71C33" w:rsidRPr="000A6CE2">
        <w:rPr>
          <w:rFonts w:ascii="Calibri" w:hAnsi="Calibri" w:cs="Calibri"/>
          <w:b/>
          <w:szCs w:val="24"/>
        </w:rPr>
        <w:t xml:space="preserve"> in valore e in quantità</w:t>
      </w:r>
    </w:p>
    <w:p w14:paraId="22B400AF" w14:textId="120302CC" w:rsidR="00D71C33" w:rsidRPr="000A6CE2" w:rsidRDefault="00D71C33" w:rsidP="00D71C33">
      <w:pPr>
        <w:keepNext/>
        <w:spacing w:after="200"/>
        <w:jc w:val="center"/>
        <w:rPr>
          <w:rFonts w:ascii="Calibri" w:hAnsi="Calibri" w:cs="Calibri"/>
          <w:bCs/>
          <w:i/>
          <w:iCs/>
          <w:szCs w:val="24"/>
        </w:rPr>
      </w:pPr>
      <w:r w:rsidRPr="000A6CE2">
        <w:rPr>
          <w:rFonts w:ascii="Calibri" w:hAnsi="Calibri" w:cs="Calibri"/>
          <w:bCs/>
          <w:i/>
          <w:iCs/>
          <w:szCs w:val="24"/>
        </w:rPr>
        <w:t>Variazioni percentuali tendenziali</w:t>
      </w:r>
      <w:r w:rsidR="000A6CE2" w:rsidRPr="000A6CE2">
        <w:rPr>
          <w:rFonts w:ascii="Calibri" w:hAnsi="Calibri" w:cs="Calibri"/>
          <w:bCs/>
          <w:i/>
          <w:iCs/>
          <w:szCs w:val="24"/>
        </w:rPr>
        <w:t xml:space="preserve"> </w:t>
      </w:r>
      <w:r w:rsidR="000A6CE2">
        <w:rPr>
          <w:rFonts w:ascii="Calibri" w:hAnsi="Calibri" w:cs="Calibri"/>
          <w:bCs/>
          <w:i/>
          <w:iCs/>
          <w:szCs w:val="24"/>
        </w:rPr>
        <w:t>- P</w:t>
      </w:r>
      <w:r w:rsidR="000A6CE2" w:rsidRPr="000A6CE2">
        <w:rPr>
          <w:rFonts w:ascii="Calibri" w:hAnsi="Calibri" w:cs="Calibri"/>
          <w:bCs/>
          <w:i/>
          <w:iCs/>
          <w:szCs w:val="24"/>
        </w:rPr>
        <w:t>rimo trimestre</w: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2"/>
      </w:tblGrid>
      <w:tr w:rsidR="00D71C33" w:rsidRPr="000A6CE2" w14:paraId="13A4D0C1" w14:textId="77777777" w:rsidTr="00322949">
        <w:trPr>
          <w:trHeight w:val="447"/>
        </w:trPr>
        <w:tc>
          <w:tcPr>
            <w:tcW w:w="2581" w:type="pct"/>
            <w:vAlign w:val="center"/>
          </w:tcPr>
          <w:p w14:paraId="6E8B1103" w14:textId="09941475" w:rsidR="00D71C33" w:rsidRPr="000A6CE2" w:rsidRDefault="000A6CE2" w:rsidP="00322949">
            <w:pPr>
              <w:jc w:val="center"/>
              <w:rPr>
                <w:rFonts w:ascii="Calibri" w:hAnsi="Calibri" w:cs="Calibri"/>
                <w:i/>
                <w:sz w:val="20"/>
              </w:rPr>
            </w:pPr>
            <w:r w:rsidRPr="000A6CE2">
              <w:rPr>
                <w:rFonts w:ascii="Calibri" w:hAnsi="Calibri" w:cs="Calibri"/>
                <w:b/>
                <w:i/>
                <w:color w:val="00B0F0"/>
                <w:sz w:val="20"/>
              </w:rPr>
              <w:t>EXPORT</w:t>
            </w:r>
          </w:p>
        </w:tc>
        <w:tc>
          <w:tcPr>
            <w:tcW w:w="2419" w:type="pct"/>
            <w:vAlign w:val="center"/>
          </w:tcPr>
          <w:p w14:paraId="68189F51" w14:textId="7CEF76B9" w:rsidR="00D71C33" w:rsidRPr="000A6CE2" w:rsidRDefault="00A368D2" w:rsidP="00322949">
            <w:pPr>
              <w:jc w:val="center"/>
              <w:rPr>
                <w:rFonts w:ascii="Calibri" w:hAnsi="Calibri" w:cs="Calibri"/>
                <w:i/>
                <w:sz w:val="20"/>
              </w:rPr>
            </w:pPr>
            <w:r>
              <w:rPr>
                <w:rFonts w:ascii="Calibri" w:hAnsi="Calibri" w:cs="Calibri"/>
                <w:b/>
                <w:i/>
                <w:color w:val="00B0F0"/>
                <w:sz w:val="20"/>
              </w:rPr>
              <w:t>IMPORT</w:t>
            </w:r>
          </w:p>
        </w:tc>
      </w:tr>
      <w:tr w:rsidR="00D71C33" w:rsidRPr="000A6CE2" w14:paraId="6F60B635" w14:textId="77777777" w:rsidTr="00322949">
        <w:trPr>
          <w:trHeight w:val="3118"/>
        </w:trPr>
        <w:tc>
          <w:tcPr>
            <w:tcW w:w="5000" w:type="pct"/>
            <w:gridSpan w:val="2"/>
            <w:vAlign w:val="center"/>
          </w:tcPr>
          <w:p w14:paraId="34E925ED" w14:textId="5C9A06EC" w:rsidR="00D71C33" w:rsidRPr="000A6CE2" w:rsidRDefault="00AA1002" w:rsidP="00322949">
            <w:pPr>
              <w:jc w:val="center"/>
              <w:rPr>
                <w:rFonts w:ascii="Calibri" w:hAnsi="Calibri" w:cs="Calibri"/>
                <w:b/>
                <w:szCs w:val="24"/>
              </w:rPr>
            </w:pPr>
            <w:r w:rsidRPr="000A6CE2">
              <w:rPr>
                <w:noProof/>
              </w:rPr>
              <w:drawing>
                <wp:inline distT="0" distB="0" distL="0" distR="0" wp14:anchorId="1C088353" wp14:editId="0A5035D8">
                  <wp:extent cx="5580380" cy="1881505"/>
                  <wp:effectExtent l="0" t="0" r="127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2415"/>
                          <a:stretch/>
                        </pic:blipFill>
                        <pic:spPr bwMode="auto">
                          <a:xfrm>
                            <a:off x="0" y="0"/>
                            <a:ext cx="5580380" cy="188150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C3B0989" w14:textId="77777777" w:rsidR="00D71C33" w:rsidRPr="000A6CE2" w:rsidRDefault="00D71C33" w:rsidP="00D71C33">
      <w:pPr>
        <w:rPr>
          <w:rFonts w:asciiTheme="minorHAnsi" w:eastAsiaTheme="minorHAnsi" w:hAnsiTheme="minorHAnsi" w:cstheme="minorBidi"/>
          <w:bCs/>
          <w:szCs w:val="24"/>
          <w:lang w:eastAsia="en-US"/>
        </w:rPr>
      </w:pPr>
      <w:r w:rsidRPr="000A6CE2">
        <w:rPr>
          <w:rFonts w:ascii="Calibri" w:hAnsi="Calibri" w:cs="Calibri"/>
          <w:bCs/>
          <w:i/>
          <w:sz w:val="18"/>
          <w:szCs w:val="18"/>
        </w:rPr>
        <w:t xml:space="preserve">Fonte: </w:t>
      </w:r>
      <w:proofErr w:type="spellStart"/>
      <w:r w:rsidRPr="000A6CE2">
        <w:rPr>
          <w:rFonts w:ascii="Calibri" w:hAnsi="Calibri" w:cs="Calibri"/>
          <w:bCs/>
          <w:i/>
          <w:sz w:val="18"/>
          <w:szCs w:val="18"/>
        </w:rPr>
        <w:t>elab</w:t>
      </w:r>
      <w:proofErr w:type="spellEnd"/>
      <w:r w:rsidRPr="000A6CE2">
        <w:rPr>
          <w:rFonts w:ascii="Calibri" w:hAnsi="Calibri" w:cs="Calibri"/>
          <w:bCs/>
          <w:i/>
          <w:sz w:val="18"/>
          <w:szCs w:val="18"/>
        </w:rPr>
        <w:t xml:space="preserve">. Ufficio Studi e Statistica CCIAA Treviso – Belluno su dati ISTAT </w:t>
      </w:r>
      <w:proofErr w:type="spellStart"/>
      <w:r w:rsidRPr="000A6CE2">
        <w:rPr>
          <w:rFonts w:ascii="Calibri" w:hAnsi="Calibri" w:cs="Calibri"/>
          <w:bCs/>
          <w:i/>
          <w:sz w:val="18"/>
          <w:szCs w:val="18"/>
        </w:rPr>
        <w:t>Coeweb</w:t>
      </w:r>
      <w:proofErr w:type="spellEnd"/>
    </w:p>
    <w:p w14:paraId="72BA85E2" w14:textId="77777777" w:rsidR="00D71C33" w:rsidRPr="00E36E47" w:rsidRDefault="00D71C33" w:rsidP="00D71C33">
      <w:pPr>
        <w:jc w:val="center"/>
        <w:rPr>
          <w:rFonts w:ascii="Calibri" w:hAnsi="Calibri" w:cs="Calibri"/>
          <w:b/>
          <w:szCs w:val="24"/>
          <w:highlight w:val="yellow"/>
        </w:rPr>
      </w:pPr>
    </w:p>
    <w:p w14:paraId="342D6373" w14:textId="569D40FC" w:rsidR="00D71C33" w:rsidRPr="000A6CE2" w:rsidRDefault="000C1B9D" w:rsidP="00D71C33">
      <w:pPr>
        <w:keepNext/>
        <w:jc w:val="center"/>
        <w:rPr>
          <w:rFonts w:ascii="Calibri" w:hAnsi="Calibri" w:cs="Calibri"/>
          <w:b/>
          <w:szCs w:val="24"/>
        </w:rPr>
      </w:pPr>
      <w:r>
        <w:rPr>
          <w:rFonts w:ascii="Calibri" w:hAnsi="Calibri" w:cs="Calibri"/>
          <w:b/>
          <w:szCs w:val="24"/>
        </w:rPr>
        <w:t>VENETO-</w:t>
      </w:r>
      <w:r w:rsidR="000A6CE2" w:rsidRPr="000A6CE2">
        <w:rPr>
          <w:rFonts w:ascii="Calibri" w:hAnsi="Calibri" w:cs="Calibri"/>
          <w:b/>
          <w:szCs w:val="24"/>
        </w:rPr>
        <w:t xml:space="preserve">Esportazioni </w:t>
      </w:r>
      <w:r w:rsidR="00657EA8" w:rsidRPr="000A6CE2">
        <w:rPr>
          <w:rFonts w:ascii="Calibri" w:hAnsi="Calibri" w:cs="Calibri"/>
          <w:b/>
          <w:szCs w:val="24"/>
        </w:rPr>
        <w:t>e</w:t>
      </w:r>
      <w:r w:rsidR="000A6CE2" w:rsidRPr="000A6CE2">
        <w:rPr>
          <w:rFonts w:ascii="Calibri" w:hAnsi="Calibri" w:cs="Calibri"/>
          <w:b/>
          <w:szCs w:val="24"/>
        </w:rPr>
        <w:t xml:space="preserve"> i</w:t>
      </w:r>
      <w:r w:rsidR="00D71C33" w:rsidRPr="000A6CE2">
        <w:rPr>
          <w:rFonts w:ascii="Calibri" w:hAnsi="Calibri" w:cs="Calibri"/>
          <w:b/>
          <w:szCs w:val="24"/>
        </w:rPr>
        <w:t>mportazioni in valore e in quantità</w:t>
      </w:r>
    </w:p>
    <w:p w14:paraId="4C4D10BD" w14:textId="412F6F23" w:rsidR="00D71C33" w:rsidRPr="000A6CE2" w:rsidRDefault="00D71C33" w:rsidP="00D71C33">
      <w:pPr>
        <w:keepNext/>
        <w:spacing w:after="200"/>
        <w:jc w:val="center"/>
        <w:rPr>
          <w:rFonts w:ascii="Calibri" w:hAnsi="Calibri" w:cs="Calibri"/>
          <w:bCs/>
          <w:i/>
          <w:iCs/>
          <w:szCs w:val="24"/>
        </w:rPr>
      </w:pPr>
      <w:r w:rsidRPr="000A6CE2">
        <w:rPr>
          <w:rFonts w:ascii="Calibri" w:hAnsi="Calibri" w:cs="Calibri"/>
          <w:bCs/>
          <w:i/>
          <w:iCs/>
          <w:szCs w:val="24"/>
        </w:rPr>
        <w:t>Variazioni percentuali tendenziali</w:t>
      </w:r>
      <w:r w:rsidR="000A6CE2" w:rsidRPr="000A6CE2">
        <w:rPr>
          <w:rFonts w:ascii="Calibri" w:hAnsi="Calibri" w:cs="Calibri"/>
          <w:bCs/>
          <w:i/>
          <w:iCs/>
          <w:szCs w:val="24"/>
        </w:rPr>
        <w:t xml:space="preserve"> – Serie storica </w:t>
      </w:r>
      <w:r w:rsidR="00DD6513" w:rsidRPr="000A6CE2">
        <w:rPr>
          <w:rFonts w:ascii="Calibri" w:hAnsi="Calibri" w:cs="Calibri"/>
          <w:bCs/>
          <w:i/>
          <w:iCs/>
          <w:szCs w:val="24"/>
        </w:rPr>
        <w:t>trimestrale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4370"/>
      </w:tblGrid>
      <w:tr w:rsidR="00D71C33" w:rsidRPr="000A6CE2" w14:paraId="092925D8" w14:textId="77777777" w:rsidTr="00322949">
        <w:trPr>
          <w:trHeight w:val="447"/>
        </w:trPr>
        <w:tc>
          <w:tcPr>
            <w:tcW w:w="4427" w:type="dxa"/>
            <w:vAlign w:val="center"/>
          </w:tcPr>
          <w:p w14:paraId="4387F3F5" w14:textId="61080C62" w:rsidR="00D71C33" w:rsidRPr="000A6CE2" w:rsidRDefault="000A6CE2" w:rsidP="00322949">
            <w:pPr>
              <w:jc w:val="center"/>
              <w:rPr>
                <w:rFonts w:ascii="Calibri" w:hAnsi="Calibri" w:cs="Calibri"/>
                <w:i/>
                <w:sz w:val="20"/>
              </w:rPr>
            </w:pPr>
            <w:r w:rsidRPr="000A6CE2">
              <w:rPr>
                <w:rFonts w:ascii="Calibri" w:hAnsi="Calibri" w:cs="Calibri"/>
                <w:b/>
                <w:i/>
                <w:color w:val="00B0F0"/>
                <w:sz w:val="20"/>
              </w:rPr>
              <w:t>EXPORT</w:t>
            </w:r>
          </w:p>
        </w:tc>
        <w:tc>
          <w:tcPr>
            <w:tcW w:w="4351" w:type="dxa"/>
            <w:vAlign w:val="center"/>
          </w:tcPr>
          <w:p w14:paraId="51A6DAEA" w14:textId="1E85C81F" w:rsidR="00D71C33" w:rsidRPr="000A6CE2" w:rsidRDefault="00184AAF" w:rsidP="00322949">
            <w:pPr>
              <w:jc w:val="center"/>
              <w:rPr>
                <w:rFonts w:ascii="Calibri" w:hAnsi="Calibri" w:cs="Calibri"/>
                <w:i/>
                <w:sz w:val="20"/>
              </w:rPr>
            </w:pPr>
            <w:r>
              <w:rPr>
                <w:rFonts w:ascii="Calibri" w:hAnsi="Calibri" w:cs="Calibri"/>
                <w:b/>
                <w:i/>
                <w:color w:val="00B0F0"/>
                <w:sz w:val="20"/>
              </w:rPr>
              <w:t>IMPORT</w:t>
            </w:r>
          </w:p>
        </w:tc>
      </w:tr>
      <w:tr w:rsidR="00D71C33" w:rsidRPr="000A6CE2" w14:paraId="55510B22" w14:textId="77777777" w:rsidTr="00322949">
        <w:tblPrEx>
          <w:tblCellMar>
            <w:left w:w="70" w:type="dxa"/>
            <w:right w:w="70" w:type="dxa"/>
          </w:tblCellMar>
        </w:tblPrEx>
        <w:trPr>
          <w:trHeight w:val="3231"/>
        </w:trPr>
        <w:tc>
          <w:tcPr>
            <w:tcW w:w="8778" w:type="dxa"/>
            <w:gridSpan w:val="2"/>
          </w:tcPr>
          <w:p w14:paraId="0A9D72FD" w14:textId="6FE35B17" w:rsidR="00D71C33" w:rsidRPr="000A6CE2" w:rsidRDefault="00AA1002" w:rsidP="00322949">
            <w:pPr>
              <w:jc w:val="left"/>
              <w:rPr>
                <w:rFonts w:ascii="Calibri" w:hAnsi="Calibri" w:cs="Calibri"/>
                <w:b/>
                <w:szCs w:val="24"/>
              </w:rPr>
            </w:pPr>
            <w:r w:rsidRPr="000A6CE2">
              <w:rPr>
                <w:noProof/>
              </w:rPr>
              <w:drawing>
                <wp:inline distT="0" distB="0" distL="0" distR="0" wp14:anchorId="002A6F94" wp14:editId="73B6FD58">
                  <wp:extent cx="5580380" cy="1965960"/>
                  <wp:effectExtent l="0" t="0" r="127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0804"/>
                          <a:stretch/>
                        </pic:blipFill>
                        <pic:spPr bwMode="auto">
                          <a:xfrm>
                            <a:off x="0" y="0"/>
                            <a:ext cx="5580380" cy="196596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124EC2C" w14:textId="77777777" w:rsidR="00D71C33" w:rsidRPr="000A6CE2" w:rsidRDefault="00D71C33" w:rsidP="00913FDD">
      <w:pPr>
        <w:spacing w:after="200"/>
        <w:rPr>
          <w:rFonts w:ascii="Calibri" w:hAnsi="Calibri" w:cs="Calibri"/>
          <w:bCs/>
          <w:i/>
          <w:sz w:val="18"/>
          <w:szCs w:val="18"/>
        </w:rPr>
      </w:pPr>
      <w:r w:rsidRPr="000A6CE2">
        <w:rPr>
          <w:rFonts w:ascii="Calibri" w:hAnsi="Calibri" w:cs="Calibri"/>
          <w:bCs/>
          <w:i/>
          <w:sz w:val="18"/>
          <w:szCs w:val="18"/>
        </w:rPr>
        <w:t xml:space="preserve">Fonte: </w:t>
      </w:r>
      <w:proofErr w:type="spellStart"/>
      <w:r w:rsidRPr="000A6CE2">
        <w:rPr>
          <w:rFonts w:ascii="Calibri" w:hAnsi="Calibri" w:cs="Calibri"/>
          <w:bCs/>
          <w:i/>
          <w:sz w:val="18"/>
          <w:szCs w:val="18"/>
        </w:rPr>
        <w:t>elab</w:t>
      </w:r>
      <w:proofErr w:type="spellEnd"/>
      <w:r w:rsidRPr="000A6CE2">
        <w:rPr>
          <w:rFonts w:ascii="Calibri" w:hAnsi="Calibri" w:cs="Calibri"/>
          <w:bCs/>
          <w:i/>
          <w:sz w:val="18"/>
          <w:szCs w:val="18"/>
        </w:rPr>
        <w:t xml:space="preserve">. Ufficio Studi e Statistica CCIAA Treviso – Belluno su dati ISTAT </w:t>
      </w:r>
      <w:proofErr w:type="spellStart"/>
      <w:r w:rsidRPr="000A6CE2">
        <w:rPr>
          <w:rFonts w:ascii="Calibri" w:hAnsi="Calibri" w:cs="Calibri"/>
          <w:bCs/>
          <w:i/>
          <w:sz w:val="18"/>
          <w:szCs w:val="18"/>
        </w:rPr>
        <w:t>Coeweb</w:t>
      </w:r>
      <w:proofErr w:type="spellEnd"/>
    </w:p>
    <w:p w14:paraId="30C24088" w14:textId="77777777" w:rsidR="00D71C33" w:rsidRPr="00E36E47" w:rsidRDefault="00D71C33" w:rsidP="00752A60">
      <w:pPr>
        <w:keepNext/>
        <w:jc w:val="center"/>
        <w:rPr>
          <w:rFonts w:ascii="Calibri" w:hAnsi="Calibri" w:cs="Calibri"/>
          <w:b/>
          <w:strike/>
          <w:szCs w:val="24"/>
          <w:highlight w:val="yellow"/>
        </w:rPr>
      </w:pPr>
    </w:p>
    <w:p w14:paraId="1B10DB3F" w14:textId="14370032" w:rsidR="00DD6513" w:rsidRPr="00DD6513" w:rsidRDefault="001C6325" w:rsidP="00FB1FE1">
      <w:pPr>
        <w:spacing w:before="240" w:after="200" w:line="320" w:lineRule="exact"/>
        <w:rPr>
          <w:rFonts w:ascii="Calibri" w:hAnsi="Calibri" w:cs="Calibri"/>
          <w:b/>
          <w:bCs/>
          <w:szCs w:val="24"/>
        </w:rPr>
      </w:pPr>
      <w:r w:rsidRPr="00DD6513">
        <w:rPr>
          <w:rFonts w:ascii="Calibri" w:hAnsi="Calibri" w:cs="Calibri"/>
          <w:b/>
          <w:bCs/>
          <w:szCs w:val="24"/>
        </w:rPr>
        <w:t xml:space="preserve">L’interscambio commerciale della </w:t>
      </w:r>
      <w:r w:rsidR="00991D9C" w:rsidRPr="00DD6513">
        <w:rPr>
          <w:rFonts w:ascii="Calibri" w:hAnsi="Calibri" w:cs="Calibri"/>
          <w:b/>
          <w:bCs/>
          <w:szCs w:val="24"/>
        </w:rPr>
        <w:t>p</w:t>
      </w:r>
      <w:r w:rsidRPr="00DD6513">
        <w:rPr>
          <w:rFonts w:ascii="Calibri" w:hAnsi="Calibri" w:cs="Calibri"/>
          <w:b/>
          <w:bCs/>
          <w:szCs w:val="24"/>
        </w:rPr>
        <w:t>rovincia di Treviso</w:t>
      </w:r>
    </w:p>
    <w:p w14:paraId="42ACB8C0" w14:textId="69F067D4" w:rsidR="0056387D" w:rsidRDefault="00FB2EF2" w:rsidP="00423ADA">
      <w:pPr>
        <w:spacing w:before="240" w:after="200" w:line="320" w:lineRule="exact"/>
        <w:rPr>
          <w:rFonts w:ascii="Calibri" w:hAnsi="Calibri" w:cs="Calibri"/>
          <w:szCs w:val="24"/>
        </w:rPr>
      </w:pPr>
      <w:r>
        <w:rPr>
          <w:rFonts w:ascii="Calibri" w:hAnsi="Calibri" w:cs="Calibri"/>
          <w:szCs w:val="24"/>
        </w:rPr>
        <w:t>In linea con le tendenze regionali è l</w:t>
      </w:r>
      <w:r w:rsidR="0056387D">
        <w:rPr>
          <w:rFonts w:ascii="Calibri" w:hAnsi="Calibri" w:cs="Calibri"/>
          <w:szCs w:val="24"/>
        </w:rPr>
        <w:t>a dinamica dell’</w:t>
      </w:r>
      <w:r w:rsidR="0056387D" w:rsidRPr="0056387D">
        <w:rPr>
          <w:rFonts w:ascii="Calibri" w:hAnsi="Calibri" w:cs="Calibri"/>
          <w:b/>
          <w:bCs/>
          <w:szCs w:val="24"/>
        </w:rPr>
        <w:t xml:space="preserve">export trevigiano </w:t>
      </w:r>
      <w:r>
        <w:rPr>
          <w:rFonts w:ascii="Calibri" w:hAnsi="Calibri" w:cs="Calibri"/>
          <w:szCs w:val="24"/>
        </w:rPr>
        <w:t>per i</w:t>
      </w:r>
      <w:r w:rsidR="0056387D">
        <w:rPr>
          <w:rFonts w:ascii="Calibri" w:hAnsi="Calibri" w:cs="Calibri"/>
          <w:szCs w:val="24"/>
        </w:rPr>
        <w:t>l primo trimestre 2024</w:t>
      </w:r>
      <w:r w:rsidR="005049A6">
        <w:rPr>
          <w:rFonts w:ascii="Calibri" w:hAnsi="Calibri" w:cs="Calibri"/>
          <w:szCs w:val="24"/>
        </w:rPr>
        <w:t>: in questa prima parte dell’anno i</w:t>
      </w:r>
      <w:r w:rsidR="0056387D">
        <w:rPr>
          <w:rFonts w:ascii="Calibri" w:hAnsi="Calibri" w:cs="Calibri"/>
          <w:szCs w:val="24"/>
        </w:rPr>
        <w:t xml:space="preserve">l valore delle esportazioni scende del -6,3% su base </w:t>
      </w:r>
      <w:r w:rsidR="00657EA8">
        <w:rPr>
          <w:rFonts w:ascii="Calibri" w:hAnsi="Calibri" w:cs="Calibri"/>
          <w:szCs w:val="24"/>
        </w:rPr>
        <w:t>tendenziale</w:t>
      </w:r>
      <w:r w:rsidR="00AC4AA5">
        <w:rPr>
          <w:rFonts w:ascii="Calibri" w:hAnsi="Calibri" w:cs="Calibri"/>
          <w:szCs w:val="24"/>
        </w:rPr>
        <w:t xml:space="preserve">. Ma </w:t>
      </w:r>
      <w:r w:rsidR="0056387D">
        <w:rPr>
          <w:rFonts w:ascii="Calibri" w:hAnsi="Calibri" w:cs="Calibri"/>
          <w:szCs w:val="24"/>
        </w:rPr>
        <w:t xml:space="preserve">lo scorso anno la variazione era in positivo del +5,4%. </w:t>
      </w:r>
      <w:r w:rsidR="00AC4AA5">
        <w:rPr>
          <w:rFonts w:ascii="Calibri" w:hAnsi="Calibri" w:cs="Calibri"/>
          <w:szCs w:val="24"/>
        </w:rPr>
        <w:t>E spesso, per le varie voci merceologiche, l’attuale segno negativo si confronta con un’ancora sostenuta crescita, anche a due cifre, nei primi mesi del 2023</w:t>
      </w:r>
      <w:r w:rsidR="0056387D">
        <w:rPr>
          <w:rFonts w:ascii="Calibri" w:hAnsi="Calibri" w:cs="Calibri"/>
          <w:szCs w:val="24"/>
        </w:rPr>
        <w:t>.</w:t>
      </w:r>
      <w:r w:rsidR="00AC4AA5">
        <w:rPr>
          <w:rFonts w:ascii="Calibri" w:hAnsi="Calibri" w:cs="Calibri"/>
          <w:szCs w:val="24"/>
        </w:rPr>
        <w:t xml:space="preserve"> Inoltre, per la maggior parte dei settori, i valori export attuali si posizionano ancora </w:t>
      </w:r>
      <w:r w:rsidR="00657EA8">
        <w:rPr>
          <w:rFonts w:ascii="Calibri" w:hAnsi="Calibri" w:cs="Calibri"/>
          <w:szCs w:val="24"/>
        </w:rPr>
        <w:t xml:space="preserve">al di </w:t>
      </w:r>
      <w:r w:rsidR="00AC4AA5">
        <w:rPr>
          <w:rFonts w:ascii="Calibri" w:hAnsi="Calibri" w:cs="Calibri"/>
          <w:szCs w:val="24"/>
        </w:rPr>
        <w:t xml:space="preserve">sopra </w:t>
      </w:r>
      <w:r w:rsidR="00657EA8">
        <w:rPr>
          <w:rFonts w:ascii="Calibri" w:hAnsi="Calibri" w:cs="Calibri"/>
          <w:szCs w:val="24"/>
        </w:rPr>
        <w:t>de</w:t>
      </w:r>
      <w:r w:rsidR="00AC4AA5">
        <w:rPr>
          <w:rFonts w:ascii="Calibri" w:hAnsi="Calibri" w:cs="Calibri"/>
          <w:szCs w:val="24"/>
        </w:rPr>
        <w:t>i livelli dell’analogo periodo del 2019 (+15,9%). Fanno eccezione, in negativo, l’abbigliamento, le calzature, il settore dei mezzi di trasporto e della componentistica.</w:t>
      </w:r>
    </w:p>
    <w:p w14:paraId="25CB8593" w14:textId="6C47BECC" w:rsidR="0099132D" w:rsidRDefault="00AC4AA5" w:rsidP="00423ADA">
      <w:pPr>
        <w:spacing w:before="240" w:after="200" w:line="320" w:lineRule="exact"/>
        <w:rPr>
          <w:rFonts w:ascii="Calibri" w:hAnsi="Calibri" w:cs="Calibri"/>
          <w:szCs w:val="24"/>
        </w:rPr>
      </w:pPr>
      <w:r>
        <w:rPr>
          <w:rFonts w:ascii="Calibri" w:hAnsi="Calibri" w:cs="Calibri"/>
          <w:szCs w:val="24"/>
        </w:rPr>
        <w:lastRenderedPageBreak/>
        <w:t xml:space="preserve">Il </w:t>
      </w:r>
      <w:r w:rsidRPr="003951C7">
        <w:rPr>
          <w:rFonts w:ascii="Calibri" w:hAnsi="Calibri" w:cs="Calibri"/>
          <w:b/>
          <w:bCs/>
          <w:szCs w:val="24"/>
        </w:rPr>
        <w:t>settore</w:t>
      </w:r>
      <w:r>
        <w:rPr>
          <w:rFonts w:ascii="Calibri" w:hAnsi="Calibri" w:cs="Calibri"/>
          <w:szCs w:val="24"/>
        </w:rPr>
        <w:t xml:space="preserve"> dei macchinari, </w:t>
      </w:r>
      <w:r w:rsidR="0099132D">
        <w:rPr>
          <w:rFonts w:ascii="Calibri" w:hAnsi="Calibri" w:cs="Calibri"/>
          <w:szCs w:val="24"/>
        </w:rPr>
        <w:t>prima voce dell’export provinciale,</w:t>
      </w:r>
      <w:r w:rsidR="0056387D">
        <w:rPr>
          <w:rFonts w:ascii="Calibri" w:hAnsi="Calibri" w:cs="Calibri"/>
          <w:szCs w:val="24"/>
        </w:rPr>
        <w:t xml:space="preserve"> </w:t>
      </w:r>
      <w:r>
        <w:rPr>
          <w:rFonts w:ascii="Calibri" w:hAnsi="Calibri" w:cs="Calibri"/>
          <w:szCs w:val="24"/>
        </w:rPr>
        <w:t xml:space="preserve">accusa una </w:t>
      </w:r>
      <w:r w:rsidR="0056387D">
        <w:rPr>
          <w:rFonts w:ascii="Calibri" w:hAnsi="Calibri" w:cs="Calibri"/>
          <w:szCs w:val="24"/>
        </w:rPr>
        <w:t xml:space="preserve">flessione </w:t>
      </w:r>
      <w:r w:rsidR="0054196C">
        <w:rPr>
          <w:rFonts w:ascii="Calibri" w:hAnsi="Calibri" w:cs="Calibri"/>
          <w:szCs w:val="24"/>
        </w:rPr>
        <w:t xml:space="preserve">del -4,0% </w:t>
      </w:r>
      <w:r w:rsidR="0056387D">
        <w:rPr>
          <w:rFonts w:ascii="Calibri" w:hAnsi="Calibri" w:cs="Calibri"/>
          <w:szCs w:val="24"/>
        </w:rPr>
        <w:t>su base annua</w:t>
      </w:r>
      <w:r>
        <w:rPr>
          <w:rFonts w:ascii="Calibri" w:hAnsi="Calibri" w:cs="Calibri"/>
          <w:szCs w:val="24"/>
        </w:rPr>
        <w:t>, che tuttavia va confrontata</w:t>
      </w:r>
      <w:r w:rsidR="0056387D">
        <w:rPr>
          <w:rFonts w:ascii="Calibri" w:hAnsi="Calibri" w:cs="Calibri"/>
          <w:szCs w:val="24"/>
        </w:rPr>
        <w:t xml:space="preserve"> con </w:t>
      </w:r>
      <w:r w:rsidR="0054196C">
        <w:rPr>
          <w:rFonts w:ascii="Calibri" w:hAnsi="Calibri" w:cs="Calibri"/>
          <w:szCs w:val="24"/>
        </w:rPr>
        <w:t>una</w:t>
      </w:r>
      <w:r w:rsidR="0056387D">
        <w:rPr>
          <w:rFonts w:ascii="Calibri" w:hAnsi="Calibri" w:cs="Calibri"/>
          <w:szCs w:val="24"/>
        </w:rPr>
        <w:t xml:space="preserve"> crescita </w:t>
      </w:r>
      <w:r w:rsidR="0069505C">
        <w:rPr>
          <w:rFonts w:ascii="Calibri" w:hAnsi="Calibri" w:cs="Calibri"/>
          <w:szCs w:val="24"/>
        </w:rPr>
        <w:t>ancora molto sostenuta (+19,8%) registrata lo scorso anno</w:t>
      </w:r>
      <w:r w:rsidR="0056387D">
        <w:rPr>
          <w:rFonts w:ascii="Calibri" w:hAnsi="Calibri" w:cs="Calibri"/>
          <w:szCs w:val="24"/>
        </w:rPr>
        <w:t xml:space="preserve">. </w:t>
      </w:r>
      <w:r w:rsidR="005F3573">
        <w:rPr>
          <w:rFonts w:ascii="Calibri" w:hAnsi="Calibri" w:cs="Calibri"/>
          <w:szCs w:val="24"/>
        </w:rPr>
        <w:t>L</w:t>
      </w:r>
      <w:r>
        <w:rPr>
          <w:rFonts w:ascii="Calibri" w:hAnsi="Calibri" w:cs="Calibri"/>
          <w:szCs w:val="24"/>
        </w:rPr>
        <w:t>’</w:t>
      </w:r>
      <w:r w:rsidR="005F3573">
        <w:rPr>
          <w:rFonts w:ascii="Calibri" w:hAnsi="Calibri" w:cs="Calibri"/>
          <w:szCs w:val="24"/>
        </w:rPr>
        <w:t>a</w:t>
      </w:r>
      <w:r>
        <w:rPr>
          <w:rFonts w:ascii="Calibri" w:hAnsi="Calibri" w:cs="Calibri"/>
          <w:szCs w:val="24"/>
        </w:rPr>
        <w:t>ttuale</w:t>
      </w:r>
      <w:r w:rsidR="005F3573">
        <w:rPr>
          <w:rFonts w:ascii="Calibri" w:hAnsi="Calibri" w:cs="Calibri"/>
          <w:szCs w:val="24"/>
        </w:rPr>
        <w:t xml:space="preserve"> variazione, in particolare, si porta in negativo per l’area Ue27 che risente del calo delle vendite in valori verso il mercato tedesco, francese e polacco, mentre prosegue la performance positiva verso Spagna e Romania. Per l’area extra</w:t>
      </w:r>
      <w:r w:rsidR="007E5D51">
        <w:rPr>
          <w:rFonts w:ascii="Calibri" w:hAnsi="Calibri" w:cs="Calibri"/>
          <w:szCs w:val="24"/>
        </w:rPr>
        <w:t>-</w:t>
      </w:r>
      <w:r w:rsidR="005F3573">
        <w:rPr>
          <w:rFonts w:ascii="Calibri" w:hAnsi="Calibri" w:cs="Calibri"/>
          <w:szCs w:val="24"/>
        </w:rPr>
        <w:t>Ue27 si continuano ad osservare crescite significative verso il mercato statunitense e turco, in riduzione quello britannico.</w:t>
      </w:r>
      <w:r w:rsidR="0069505C">
        <w:rPr>
          <w:rFonts w:ascii="Calibri" w:hAnsi="Calibri" w:cs="Calibri"/>
          <w:szCs w:val="24"/>
        </w:rPr>
        <w:t xml:space="preserve"> </w:t>
      </w:r>
    </w:p>
    <w:p w14:paraId="7E79F2F6" w14:textId="467417B6" w:rsidR="00752B2C" w:rsidRDefault="00AC4AA5" w:rsidP="00423ADA">
      <w:pPr>
        <w:spacing w:before="240" w:after="200" w:line="320" w:lineRule="exact"/>
        <w:rPr>
          <w:rFonts w:ascii="Calibri" w:hAnsi="Calibri" w:cs="Calibri"/>
          <w:szCs w:val="24"/>
        </w:rPr>
      </w:pPr>
      <w:r>
        <w:rPr>
          <w:rFonts w:ascii="Calibri" w:hAnsi="Calibri" w:cs="Calibri"/>
          <w:szCs w:val="24"/>
        </w:rPr>
        <w:t>Diversa storia per il sistema moda: molto più accentuata la flessione, del -16,2% per il tessile-abbigliamento, e del -21,2% per le calzature. Con tali flessioni viene vanificato il recupero del 2023: i due settori vanno a posizionarsi al di sotto dei risultati del primo trimestre 2019 (-6,6% per il tessile abbigliamento; -10,4% per le calzature)</w:t>
      </w:r>
      <w:r w:rsidR="00752B2C">
        <w:rPr>
          <w:rFonts w:ascii="Calibri" w:hAnsi="Calibri" w:cs="Calibri"/>
          <w:szCs w:val="24"/>
        </w:rPr>
        <w:t>. Una flessione sul 2019 che interessa tant</w:t>
      </w:r>
      <w:r w:rsidR="007E5D51">
        <w:rPr>
          <w:rFonts w:ascii="Calibri" w:hAnsi="Calibri" w:cs="Calibri"/>
          <w:szCs w:val="24"/>
        </w:rPr>
        <w:t>o</w:t>
      </w:r>
      <w:r w:rsidR="00752B2C">
        <w:rPr>
          <w:rFonts w:ascii="Calibri" w:hAnsi="Calibri" w:cs="Calibri"/>
          <w:szCs w:val="24"/>
        </w:rPr>
        <w:t xml:space="preserve"> i mercati Ue</w:t>
      </w:r>
      <w:r w:rsidR="00F12C3D">
        <w:rPr>
          <w:rFonts w:ascii="Calibri" w:hAnsi="Calibri" w:cs="Calibri"/>
          <w:szCs w:val="24"/>
        </w:rPr>
        <w:t>27</w:t>
      </w:r>
      <w:r w:rsidR="00752B2C">
        <w:rPr>
          <w:rFonts w:ascii="Calibri" w:hAnsi="Calibri" w:cs="Calibri"/>
          <w:szCs w:val="24"/>
        </w:rPr>
        <w:t xml:space="preserve"> (in particolare Germania) quanto i mercato extra-Ue</w:t>
      </w:r>
      <w:r w:rsidR="007E5D51">
        <w:rPr>
          <w:rFonts w:ascii="Calibri" w:hAnsi="Calibri" w:cs="Calibri"/>
          <w:szCs w:val="24"/>
        </w:rPr>
        <w:t>27</w:t>
      </w:r>
      <w:r w:rsidR="00752B2C">
        <w:rPr>
          <w:rFonts w:ascii="Calibri" w:hAnsi="Calibri" w:cs="Calibri"/>
          <w:szCs w:val="24"/>
        </w:rPr>
        <w:t xml:space="preserve"> (soprattutto Regno Unito).</w:t>
      </w:r>
    </w:p>
    <w:p w14:paraId="491C4999" w14:textId="51CE9531" w:rsidR="00564EAD" w:rsidRDefault="00564EAD" w:rsidP="00423ADA">
      <w:pPr>
        <w:spacing w:before="240" w:after="200" w:line="320" w:lineRule="exact"/>
        <w:rPr>
          <w:rFonts w:ascii="Calibri" w:hAnsi="Calibri" w:cs="Calibri"/>
          <w:szCs w:val="24"/>
        </w:rPr>
      </w:pPr>
      <w:r>
        <w:rPr>
          <w:rFonts w:ascii="Calibri" w:hAnsi="Calibri" w:cs="Calibri"/>
          <w:szCs w:val="24"/>
        </w:rPr>
        <w:t>Per i mobili, seconda voce dell’export provinciale, la flessione</w:t>
      </w:r>
      <w:r w:rsidR="005F3573">
        <w:rPr>
          <w:rFonts w:ascii="Calibri" w:hAnsi="Calibri" w:cs="Calibri"/>
          <w:szCs w:val="24"/>
        </w:rPr>
        <w:t xml:space="preserve"> del -5,7%</w:t>
      </w:r>
      <w:r>
        <w:rPr>
          <w:rFonts w:ascii="Calibri" w:hAnsi="Calibri" w:cs="Calibri"/>
          <w:szCs w:val="24"/>
        </w:rPr>
        <w:t xml:space="preserve"> </w:t>
      </w:r>
      <w:r w:rsidR="005F3573">
        <w:rPr>
          <w:rFonts w:ascii="Calibri" w:hAnsi="Calibri" w:cs="Calibri"/>
          <w:szCs w:val="24"/>
        </w:rPr>
        <w:t>a gennaio-</w:t>
      </w:r>
      <w:r w:rsidR="00752B2C">
        <w:rPr>
          <w:rFonts w:ascii="Calibri" w:hAnsi="Calibri" w:cs="Calibri"/>
          <w:szCs w:val="24"/>
        </w:rPr>
        <w:t>marzo</w:t>
      </w:r>
      <w:r w:rsidR="005F3573">
        <w:rPr>
          <w:rFonts w:ascii="Calibri" w:hAnsi="Calibri" w:cs="Calibri"/>
          <w:szCs w:val="24"/>
        </w:rPr>
        <w:t xml:space="preserve"> 2024</w:t>
      </w:r>
      <w:r>
        <w:rPr>
          <w:rFonts w:ascii="Calibri" w:hAnsi="Calibri" w:cs="Calibri"/>
          <w:szCs w:val="24"/>
        </w:rPr>
        <w:t xml:space="preserve"> segue la sostanziale stabilità delle vendite dell’anno precedente.</w:t>
      </w:r>
      <w:r w:rsidR="000D6193">
        <w:rPr>
          <w:rFonts w:ascii="Calibri" w:hAnsi="Calibri" w:cs="Calibri"/>
          <w:szCs w:val="24"/>
        </w:rPr>
        <w:t xml:space="preserve"> Il risultato incorpora le flessioni delle vendite verso il mercato tedesco, francese, spagnolo e britannico, in controtendenza positiva in particolare gli Stati Uniti, primo mercato extra</w:t>
      </w:r>
      <w:r w:rsidR="007E5D51">
        <w:rPr>
          <w:rFonts w:ascii="Calibri" w:hAnsi="Calibri" w:cs="Calibri"/>
          <w:szCs w:val="24"/>
        </w:rPr>
        <w:t>-</w:t>
      </w:r>
      <w:r w:rsidR="000D6193">
        <w:rPr>
          <w:rFonts w:ascii="Calibri" w:hAnsi="Calibri" w:cs="Calibri"/>
          <w:szCs w:val="24"/>
        </w:rPr>
        <w:t>Ue27 per il settore.</w:t>
      </w:r>
    </w:p>
    <w:p w14:paraId="497B8363" w14:textId="1C4AE7C7" w:rsidR="00564EAD" w:rsidRDefault="000D6193" w:rsidP="00423ADA">
      <w:pPr>
        <w:spacing w:before="240" w:after="200" w:line="320" w:lineRule="exact"/>
        <w:rPr>
          <w:rFonts w:ascii="Calibri" w:hAnsi="Calibri" w:cs="Calibri"/>
          <w:szCs w:val="24"/>
        </w:rPr>
      </w:pPr>
      <w:r>
        <w:rPr>
          <w:rFonts w:ascii="Calibri" w:hAnsi="Calibri" w:cs="Calibri"/>
          <w:szCs w:val="24"/>
        </w:rPr>
        <w:t>Rimane, invece, poco al di sopra della stabilità (+0,4%) l</w:t>
      </w:r>
      <w:r w:rsidR="00564EAD">
        <w:rPr>
          <w:rFonts w:ascii="Calibri" w:hAnsi="Calibri" w:cs="Calibri"/>
          <w:szCs w:val="24"/>
        </w:rPr>
        <w:t>’export trevigiano di bevande (prosecco soprattutto), ma anche in questo caso il confronto è con un periodo (primo trimestre 2023) di forte crescita su base annua (+14%).</w:t>
      </w:r>
      <w:r w:rsidR="00752B2C">
        <w:rPr>
          <w:rFonts w:ascii="Calibri" w:hAnsi="Calibri" w:cs="Calibri"/>
          <w:szCs w:val="24"/>
        </w:rPr>
        <w:t xml:space="preserve"> </w:t>
      </w:r>
      <w:r w:rsidR="005367D9">
        <w:rPr>
          <w:rFonts w:ascii="Calibri" w:hAnsi="Calibri" w:cs="Calibri"/>
          <w:szCs w:val="24"/>
        </w:rPr>
        <w:t>Lo stesso ritmo di crescita dello scorso anno si osserva,</w:t>
      </w:r>
      <w:r w:rsidR="00564EAD">
        <w:rPr>
          <w:rFonts w:ascii="Calibri" w:hAnsi="Calibri" w:cs="Calibri"/>
          <w:szCs w:val="24"/>
        </w:rPr>
        <w:t xml:space="preserve"> invece</w:t>
      </w:r>
      <w:r w:rsidR="005367D9">
        <w:rPr>
          <w:rFonts w:ascii="Calibri" w:hAnsi="Calibri" w:cs="Calibri"/>
          <w:szCs w:val="24"/>
        </w:rPr>
        <w:t>,</w:t>
      </w:r>
      <w:r w:rsidR="00564EAD">
        <w:rPr>
          <w:rFonts w:ascii="Calibri" w:hAnsi="Calibri" w:cs="Calibri"/>
          <w:szCs w:val="24"/>
        </w:rPr>
        <w:t xml:space="preserve"> per gli alimentari che, rispetto ai primi tre mesi 2023, registrano un aumento delle esportazioni del +7,4%.</w:t>
      </w:r>
    </w:p>
    <w:p w14:paraId="2D72FE14" w14:textId="3465D7D8" w:rsidR="00743C4D" w:rsidRPr="004F2322" w:rsidRDefault="0078011C" w:rsidP="00743C4D">
      <w:pPr>
        <w:spacing w:before="240" w:after="200" w:line="320" w:lineRule="exact"/>
        <w:rPr>
          <w:rFonts w:ascii="Calibri" w:hAnsi="Calibri" w:cs="Calibri"/>
          <w:szCs w:val="24"/>
        </w:rPr>
      </w:pPr>
      <w:r>
        <w:rPr>
          <w:rFonts w:ascii="Calibri" w:hAnsi="Calibri" w:cs="Calibri"/>
          <w:szCs w:val="24"/>
        </w:rPr>
        <w:t xml:space="preserve">Con riferimento ai </w:t>
      </w:r>
      <w:r w:rsidR="00743C4D" w:rsidRPr="005D18CC">
        <w:rPr>
          <w:rFonts w:ascii="Calibri" w:hAnsi="Calibri" w:cs="Calibri"/>
          <w:b/>
          <w:bCs/>
          <w:szCs w:val="24"/>
        </w:rPr>
        <w:t xml:space="preserve">mercati </w:t>
      </w:r>
      <w:r w:rsidR="00743C4D">
        <w:rPr>
          <w:rFonts w:ascii="Calibri" w:hAnsi="Calibri" w:cs="Calibri"/>
          <w:szCs w:val="24"/>
        </w:rPr>
        <w:t>di destinazione</w:t>
      </w:r>
      <w:r>
        <w:rPr>
          <w:rFonts w:ascii="Calibri" w:hAnsi="Calibri" w:cs="Calibri"/>
          <w:szCs w:val="24"/>
        </w:rPr>
        <w:t>, il primo trimestre 2024 vede una diminuzione delle vendite soprattutto verso l’Unione Europea (-8,4%) ed in particolare verso la Germania (-13,6%) e la Francia (-6,3%)</w:t>
      </w:r>
      <w:r w:rsidR="004F2322">
        <w:rPr>
          <w:rFonts w:ascii="Calibri" w:hAnsi="Calibri" w:cs="Calibri"/>
          <w:szCs w:val="24"/>
        </w:rPr>
        <w:t>;</w:t>
      </w:r>
      <w:r w:rsidR="00743C4D">
        <w:rPr>
          <w:rFonts w:ascii="Calibri" w:hAnsi="Calibri" w:cs="Calibri"/>
          <w:szCs w:val="24"/>
        </w:rPr>
        <w:t xml:space="preserve"> </w:t>
      </w:r>
      <w:r w:rsidR="004F2322">
        <w:rPr>
          <w:rFonts w:ascii="Calibri" w:hAnsi="Calibri" w:cs="Calibri"/>
          <w:szCs w:val="24"/>
        </w:rPr>
        <w:t>i</w:t>
      </w:r>
      <w:r>
        <w:rPr>
          <w:rFonts w:ascii="Calibri" w:hAnsi="Calibri" w:cs="Calibri"/>
          <w:szCs w:val="24"/>
        </w:rPr>
        <w:t>n</w:t>
      </w:r>
      <w:r w:rsidR="004F2322">
        <w:rPr>
          <w:rFonts w:ascii="Calibri" w:hAnsi="Calibri" w:cs="Calibri"/>
          <w:szCs w:val="24"/>
        </w:rPr>
        <w:t xml:space="preserve"> controtendenza positiva il mercato spagnolo (+3,8%). Una lieve flessione si osserva anche per le vendite verso l’area extra</w:t>
      </w:r>
      <w:r w:rsidR="007E5D51">
        <w:rPr>
          <w:rFonts w:ascii="Calibri" w:hAnsi="Calibri" w:cs="Calibri"/>
          <w:szCs w:val="24"/>
        </w:rPr>
        <w:t>-</w:t>
      </w:r>
      <w:r w:rsidR="004F2322">
        <w:rPr>
          <w:rFonts w:ascii="Calibri" w:hAnsi="Calibri" w:cs="Calibri"/>
          <w:szCs w:val="24"/>
        </w:rPr>
        <w:t>Ue</w:t>
      </w:r>
      <w:r w:rsidR="007E5D51">
        <w:rPr>
          <w:rFonts w:ascii="Calibri" w:hAnsi="Calibri" w:cs="Calibri"/>
          <w:szCs w:val="24"/>
        </w:rPr>
        <w:t xml:space="preserve"> </w:t>
      </w:r>
      <w:r w:rsidR="004F2322">
        <w:rPr>
          <w:rFonts w:ascii="Calibri" w:hAnsi="Calibri" w:cs="Calibri"/>
          <w:szCs w:val="24"/>
        </w:rPr>
        <w:t xml:space="preserve">27 (-2,6%), determinata soprattutto dal mercato britannico (-11,4%), stabile il mercato statunitense, </w:t>
      </w:r>
      <w:r w:rsidR="004F2322" w:rsidRPr="004F2322">
        <w:rPr>
          <w:rFonts w:ascii="Calibri" w:hAnsi="Calibri" w:cs="Calibri"/>
          <w:szCs w:val="24"/>
        </w:rPr>
        <w:t>mentre prosegue la crescita del mercato turco (+19%).</w:t>
      </w:r>
    </w:p>
    <w:p w14:paraId="479BEF72" w14:textId="399EEA39" w:rsidR="004F2322" w:rsidRPr="004F2322" w:rsidRDefault="004F2322" w:rsidP="004F2322">
      <w:pPr>
        <w:spacing w:before="120" w:after="200" w:line="320" w:lineRule="exact"/>
        <w:rPr>
          <w:rFonts w:ascii="Calibri" w:hAnsi="Calibri" w:cs="Calibri"/>
          <w:szCs w:val="24"/>
        </w:rPr>
      </w:pPr>
      <w:r w:rsidRPr="004F2322">
        <w:rPr>
          <w:rFonts w:ascii="Calibri" w:hAnsi="Calibri" w:cs="Calibri"/>
          <w:szCs w:val="24"/>
        </w:rPr>
        <w:t xml:space="preserve">Le </w:t>
      </w:r>
      <w:r w:rsidRPr="004F2322">
        <w:rPr>
          <w:rFonts w:ascii="Calibri" w:hAnsi="Calibri" w:cs="Calibri"/>
          <w:b/>
          <w:bCs/>
          <w:szCs w:val="24"/>
        </w:rPr>
        <w:t>importazioni</w:t>
      </w:r>
      <w:r w:rsidRPr="004F2322">
        <w:rPr>
          <w:rFonts w:ascii="Calibri" w:hAnsi="Calibri" w:cs="Calibri"/>
          <w:szCs w:val="24"/>
        </w:rPr>
        <w:t xml:space="preserve"> provinciali ammontano ad oltre 2,1 miliardi di euro, in calo del -14% rispetto al primo trimestre 2023.</w:t>
      </w:r>
    </w:p>
    <w:p w14:paraId="0D18DEE8" w14:textId="77777777" w:rsidR="00BA1AE5" w:rsidRPr="00E36E47" w:rsidRDefault="00BA1AE5" w:rsidP="00D65C52">
      <w:pPr>
        <w:keepNext/>
        <w:spacing w:before="120" w:after="200" w:line="320" w:lineRule="exact"/>
        <w:rPr>
          <w:rFonts w:ascii="Calibri" w:hAnsi="Calibri" w:cs="Calibri"/>
          <w:b/>
          <w:bCs/>
          <w:szCs w:val="24"/>
          <w:highlight w:val="yellow"/>
        </w:rPr>
      </w:pPr>
    </w:p>
    <w:p w14:paraId="0FF7B048" w14:textId="0F88C5CC" w:rsidR="001C6325" w:rsidRPr="004F2322" w:rsidRDefault="001C6325" w:rsidP="00D65C52">
      <w:pPr>
        <w:keepNext/>
        <w:spacing w:before="120" w:after="200" w:line="320" w:lineRule="exact"/>
        <w:rPr>
          <w:rFonts w:ascii="Calibri" w:hAnsi="Calibri" w:cs="Calibri"/>
          <w:b/>
          <w:szCs w:val="24"/>
        </w:rPr>
      </w:pPr>
      <w:r w:rsidRPr="004F2322">
        <w:rPr>
          <w:rFonts w:ascii="Calibri" w:hAnsi="Calibri" w:cs="Calibri"/>
          <w:b/>
          <w:bCs/>
          <w:szCs w:val="24"/>
        </w:rPr>
        <w:t xml:space="preserve">L’interscambio commerciale </w:t>
      </w:r>
      <w:r w:rsidRPr="004F2322">
        <w:rPr>
          <w:rFonts w:ascii="Calibri" w:hAnsi="Calibri" w:cs="Calibri"/>
          <w:b/>
          <w:szCs w:val="24"/>
        </w:rPr>
        <w:t>della provincia di Belluno</w:t>
      </w:r>
    </w:p>
    <w:p w14:paraId="6CB14D20" w14:textId="00AA8647" w:rsidR="004F2322" w:rsidRDefault="0011013C" w:rsidP="00D65C52">
      <w:pPr>
        <w:spacing w:before="120" w:after="200" w:line="320" w:lineRule="exact"/>
        <w:rPr>
          <w:rFonts w:ascii="Calibri" w:hAnsi="Calibri" w:cs="Calibri"/>
          <w:szCs w:val="24"/>
        </w:rPr>
      </w:pPr>
      <w:r>
        <w:rPr>
          <w:rFonts w:ascii="Calibri" w:hAnsi="Calibri" w:cs="Calibri"/>
          <w:szCs w:val="24"/>
        </w:rPr>
        <w:t>Anche per la provincia bellunese, n</w:t>
      </w:r>
      <w:r w:rsidR="004F2322" w:rsidRPr="004F2322">
        <w:rPr>
          <w:rFonts w:ascii="Calibri" w:hAnsi="Calibri" w:cs="Calibri"/>
          <w:szCs w:val="24"/>
        </w:rPr>
        <w:t xml:space="preserve">el primo trimestre 2024 il valore delle </w:t>
      </w:r>
      <w:r w:rsidR="004F2322" w:rsidRPr="002F7000">
        <w:rPr>
          <w:rFonts w:ascii="Calibri" w:hAnsi="Calibri" w:cs="Calibri"/>
          <w:b/>
          <w:bCs/>
          <w:szCs w:val="24"/>
        </w:rPr>
        <w:t>esportazioni</w:t>
      </w:r>
      <w:r w:rsidR="004F2322" w:rsidRPr="004F2322">
        <w:rPr>
          <w:rFonts w:ascii="Calibri" w:hAnsi="Calibri" w:cs="Calibri"/>
          <w:szCs w:val="24"/>
        </w:rPr>
        <w:t xml:space="preserve"> </w:t>
      </w:r>
      <w:r>
        <w:rPr>
          <w:rFonts w:ascii="Calibri" w:hAnsi="Calibri" w:cs="Calibri"/>
          <w:szCs w:val="24"/>
        </w:rPr>
        <w:t xml:space="preserve">è in diminuzione nel confronto con lo stesso periodo dell’anno precedente: la variazione su base annua è del -4,6%, ma anche in questo caso si confronta con un analogo periodo di forte crescita (nel primo 2023 l’export provinciale cresceva del +17,4%). </w:t>
      </w:r>
    </w:p>
    <w:p w14:paraId="74942B46" w14:textId="62DFD151" w:rsidR="004F2322" w:rsidRDefault="004F2322" w:rsidP="00D65C52">
      <w:pPr>
        <w:spacing w:before="120" w:after="200" w:line="320" w:lineRule="exact"/>
        <w:rPr>
          <w:rFonts w:ascii="Calibri" w:hAnsi="Calibri" w:cs="Calibri"/>
          <w:szCs w:val="24"/>
        </w:rPr>
      </w:pPr>
      <w:r>
        <w:rPr>
          <w:rFonts w:ascii="Calibri" w:hAnsi="Calibri" w:cs="Calibri"/>
          <w:szCs w:val="24"/>
        </w:rPr>
        <w:lastRenderedPageBreak/>
        <w:t>L’</w:t>
      </w:r>
      <w:r w:rsidRPr="002F7000">
        <w:rPr>
          <w:rFonts w:ascii="Calibri" w:hAnsi="Calibri" w:cs="Calibri"/>
          <w:b/>
          <w:bCs/>
          <w:szCs w:val="24"/>
        </w:rPr>
        <w:t xml:space="preserve">occhialeria, </w:t>
      </w:r>
      <w:r>
        <w:rPr>
          <w:rFonts w:ascii="Calibri" w:hAnsi="Calibri" w:cs="Calibri"/>
          <w:szCs w:val="24"/>
        </w:rPr>
        <w:t>che contribuisce a quasi il 77% dell’export del trimestre, vede una lieve riduzione su base annua delle vendite all’estero (-1,3%</w:t>
      </w:r>
      <w:r w:rsidR="002F7000">
        <w:rPr>
          <w:rFonts w:ascii="Calibri" w:hAnsi="Calibri" w:cs="Calibri"/>
          <w:szCs w:val="24"/>
        </w:rPr>
        <w:t xml:space="preserve">). A determinare il risultato con segno negativo sono le minori vendite verso il mercato statunitense (da 322 milioni a quasi 251 milioni, -22,1%, </w:t>
      </w:r>
      <w:r w:rsidR="00752B2C">
        <w:rPr>
          <w:rFonts w:ascii="Calibri" w:hAnsi="Calibri" w:cs="Calibri"/>
          <w:szCs w:val="24"/>
        </w:rPr>
        <w:t xml:space="preserve">risultato che non esclude </w:t>
      </w:r>
      <w:r w:rsidR="0011013C" w:rsidRPr="00752B2C">
        <w:rPr>
          <w:rFonts w:ascii="Calibri" w:hAnsi="Calibri" w:cs="Calibri"/>
          <w:szCs w:val="24"/>
        </w:rPr>
        <w:t xml:space="preserve">un </w:t>
      </w:r>
      <w:r w:rsidR="002F7000" w:rsidRPr="00752B2C">
        <w:rPr>
          <w:rFonts w:ascii="Calibri" w:hAnsi="Calibri" w:cs="Calibri"/>
          <w:szCs w:val="24"/>
        </w:rPr>
        <w:t>possibile effetto di una ricomposizione della filiera dell’occhialeria). Stabile</w:t>
      </w:r>
      <w:r w:rsidR="002F7000">
        <w:rPr>
          <w:rFonts w:ascii="Calibri" w:hAnsi="Calibri" w:cs="Calibri"/>
          <w:szCs w:val="24"/>
        </w:rPr>
        <w:t xml:space="preserve"> il mercato francese, secondo partner commerciale con oltre 113 milioni di export nel primo trimestre 2024, ed in crescita la maggior parte degli altri principali mercati</w:t>
      </w:r>
      <w:r w:rsidR="006A2072">
        <w:rPr>
          <w:rFonts w:ascii="Calibri" w:hAnsi="Calibri" w:cs="Calibri"/>
          <w:szCs w:val="24"/>
        </w:rPr>
        <w:t xml:space="preserve"> di destinazione</w:t>
      </w:r>
      <w:r w:rsidR="002F7000">
        <w:rPr>
          <w:rFonts w:ascii="Calibri" w:hAnsi="Calibri" w:cs="Calibri"/>
          <w:szCs w:val="24"/>
        </w:rPr>
        <w:t>.</w:t>
      </w:r>
      <w:r w:rsidR="00752B2C">
        <w:rPr>
          <w:rFonts w:ascii="Calibri" w:hAnsi="Calibri" w:cs="Calibri"/>
          <w:szCs w:val="24"/>
        </w:rPr>
        <w:t xml:space="preserve"> Rispetto al primo trimestre 2019 il settore resta in abbondante crescita (del +38,1%).</w:t>
      </w:r>
    </w:p>
    <w:p w14:paraId="487E4383" w14:textId="1CDEB669" w:rsidR="002F7000" w:rsidRPr="004F2322" w:rsidRDefault="002F7000" w:rsidP="00D65C52">
      <w:pPr>
        <w:spacing w:before="120" w:after="200" w:line="320" w:lineRule="exact"/>
        <w:rPr>
          <w:rFonts w:ascii="Calibri" w:hAnsi="Calibri" w:cs="Calibri"/>
          <w:szCs w:val="24"/>
        </w:rPr>
      </w:pPr>
      <w:r>
        <w:rPr>
          <w:rFonts w:ascii="Calibri" w:hAnsi="Calibri" w:cs="Calibri"/>
          <w:szCs w:val="24"/>
        </w:rPr>
        <w:t xml:space="preserve">Al netto dell’occhialeria l’export bellunese del primo trimestre </w:t>
      </w:r>
      <w:r w:rsidR="00752B2C">
        <w:rPr>
          <w:rFonts w:ascii="Calibri" w:hAnsi="Calibri" w:cs="Calibri"/>
          <w:szCs w:val="24"/>
        </w:rPr>
        <w:t>flette</w:t>
      </w:r>
      <w:r>
        <w:rPr>
          <w:rFonts w:ascii="Calibri" w:hAnsi="Calibri" w:cs="Calibri"/>
          <w:szCs w:val="24"/>
        </w:rPr>
        <w:t xml:space="preserve"> del -14,3% (da quasi 360 milioni del primo trimestre 2023 agli attuali 308 milioni). La variazione con segno negativo </w:t>
      </w:r>
      <w:r w:rsidR="00175E4B">
        <w:rPr>
          <w:rFonts w:ascii="Calibri" w:hAnsi="Calibri" w:cs="Calibri"/>
          <w:szCs w:val="24"/>
        </w:rPr>
        <w:t>è</w:t>
      </w:r>
      <w:r>
        <w:rPr>
          <w:rFonts w:ascii="Calibri" w:hAnsi="Calibri" w:cs="Calibri"/>
          <w:szCs w:val="24"/>
        </w:rPr>
        <w:t xml:space="preserve"> determinata soprattutto dalle minori vendite di macchinari</w:t>
      </w:r>
      <w:r w:rsidR="00BA7B1E">
        <w:rPr>
          <w:rFonts w:ascii="Calibri" w:hAnsi="Calibri" w:cs="Calibri"/>
          <w:szCs w:val="24"/>
        </w:rPr>
        <w:t>, seconda voce export, in calo del -29,</w:t>
      </w:r>
      <w:r w:rsidR="007E5D51">
        <w:rPr>
          <w:rFonts w:ascii="Calibri" w:hAnsi="Calibri" w:cs="Calibri"/>
          <w:szCs w:val="24"/>
        </w:rPr>
        <w:t>1</w:t>
      </w:r>
      <w:r w:rsidR="00BA7B1E">
        <w:rPr>
          <w:rFonts w:ascii="Calibri" w:hAnsi="Calibri" w:cs="Calibri"/>
          <w:szCs w:val="24"/>
        </w:rPr>
        <w:t>% su base annua</w:t>
      </w:r>
      <w:r w:rsidR="00752B2C">
        <w:rPr>
          <w:rFonts w:ascii="Calibri" w:hAnsi="Calibri" w:cs="Calibri"/>
          <w:szCs w:val="24"/>
        </w:rPr>
        <w:t xml:space="preserve"> (come pure del -7,3% rispetto al 2019)</w:t>
      </w:r>
      <w:r w:rsidR="00BA7B1E">
        <w:rPr>
          <w:rFonts w:ascii="Calibri" w:hAnsi="Calibri" w:cs="Calibri"/>
          <w:szCs w:val="24"/>
        </w:rPr>
        <w:t>. Il valore delle esportazioni scende anche per le altre principali voci merceologiche: prodotti di elettronica/medicali/di misurazione (-9,4%), prodotti tessili-abbigliamento (-19,2%, in calo anche rispetto al primo trimestre 2019), gomma-plastica (-5</w:t>
      </w:r>
      <w:r w:rsidR="00F12C3D">
        <w:rPr>
          <w:rFonts w:ascii="Calibri" w:hAnsi="Calibri" w:cs="Calibri"/>
          <w:szCs w:val="24"/>
        </w:rPr>
        <w:t>,0</w:t>
      </w:r>
      <w:r w:rsidR="00BA7B1E">
        <w:rPr>
          <w:rFonts w:ascii="Calibri" w:hAnsi="Calibri" w:cs="Calibri"/>
          <w:szCs w:val="24"/>
        </w:rPr>
        <w:t>%).</w:t>
      </w:r>
    </w:p>
    <w:p w14:paraId="1421AD41" w14:textId="0FCD5196" w:rsidR="00BA7B1E" w:rsidRPr="00BA7B1E" w:rsidRDefault="00BA7B1E" w:rsidP="00D65C52">
      <w:pPr>
        <w:spacing w:before="120" w:after="200" w:line="320" w:lineRule="exact"/>
        <w:rPr>
          <w:rFonts w:ascii="Calibri" w:hAnsi="Calibri" w:cs="Calibri"/>
          <w:szCs w:val="24"/>
        </w:rPr>
      </w:pPr>
      <w:r w:rsidRPr="00BA7B1E">
        <w:rPr>
          <w:rFonts w:ascii="Calibri" w:hAnsi="Calibri" w:cs="Calibri"/>
          <w:szCs w:val="24"/>
        </w:rPr>
        <w:t xml:space="preserve">Le </w:t>
      </w:r>
      <w:r w:rsidRPr="00BA7B1E">
        <w:rPr>
          <w:rFonts w:ascii="Calibri" w:hAnsi="Calibri" w:cs="Calibri"/>
          <w:b/>
          <w:bCs/>
          <w:szCs w:val="24"/>
        </w:rPr>
        <w:t>importazioni</w:t>
      </w:r>
      <w:r w:rsidRPr="00BA7B1E">
        <w:rPr>
          <w:rFonts w:ascii="Calibri" w:hAnsi="Calibri" w:cs="Calibri"/>
          <w:szCs w:val="24"/>
        </w:rPr>
        <w:t xml:space="preserve"> della provincia di Belluno per il primo trimestre 2023 ammontano a oltre 323 milioni, in aumento del +6,3% su base annua: cresce in particolare l’approvvigionamento di prodotti legati all’occhialeria (da 81,7 a 121,6 milioni).</w:t>
      </w:r>
    </w:p>
    <w:p w14:paraId="10D4338E" w14:textId="340C49F3" w:rsidR="00B91013" w:rsidRPr="000510DC" w:rsidRDefault="00B91013">
      <w:pPr>
        <w:jc w:val="left"/>
        <w:rPr>
          <w:rFonts w:asciiTheme="minorHAnsi" w:hAnsiTheme="minorHAnsi" w:cstheme="minorHAnsi"/>
          <w:b/>
          <w:szCs w:val="24"/>
        </w:rPr>
      </w:pPr>
    </w:p>
    <w:p w14:paraId="0FBAD0E0" w14:textId="421E0052" w:rsidR="005E1423" w:rsidRPr="000510DC" w:rsidRDefault="005E1423" w:rsidP="00C87E8B">
      <w:pPr>
        <w:jc w:val="right"/>
        <w:rPr>
          <w:rFonts w:asciiTheme="minorHAnsi" w:hAnsiTheme="minorHAnsi" w:cs="Arial"/>
          <w:i/>
          <w:szCs w:val="24"/>
        </w:rPr>
      </w:pPr>
      <w:r w:rsidRPr="000510DC">
        <w:rPr>
          <w:rFonts w:asciiTheme="minorHAnsi" w:hAnsiTheme="minorHAnsi" w:cs="Arial"/>
          <w:i/>
          <w:szCs w:val="24"/>
        </w:rPr>
        <w:t>a cura dell’Ufficio Studi e Statistica della</w:t>
      </w:r>
    </w:p>
    <w:p w14:paraId="41E53BC2" w14:textId="723A22D4" w:rsidR="00FE37C1" w:rsidRPr="00E36E47" w:rsidRDefault="005E1423" w:rsidP="007F596A">
      <w:pPr>
        <w:spacing w:line="320" w:lineRule="exact"/>
        <w:jc w:val="right"/>
        <w:rPr>
          <w:rFonts w:asciiTheme="minorHAnsi" w:hAnsiTheme="minorHAnsi" w:cs="Arial"/>
          <w:i/>
          <w:szCs w:val="24"/>
          <w:highlight w:val="yellow"/>
        </w:rPr>
      </w:pPr>
      <w:r w:rsidRPr="000510DC">
        <w:rPr>
          <w:rFonts w:asciiTheme="minorHAnsi" w:hAnsiTheme="minorHAnsi" w:cs="Arial"/>
          <w:i/>
          <w:szCs w:val="24"/>
        </w:rPr>
        <w:t>Camera di Commercio di Treviso – Belluno</w:t>
      </w:r>
    </w:p>
    <w:p w14:paraId="723B2D44" w14:textId="77777777" w:rsidR="00101149" w:rsidRPr="00E36E47" w:rsidRDefault="00101149" w:rsidP="007F596A">
      <w:pPr>
        <w:spacing w:line="320" w:lineRule="exact"/>
        <w:jc w:val="right"/>
        <w:rPr>
          <w:rFonts w:asciiTheme="minorHAnsi" w:hAnsiTheme="minorHAnsi" w:cs="Arial"/>
          <w:i/>
          <w:szCs w:val="24"/>
          <w:highlight w:val="yellow"/>
        </w:rPr>
      </w:pPr>
    </w:p>
    <w:tbl>
      <w:tblPr>
        <w:tblStyle w:val="Grigliatabella"/>
        <w:tblW w:w="5000" w:type="pct"/>
        <w:tblLayout w:type="fixed"/>
        <w:tblLook w:val="04A0" w:firstRow="1" w:lastRow="0" w:firstColumn="1" w:lastColumn="0" w:noHBand="0" w:noVBand="1"/>
      </w:tblPr>
      <w:tblGrid>
        <w:gridCol w:w="4393"/>
        <w:gridCol w:w="4395"/>
      </w:tblGrid>
      <w:tr w:rsidR="00C61FB0" w:rsidRPr="00E36E47" w14:paraId="07DF56D6" w14:textId="77777777" w:rsidTr="007F596A">
        <w:trPr>
          <w:trHeight w:val="1311"/>
        </w:trPr>
        <w:tc>
          <w:tcPr>
            <w:tcW w:w="4393" w:type="dxa"/>
            <w:tcBorders>
              <w:top w:val="nil"/>
              <w:left w:val="nil"/>
              <w:bottom w:val="nil"/>
              <w:right w:val="nil"/>
            </w:tcBorders>
          </w:tcPr>
          <w:p w14:paraId="0E61A20C" w14:textId="77777777" w:rsidR="00C61FB0" w:rsidRPr="00143009" w:rsidRDefault="00C61FB0" w:rsidP="00B91013">
            <w:pPr>
              <w:spacing w:after="120" w:line="320" w:lineRule="exact"/>
              <w:rPr>
                <w:rFonts w:asciiTheme="minorHAnsi" w:hAnsiTheme="minorHAnsi" w:cstheme="minorHAnsi"/>
                <w:b/>
                <w:bCs/>
                <w:color w:val="00B0F0"/>
                <w:sz w:val="22"/>
                <w:szCs w:val="24"/>
              </w:rPr>
            </w:pPr>
            <w:r w:rsidRPr="00143009">
              <w:rPr>
                <w:rFonts w:asciiTheme="minorHAnsi" w:hAnsiTheme="minorHAnsi" w:cstheme="minorHAnsi"/>
                <w:b/>
                <w:bCs/>
                <w:color w:val="00B0F0"/>
                <w:sz w:val="22"/>
                <w:szCs w:val="24"/>
              </w:rPr>
              <w:t>Per informazioni</w:t>
            </w:r>
          </w:p>
          <w:p w14:paraId="52925DBB" w14:textId="77777777" w:rsidR="00C61FB0" w:rsidRPr="00143009" w:rsidRDefault="00C61FB0" w:rsidP="007F596A">
            <w:pPr>
              <w:spacing w:line="320" w:lineRule="exact"/>
              <w:rPr>
                <w:rFonts w:asciiTheme="minorHAnsi" w:hAnsiTheme="minorHAnsi" w:cstheme="minorHAnsi"/>
                <w:color w:val="1D1B11"/>
                <w:sz w:val="22"/>
                <w:szCs w:val="24"/>
              </w:rPr>
            </w:pPr>
            <w:r w:rsidRPr="00143009">
              <w:rPr>
                <w:rFonts w:asciiTheme="minorHAnsi" w:hAnsiTheme="minorHAnsi" w:cstheme="minorHAnsi"/>
                <w:color w:val="1D1B11"/>
                <w:sz w:val="22"/>
                <w:szCs w:val="24"/>
              </w:rPr>
              <w:t>Ufficio Studi e Statistica</w:t>
            </w:r>
          </w:p>
          <w:p w14:paraId="5422BF58" w14:textId="77777777" w:rsidR="00C61FB0" w:rsidRPr="00143009" w:rsidRDefault="00C61FB0" w:rsidP="007F596A">
            <w:pPr>
              <w:spacing w:line="320" w:lineRule="exact"/>
              <w:rPr>
                <w:rFonts w:asciiTheme="minorHAnsi" w:hAnsiTheme="minorHAnsi" w:cstheme="minorHAnsi"/>
                <w:color w:val="1D1B11"/>
                <w:sz w:val="22"/>
                <w:szCs w:val="24"/>
              </w:rPr>
            </w:pPr>
            <w:r w:rsidRPr="00143009">
              <w:rPr>
                <w:rFonts w:asciiTheme="minorHAnsi" w:hAnsiTheme="minorHAnsi" w:cstheme="minorHAnsi"/>
                <w:color w:val="1D1B11"/>
                <w:sz w:val="22"/>
                <w:szCs w:val="24"/>
              </w:rPr>
              <w:t>Camera di Commercio di Treviso - Belluno</w:t>
            </w:r>
          </w:p>
          <w:p w14:paraId="5413769F" w14:textId="04EF15ED" w:rsidR="00C61FB0" w:rsidRPr="00143009" w:rsidRDefault="0091599D" w:rsidP="007F596A">
            <w:pPr>
              <w:spacing w:line="320" w:lineRule="exact"/>
              <w:rPr>
                <w:rFonts w:asciiTheme="minorHAnsi" w:hAnsiTheme="minorHAnsi" w:cstheme="minorHAnsi"/>
                <w:color w:val="1D1B11"/>
                <w:sz w:val="22"/>
                <w:szCs w:val="24"/>
              </w:rPr>
            </w:pPr>
            <w:r w:rsidRPr="00143009">
              <w:rPr>
                <w:rFonts w:asciiTheme="minorHAnsi" w:hAnsiTheme="minorHAnsi" w:cstheme="minorHAnsi"/>
                <w:color w:val="1D1B11"/>
                <w:sz w:val="22"/>
                <w:szCs w:val="24"/>
              </w:rPr>
              <w:t>Tel. 0422 595239</w:t>
            </w:r>
            <w:r w:rsidR="002708F6" w:rsidRPr="00143009">
              <w:rPr>
                <w:rFonts w:asciiTheme="minorHAnsi" w:hAnsiTheme="minorHAnsi" w:cstheme="minorHAnsi"/>
                <w:color w:val="1D1B11"/>
                <w:sz w:val="22"/>
                <w:szCs w:val="24"/>
              </w:rPr>
              <w:t xml:space="preserve"> - 362</w:t>
            </w:r>
          </w:p>
          <w:p w14:paraId="7CD40007" w14:textId="40F28482" w:rsidR="00464E89" w:rsidRPr="00143009" w:rsidRDefault="00C61FB0" w:rsidP="007F596A">
            <w:pPr>
              <w:pStyle w:val="Paragrafoelenco"/>
              <w:spacing w:after="0" w:line="320" w:lineRule="exact"/>
              <w:ind w:left="0"/>
              <w:rPr>
                <w:rFonts w:asciiTheme="minorHAnsi" w:hAnsiTheme="minorHAnsi" w:cstheme="minorHAnsi"/>
                <w:color w:val="1D1B11"/>
                <w:u w:val="single"/>
              </w:rPr>
            </w:pPr>
            <w:r w:rsidRPr="00143009">
              <w:rPr>
                <w:rFonts w:cstheme="minorHAnsi"/>
                <w:color w:val="1D1B11"/>
              </w:rPr>
              <w:t>e-mail</w:t>
            </w:r>
            <w:r w:rsidR="00A330BC" w:rsidRPr="00143009">
              <w:rPr>
                <w:rFonts w:cstheme="minorHAnsi"/>
                <w:color w:val="1D1B11"/>
              </w:rPr>
              <w:t>:</w:t>
            </w:r>
            <w:r w:rsidRPr="00143009">
              <w:rPr>
                <w:rFonts w:cstheme="minorHAnsi"/>
                <w:color w:val="1D1B11"/>
              </w:rPr>
              <w:t xml:space="preserve"> </w:t>
            </w:r>
            <w:hyperlink r:id="rId10">
              <w:r w:rsidRPr="00143009">
                <w:rPr>
                  <w:rStyle w:val="Collegamentoipertestuale"/>
                  <w:rFonts w:asciiTheme="minorHAnsi" w:hAnsiTheme="minorHAnsi"/>
                </w:rPr>
                <w:t>statistica@tb.camcom.it</w:t>
              </w:r>
            </w:hyperlink>
            <w:r w:rsidR="00A330BC" w:rsidRPr="00143009">
              <w:rPr>
                <w:rStyle w:val="CollegamentoInternet"/>
                <w:rFonts w:cstheme="minorHAnsi"/>
                <w:color w:val="1D1B11"/>
              </w:rPr>
              <w:t xml:space="preserve"> </w:t>
            </w:r>
          </w:p>
        </w:tc>
        <w:tc>
          <w:tcPr>
            <w:tcW w:w="4395" w:type="dxa"/>
            <w:tcBorders>
              <w:top w:val="nil"/>
              <w:left w:val="nil"/>
              <w:bottom w:val="nil"/>
              <w:right w:val="nil"/>
            </w:tcBorders>
          </w:tcPr>
          <w:p w14:paraId="1781E9D0" w14:textId="77777777" w:rsidR="003257D3" w:rsidRPr="00143009" w:rsidRDefault="003257D3" w:rsidP="00B91013">
            <w:pPr>
              <w:spacing w:after="120" w:line="320" w:lineRule="exact"/>
              <w:ind w:left="709"/>
              <w:rPr>
                <w:rFonts w:asciiTheme="minorHAnsi" w:hAnsiTheme="minorHAnsi" w:cstheme="minorHAnsi"/>
                <w:b/>
                <w:bCs/>
                <w:color w:val="00B0F0"/>
                <w:sz w:val="22"/>
                <w:szCs w:val="24"/>
              </w:rPr>
            </w:pPr>
            <w:r w:rsidRPr="00143009">
              <w:rPr>
                <w:rFonts w:asciiTheme="minorHAnsi" w:hAnsiTheme="minorHAnsi" w:cstheme="minorHAnsi"/>
                <w:b/>
                <w:bCs/>
                <w:color w:val="00B0F0"/>
                <w:sz w:val="22"/>
                <w:szCs w:val="24"/>
              </w:rPr>
              <w:t>Informazioni per la stampa</w:t>
            </w:r>
          </w:p>
          <w:p w14:paraId="74703A81" w14:textId="77777777" w:rsidR="00334C11" w:rsidRPr="00143009" w:rsidRDefault="00334C11" w:rsidP="007F596A">
            <w:pPr>
              <w:spacing w:line="320" w:lineRule="exact"/>
              <w:ind w:left="708"/>
              <w:rPr>
                <w:rFonts w:asciiTheme="minorHAnsi" w:hAnsiTheme="minorHAnsi" w:cstheme="minorHAnsi"/>
                <w:color w:val="1D1B11"/>
                <w:sz w:val="22"/>
                <w:szCs w:val="24"/>
              </w:rPr>
            </w:pPr>
            <w:r w:rsidRPr="00143009">
              <w:rPr>
                <w:rFonts w:asciiTheme="minorHAnsi" w:hAnsiTheme="minorHAnsi" w:cstheme="minorHAnsi"/>
                <w:color w:val="1D1B11"/>
                <w:sz w:val="22"/>
                <w:szCs w:val="24"/>
              </w:rPr>
              <w:t>Silvia Trevisan</w:t>
            </w:r>
          </w:p>
          <w:p w14:paraId="108152D7" w14:textId="77777777" w:rsidR="00334C11" w:rsidRPr="00143009" w:rsidRDefault="00334C11" w:rsidP="007F596A">
            <w:pPr>
              <w:spacing w:line="320" w:lineRule="exact"/>
              <w:ind w:left="708"/>
              <w:rPr>
                <w:rFonts w:asciiTheme="minorHAnsi" w:hAnsiTheme="minorHAnsi" w:cstheme="minorHAnsi"/>
                <w:color w:val="1D1B11"/>
                <w:sz w:val="22"/>
                <w:szCs w:val="24"/>
              </w:rPr>
            </w:pPr>
            <w:r w:rsidRPr="00143009">
              <w:rPr>
                <w:rFonts w:asciiTheme="minorHAnsi" w:hAnsiTheme="minorHAnsi" w:cstheme="minorHAnsi"/>
                <w:color w:val="1D1B11"/>
                <w:sz w:val="22"/>
                <w:szCs w:val="24"/>
              </w:rPr>
              <w:t xml:space="preserve">Comunicazione e Media Relations </w:t>
            </w:r>
          </w:p>
          <w:p w14:paraId="4C53ABD7" w14:textId="513B3543" w:rsidR="00334C11" w:rsidRPr="00143009" w:rsidRDefault="006D253F" w:rsidP="007F596A">
            <w:pPr>
              <w:spacing w:line="320" w:lineRule="exact"/>
              <w:ind w:left="708"/>
              <w:rPr>
                <w:rFonts w:asciiTheme="minorHAnsi" w:hAnsiTheme="minorHAnsi" w:cstheme="minorHAnsi"/>
                <w:color w:val="1D1B11"/>
                <w:sz w:val="22"/>
                <w:szCs w:val="24"/>
              </w:rPr>
            </w:pPr>
            <w:r w:rsidRPr="00143009">
              <w:rPr>
                <w:rFonts w:asciiTheme="minorHAnsi" w:hAnsiTheme="minorHAnsi" w:cstheme="minorHAnsi"/>
                <w:color w:val="1D1B11"/>
                <w:sz w:val="22"/>
                <w:szCs w:val="24"/>
              </w:rPr>
              <w:t>S</w:t>
            </w:r>
            <w:r w:rsidR="00334C11" w:rsidRPr="00143009">
              <w:rPr>
                <w:rFonts w:asciiTheme="minorHAnsi" w:hAnsiTheme="minorHAnsi" w:cstheme="minorHAnsi"/>
                <w:color w:val="1D1B11"/>
                <w:sz w:val="22"/>
                <w:szCs w:val="24"/>
              </w:rPr>
              <w:t>taff del Presidente</w:t>
            </w:r>
          </w:p>
          <w:p w14:paraId="40F4379D" w14:textId="667671EB" w:rsidR="00334C11" w:rsidRPr="00143009" w:rsidRDefault="0011509F" w:rsidP="007F596A">
            <w:pPr>
              <w:spacing w:line="320" w:lineRule="exact"/>
              <w:ind w:left="708"/>
              <w:rPr>
                <w:rFonts w:asciiTheme="minorHAnsi" w:hAnsiTheme="minorHAnsi" w:cstheme="minorHAnsi"/>
                <w:color w:val="1D1B11"/>
                <w:sz w:val="22"/>
                <w:szCs w:val="24"/>
              </w:rPr>
            </w:pPr>
            <w:r w:rsidRPr="00143009">
              <w:rPr>
                <w:rFonts w:asciiTheme="minorHAnsi" w:hAnsiTheme="minorHAnsi" w:cstheme="minorHAnsi"/>
                <w:color w:val="1D1B11"/>
                <w:sz w:val="22"/>
                <w:szCs w:val="24"/>
              </w:rPr>
              <w:t>Tel. 0422-595366   Cell.</w:t>
            </w:r>
            <w:r w:rsidR="00334C11" w:rsidRPr="00143009">
              <w:rPr>
                <w:rFonts w:asciiTheme="minorHAnsi" w:hAnsiTheme="minorHAnsi" w:cstheme="minorHAnsi"/>
                <w:color w:val="1D1B11"/>
                <w:sz w:val="22"/>
                <w:szCs w:val="24"/>
              </w:rPr>
              <w:t xml:space="preserve"> 391-3236809 </w:t>
            </w:r>
          </w:p>
          <w:p w14:paraId="6C11F48B" w14:textId="7790A28C" w:rsidR="003257D3" w:rsidRPr="00143009" w:rsidRDefault="00334C11" w:rsidP="007F596A">
            <w:pPr>
              <w:pStyle w:val="Paragrafoelenco"/>
              <w:spacing w:after="0" w:line="320" w:lineRule="exact"/>
              <w:ind w:left="708"/>
              <w:rPr>
                <w:rFonts w:asciiTheme="minorHAnsi" w:hAnsiTheme="minorHAnsi" w:cstheme="minorHAnsi"/>
                <w:b/>
                <w:bCs/>
                <w:color w:val="1D1B11"/>
              </w:rPr>
            </w:pPr>
            <w:r w:rsidRPr="00143009">
              <w:rPr>
                <w:rFonts w:asciiTheme="minorHAnsi" w:hAnsiTheme="minorHAnsi" w:cstheme="minorHAnsi"/>
                <w:color w:val="1D1B11"/>
              </w:rPr>
              <w:t xml:space="preserve">e-mail: </w:t>
            </w:r>
            <w:hyperlink r:id="rId11" w:history="1">
              <w:r w:rsidRPr="00143009">
                <w:rPr>
                  <w:rStyle w:val="Collegamentoipertestuale"/>
                  <w:rFonts w:asciiTheme="minorHAnsi" w:hAnsiTheme="minorHAnsi" w:cstheme="minorHAnsi"/>
                </w:rPr>
                <w:t>silvia.trevisan@tb.camcom.it</w:t>
              </w:r>
            </w:hyperlink>
            <w:r w:rsidRPr="00143009">
              <w:rPr>
                <w:rFonts w:asciiTheme="minorHAnsi" w:hAnsiTheme="minorHAnsi" w:cstheme="minorHAnsi"/>
                <w:color w:val="1D1B11"/>
              </w:rPr>
              <w:t xml:space="preserve"> </w:t>
            </w:r>
          </w:p>
        </w:tc>
      </w:tr>
    </w:tbl>
    <w:p w14:paraId="26AE7681" w14:textId="32D1483A" w:rsidR="00913FDD" w:rsidRDefault="00913FDD">
      <w:pPr>
        <w:jc w:val="left"/>
        <w:rPr>
          <w:highlight w:val="yellow"/>
        </w:rPr>
      </w:pPr>
    </w:p>
    <w:tbl>
      <w:tblPr>
        <w:tblStyle w:val="Grigliatabella"/>
        <w:tblW w:w="5000" w:type="pct"/>
        <w:tblLayout w:type="fixed"/>
        <w:tblLook w:val="04A0" w:firstRow="1" w:lastRow="0" w:firstColumn="1" w:lastColumn="0" w:noHBand="0" w:noVBand="1"/>
      </w:tblPr>
      <w:tblGrid>
        <w:gridCol w:w="8788"/>
      </w:tblGrid>
      <w:tr w:rsidR="00354D0A" w:rsidRPr="00E36E47" w14:paraId="07D37F72" w14:textId="77777777" w:rsidTr="00F74403">
        <w:trPr>
          <w:trHeight w:val="216"/>
        </w:trPr>
        <w:tc>
          <w:tcPr>
            <w:tcW w:w="8788" w:type="dxa"/>
            <w:tcBorders>
              <w:top w:val="nil"/>
              <w:left w:val="nil"/>
              <w:bottom w:val="nil"/>
              <w:right w:val="nil"/>
            </w:tcBorders>
          </w:tcPr>
          <w:p w14:paraId="40353920" w14:textId="77777777" w:rsidR="00354D0A" w:rsidRPr="0042322C" w:rsidRDefault="00354D0A" w:rsidP="00D71174">
            <w:pPr>
              <w:spacing w:after="240"/>
              <w:rPr>
                <w:rFonts w:asciiTheme="minorHAnsi" w:hAnsiTheme="minorHAnsi" w:cs="Arial"/>
                <w:b/>
                <w:bCs/>
                <w:sz w:val="22"/>
                <w:szCs w:val="22"/>
              </w:rPr>
            </w:pPr>
            <w:r w:rsidRPr="0042322C">
              <w:rPr>
                <w:rFonts w:asciiTheme="minorHAnsi" w:hAnsiTheme="minorHAnsi" w:cs="Arial"/>
                <w:b/>
                <w:bCs/>
                <w:sz w:val="22"/>
                <w:szCs w:val="22"/>
              </w:rPr>
              <w:t xml:space="preserve">Elaborazioni allegate: </w:t>
            </w:r>
          </w:p>
          <w:p w14:paraId="10CCFDFB" w14:textId="596A78D4" w:rsidR="00D9569D" w:rsidRPr="0042322C" w:rsidRDefault="00354D0A" w:rsidP="00D71174">
            <w:pPr>
              <w:pStyle w:val="Paragrafoelenco"/>
              <w:numPr>
                <w:ilvl w:val="0"/>
                <w:numId w:val="9"/>
              </w:numPr>
              <w:spacing w:after="80" w:line="240" w:lineRule="auto"/>
              <w:ind w:left="0" w:hanging="179"/>
              <w:jc w:val="both"/>
              <w:rPr>
                <w:rFonts w:asciiTheme="minorHAnsi" w:hAnsiTheme="minorHAnsi" w:cs="Arial"/>
                <w:bCs/>
                <w:sz w:val="20"/>
                <w:szCs w:val="20"/>
              </w:rPr>
            </w:pPr>
            <w:r w:rsidRPr="0042322C">
              <w:rPr>
                <w:rFonts w:asciiTheme="minorHAnsi" w:hAnsiTheme="minorHAnsi" w:cs="Arial"/>
                <w:bCs/>
                <w:sz w:val="20"/>
                <w:szCs w:val="20"/>
              </w:rPr>
              <w:t xml:space="preserve">Tav. 1 - Commercio estero delle province venete. </w:t>
            </w:r>
            <w:r w:rsidR="0042322C" w:rsidRPr="0042322C">
              <w:rPr>
                <w:rFonts w:asciiTheme="minorHAnsi" w:hAnsiTheme="minorHAnsi" w:cs="Arial"/>
                <w:bCs/>
                <w:sz w:val="20"/>
                <w:szCs w:val="20"/>
              </w:rPr>
              <w:t xml:space="preserve">Gennaio-marzo 2024 </w:t>
            </w:r>
          </w:p>
          <w:p w14:paraId="36DC1929" w14:textId="712F7F6B" w:rsidR="00354D0A" w:rsidRPr="0042322C" w:rsidRDefault="00354D0A" w:rsidP="00D71174">
            <w:pPr>
              <w:pStyle w:val="Paragrafoelenco"/>
              <w:numPr>
                <w:ilvl w:val="0"/>
                <w:numId w:val="9"/>
              </w:numPr>
              <w:spacing w:after="80" w:line="240" w:lineRule="auto"/>
              <w:ind w:left="0" w:hanging="179"/>
              <w:jc w:val="both"/>
              <w:rPr>
                <w:rFonts w:asciiTheme="minorHAnsi" w:hAnsiTheme="minorHAnsi" w:cs="Arial"/>
                <w:bCs/>
                <w:sz w:val="20"/>
                <w:szCs w:val="20"/>
              </w:rPr>
            </w:pPr>
            <w:r w:rsidRPr="0042322C">
              <w:rPr>
                <w:rFonts w:asciiTheme="minorHAnsi" w:hAnsiTheme="minorHAnsi" w:cs="Arial"/>
                <w:bCs/>
                <w:sz w:val="20"/>
                <w:szCs w:val="20"/>
              </w:rPr>
              <w:t>Tav. 2.</w:t>
            </w:r>
            <w:r w:rsidR="00BD2778" w:rsidRPr="0042322C">
              <w:rPr>
                <w:rFonts w:asciiTheme="minorHAnsi" w:hAnsiTheme="minorHAnsi" w:cs="Arial"/>
                <w:bCs/>
                <w:sz w:val="20"/>
                <w:szCs w:val="20"/>
              </w:rPr>
              <w:t>a</w:t>
            </w:r>
            <w:r w:rsidRPr="0042322C">
              <w:rPr>
                <w:rFonts w:asciiTheme="minorHAnsi" w:hAnsiTheme="minorHAnsi" w:cs="Arial"/>
                <w:bCs/>
                <w:sz w:val="20"/>
                <w:szCs w:val="20"/>
              </w:rPr>
              <w:t xml:space="preserve"> - </w:t>
            </w:r>
            <w:r w:rsidR="00BB2FE7" w:rsidRPr="0042322C">
              <w:rPr>
                <w:rFonts w:asciiTheme="minorHAnsi" w:hAnsiTheme="minorHAnsi" w:cs="Arial"/>
                <w:bCs/>
                <w:sz w:val="20"/>
                <w:szCs w:val="20"/>
              </w:rPr>
              <w:t>VENETO</w:t>
            </w:r>
            <w:r w:rsidR="00327F2E" w:rsidRPr="0042322C">
              <w:rPr>
                <w:rFonts w:asciiTheme="minorHAnsi" w:hAnsiTheme="minorHAnsi" w:cs="Arial"/>
                <w:bCs/>
                <w:sz w:val="20"/>
                <w:szCs w:val="20"/>
              </w:rPr>
              <w:t>: commercio estero per voci merceologiche</w:t>
            </w:r>
            <w:r w:rsidRPr="0042322C">
              <w:rPr>
                <w:rFonts w:asciiTheme="minorHAnsi" w:hAnsiTheme="minorHAnsi" w:cs="Arial"/>
                <w:bCs/>
                <w:sz w:val="20"/>
                <w:szCs w:val="20"/>
              </w:rPr>
              <w:t xml:space="preserve">. </w:t>
            </w:r>
            <w:r w:rsidR="0042322C" w:rsidRPr="0042322C">
              <w:rPr>
                <w:rFonts w:asciiTheme="minorHAnsi" w:hAnsiTheme="minorHAnsi" w:cs="Arial"/>
                <w:bCs/>
                <w:sz w:val="20"/>
                <w:szCs w:val="20"/>
              </w:rPr>
              <w:t xml:space="preserve">Gennaio-marzo 2024 </w:t>
            </w:r>
          </w:p>
          <w:p w14:paraId="0771F7E6" w14:textId="7108C8CA" w:rsidR="00DF5B8B" w:rsidRPr="0042322C" w:rsidRDefault="00DF5B8B" w:rsidP="00D71174">
            <w:pPr>
              <w:pStyle w:val="Paragrafoelenco"/>
              <w:numPr>
                <w:ilvl w:val="0"/>
                <w:numId w:val="9"/>
              </w:numPr>
              <w:spacing w:after="80" w:line="240" w:lineRule="auto"/>
              <w:ind w:left="0" w:hanging="179"/>
              <w:jc w:val="both"/>
              <w:rPr>
                <w:rFonts w:asciiTheme="minorHAnsi" w:hAnsiTheme="minorHAnsi" w:cs="Arial"/>
                <w:bCs/>
                <w:sz w:val="20"/>
                <w:szCs w:val="20"/>
              </w:rPr>
            </w:pPr>
            <w:r w:rsidRPr="0042322C">
              <w:rPr>
                <w:rFonts w:asciiTheme="minorHAnsi" w:hAnsiTheme="minorHAnsi" w:cs="Arial"/>
                <w:bCs/>
                <w:sz w:val="20"/>
                <w:szCs w:val="20"/>
              </w:rPr>
              <w:t>Tav.</w:t>
            </w:r>
            <w:r w:rsidR="00BB2FE7" w:rsidRPr="0042322C">
              <w:rPr>
                <w:rFonts w:asciiTheme="minorHAnsi" w:hAnsiTheme="minorHAnsi" w:cs="Arial"/>
                <w:bCs/>
                <w:sz w:val="20"/>
                <w:szCs w:val="20"/>
              </w:rPr>
              <w:t xml:space="preserve"> </w:t>
            </w:r>
            <w:r w:rsidRPr="0042322C">
              <w:rPr>
                <w:rFonts w:asciiTheme="minorHAnsi" w:hAnsiTheme="minorHAnsi" w:cs="Arial"/>
                <w:bCs/>
                <w:sz w:val="20"/>
                <w:szCs w:val="20"/>
              </w:rPr>
              <w:t>2.b</w:t>
            </w:r>
            <w:r w:rsidR="00BB2FE7" w:rsidRPr="0042322C">
              <w:rPr>
                <w:rFonts w:asciiTheme="minorHAnsi" w:hAnsiTheme="minorHAnsi" w:cs="Arial"/>
                <w:bCs/>
                <w:sz w:val="20"/>
                <w:szCs w:val="20"/>
              </w:rPr>
              <w:t xml:space="preserve"> </w:t>
            </w:r>
            <w:r w:rsidRPr="0042322C">
              <w:rPr>
                <w:rFonts w:asciiTheme="minorHAnsi" w:hAnsiTheme="minorHAnsi" w:cs="Arial"/>
                <w:bCs/>
                <w:sz w:val="20"/>
                <w:szCs w:val="20"/>
              </w:rPr>
              <w:t xml:space="preserve">- </w:t>
            </w:r>
            <w:r w:rsidR="00BB2FE7" w:rsidRPr="0042322C">
              <w:rPr>
                <w:rFonts w:asciiTheme="minorHAnsi" w:hAnsiTheme="minorHAnsi" w:cs="Arial"/>
                <w:bCs/>
                <w:sz w:val="20"/>
                <w:szCs w:val="20"/>
              </w:rPr>
              <w:t xml:space="preserve">TREVISO: commercio estero per voci merceologiche. </w:t>
            </w:r>
            <w:r w:rsidR="0042322C" w:rsidRPr="0042322C">
              <w:rPr>
                <w:rFonts w:asciiTheme="minorHAnsi" w:hAnsiTheme="minorHAnsi" w:cs="Arial"/>
                <w:bCs/>
                <w:sz w:val="20"/>
                <w:szCs w:val="20"/>
              </w:rPr>
              <w:t xml:space="preserve">Gennaio-marzo 2024 </w:t>
            </w:r>
          </w:p>
          <w:p w14:paraId="5F5C6895" w14:textId="56F1A47B" w:rsidR="00BB2FE7" w:rsidRPr="0042322C" w:rsidRDefault="00BB2FE7" w:rsidP="00D71174">
            <w:pPr>
              <w:pStyle w:val="Paragrafoelenco"/>
              <w:numPr>
                <w:ilvl w:val="0"/>
                <w:numId w:val="9"/>
              </w:numPr>
              <w:spacing w:after="80" w:line="240" w:lineRule="auto"/>
              <w:ind w:left="0" w:hanging="179"/>
              <w:jc w:val="both"/>
              <w:rPr>
                <w:rFonts w:asciiTheme="minorHAnsi" w:hAnsiTheme="minorHAnsi" w:cs="Arial"/>
                <w:bCs/>
                <w:sz w:val="20"/>
                <w:szCs w:val="20"/>
              </w:rPr>
            </w:pPr>
            <w:r w:rsidRPr="0042322C">
              <w:rPr>
                <w:rFonts w:asciiTheme="minorHAnsi" w:hAnsiTheme="minorHAnsi" w:cs="Arial"/>
                <w:bCs/>
                <w:sz w:val="20"/>
                <w:szCs w:val="20"/>
              </w:rPr>
              <w:t xml:space="preserve">Tav. 2.c - BELLUNO: commercio estero per voci merceologiche. </w:t>
            </w:r>
            <w:r w:rsidR="0042322C" w:rsidRPr="0042322C">
              <w:rPr>
                <w:rFonts w:asciiTheme="minorHAnsi" w:hAnsiTheme="minorHAnsi" w:cs="Arial"/>
                <w:bCs/>
                <w:sz w:val="20"/>
                <w:szCs w:val="20"/>
              </w:rPr>
              <w:t xml:space="preserve">Gennaio-marzo 2024 </w:t>
            </w:r>
          </w:p>
          <w:p w14:paraId="771CB21A" w14:textId="21604251" w:rsidR="00354D0A" w:rsidRPr="0042322C" w:rsidRDefault="00354D0A" w:rsidP="00D71174">
            <w:pPr>
              <w:pStyle w:val="Paragrafoelenco"/>
              <w:numPr>
                <w:ilvl w:val="0"/>
                <w:numId w:val="9"/>
              </w:numPr>
              <w:spacing w:after="80" w:line="240" w:lineRule="auto"/>
              <w:ind w:left="0" w:hanging="179"/>
              <w:jc w:val="both"/>
              <w:rPr>
                <w:rFonts w:asciiTheme="minorHAnsi" w:hAnsiTheme="minorHAnsi" w:cs="Arial"/>
                <w:bCs/>
                <w:sz w:val="20"/>
                <w:szCs w:val="20"/>
              </w:rPr>
            </w:pPr>
            <w:r w:rsidRPr="0042322C">
              <w:rPr>
                <w:rFonts w:asciiTheme="minorHAnsi" w:hAnsiTheme="minorHAnsi" w:cs="Arial"/>
                <w:bCs/>
                <w:sz w:val="20"/>
                <w:szCs w:val="20"/>
              </w:rPr>
              <w:t xml:space="preserve">Tav. </w:t>
            </w:r>
            <w:r w:rsidR="00D9569D" w:rsidRPr="0042322C">
              <w:rPr>
                <w:rFonts w:asciiTheme="minorHAnsi" w:hAnsiTheme="minorHAnsi" w:cs="Arial"/>
                <w:bCs/>
                <w:sz w:val="20"/>
                <w:szCs w:val="20"/>
              </w:rPr>
              <w:t>3</w:t>
            </w:r>
            <w:r w:rsidRPr="0042322C">
              <w:rPr>
                <w:rFonts w:asciiTheme="minorHAnsi" w:hAnsiTheme="minorHAnsi" w:cs="Arial"/>
                <w:bCs/>
                <w:sz w:val="20"/>
                <w:szCs w:val="20"/>
              </w:rPr>
              <w:t xml:space="preserve">.a - </w:t>
            </w:r>
            <w:r w:rsidR="00BB2FE7" w:rsidRPr="0042322C">
              <w:rPr>
                <w:rFonts w:asciiTheme="minorHAnsi" w:hAnsiTheme="minorHAnsi" w:cs="Arial"/>
                <w:bCs/>
                <w:sz w:val="20"/>
                <w:szCs w:val="20"/>
              </w:rPr>
              <w:t>VENETO</w:t>
            </w:r>
            <w:r w:rsidRPr="0042322C">
              <w:rPr>
                <w:rFonts w:asciiTheme="minorHAnsi" w:hAnsiTheme="minorHAnsi" w:cs="Arial"/>
                <w:bCs/>
                <w:sz w:val="20"/>
                <w:szCs w:val="20"/>
              </w:rPr>
              <w:t xml:space="preserve">: principali Paesi di destinazione delle esportazioni. </w:t>
            </w:r>
            <w:r w:rsidR="0042322C" w:rsidRPr="0042322C">
              <w:rPr>
                <w:rFonts w:asciiTheme="minorHAnsi" w:hAnsiTheme="minorHAnsi" w:cs="Arial"/>
                <w:bCs/>
                <w:sz w:val="20"/>
                <w:szCs w:val="20"/>
              </w:rPr>
              <w:t xml:space="preserve">Gennaio-marzo 2024 </w:t>
            </w:r>
          </w:p>
          <w:p w14:paraId="5DD3273E" w14:textId="2A1E135D" w:rsidR="00DF5B8B" w:rsidRPr="0042322C" w:rsidRDefault="00DF5B8B" w:rsidP="00D71174">
            <w:pPr>
              <w:pStyle w:val="Paragrafoelenco"/>
              <w:numPr>
                <w:ilvl w:val="0"/>
                <w:numId w:val="9"/>
              </w:numPr>
              <w:spacing w:after="80" w:line="240" w:lineRule="auto"/>
              <w:ind w:left="0" w:hanging="179"/>
              <w:jc w:val="both"/>
              <w:rPr>
                <w:rFonts w:asciiTheme="minorHAnsi" w:hAnsiTheme="minorHAnsi" w:cs="Arial"/>
                <w:bCs/>
                <w:sz w:val="20"/>
                <w:szCs w:val="20"/>
              </w:rPr>
            </w:pPr>
            <w:r w:rsidRPr="0042322C">
              <w:rPr>
                <w:rFonts w:asciiTheme="minorHAnsi" w:hAnsiTheme="minorHAnsi" w:cs="Arial"/>
                <w:bCs/>
                <w:sz w:val="20"/>
                <w:szCs w:val="20"/>
              </w:rPr>
              <w:t xml:space="preserve">Tav. </w:t>
            </w:r>
            <w:r w:rsidR="00D9569D" w:rsidRPr="0042322C">
              <w:rPr>
                <w:rFonts w:asciiTheme="minorHAnsi" w:hAnsiTheme="minorHAnsi" w:cs="Arial"/>
                <w:bCs/>
                <w:sz w:val="20"/>
                <w:szCs w:val="20"/>
              </w:rPr>
              <w:t>3</w:t>
            </w:r>
            <w:r w:rsidRPr="0042322C">
              <w:rPr>
                <w:rFonts w:asciiTheme="minorHAnsi" w:hAnsiTheme="minorHAnsi" w:cs="Arial"/>
                <w:bCs/>
                <w:sz w:val="20"/>
                <w:szCs w:val="20"/>
              </w:rPr>
              <w:t xml:space="preserve">.b - </w:t>
            </w:r>
            <w:r w:rsidR="00BB2FE7" w:rsidRPr="0042322C">
              <w:rPr>
                <w:rFonts w:asciiTheme="minorHAnsi" w:hAnsiTheme="minorHAnsi" w:cs="Arial"/>
                <w:bCs/>
                <w:sz w:val="20"/>
                <w:szCs w:val="20"/>
              </w:rPr>
              <w:t>VENETO</w:t>
            </w:r>
            <w:r w:rsidRPr="0042322C">
              <w:rPr>
                <w:rFonts w:asciiTheme="minorHAnsi" w:hAnsiTheme="minorHAnsi" w:cs="Arial"/>
                <w:bCs/>
                <w:sz w:val="20"/>
                <w:szCs w:val="20"/>
              </w:rPr>
              <w:t xml:space="preserve">. Principali Paesi di provenienza delle importazioni. </w:t>
            </w:r>
            <w:r w:rsidR="0042322C" w:rsidRPr="0042322C">
              <w:rPr>
                <w:rFonts w:asciiTheme="minorHAnsi" w:hAnsiTheme="minorHAnsi" w:cs="Arial"/>
                <w:bCs/>
                <w:sz w:val="20"/>
                <w:szCs w:val="20"/>
              </w:rPr>
              <w:t xml:space="preserve">Gennaio-marzo 2024 </w:t>
            </w:r>
          </w:p>
          <w:p w14:paraId="6195D059" w14:textId="5C09ED75" w:rsidR="00BB2FE7" w:rsidRPr="0042322C" w:rsidRDefault="00354D0A" w:rsidP="00D71174">
            <w:pPr>
              <w:pStyle w:val="Paragrafoelenco"/>
              <w:numPr>
                <w:ilvl w:val="0"/>
                <w:numId w:val="9"/>
              </w:numPr>
              <w:spacing w:after="80" w:line="240" w:lineRule="auto"/>
              <w:ind w:left="0" w:hanging="179"/>
              <w:jc w:val="both"/>
              <w:rPr>
                <w:rFonts w:cs="Calibri"/>
                <w:b/>
                <w:sz w:val="18"/>
                <w:szCs w:val="18"/>
              </w:rPr>
            </w:pPr>
            <w:r w:rsidRPr="0042322C">
              <w:rPr>
                <w:rFonts w:asciiTheme="minorHAnsi" w:hAnsiTheme="minorHAnsi" w:cs="Arial"/>
                <w:bCs/>
                <w:sz w:val="20"/>
                <w:szCs w:val="20"/>
              </w:rPr>
              <w:t xml:space="preserve">Tav. </w:t>
            </w:r>
            <w:r w:rsidR="00D9569D" w:rsidRPr="0042322C">
              <w:rPr>
                <w:rFonts w:asciiTheme="minorHAnsi" w:hAnsiTheme="minorHAnsi" w:cs="Arial"/>
                <w:bCs/>
                <w:sz w:val="20"/>
                <w:szCs w:val="20"/>
              </w:rPr>
              <w:t>4</w:t>
            </w:r>
            <w:r w:rsidR="00DF5B8B" w:rsidRPr="0042322C">
              <w:rPr>
                <w:rFonts w:asciiTheme="minorHAnsi" w:hAnsiTheme="minorHAnsi" w:cs="Arial"/>
                <w:bCs/>
                <w:sz w:val="20"/>
                <w:szCs w:val="20"/>
              </w:rPr>
              <w:t>.a</w:t>
            </w:r>
            <w:r w:rsidRPr="0042322C">
              <w:rPr>
                <w:rFonts w:asciiTheme="minorHAnsi" w:hAnsiTheme="minorHAnsi" w:cs="Arial"/>
                <w:bCs/>
                <w:sz w:val="20"/>
                <w:szCs w:val="20"/>
              </w:rPr>
              <w:t xml:space="preserve"> - </w:t>
            </w:r>
            <w:r w:rsidR="00BB2FE7" w:rsidRPr="0042322C">
              <w:rPr>
                <w:rFonts w:asciiTheme="minorHAnsi" w:hAnsiTheme="minorHAnsi" w:cs="Arial"/>
                <w:bCs/>
                <w:sz w:val="20"/>
                <w:szCs w:val="20"/>
              </w:rPr>
              <w:t>TREVISO</w:t>
            </w:r>
            <w:r w:rsidRPr="0042322C">
              <w:rPr>
                <w:rFonts w:asciiTheme="minorHAnsi" w:hAnsiTheme="minorHAnsi" w:cs="Arial"/>
                <w:bCs/>
                <w:sz w:val="20"/>
                <w:szCs w:val="20"/>
              </w:rPr>
              <w:t xml:space="preserve">: principali Paesi di destinazione delle esportazioni. </w:t>
            </w:r>
            <w:r w:rsidR="0042322C" w:rsidRPr="0042322C">
              <w:rPr>
                <w:rFonts w:asciiTheme="minorHAnsi" w:hAnsiTheme="minorHAnsi" w:cs="Arial"/>
                <w:bCs/>
                <w:sz w:val="20"/>
                <w:szCs w:val="20"/>
              </w:rPr>
              <w:t xml:space="preserve">Gennaio-marzo 2024 </w:t>
            </w:r>
          </w:p>
          <w:p w14:paraId="525EA596" w14:textId="63D260DC" w:rsidR="000118F3" w:rsidRPr="0042322C" w:rsidRDefault="002904BF" w:rsidP="00D71174">
            <w:pPr>
              <w:pStyle w:val="Paragrafoelenco"/>
              <w:numPr>
                <w:ilvl w:val="0"/>
                <w:numId w:val="9"/>
              </w:numPr>
              <w:spacing w:after="80" w:line="240" w:lineRule="auto"/>
              <w:ind w:left="0" w:hanging="179"/>
              <w:jc w:val="both"/>
              <w:rPr>
                <w:rFonts w:cs="Calibri"/>
                <w:b/>
                <w:sz w:val="18"/>
                <w:szCs w:val="18"/>
              </w:rPr>
            </w:pPr>
            <w:r w:rsidRPr="0042322C">
              <w:rPr>
                <w:rFonts w:asciiTheme="minorHAnsi" w:hAnsiTheme="minorHAnsi" w:cs="Arial"/>
                <w:bCs/>
                <w:sz w:val="20"/>
              </w:rPr>
              <w:t xml:space="preserve">Tav. </w:t>
            </w:r>
            <w:r w:rsidR="00D9569D" w:rsidRPr="0042322C">
              <w:rPr>
                <w:rFonts w:asciiTheme="minorHAnsi" w:hAnsiTheme="minorHAnsi" w:cs="Arial"/>
                <w:bCs/>
                <w:sz w:val="20"/>
              </w:rPr>
              <w:t>4</w:t>
            </w:r>
            <w:r w:rsidRPr="0042322C">
              <w:rPr>
                <w:rFonts w:asciiTheme="minorHAnsi" w:hAnsiTheme="minorHAnsi" w:cs="Arial"/>
                <w:bCs/>
                <w:sz w:val="20"/>
              </w:rPr>
              <w:t xml:space="preserve">.b - </w:t>
            </w:r>
            <w:r w:rsidR="00BB2FE7" w:rsidRPr="0042322C">
              <w:rPr>
                <w:rFonts w:asciiTheme="minorHAnsi" w:hAnsiTheme="minorHAnsi" w:cs="Arial"/>
                <w:bCs/>
                <w:sz w:val="20"/>
              </w:rPr>
              <w:t>TREVISO</w:t>
            </w:r>
            <w:r w:rsidRPr="0042322C">
              <w:rPr>
                <w:rFonts w:asciiTheme="minorHAnsi" w:hAnsiTheme="minorHAnsi" w:cs="Arial"/>
                <w:bCs/>
                <w:sz w:val="20"/>
              </w:rPr>
              <w:t xml:space="preserve">. Principali Paesi di provenienza delle importazioni. </w:t>
            </w:r>
            <w:r w:rsidR="0042322C" w:rsidRPr="0042322C">
              <w:rPr>
                <w:rFonts w:asciiTheme="minorHAnsi" w:hAnsiTheme="minorHAnsi" w:cs="Arial"/>
                <w:bCs/>
                <w:sz w:val="20"/>
              </w:rPr>
              <w:t xml:space="preserve">Gennaio-marzo 2024 </w:t>
            </w:r>
          </w:p>
          <w:p w14:paraId="39633806" w14:textId="1DF59D0F" w:rsidR="00BB2FE7" w:rsidRPr="0042322C" w:rsidRDefault="00BB2FE7" w:rsidP="00D71174">
            <w:pPr>
              <w:pStyle w:val="Paragrafoelenco"/>
              <w:numPr>
                <w:ilvl w:val="0"/>
                <w:numId w:val="9"/>
              </w:numPr>
              <w:spacing w:after="80" w:line="240" w:lineRule="auto"/>
              <w:ind w:left="0" w:hanging="179"/>
              <w:jc w:val="both"/>
              <w:rPr>
                <w:rFonts w:asciiTheme="minorHAnsi" w:hAnsiTheme="minorHAnsi" w:cs="Arial"/>
                <w:bCs/>
                <w:sz w:val="20"/>
                <w:szCs w:val="20"/>
              </w:rPr>
            </w:pPr>
            <w:r w:rsidRPr="0042322C">
              <w:rPr>
                <w:rFonts w:asciiTheme="minorHAnsi" w:hAnsiTheme="minorHAnsi" w:cs="Arial"/>
                <w:bCs/>
                <w:sz w:val="20"/>
                <w:szCs w:val="20"/>
              </w:rPr>
              <w:t xml:space="preserve">Tav. 5.a - BELLUNO: principali Paesi di destinazione delle esportazioni. </w:t>
            </w:r>
            <w:r w:rsidR="0042322C" w:rsidRPr="0042322C">
              <w:rPr>
                <w:rFonts w:asciiTheme="minorHAnsi" w:hAnsiTheme="minorHAnsi" w:cs="Arial"/>
                <w:bCs/>
                <w:sz w:val="20"/>
                <w:szCs w:val="20"/>
              </w:rPr>
              <w:t xml:space="preserve">Gennaio-marzo 2024 </w:t>
            </w:r>
          </w:p>
          <w:p w14:paraId="2D6BD3C2" w14:textId="27C9A810" w:rsidR="00BB2FE7" w:rsidRPr="0042322C" w:rsidRDefault="00BB2FE7" w:rsidP="00D71174">
            <w:pPr>
              <w:pStyle w:val="Paragrafoelenco"/>
              <w:numPr>
                <w:ilvl w:val="0"/>
                <w:numId w:val="9"/>
              </w:numPr>
              <w:spacing w:after="80" w:line="240" w:lineRule="auto"/>
              <w:ind w:left="0" w:hanging="318"/>
              <w:rPr>
                <w:rFonts w:asciiTheme="minorHAnsi" w:hAnsiTheme="minorHAnsi" w:cs="Arial"/>
                <w:bCs/>
                <w:szCs w:val="22"/>
              </w:rPr>
            </w:pPr>
            <w:r w:rsidRPr="0042322C">
              <w:rPr>
                <w:rFonts w:asciiTheme="minorHAnsi" w:hAnsiTheme="minorHAnsi" w:cs="Arial"/>
                <w:bCs/>
                <w:sz w:val="20"/>
                <w:szCs w:val="20"/>
              </w:rPr>
              <w:t xml:space="preserve">Tav. 5.b - BELLUNO. Principali Paesi di provenienza delle importazioni. </w:t>
            </w:r>
            <w:r w:rsidR="0042322C" w:rsidRPr="0042322C">
              <w:rPr>
                <w:rFonts w:asciiTheme="minorHAnsi" w:hAnsiTheme="minorHAnsi" w:cs="Arial"/>
                <w:bCs/>
                <w:sz w:val="20"/>
                <w:szCs w:val="20"/>
              </w:rPr>
              <w:t xml:space="preserve">Gennaio-marzo 2024 </w:t>
            </w:r>
          </w:p>
          <w:p w14:paraId="3A3113DB" w14:textId="1CE0CDBC" w:rsidR="003569B4" w:rsidRPr="0042322C" w:rsidRDefault="003569B4" w:rsidP="00462AE1">
            <w:pPr>
              <w:pStyle w:val="Paragrafoelenco"/>
              <w:numPr>
                <w:ilvl w:val="0"/>
                <w:numId w:val="9"/>
              </w:numPr>
              <w:spacing w:after="80" w:line="240" w:lineRule="auto"/>
              <w:ind w:left="0" w:hanging="318"/>
              <w:rPr>
                <w:rFonts w:cs="Calibri"/>
                <w:b/>
                <w:sz w:val="18"/>
                <w:szCs w:val="18"/>
              </w:rPr>
            </w:pPr>
            <w:r w:rsidRPr="0042322C">
              <w:rPr>
                <w:rFonts w:cs="Calibri"/>
                <w:bCs/>
                <w:sz w:val="18"/>
                <w:szCs w:val="18"/>
              </w:rPr>
              <w:t xml:space="preserve"> </w:t>
            </w:r>
          </w:p>
        </w:tc>
      </w:tr>
    </w:tbl>
    <w:p w14:paraId="5C97D184" w14:textId="1A22141B" w:rsidR="004D02BF" w:rsidRPr="00E36E47" w:rsidRDefault="004D02BF">
      <w:pPr>
        <w:jc w:val="left"/>
        <w:rPr>
          <w:rFonts w:ascii="Calibri" w:hAnsi="Calibri" w:cs="Calibri"/>
          <w:b/>
          <w:sz w:val="18"/>
          <w:szCs w:val="18"/>
          <w:highlight w:val="yellow"/>
        </w:rPr>
      </w:pPr>
    </w:p>
    <w:p w14:paraId="61637C66" w14:textId="77777777" w:rsidR="003B1E71" w:rsidRPr="00E36E47" w:rsidRDefault="003B1E71" w:rsidP="00D62720">
      <w:pPr>
        <w:jc w:val="left"/>
        <w:rPr>
          <w:rFonts w:ascii="Calibri" w:hAnsi="Calibri" w:cs="Calibri"/>
          <w:b/>
          <w:sz w:val="18"/>
          <w:szCs w:val="18"/>
          <w:highlight w:val="yellow"/>
        </w:rPr>
      </w:pPr>
    </w:p>
    <w:p w14:paraId="5BA0925B" w14:textId="61C1902E" w:rsidR="00D62720" w:rsidRPr="0042322C" w:rsidRDefault="00D62720" w:rsidP="00D62720">
      <w:pPr>
        <w:jc w:val="left"/>
        <w:rPr>
          <w:rFonts w:ascii="Calibri" w:hAnsi="Calibri" w:cs="Calibri"/>
          <w:b/>
          <w:sz w:val="18"/>
          <w:szCs w:val="18"/>
        </w:rPr>
      </w:pPr>
      <w:r w:rsidRPr="0042322C">
        <w:rPr>
          <w:rFonts w:ascii="Calibri" w:hAnsi="Calibri" w:cs="Calibri"/>
          <w:b/>
          <w:sz w:val="18"/>
          <w:szCs w:val="18"/>
        </w:rPr>
        <w:t xml:space="preserve">Tav. 1 - Commercio estero delle province venete. </w:t>
      </w:r>
      <w:r w:rsidR="0042322C" w:rsidRPr="0042322C">
        <w:rPr>
          <w:rFonts w:ascii="Calibri" w:hAnsi="Calibri" w:cs="Calibri"/>
          <w:b/>
          <w:sz w:val="18"/>
          <w:szCs w:val="18"/>
        </w:rPr>
        <w:t xml:space="preserve">Gennaio-marzo 2024 </w:t>
      </w:r>
      <w:r w:rsidRPr="0042322C">
        <w:rPr>
          <w:rFonts w:ascii="Calibri" w:hAnsi="Calibri" w:cs="Calibri"/>
          <w:b/>
          <w:sz w:val="18"/>
          <w:szCs w:val="18"/>
        </w:rPr>
        <w:t>(dati provvisori)</w:t>
      </w:r>
    </w:p>
    <w:p w14:paraId="72ED30B0" w14:textId="3D90419E" w:rsidR="00D62720" w:rsidRPr="0042322C" w:rsidRDefault="00D62720" w:rsidP="00D62720">
      <w:pPr>
        <w:jc w:val="left"/>
        <w:rPr>
          <w:rFonts w:ascii="Calibri" w:hAnsi="Calibri" w:cs="Calibri"/>
          <w:sz w:val="18"/>
          <w:szCs w:val="18"/>
        </w:rPr>
      </w:pPr>
      <w:r w:rsidRPr="0042322C">
        <w:rPr>
          <w:rFonts w:ascii="Calibri" w:hAnsi="Calibri" w:cs="Calibri"/>
          <w:sz w:val="18"/>
          <w:szCs w:val="18"/>
        </w:rPr>
        <w:t>Confronto con i corrispondenti periodi 20</w:t>
      </w:r>
      <w:r w:rsidR="003B1E71" w:rsidRPr="0042322C">
        <w:rPr>
          <w:rFonts w:ascii="Calibri" w:hAnsi="Calibri" w:cs="Calibri"/>
          <w:sz w:val="18"/>
          <w:szCs w:val="18"/>
        </w:rPr>
        <w:t>2</w:t>
      </w:r>
      <w:r w:rsidR="006403B3">
        <w:rPr>
          <w:rFonts w:ascii="Calibri" w:hAnsi="Calibri" w:cs="Calibri"/>
          <w:sz w:val="18"/>
          <w:szCs w:val="18"/>
        </w:rPr>
        <w:t>3, 2022</w:t>
      </w:r>
      <w:r w:rsidR="003B1E71" w:rsidRPr="0042322C">
        <w:rPr>
          <w:rFonts w:ascii="Calibri" w:hAnsi="Calibri" w:cs="Calibri"/>
          <w:sz w:val="18"/>
          <w:szCs w:val="18"/>
        </w:rPr>
        <w:t xml:space="preserve"> e 2019</w:t>
      </w:r>
      <w:r w:rsidRPr="0042322C">
        <w:rPr>
          <w:rFonts w:ascii="Calibri" w:hAnsi="Calibri" w:cs="Calibri"/>
          <w:sz w:val="18"/>
          <w:szCs w:val="18"/>
        </w:rPr>
        <w:t>. Dati in migliaia di euro</w:t>
      </w:r>
    </w:p>
    <w:p w14:paraId="2F1D563E" w14:textId="77777777" w:rsidR="00D075B3" w:rsidRPr="00E36E47" w:rsidRDefault="00D075B3" w:rsidP="00D62720">
      <w:pPr>
        <w:jc w:val="left"/>
        <w:rPr>
          <w:rFonts w:ascii="Calibri" w:hAnsi="Calibri" w:cs="Calibri"/>
          <w:sz w:val="18"/>
          <w:szCs w:val="18"/>
          <w:highlight w:val="yellow"/>
        </w:rPr>
      </w:pPr>
    </w:p>
    <w:p w14:paraId="56C7FF71" w14:textId="566FAEEC" w:rsidR="00204704" w:rsidRPr="00E36E47" w:rsidRDefault="0042322C" w:rsidP="00305AD3">
      <w:pPr>
        <w:jc w:val="left"/>
        <w:rPr>
          <w:highlight w:val="yellow"/>
        </w:rPr>
      </w:pPr>
      <w:r w:rsidRPr="0042322C">
        <w:rPr>
          <w:noProof/>
        </w:rPr>
        <w:drawing>
          <wp:inline distT="0" distB="0" distL="0" distR="0" wp14:anchorId="36CE2CF4" wp14:editId="054FCD2C">
            <wp:extent cx="5580380" cy="5822950"/>
            <wp:effectExtent l="0" t="0" r="127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5822950"/>
                    </a:xfrm>
                    <a:prstGeom prst="rect">
                      <a:avLst/>
                    </a:prstGeom>
                    <a:noFill/>
                    <a:ln>
                      <a:noFill/>
                    </a:ln>
                  </pic:spPr>
                </pic:pic>
              </a:graphicData>
            </a:graphic>
          </wp:inline>
        </w:drawing>
      </w:r>
    </w:p>
    <w:p w14:paraId="10CE3F54" w14:textId="77777777" w:rsidR="00D075B3" w:rsidRPr="0042322C" w:rsidRDefault="00D075B3">
      <w:pPr>
        <w:jc w:val="left"/>
        <w:rPr>
          <w:rFonts w:ascii="Calibri" w:hAnsi="Calibri" w:cs="Calibri"/>
          <w:bCs/>
          <w:i/>
          <w:sz w:val="16"/>
          <w:szCs w:val="16"/>
        </w:rPr>
      </w:pPr>
    </w:p>
    <w:p w14:paraId="3EAA6137" w14:textId="30D5B003" w:rsidR="00F74403" w:rsidRPr="0042322C" w:rsidRDefault="00204704">
      <w:pPr>
        <w:jc w:val="left"/>
        <w:rPr>
          <w:rFonts w:ascii="Calibri" w:hAnsi="Calibri" w:cs="Calibri"/>
          <w:b/>
          <w:sz w:val="16"/>
          <w:szCs w:val="16"/>
        </w:rPr>
      </w:pPr>
      <w:r w:rsidRPr="0042322C">
        <w:rPr>
          <w:rFonts w:ascii="Calibri" w:hAnsi="Calibri" w:cs="Calibri"/>
          <w:bCs/>
          <w:i/>
          <w:sz w:val="16"/>
          <w:szCs w:val="16"/>
        </w:rPr>
        <w:t xml:space="preserve">Fonte: </w:t>
      </w:r>
      <w:proofErr w:type="spellStart"/>
      <w:r w:rsidRPr="0042322C">
        <w:rPr>
          <w:rFonts w:ascii="Calibri" w:hAnsi="Calibri" w:cs="Calibri"/>
          <w:bCs/>
          <w:i/>
          <w:sz w:val="16"/>
          <w:szCs w:val="16"/>
        </w:rPr>
        <w:t>elab</w:t>
      </w:r>
      <w:proofErr w:type="spellEnd"/>
      <w:r w:rsidRPr="0042322C">
        <w:rPr>
          <w:rFonts w:ascii="Calibri" w:hAnsi="Calibri" w:cs="Calibri"/>
          <w:bCs/>
          <w:i/>
          <w:sz w:val="16"/>
          <w:szCs w:val="16"/>
        </w:rPr>
        <w:t xml:space="preserve">. Ufficio Studi e Statistica CCIAA Treviso – Belluno su dati ISTAT </w:t>
      </w:r>
      <w:proofErr w:type="spellStart"/>
      <w:r w:rsidRPr="0042322C">
        <w:rPr>
          <w:rFonts w:ascii="Calibri" w:hAnsi="Calibri" w:cs="Calibri"/>
          <w:bCs/>
          <w:i/>
          <w:sz w:val="16"/>
          <w:szCs w:val="16"/>
        </w:rPr>
        <w:t>Coeweb</w:t>
      </w:r>
      <w:proofErr w:type="spellEnd"/>
      <w:r w:rsidRPr="0042322C">
        <w:rPr>
          <w:rFonts w:ascii="Calibri" w:hAnsi="Calibri" w:cs="Calibri"/>
          <w:b/>
          <w:sz w:val="16"/>
          <w:szCs w:val="16"/>
        </w:rPr>
        <w:t xml:space="preserve"> </w:t>
      </w:r>
    </w:p>
    <w:p w14:paraId="440F79D6" w14:textId="296059B1" w:rsidR="0022345D" w:rsidRPr="00E36E47" w:rsidRDefault="0022345D">
      <w:pPr>
        <w:jc w:val="left"/>
        <w:rPr>
          <w:rFonts w:ascii="Calibri" w:hAnsi="Calibri" w:cs="Calibri"/>
          <w:b/>
          <w:sz w:val="16"/>
          <w:szCs w:val="16"/>
          <w:highlight w:val="yellow"/>
        </w:rPr>
      </w:pPr>
    </w:p>
    <w:p w14:paraId="7FCB8380" w14:textId="77777777" w:rsidR="009477C7" w:rsidRPr="00E36E47" w:rsidRDefault="009477C7">
      <w:pPr>
        <w:jc w:val="left"/>
        <w:rPr>
          <w:rFonts w:ascii="Calibri" w:hAnsi="Calibri" w:cs="Calibri"/>
          <w:b/>
          <w:sz w:val="18"/>
          <w:szCs w:val="18"/>
          <w:highlight w:val="yellow"/>
        </w:rPr>
      </w:pPr>
      <w:r w:rsidRPr="00E36E47">
        <w:rPr>
          <w:rFonts w:ascii="Calibri" w:hAnsi="Calibri" w:cs="Calibri"/>
          <w:b/>
          <w:sz w:val="18"/>
          <w:szCs w:val="18"/>
          <w:highlight w:val="yellow"/>
        </w:rPr>
        <w:br w:type="page"/>
      </w:r>
    </w:p>
    <w:p w14:paraId="0A3EB3BC" w14:textId="7AC2E6C0" w:rsidR="006873E1" w:rsidRPr="00593A89" w:rsidRDefault="006873E1" w:rsidP="006873E1">
      <w:pPr>
        <w:jc w:val="left"/>
        <w:rPr>
          <w:rFonts w:ascii="Calibri" w:hAnsi="Calibri" w:cs="Calibri"/>
          <w:b/>
          <w:sz w:val="18"/>
          <w:szCs w:val="18"/>
        </w:rPr>
      </w:pPr>
      <w:r w:rsidRPr="00593A89">
        <w:rPr>
          <w:rFonts w:ascii="Calibri" w:hAnsi="Calibri" w:cs="Calibri"/>
          <w:b/>
          <w:sz w:val="18"/>
          <w:szCs w:val="18"/>
        </w:rPr>
        <w:lastRenderedPageBreak/>
        <w:t xml:space="preserve">Tav. 2.a - VENETO. Commercio estero per voci merceologiche. </w:t>
      </w:r>
      <w:r w:rsidR="0042322C" w:rsidRPr="00593A89">
        <w:rPr>
          <w:rFonts w:ascii="Calibri" w:hAnsi="Calibri" w:cs="Calibri"/>
          <w:b/>
          <w:sz w:val="18"/>
          <w:szCs w:val="18"/>
        </w:rPr>
        <w:t xml:space="preserve">Gennaio-marzo 2024 </w:t>
      </w:r>
      <w:r w:rsidRPr="00593A89">
        <w:rPr>
          <w:rFonts w:ascii="Calibri" w:hAnsi="Calibri" w:cs="Calibri"/>
          <w:b/>
          <w:sz w:val="18"/>
          <w:szCs w:val="18"/>
        </w:rPr>
        <w:t>(dati provvisori)</w:t>
      </w:r>
    </w:p>
    <w:p w14:paraId="2281E3A1" w14:textId="50E547C6" w:rsidR="006873E1" w:rsidRPr="00593A89" w:rsidRDefault="006873E1" w:rsidP="006873E1">
      <w:pPr>
        <w:jc w:val="left"/>
        <w:rPr>
          <w:rFonts w:ascii="Calibri" w:hAnsi="Calibri" w:cs="Calibri"/>
          <w:sz w:val="18"/>
          <w:szCs w:val="18"/>
        </w:rPr>
      </w:pPr>
      <w:r w:rsidRPr="00593A89">
        <w:rPr>
          <w:rFonts w:ascii="Calibri" w:hAnsi="Calibri" w:cs="Calibri"/>
          <w:sz w:val="18"/>
          <w:szCs w:val="18"/>
        </w:rPr>
        <w:t>Valori assoluti in migliaia di euro, variazioni e pesi percentuali. Ordinamento decrescente per valori 202</w:t>
      </w:r>
      <w:r w:rsidR="006403B3">
        <w:rPr>
          <w:rFonts w:ascii="Calibri" w:hAnsi="Calibri" w:cs="Calibri"/>
          <w:sz w:val="18"/>
          <w:szCs w:val="18"/>
        </w:rPr>
        <w:t>4</w:t>
      </w:r>
    </w:p>
    <w:p w14:paraId="0A612A84" w14:textId="3455A885" w:rsidR="000A2E61" w:rsidRPr="00593A89" w:rsidRDefault="00593A89">
      <w:pPr>
        <w:jc w:val="left"/>
        <w:rPr>
          <w:rFonts w:ascii="Calibri" w:hAnsi="Calibri" w:cs="Calibri"/>
          <w:b/>
          <w:sz w:val="18"/>
          <w:szCs w:val="18"/>
        </w:rPr>
      </w:pPr>
      <w:r w:rsidRPr="00593A89">
        <w:rPr>
          <w:noProof/>
        </w:rPr>
        <w:drawing>
          <wp:inline distT="0" distB="0" distL="0" distR="0" wp14:anchorId="6D380EE3" wp14:editId="5D896DEF">
            <wp:extent cx="5580380" cy="7635875"/>
            <wp:effectExtent l="0" t="0" r="1270" b="317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7635875"/>
                    </a:xfrm>
                    <a:prstGeom prst="rect">
                      <a:avLst/>
                    </a:prstGeom>
                    <a:noFill/>
                    <a:ln>
                      <a:noFill/>
                    </a:ln>
                  </pic:spPr>
                </pic:pic>
              </a:graphicData>
            </a:graphic>
          </wp:inline>
        </w:drawing>
      </w:r>
    </w:p>
    <w:p w14:paraId="4CA8BFE7" w14:textId="77777777" w:rsidR="000A2E61" w:rsidRPr="00E36E47" w:rsidRDefault="000A2E61" w:rsidP="000A2E61">
      <w:pPr>
        <w:jc w:val="left"/>
        <w:rPr>
          <w:rFonts w:ascii="Calibri" w:hAnsi="Calibri" w:cs="Calibri"/>
          <w:bCs/>
          <w:i/>
          <w:sz w:val="16"/>
          <w:szCs w:val="16"/>
          <w:highlight w:val="yellow"/>
        </w:rPr>
      </w:pPr>
      <w:r w:rsidRPr="00593A89">
        <w:rPr>
          <w:rFonts w:ascii="Calibri" w:hAnsi="Calibri" w:cs="Calibri"/>
          <w:bCs/>
          <w:i/>
          <w:sz w:val="16"/>
          <w:szCs w:val="16"/>
        </w:rPr>
        <w:t xml:space="preserve">Fonte: </w:t>
      </w:r>
      <w:proofErr w:type="spellStart"/>
      <w:r w:rsidRPr="00593A89">
        <w:rPr>
          <w:rFonts w:ascii="Calibri" w:hAnsi="Calibri" w:cs="Calibri"/>
          <w:bCs/>
          <w:i/>
          <w:sz w:val="16"/>
          <w:szCs w:val="16"/>
        </w:rPr>
        <w:t>elab</w:t>
      </w:r>
      <w:proofErr w:type="spellEnd"/>
      <w:r w:rsidRPr="00593A89">
        <w:rPr>
          <w:rFonts w:ascii="Calibri" w:hAnsi="Calibri" w:cs="Calibri"/>
          <w:bCs/>
          <w:i/>
          <w:sz w:val="16"/>
          <w:szCs w:val="16"/>
        </w:rPr>
        <w:t xml:space="preserve">. Ufficio Studi e Statistica CCIAA Treviso – Belluno su dati ISTAT </w:t>
      </w:r>
      <w:proofErr w:type="spellStart"/>
      <w:r w:rsidRPr="00593A89">
        <w:rPr>
          <w:rFonts w:ascii="Calibri" w:hAnsi="Calibri" w:cs="Calibri"/>
          <w:bCs/>
          <w:i/>
          <w:sz w:val="16"/>
          <w:szCs w:val="16"/>
        </w:rPr>
        <w:t>Coeweb</w:t>
      </w:r>
      <w:proofErr w:type="spellEnd"/>
    </w:p>
    <w:p w14:paraId="614B67A9" w14:textId="77777777" w:rsidR="000A2E61" w:rsidRPr="00E36E47" w:rsidRDefault="000A2E61">
      <w:pPr>
        <w:jc w:val="left"/>
        <w:rPr>
          <w:rFonts w:ascii="Calibri" w:hAnsi="Calibri" w:cs="Calibri"/>
          <w:b/>
          <w:sz w:val="18"/>
          <w:szCs w:val="18"/>
          <w:highlight w:val="yellow"/>
        </w:rPr>
      </w:pPr>
      <w:r w:rsidRPr="00E36E47">
        <w:rPr>
          <w:rFonts w:ascii="Calibri" w:hAnsi="Calibri" w:cs="Calibri"/>
          <w:b/>
          <w:sz w:val="18"/>
          <w:szCs w:val="18"/>
          <w:highlight w:val="yellow"/>
        </w:rPr>
        <w:br w:type="page"/>
      </w:r>
    </w:p>
    <w:p w14:paraId="71BEBA38" w14:textId="0B4E61F6" w:rsidR="00DF5B8B" w:rsidRPr="00593A89" w:rsidRDefault="00DF5B8B" w:rsidP="00DF5B8B">
      <w:pPr>
        <w:jc w:val="left"/>
        <w:rPr>
          <w:rFonts w:ascii="Calibri" w:hAnsi="Calibri" w:cs="Calibri"/>
          <w:b/>
          <w:sz w:val="18"/>
          <w:szCs w:val="18"/>
        </w:rPr>
      </w:pPr>
      <w:r w:rsidRPr="00593A89">
        <w:rPr>
          <w:rFonts w:ascii="Calibri" w:hAnsi="Calibri" w:cs="Calibri"/>
          <w:b/>
          <w:sz w:val="18"/>
          <w:szCs w:val="18"/>
        </w:rPr>
        <w:lastRenderedPageBreak/>
        <w:t>Tav. 2.</w:t>
      </w:r>
      <w:r w:rsidR="006873E1" w:rsidRPr="00593A89">
        <w:rPr>
          <w:rFonts w:ascii="Calibri" w:hAnsi="Calibri" w:cs="Calibri"/>
          <w:b/>
          <w:sz w:val="18"/>
          <w:szCs w:val="18"/>
        </w:rPr>
        <w:t>b</w:t>
      </w:r>
      <w:r w:rsidRPr="00593A89">
        <w:rPr>
          <w:rFonts w:ascii="Calibri" w:hAnsi="Calibri" w:cs="Calibri"/>
          <w:b/>
          <w:sz w:val="18"/>
          <w:szCs w:val="18"/>
        </w:rPr>
        <w:t xml:space="preserve"> - </w:t>
      </w:r>
      <w:r w:rsidR="00BA733D" w:rsidRPr="00593A89">
        <w:rPr>
          <w:rFonts w:ascii="Calibri" w:hAnsi="Calibri" w:cs="Calibri"/>
          <w:b/>
          <w:sz w:val="18"/>
          <w:szCs w:val="18"/>
        </w:rPr>
        <w:t>TREVISO</w:t>
      </w:r>
      <w:r w:rsidRPr="00593A89">
        <w:rPr>
          <w:rFonts w:ascii="Calibri" w:hAnsi="Calibri" w:cs="Calibri"/>
          <w:b/>
          <w:sz w:val="18"/>
          <w:szCs w:val="18"/>
        </w:rPr>
        <w:t xml:space="preserve">. Commercio estero per voci merceologiche. </w:t>
      </w:r>
      <w:r w:rsidR="0042322C" w:rsidRPr="00593A89">
        <w:rPr>
          <w:rFonts w:ascii="Calibri" w:hAnsi="Calibri" w:cs="Calibri"/>
          <w:b/>
          <w:sz w:val="18"/>
          <w:szCs w:val="18"/>
        </w:rPr>
        <w:t xml:space="preserve">Gennaio-marzo 2024 </w:t>
      </w:r>
      <w:r w:rsidRPr="00593A89">
        <w:rPr>
          <w:rFonts w:ascii="Calibri" w:hAnsi="Calibri" w:cs="Calibri"/>
          <w:b/>
          <w:sz w:val="18"/>
          <w:szCs w:val="18"/>
        </w:rPr>
        <w:t>(dati provvisori)</w:t>
      </w:r>
    </w:p>
    <w:p w14:paraId="2DD8D118" w14:textId="3AB0324C" w:rsidR="00DF5B8B" w:rsidRPr="00593A89" w:rsidRDefault="00DF5B8B">
      <w:pPr>
        <w:jc w:val="left"/>
        <w:rPr>
          <w:rFonts w:ascii="Calibri" w:hAnsi="Calibri" w:cs="Calibri"/>
          <w:sz w:val="18"/>
          <w:szCs w:val="18"/>
        </w:rPr>
      </w:pPr>
      <w:r w:rsidRPr="00593A89">
        <w:rPr>
          <w:rFonts w:ascii="Calibri" w:hAnsi="Calibri" w:cs="Calibri"/>
          <w:sz w:val="18"/>
          <w:szCs w:val="18"/>
        </w:rPr>
        <w:t xml:space="preserve">Valori assoluti in migliaia di euro, variazioni e pesi percentuali. Ordinamento decrescente per valori </w:t>
      </w:r>
      <w:r w:rsidR="00F74403" w:rsidRPr="00593A89">
        <w:rPr>
          <w:rFonts w:ascii="Calibri" w:hAnsi="Calibri" w:cs="Calibri"/>
          <w:sz w:val="18"/>
          <w:szCs w:val="18"/>
        </w:rPr>
        <w:t>202</w:t>
      </w:r>
      <w:r w:rsidR="006403B3">
        <w:rPr>
          <w:rFonts w:ascii="Calibri" w:hAnsi="Calibri" w:cs="Calibri"/>
          <w:sz w:val="18"/>
          <w:szCs w:val="18"/>
        </w:rPr>
        <w:t>4</w:t>
      </w:r>
    </w:p>
    <w:p w14:paraId="0F829FA3" w14:textId="78DA084D" w:rsidR="009413B6" w:rsidRPr="00593A89" w:rsidRDefault="00593A89">
      <w:pPr>
        <w:jc w:val="left"/>
        <w:rPr>
          <w:rFonts w:ascii="Calibri" w:hAnsi="Calibri" w:cs="Calibri"/>
          <w:bCs/>
          <w:i/>
          <w:sz w:val="16"/>
          <w:szCs w:val="16"/>
        </w:rPr>
      </w:pPr>
      <w:r w:rsidRPr="00593A89">
        <w:rPr>
          <w:noProof/>
        </w:rPr>
        <w:drawing>
          <wp:inline distT="0" distB="0" distL="0" distR="0" wp14:anchorId="5F9DC4D5" wp14:editId="2ED45F5D">
            <wp:extent cx="5580380" cy="7570470"/>
            <wp:effectExtent l="0" t="0" r="127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7570470"/>
                    </a:xfrm>
                    <a:prstGeom prst="rect">
                      <a:avLst/>
                    </a:prstGeom>
                    <a:noFill/>
                    <a:ln>
                      <a:noFill/>
                    </a:ln>
                  </pic:spPr>
                </pic:pic>
              </a:graphicData>
            </a:graphic>
          </wp:inline>
        </w:drawing>
      </w:r>
    </w:p>
    <w:p w14:paraId="24561355" w14:textId="569E3C78" w:rsidR="00DF5B8B" w:rsidRPr="00593A89" w:rsidRDefault="00DF5B8B">
      <w:pPr>
        <w:jc w:val="left"/>
        <w:rPr>
          <w:rFonts w:ascii="Calibri" w:hAnsi="Calibri" w:cs="Calibri"/>
          <w:bCs/>
          <w:i/>
          <w:sz w:val="16"/>
          <w:szCs w:val="16"/>
        </w:rPr>
      </w:pPr>
      <w:r w:rsidRPr="00593A89">
        <w:rPr>
          <w:rFonts w:ascii="Calibri" w:hAnsi="Calibri" w:cs="Calibri"/>
          <w:bCs/>
          <w:i/>
          <w:sz w:val="16"/>
          <w:szCs w:val="16"/>
        </w:rPr>
        <w:t xml:space="preserve">Fonte: </w:t>
      </w:r>
      <w:proofErr w:type="spellStart"/>
      <w:r w:rsidRPr="00593A89">
        <w:rPr>
          <w:rFonts w:ascii="Calibri" w:hAnsi="Calibri" w:cs="Calibri"/>
          <w:bCs/>
          <w:i/>
          <w:sz w:val="16"/>
          <w:szCs w:val="16"/>
        </w:rPr>
        <w:t>elab</w:t>
      </w:r>
      <w:proofErr w:type="spellEnd"/>
      <w:r w:rsidRPr="00593A89">
        <w:rPr>
          <w:rFonts w:ascii="Calibri" w:hAnsi="Calibri" w:cs="Calibri"/>
          <w:bCs/>
          <w:i/>
          <w:sz w:val="16"/>
          <w:szCs w:val="16"/>
        </w:rPr>
        <w:t xml:space="preserve">. Ufficio Studi e Statistica CCIAA Treviso – Belluno su dati ISTAT </w:t>
      </w:r>
      <w:proofErr w:type="spellStart"/>
      <w:r w:rsidRPr="00593A89">
        <w:rPr>
          <w:rFonts w:ascii="Calibri" w:hAnsi="Calibri" w:cs="Calibri"/>
          <w:bCs/>
          <w:i/>
          <w:sz w:val="16"/>
          <w:szCs w:val="16"/>
        </w:rPr>
        <w:t>Coeweb</w:t>
      </w:r>
      <w:proofErr w:type="spellEnd"/>
    </w:p>
    <w:p w14:paraId="067C2911" w14:textId="3FA1F194" w:rsidR="00BA733D" w:rsidRPr="00E36E47" w:rsidRDefault="00BA733D">
      <w:pPr>
        <w:jc w:val="left"/>
        <w:rPr>
          <w:rFonts w:ascii="Calibri" w:hAnsi="Calibri" w:cs="Calibri"/>
          <w:bCs/>
          <w:i/>
          <w:sz w:val="16"/>
          <w:szCs w:val="16"/>
          <w:highlight w:val="yellow"/>
        </w:rPr>
      </w:pPr>
      <w:r w:rsidRPr="00E36E47">
        <w:rPr>
          <w:rFonts w:ascii="Calibri" w:hAnsi="Calibri" w:cs="Calibri"/>
          <w:bCs/>
          <w:i/>
          <w:sz w:val="16"/>
          <w:szCs w:val="16"/>
          <w:highlight w:val="yellow"/>
        </w:rPr>
        <w:br w:type="page"/>
      </w:r>
    </w:p>
    <w:p w14:paraId="3AE834D1" w14:textId="780B62BA" w:rsidR="00072B7E" w:rsidRPr="00AF05C5" w:rsidRDefault="00BD2778" w:rsidP="00072B7E">
      <w:pPr>
        <w:jc w:val="left"/>
        <w:rPr>
          <w:rFonts w:ascii="Calibri" w:hAnsi="Calibri" w:cs="Calibri"/>
          <w:b/>
          <w:sz w:val="18"/>
          <w:szCs w:val="18"/>
        </w:rPr>
      </w:pPr>
      <w:r w:rsidRPr="00AF05C5">
        <w:rPr>
          <w:rFonts w:ascii="Calibri" w:hAnsi="Calibri" w:cs="Calibri"/>
          <w:b/>
          <w:sz w:val="18"/>
          <w:szCs w:val="18"/>
        </w:rPr>
        <w:lastRenderedPageBreak/>
        <w:t>Tav. 2.</w:t>
      </w:r>
      <w:r w:rsidR="006873E1" w:rsidRPr="00AF05C5">
        <w:rPr>
          <w:rFonts w:ascii="Calibri" w:hAnsi="Calibri" w:cs="Calibri"/>
          <w:b/>
          <w:sz w:val="18"/>
          <w:szCs w:val="18"/>
        </w:rPr>
        <w:t>c</w:t>
      </w:r>
      <w:r w:rsidR="00072B7E" w:rsidRPr="00AF05C5">
        <w:rPr>
          <w:rFonts w:ascii="Calibri" w:hAnsi="Calibri" w:cs="Calibri"/>
          <w:b/>
          <w:sz w:val="18"/>
          <w:szCs w:val="18"/>
        </w:rPr>
        <w:t xml:space="preserve"> - </w:t>
      </w:r>
      <w:r w:rsidR="00BA733D" w:rsidRPr="00AF05C5">
        <w:rPr>
          <w:rFonts w:ascii="Calibri" w:hAnsi="Calibri" w:cs="Calibri"/>
          <w:b/>
          <w:sz w:val="18"/>
          <w:szCs w:val="18"/>
        </w:rPr>
        <w:t>BELLUNO</w:t>
      </w:r>
      <w:r w:rsidR="00072B7E" w:rsidRPr="00AF05C5">
        <w:rPr>
          <w:rFonts w:ascii="Calibri" w:hAnsi="Calibri" w:cs="Calibri"/>
          <w:b/>
          <w:sz w:val="18"/>
          <w:szCs w:val="18"/>
        </w:rPr>
        <w:t xml:space="preserve">. </w:t>
      </w:r>
      <w:r w:rsidR="00DE1782" w:rsidRPr="00AF05C5">
        <w:rPr>
          <w:rFonts w:ascii="Calibri" w:hAnsi="Calibri" w:cs="Calibri"/>
          <w:b/>
          <w:sz w:val="18"/>
          <w:szCs w:val="18"/>
        </w:rPr>
        <w:t xml:space="preserve">Commercio estero </w:t>
      </w:r>
      <w:r w:rsidR="00072B7E" w:rsidRPr="00AF05C5">
        <w:rPr>
          <w:rFonts w:ascii="Calibri" w:hAnsi="Calibri" w:cs="Calibri"/>
          <w:b/>
          <w:sz w:val="18"/>
          <w:szCs w:val="18"/>
        </w:rPr>
        <w:t xml:space="preserve">per voci merceologiche. </w:t>
      </w:r>
      <w:r w:rsidR="0042322C" w:rsidRPr="00AF05C5">
        <w:rPr>
          <w:rFonts w:ascii="Calibri" w:hAnsi="Calibri" w:cs="Calibri"/>
          <w:b/>
          <w:sz w:val="18"/>
          <w:szCs w:val="18"/>
        </w:rPr>
        <w:t xml:space="preserve">Gennaio-marzo 2024 </w:t>
      </w:r>
      <w:r w:rsidR="00072B7E" w:rsidRPr="00AF05C5">
        <w:rPr>
          <w:rFonts w:ascii="Calibri" w:hAnsi="Calibri" w:cs="Calibri"/>
          <w:b/>
          <w:sz w:val="18"/>
          <w:szCs w:val="18"/>
        </w:rPr>
        <w:t>(dati provvisori)</w:t>
      </w:r>
    </w:p>
    <w:p w14:paraId="23D55543" w14:textId="7FFF9DB1" w:rsidR="002A2A5C" w:rsidRPr="00AF05C5" w:rsidRDefault="00072B7E" w:rsidP="00072B7E">
      <w:pPr>
        <w:jc w:val="left"/>
        <w:rPr>
          <w:rFonts w:ascii="Calibri" w:hAnsi="Calibri" w:cs="Calibri"/>
          <w:sz w:val="18"/>
          <w:szCs w:val="18"/>
        </w:rPr>
      </w:pPr>
      <w:r w:rsidRPr="00AF05C5">
        <w:rPr>
          <w:rFonts w:ascii="Calibri" w:hAnsi="Calibri" w:cs="Calibri"/>
          <w:sz w:val="18"/>
          <w:szCs w:val="18"/>
        </w:rPr>
        <w:t xml:space="preserve">Valori assoluti in migliaia di euro, variazioni e pesi percentuali. Ordinamento decrescente per valori </w:t>
      </w:r>
      <w:r w:rsidR="00F74403" w:rsidRPr="00AF05C5">
        <w:rPr>
          <w:rFonts w:ascii="Calibri" w:hAnsi="Calibri" w:cs="Calibri"/>
          <w:sz w:val="18"/>
          <w:szCs w:val="18"/>
        </w:rPr>
        <w:t>202</w:t>
      </w:r>
      <w:r w:rsidR="006403B3">
        <w:rPr>
          <w:rFonts w:ascii="Calibri" w:hAnsi="Calibri" w:cs="Calibri"/>
          <w:sz w:val="18"/>
          <w:szCs w:val="18"/>
        </w:rPr>
        <w:t>4</w:t>
      </w:r>
    </w:p>
    <w:p w14:paraId="5AF09982" w14:textId="043B08EE" w:rsidR="00DF5B8B" w:rsidRPr="00AF05C5" w:rsidRDefault="00FE2A25">
      <w:pPr>
        <w:jc w:val="left"/>
      </w:pPr>
      <w:r w:rsidRPr="00AF05C5">
        <w:t xml:space="preserve"> </w:t>
      </w:r>
      <w:r w:rsidR="00AF05C5" w:rsidRPr="00AF05C5">
        <w:rPr>
          <w:noProof/>
        </w:rPr>
        <w:drawing>
          <wp:inline distT="0" distB="0" distL="0" distR="0" wp14:anchorId="32170353" wp14:editId="3A22A642">
            <wp:extent cx="5580380" cy="8049895"/>
            <wp:effectExtent l="0" t="0" r="1270" b="825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0380" cy="8049895"/>
                    </a:xfrm>
                    <a:prstGeom prst="rect">
                      <a:avLst/>
                    </a:prstGeom>
                    <a:noFill/>
                    <a:ln>
                      <a:noFill/>
                    </a:ln>
                  </pic:spPr>
                </pic:pic>
              </a:graphicData>
            </a:graphic>
          </wp:inline>
        </w:drawing>
      </w:r>
    </w:p>
    <w:p w14:paraId="737838EF" w14:textId="43572AFF" w:rsidR="006873E1" w:rsidRPr="00E36E47" w:rsidRDefault="00204704">
      <w:pPr>
        <w:jc w:val="left"/>
        <w:rPr>
          <w:rFonts w:ascii="Calibri" w:hAnsi="Calibri" w:cs="Calibri"/>
          <w:b/>
          <w:sz w:val="18"/>
          <w:szCs w:val="18"/>
          <w:highlight w:val="yellow"/>
        </w:rPr>
      </w:pPr>
      <w:r w:rsidRPr="00AF05C5">
        <w:rPr>
          <w:rFonts w:ascii="Calibri" w:hAnsi="Calibri" w:cs="Calibri"/>
          <w:bCs/>
          <w:i/>
          <w:sz w:val="16"/>
          <w:szCs w:val="16"/>
        </w:rPr>
        <w:t xml:space="preserve">Fonte: </w:t>
      </w:r>
      <w:proofErr w:type="spellStart"/>
      <w:r w:rsidRPr="00AF05C5">
        <w:rPr>
          <w:rFonts w:ascii="Calibri" w:hAnsi="Calibri" w:cs="Calibri"/>
          <w:bCs/>
          <w:i/>
          <w:sz w:val="16"/>
          <w:szCs w:val="16"/>
        </w:rPr>
        <w:t>elab</w:t>
      </w:r>
      <w:proofErr w:type="spellEnd"/>
      <w:r w:rsidRPr="00AF05C5">
        <w:rPr>
          <w:rFonts w:ascii="Calibri" w:hAnsi="Calibri" w:cs="Calibri"/>
          <w:bCs/>
          <w:i/>
          <w:sz w:val="16"/>
          <w:szCs w:val="16"/>
        </w:rPr>
        <w:t xml:space="preserve">. Ufficio Studi e Statistica CCIAA Treviso – Belluno su dati ISTAT </w:t>
      </w:r>
      <w:proofErr w:type="spellStart"/>
      <w:r w:rsidRPr="00AF05C5">
        <w:rPr>
          <w:rFonts w:ascii="Calibri" w:hAnsi="Calibri" w:cs="Calibri"/>
          <w:bCs/>
          <w:i/>
          <w:sz w:val="16"/>
          <w:szCs w:val="16"/>
        </w:rPr>
        <w:t>Coeweb</w:t>
      </w:r>
      <w:proofErr w:type="spellEnd"/>
      <w:r w:rsidRPr="00AF05C5">
        <w:rPr>
          <w:rFonts w:ascii="Calibri" w:hAnsi="Calibri" w:cs="Calibri"/>
          <w:b/>
          <w:sz w:val="18"/>
          <w:szCs w:val="18"/>
        </w:rPr>
        <w:t xml:space="preserve"> </w:t>
      </w:r>
      <w:r w:rsidR="006873E1" w:rsidRPr="00E36E47">
        <w:rPr>
          <w:rFonts w:ascii="Calibri" w:hAnsi="Calibri" w:cs="Calibri"/>
          <w:b/>
          <w:sz w:val="18"/>
          <w:szCs w:val="18"/>
          <w:highlight w:val="yellow"/>
        </w:rPr>
        <w:br w:type="page"/>
      </w:r>
    </w:p>
    <w:p w14:paraId="5BD64FE1" w14:textId="50E30D31" w:rsidR="006873E1" w:rsidRPr="006403B3" w:rsidRDefault="006873E1" w:rsidP="006873E1">
      <w:pPr>
        <w:jc w:val="left"/>
        <w:rPr>
          <w:rFonts w:ascii="Calibri" w:hAnsi="Calibri" w:cs="Calibri"/>
          <w:b/>
          <w:sz w:val="18"/>
          <w:szCs w:val="18"/>
        </w:rPr>
      </w:pPr>
      <w:r w:rsidRPr="006403B3">
        <w:rPr>
          <w:rFonts w:ascii="Calibri" w:hAnsi="Calibri" w:cs="Calibri"/>
          <w:b/>
          <w:sz w:val="18"/>
          <w:szCs w:val="18"/>
        </w:rPr>
        <w:lastRenderedPageBreak/>
        <w:t xml:space="preserve">Tav. 3.a - VENETO. Principali Paesi di destinazione delle esportazioni. </w:t>
      </w:r>
      <w:r w:rsidR="0042322C" w:rsidRPr="006403B3">
        <w:rPr>
          <w:rFonts w:ascii="Calibri" w:hAnsi="Calibri" w:cs="Calibri"/>
          <w:b/>
          <w:sz w:val="18"/>
          <w:szCs w:val="18"/>
        </w:rPr>
        <w:t xml:space="preserve">Gennaio-marzo 2024 </w:t>
      </w:r>
      <w:r w:rsidRPr="006403B3">
        <w:rPr>
          <w:rFonts w:ascii="Calibri" w:hAnsi="Calibri" w:cs="Calibri"/>
          <w:b/>
          <w:sz w:val="18"/>
          <w:szCs w:val="18"/>
        </w:rPr>
        <w:t>(dati provvisori)</w:t>
      </w:r>
    </w:p>
    <w:p w14:paraId="47C344E0" w14:textId="2F8DDE87" w:rsidR="006873E1" w:rsidRPr="006403B3" w:rsidRDefault="006873E1" w:rsidP="006873E1">
      <w:pPr>
        <w:spacing w:after="40"/>
        <w:jc w:val="left"/>
        <w:rPr>
          <w:rFonts w:ascii="Calibri" w:hAnsi="Calibri" w:cs="Calibri"/>
          <w:sz w:val="18"/>
          <w:szCs w:val="18"/>
        </w:rPr>
      </w:pPr>
      <w:r w:rsidRPr="006403B3">
        <w:rPr>
          <w:rFonts w:ascii="Calibri" w:hAnsi="Calibri" w:cs="Calibri"/>
          <w:sz w:val="18"/>
          <w:szCs w:val="18"/>
        </w:rPr>
        <w:t>Valori assoluti in migliaia di euro, variazioni e pesi percentuali. Ordinamento decrescente per valori 202</w:t>
      </w:r>
      <w:r w:rsidR="006403B3" w:rsidRPr="006403B3">
        <w:rPr>
          <w:rFonts w:ascii="Calibri" w:hAnsi="Calibri" w:cs="Calibri"/>
          <w:sz w:val="18"/>
          <w:szCs w:val="18"/>
        </w:rPr>
        <w:t>4</w:t>
      </w:r>
    </w:p>
    <w:p w14:paraId="293632EC" w14:textId="1F75C0A2" w:rsidR="006873E1" w:rsidRPr="006403B3" w:rsidRDefault="006403B3" w:rsidP="006873E1">
      <w:pPr>
        <w:jc w:val="left"/>
        <w:rPr>
          <w:rFonts w:ascii="Calibri" w:hAnsi="Calibri" w:cs="Calibri"/>
          <w:b/>
          <w:sz w:val="18"/>
          <w:szCs w:val="18"/>
        </w:rPr>
      </w:pPr>
      <w:r w:rsidRPr="006403B3">
        <w:rPr>
          <w:noProof/>
        </w:rPr>
        <w:drawing>
          <wp:inline distT="0" distB="0" distL="0" distR="0" wp14:anchorId="130487DF" wp14:editId="61F2D383">
            <wp:extent cx="5580380" cy="3896995"/>
            <wp:effectExtent l="0" t="0" r="1270" b="825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0380" cy="3896995"/>
                    </a:xfrm>
                    <a:prstGeom prst="rect">
                      <a:avLst/>
                    </a:prstGeom>
                    <a:noFill/>
                    <a:ln>
                      <a:noFill/>
                    </a:ln>
                  </pic:spPr>
                </pic:pic>
              </a:graphicData>
            </a:graphic>
          </wp:inline>
        </w:drawing>
      </w:r>
    </w:p>
    <w:p w14:paraId="1F4C50A4" w14:textId="77777777" w:rsidR="006873E1" w:rsidRPr="006403B3" w:rsidRDefault="006873E1" w:rsidP="006873E1">
      <w:pPr>
        <w:jc w:val="left"/>
        <w:rPr>
          <w:rFonts w:ascii="Calibri" w:hAnsi="Calibri" w:cs="Calibri"/>
          <w:b/>
          <w:sz w:val="16"/>
          <w:szCs w:val="16"/>
        </w:rPr>
      </w:pPr>
      <w:r w:rsidRPr="006403B3">
        <w:rPr>
          <w:rFonts w:ascii="Calibri" w:hAnsi="Calibri" w:cs="Calibri"/>
          <w:bCs/>
          <w:i/>
          <w:sz w:val="16"/>
          <w:szCs w:val="16"/>
        </w:rPr>
        <w:t xml:space="preserve">Fonte: </w:t>
      </w:r>
      <w:proofErr w:type="spellStart"/>
      <w:r w:rsidRPr="006403B3">
        <w:rPr>
          <w:rFonts w:ascii="Calibri" w:hAnsi="Calibri" w:cs="Calibri"/>
          <w:bCs/>
          <w:i/>
          <w:sz w:val="16"/>
          <w:szCs w:val="16"/>
        </w:rPr>
        <w:t>elab</w:t>
      </w:r>
      <w:proofErr w:type="spellEnd"/>
      <w:r w:rsidRPr="006403B3">
        <w:rPr>
          <w:rFonts w:ascii="Calibri" w:hAnsi="Calibri" w:cs="Calibri"/>
          <w:bCs/>
          <w:i/>
          <w:sz w:val="16"/>
          <w:szCs w:val="16"/>
        </w:rPr>
        <w:t xml:space="preserve">. Ufficio Studi e Statistica CCIAA Treviso – Belluno su dati ISTAT </w:t>
      </w:r>
      <w:proofErr w:type="spellStart"/>
      <w:r w:rsidRPr="006403B3">
        <w:rPr>
          <w:rFonts w:ascii="Calibri" w:hAnsi="Calibri" w:cs="Calibri"/>
          <w:bCs/>
          <w:i/>
          <w:sz w:val="16"/>
          <w:szCs w:val="16"/>
        </w:rPr>
        <w:t>Coeweb</w:t>
      </w:r>
      <w:proofErr w:type="spellEnd"/>
    </w:p>
    <w:p w14:paraId="4DBE734D" w14:textId="77777777" w:rsidR="006873E1" w:rsidRPr="00E36E47" w:rsidRDefault="006873E1" w:rsidP="006873E1">
      <w:pPr>
        <w:jc w:val="left"/>
        <w:rPr>
          <w:rFonts w:ascii="Calibri" w:hAnsi="Calibri" w:cs="Calibri"/>
          <w:b/>
          <w:sz w:val="18"/>
          <w:szCs w:val="18"/>
          <w:highlight w:val="yellow"/>
        </w:rPr>
      </w:pPr>
    </w:p>
    <w:p w14:paraId="471C2088" w14:textId="7490BBE2" w:rsidR="00A0355F" w:rsidRPr="00E36E47" w:rsidRDefault="00A0355F" w:rsidP="00B02F0B">
      <w:pPr>
        <w:jc w:val="left"/>
        <w:rPr>
          <w:rFonts w:ascii="Calibri" w:hAnsi="Calibri" w:cs="Calibri"/>
          <w:b/>
          <w:sz w:val="18"/>
          <w:szCs w:val="18"/>
          <w:highlight w:val="yellow"/>
        </w:rPr>
      </w:pPr>
    </w:p>
    <w:p w14:paraId="1E5A3501" w14:textId="451598F8" w:rsidR="006873E1" w:rsidRPr="006403B3" w:rsidRDefault="006873E1" w:rsidP="006873E1">
      <w:pPr>
        <w:jc w:val="left"/>
        <w:rPr>
          <w:rFonts w:ascii="Calibri" w:hAnsi="Calibri" w:cs="Calibri"/>
          <w:sz w:val="18"/>
          <w:szCs w:val="18"/>
        </w:rPr>
      </w:pPr>
      <w:r w:rsidRPr="006403B3">
        <w:rPr>
          <w:rFonts w:ascii="Calibri" w:hAnsi="Calibri" w:cs="Calibri"/>
          <w:b/>
          <w:sz w:val="18"/>
          <w:szCs w:val="18"/>
        </w:rPr>
        <w:t xml:space="preserve">Tav. 3.b - VENETO. Principali Paesi di provenienza delle importazioni. </w:t>
      </w:r>
      <w:r w:rsidR="0042322C" w:rsidRPr="006403B3">
        <w:rPr>
          <w:rFonts w:ascii="Calibri" w:hAnsi="Calibri" w:cs="Calibri"/>
          <w:b/>
          <w:sz w:val="18"/>
          <w:szCs w:val="18"/>
        </w:rPr>
        <w:t xml:space="preserve">Gennaio-marzo 2024 </w:t>
      </w:r>
      <w:r w:rsidRPr="006403B3">
        <w:rPr>
          <w:rFonts w:ascii="Calibri" w:hAnsi="Calibri" w:cs="Calibri"/>
          <w:b/>
          <w:sz w:val="18"/>
          <w:szCs w:val="18"/>
        </w:rPr>
        <w:t>(dati provvisori)</w:t>
      </w:r>
      <w:r w:rsidRPr="006403B3">
        <w:rPr>
          <w:rFonts w:ascii="Calibri" w:hAnsi="Calibri" w:cs="Calibri"/>
          <w:b/>
          <w:sz w:val="18"/>
          <w:szCs w:val="18"/>
        </w:rPr>
        <w:tab/>
      </w:r>
    </w:p>
    <w:p w14:paraId="05B02DA6" w14:textId="31D42842" w:rsidR="006873E1" w:rsidRPr="006403B3" w:rsidRDefault="006873E1" w:rsidP="006873E1">
      <w:pPr>
        <w:spacing w:after="40"/>
        <w:jc w:val="left"/>
        <w:rPr>
          <w:rFonts w:ascii="Calibri" w:hAnsi="Calibri" w:cs="Calibri"/>
          <w:sz w:val="18"/>
          <w:szCs w:val="18"/>
        </w:rPr>
      </w:pPr>
      <w:r w:rsidRPr="006403B3">
        <w:rPr>
          <w:rFonts w:ascii="Calibri" w:hAnsi="Calibri" w:cs="Calibri"/>
          <w:sz w:val="18"/>
          <w:szCs w:val="18"/>
        </w:rPr>
        <w:t>Valori assoluti in migliaia di euro, variazioni e pesi percentuali. Ordinamento decrescente per valori 202</w:t>
      </w:r>
      <w:r w:rsidR="006403B3">
        <w:rPr>
          <w:rFonts w:ascii="Calibri" w:hAnsi="Calibri" w:cs="Calibri"/>
          <w:sz w:val="18"/>
          <w:szCs w:val="18"/>
        </w:rPr>
        <w:t>4</w:t>
      </w:r>
      <w:r w:rsidRPr="006403B3">
        <w:rPr>
          <w:rFonts w:ascii="Calibri" w:hAnsi="Calibri" w:cs="Calibri"/>
          <w:sz w:val="18"/>
          <w:szCs w:val="18"/>
        </w:rPr>
        <w:tab/>
      </w:r>
    </w:p>
    <w:p w14:paraId="52D3FB51" w14:textId="6D490BF5" w:rsidR="006873E1" w:rsidRPr="006403B3" w:rsidRDefault="006403B3" w:rsidP="006873E1">
      <w:pPr>
        <w:spacing w:after="40"/>
        <w:jc w:val="left"/>
        <w:rPr>
          <w:rFonts w:ascii="Calibri" w:hAnsi="Calibri" w:cs="Calibri"/>
          <w:sz w:val="18"/>
          <w:szCs w:val="18"/>
        </w:rPr>
      </w:pPr>
      <w:r w:rsidRPr="006403B3">
        <w:rPr>
          <w:noProof/>
        </w:rPr>
        <w:drawing>
          <wp:inline distT="0" distB="0" distL="0" distR="0" wp14:anchorId="33217908" wp14:editId="0CFF940D">
            <wp:extent cx="5580380" cy="3896995"/>
            <wp:effectExtent l="0" t="0" r="1270" b="825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0380" cy="3896995"/>
                    </a:xfrm>
                    <a:prstGeom prst="rect">
                      <a:avLst/>
                    </a:prstGeom>
                    <a:noFill/>
                    <a:ln>
                      <a:noFill/>
                    </a:ln>
                  </pic:spPr>
                </pic:pic>
              </a:graphicData>
            </a:graphic>
          </wp:inline>
        </w:drawing>
      </w:r>
    </w:p>
    <w:p w14:paraId="03BAFE69" w14:textId="295D2D3E" w:rsidR="00043E9B" w:rsidRPr="006403B3" w:rsidRDefault="006873E1" w:rsidP="006873E1">
      <w:pPr>
        <w:jc w:val="left"/>
        <w:rPr>
          <w:rFonts w:ascii="Calibri" w:hAnsi="Calibri" w:cs="Calibri"/>
          <w:b/>
          <w:sz w:val="18"/>
          <w:szCs w:val="18"/>
        </w:rPr>
      </w:pPr>
      <w:r w:rsidRPr="006403B3">
        <w:rPr>
          <w:rFonts w:ascii="Calibri" w:hAnsi="Calibri" w:cs="Calibri"/>
          <w:bCs/>
          <w:i/>
          <w:sz w:val="18"/>
          <w:szCs w:val="18"/>
        </w:rPr>
        <w:t xml:space="preserve"> </w:t>
      </w:r>
      <w:r w:rsidRPr="006403B3">
        <w:rPr>
          <w:rFonts w:ascii="Calibri" w:hAnsi="Calibri" w:cs="Calibri"/>
          <w:bCs/>
          <w:i/>
          <w:sz w:val="16"/>
          <w:szCs w:val="16"/>
        </w:rPr>
        <w:t xml:space="preserve">Fonte: </w:t>
      </w:r>
      <w:proofErr w:type="spellStart"/>
      <w:r w:rsidRPr="006403B3">
        <w:rPr>
          <w:rFonts w:ascii="Calibri" w:hAnsi="Calibri" w:cs="Calibri"/>
          <w:bCs/>
          <w:i/>
          <w:sz w:val="16"/>
          <w:szCs w:val="16"/>
        </w:rPr>
        <w:t>elab</w:t>
      </w:r>
      <w:proofErr w:type="spellEnd"/>
      <w:r w:rsidRPr="006403B3">
        <w:rPr>
          <w:rFonts w:ascii="Calibri" w:hAnsi="Calibri" w:cs="Calibri"/>
          <w:bCs/>
          <w:i/>
          <w:sz w:val="16"/>
          <w:szCs w:val="16"/>
        </w:rPr>
        <w:t xml:space="preserve">. Ufficio Studi e Statistica CCIAA Treviso – Belluno su dati ISTAT </w:t>
      </w:r>
      <w:proofErr w:type="spellStart"/>
      <w:r w:rsidRPr="006403B3">
        <w:rPr>
          <w:rFonts w:ascii="Calibri" w:hAnsi="Calibri" w:cs="Calibri"/>
          <w:bCs/>
          <w:i/>
          <w:sz w:val="16"/>
          <w:szCs w:val="16"/>
        </w:rPr>
        <w:t>Coeweb</w:t>
      </w:r>
      <w:proofErr w:type="spellEnd"/>
    </w:p>
    <w:p w14:paraId="40F54065" w14:textId="7E480505" w:rsidR="00C05E09" w:rsidRPr="006403B3" w:rsidRDefault="00C05E09" w:rsidP="00C05E09">
      <w:pPr>
        <w:jc w:val="left"/>
        <w:rPr>
          <w:rFonts w:ascii="Calibri" w:hAnsi="Calibri" w:cs="Calibri"/>
          <w:b/>
          <w:sz w:val="18"/>
          <w:szCs w:val="18"/>
        </w:rPr>
      </w:pPr>
      <w:r w:rsidRPr="006403B3">
        <w:rPr>
          <w:rFonts w:ascii="Calibri" w:hAnsi="Calibri" w:cs="Calibri"/>
          <w:b/>
          <w:sz w:val="18"/>
          <w:szCs w:val="18"/>
        </w:rPr>
        <w:lastRenderedPageBreak/>
        <w:t xml:space="preserve">Tav. </w:t>
      </w:r>
      <w:r w:rsidR="006873E1" w:rsidRPr="006403B3">
        <w:rPr>
          <w:rFonts w:ascii="Calibri" w:hAnsi="Calibri" w:cs="Calibri"/>
          <w:b/>
          <w:sz w:val="18"/>
          <w:szCs w:val="18"/>
        </w:rPr>
        <w:t>4</w:t>
      </w:r>
      <w:r w:rsidRPr="006403B3">
        <w:rPr>
          <w:rFonts w:ascii="Calibri" w:hAnsi="Calibri" w:cs="Calibri"/>
          <w:b/>
          <w:sz w:val="18"/>
          <w:szCs w:val="18"/>
        </w:rPr>
        <w:t xml:space="preserve">.a - TREVISO. Principali Paesi di destinazione delle esportazioni. </w:t>
      </w:r>
      <w:r w:rsidR="0042322C" w:rsidRPr="006403B3">
        <w:rPr>
          <w:rFonts w:ascii="Calibri" w:hAnsi="Calibri" w:cs="Calibri"/>
          <w:b/>
          <w:sz w:val="18"/>
          <w:szCs w:val="18"/>
        </w:rPr>
        <w:t xml:space="preserve">Gennaio-marzo 2024 </w:t>
      </w:r>
      <w:r w:rsidRPr="006403B3">
        <w:rPr>
          <w:rFonts w:ascii="Calibri" w:hAnsi="Calibri" w:cs="Calibri"/>
          <w:b/>
          <w:sz w:val="18"/>
          <w:szCs w:val="18"/>
        </w:rPr>
        <w:t>(dati provvisori)</w:t>
      </w:r>
    </w:p>
    <w:p w14:paraId="1476DB3D" w14:textId="6933F024" w:rsidR="00C05E09" w:rsidRPr="006403B3" w:rsidRDefault="00C05E09" w:rsidP="00BA733D">
      <w:pPr>
        <w:spacing w:after="40"/>
        <w:jc w:val="left"/>
        <w:rPr>
          <w:rFonts w:ascii="Calibri" w:hAnsi="Calibri" w:cs="Calibri"/>
          <w:sz w:val="18"/>
          <w:szCs w:val="18"/>
        </w:rPr>
      </w:pPr>
      <w:r w:rsidRPr="006403B3">
        <w:rPr>
          <w:rFonts w:ascii="Calibri" w:hAnsi="Calibri" w:cs="Calibri"/>
          <w:sz w:val="18"/>
          <w:szCs w:val="18"/>
        </w:rPr>
        <w:t xml:space="preserve">Valori assoluti in migliaia di euro, variazioni e pesi percentuali. Ordinamento decrescente per valori </w:t>
      </w:r>
      <w:r w:rsidR="00F74403" w:rsidRPr="006403B3">
        <w:rPr>
          <w:rFonts w:ascii="Calibri" w:hAnsi="Calibri" w:cs="Calibri"/>
          <w:sz w:val="18"/>
          <w:szCs w:val="18"/>
        </w:rPr>
        <w:t>202</w:t>
      </w:r>
      <w:r w:rsidR="006403B3" w:rsidRPr="006403B3">
        <w:rPr>
          <w:rFonts w:ascii="Calibri" w:hAnsi="Calibri" w:cs="Calibri"/>
          <w:sz w:val="18"/>
          <w:szCs w:val="18"/>
        </w:rPr>
        <w:t>4</w:t>
      </w:r>
    </w:p>
    <w:p w14:paraId="17A11EFD" w14:textId="1C0D9703" w:rsidR="00D51A9E" w:rsidRPr="006403B3" w:rsidRDefault="006403B3" w:rsidP="00C05E09">
      <w:pPr>
        <w:jc w:val="left"/>
        <w:rPr>
          <w:rFonts w:ascii="Calibri" w:hAnsi="Calibri" w:cs="Calibri"/>
          <w:b/>
          <w:sz w:val="18"/>
          <w:szCs w:val="18"/>
        </w:rPr>
      </w:pPr>
      <w:r w:rsidRPr="006403B3">
        <w:rPr>
          <w:noProof/>
        </w:rPr>
        <w:drawing>
          <wp:inline distT="0" distB="0" distL="0" distR="0" wp14:anchorId="730A4EA8" wp14:editId="5CF715CC">
            <wp:extent cx="5580380" cy="3822065"/>
            <wp:effectExtent l="0" t="0" r="1270" b="698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0380" cy="3822065"/>
                    </a:xfrm>
                    <a:prstGeom prst="rect">
                      <a:avLst/>
                    </a:prstGeom>
                    <a:noFill/>
                    <a:ln>
                      <a:noFill/>
                    </a:ln>
                  </pic:spPr>
                </pic:pic>
              </a:graphicData>
            </a:graphic>
          </wp:inline>
        </w:drawing>
      </w:r>
    </w:p>
    <w:p w14:paraId="160461DD" w14:textId="07399278" w:rsidR="00A64A10" w:rsidRPr="006403B3" w:rsidRDefault="00A64A10" w:rsidP="00C05E09">
      <w:pPr>
        <w:jc w:val="left"/>
        <w:rPr>
          <w:rFonts w:ascii="Calibri" w:hAnsi="Calibri" w:cs="Calibri"/>
          <w:b/>
          <w:sz w:val="16"/>
          <w:szCs w:val="16"/>
        </w:rPr>
      </w:pPr>
      <w:r w:rsidRPr="006403B3">
        <w:rPr>
          <w:rFonts w:ascii="Calibri" w:hAnsi="Calibri" w:cs="Calibri"/>
          <w:bCs/>
          <w:i/>
          <w:sz w:val="16"/>
          <w:szCs w:val="16"/>
        </w:rPr>
        <w:t xml:space="preserve">Fonte: </w:t>
      </w:r>
      <w:proofErr w:type="spellStart"/>
      <w:r w:rsidRPr="006403B3">
        <w:rPr>
          <w:rFonts w:ascii="Calibri" w:hAnsi="Calibri" w:cs="Calibri"/>
          <w:bCs/>
          <w:i/>
          <w:sz w:val="16"/>
          <w:szCs w:val="16"/>
        </w:rPr>
        <w:t>elab</w:t>
      </w:r>
      <w:proofErr w:type="spellEnd"/>
      <w:r w:rsidRPr="006403B3">
        <w:rPr>
          <w:rFonts w:ascii="Calibri" w:hAnsi="Calibri" w:cs="Calibri"/>
          <w:bCs/>
          <w:i/>
          <w:sz w:val="16"/>
          <w:szCs w:val="16"/>
        </w:rPr>
        <w:t xml:space="preserve">. Ufficio Studi e Statistica CCIAA Treviso – Belluno su dati ISTAT </w:t>
      </w:r>
      <w:proofErr w:type="spellStart"/>
      <w:r w:rsidRPr="006403B3">
        <w:rPr>
          <w:rFonts w:ascii="Calibri" w:hAnsi="Calibri" w:cs="Calibri"/>
          <w:bCs/>
          <w:i/>
          <w:sz w:val="16"/>
          <w:szCs w:val="16"/>
        </w:rPr>
        <w:t>Coeweb</w:t>
      </w:r>
      <w:proofErr w:type="spellEnd"/>
    </w:p>
    <w:p w14:paraId="3BF0A6CD" w14:textId="77777777" w:rsidR="00F87426" w:rsidRPr="00E36E47" w:rsidRDefault="00F87426" w:rsidP="00C05E09">
      <w:pPr>
        <w:jc w:val="left"/>
        <w:rPr>
          <w:rFonts w:ascii="Calibri" w:hAnsi="Calibri" w:cs="Calibri"/>
          <w:b/>
          <w:sz w:val="18"/>
          <w:szCs w:val="18"/>
          <w:highlight w:val="yellow"/>
        </w:rPr>
      </w:pPr>
    </w:p>
    <w:p w14:paraId="4B28C0DF" w14:textId="07FCD0CE" w:rsidR="00890E22" w:rsidRPr="006403B3" w:rsidRDefault="00890E22" w:rsidP="002904BF">
      <w:pPr>
        <w:jc w:val="left"/>
        <w:rPr>
          <w:rFonts w:ascii="Calibri" w:hAnsi="Calibri" w:cs="Calibri"/>
          <w:sz w:val="18"/>
          <w:szCs w:val="18"/>
        </w:rPr>
      </w:pPr>
      <w:r w:rsidRPr="006403B3">
        <w:rPr>
          <w:rFonts w:ascii="Calibri" w:hAnsi="Calibri" w:cs="Calibri"/>
          <w:b/>
          <w:sz w:val="18"/>
          <w:szCs w:val="18"/>
        </w:rPr>
        <w:t xml:space="preserve">Tav. </w:t>
      </w:r>
      <w:r w:rsidR="006873E1" w:rsidRPr="006403B3">
        <w:rPr>
          <w:rFonts w:ascii="Calibri" w:hAnsi="Calibri" w:cs="Calibri"/>
          <w:b/>
          <w:sz w:val="18"/>
          <w:szCs w:val="18"/>
        </w:rPr>
        <w:t>4</w:t>
      </w:r>
      <w:r w:rsidRPr="006403B3">
        <w:rPr>
          <w:rFonts w:ascii="Calibri" w:hAnsi="Calibri" w:cs="Calibri"/>
          <w:b/>
          <w:sz w:val="18"/>
          <w:szCs w:val="18"/>
        </w:rPr>
        <w:t>.</w:t>
      </w:r>
      <w:r w:rsidR="00DF5B8B" w:rsidRPr="006403B3">
        <w:rPr>
          <w:rFonts w:ascii="Calibri" w:hAnsi="Calibri" w:cs="Calibri"/>
          <w:b/>
          <w:sz w:val="18"/>
          <w:szCs w:val="18"/>
        </w:rPr>
        <w:t>b</w:t>
      </w:r>
      <w:r w:rsidRPr="006403B3">
        <w:rPr>
          <w:rFonts w:ascii="Calibri" w:hAnsi="Calibri" w:cs="Calibri"/>
          <w:b/>
          <w:sz w:val="18"/>
          <w:szCs w:val="18"/>
        </w:rPr>
        <w:t xml:space="preserve"> - TREVISO. Principali Paesi di provenienza delle importazioni. </w:t>
      </w:r>
      <w:r w:rsidR="0042322C" w:rsidRPr="006403B3">
        <w:rPr>
          <w:rFonts w:ascii="Calibri" w:hAnsi="Calibri" w:cs="Calibri"/>
          <w:b/>
          <w:sz w:val="18"/>
          <w:szCs w:val="18"/>
        </w:rPr>
        <w:t xml:space="preserve">Gennaio-marzo 2024 </w:t>
      </w:r>
      <w:r w:rsidRPr="006403B3">
        <w:rPr>
          <w:rFonts w:ascii="Calibri" w:hAnsi="Calibri" w:cs="Calibri"/>
          <w:b/>
          <w:sz w:val="18"/>
          <w:szCs w:val="18"/>
        </w:rPr>
        <w:t>(dati provvisori)</w:t>
      </w:r>
      <w:r w:rsidRPr="006403B3">
        <w:rPr>
          <w:rFonts w:ascii="Calibri" w:hAnsi="Calibri" w:cs="Calibri"/>
          <w:b/>
          <w:sz w:val="18"/>
          <w:szCs w:val="18"/>
        </w:rPr>
        <w:tab/>
      </w:r>
    </w:p>
    <w:p w14:paraId="28FA46D4" w14:textId="00596C72" w:rsidR="00890E22" w:rsidRPr="006403B3" w:rsidRDefault="00890E22" w:rsidP="00BA733D">
      <w:pPr>
        <w:spacing w:after="40"/>
        <w:jc w:val="left"/>
        <w:rPr>
          <w:rFonts w:ascii="Calibri" w:hAnsi="Calibri" w:cs="Calibri"/>
          <w:sz w:val="18"/>
          <w:szCs w:val="18"/>
        </w:rPr>
      </w:pPr>
      <w:r w:rsidRPr="006403B3">
        <w:rPr>
          <w:rFonts w:ascii="Calibri" w:hAnsi="Calibri" w:cs="Calibri"/>
          <w:sz w:val="18"/>
          <w:szCs w:val="18"/>
        </w:rPr>
        <w:t>Valori assoluti in migliaia di euro, variazioni e pesi percentuali.</w:t>
      </w:r>
      <w:r w:rsidR="002904BF" w:rsidRPr="006403B3">
        <w:rPr>
          <w:rFonts w:ascii="Calibri" w:hAnsi="Calibri" w:cs="Calibri"/>
          <w:sz w:val="18"/>
          <w:szCs w:val="18"/>
        </w:rPr>
        <w:t xml:space="preserve"> </w:t>
      </w:r>
      <w:r w:rsidRPr="006403B3">
        <w:rPr>
          <w:rFonts w:ascii="Calibri" w:hAnsi="Calibri" w:cs="Calibri"/>
          <w:sz w:val="18"/>
          <w:szCs w:val="18"/>
        </w:rPr>
        <w:t xml:space="preserve">Ordinamento decrescente per valori </w:t>
      </w:r>
      <w:r w:rsidR="00F74403" w:rsidRPr="006403B3">
        <w:rPr>
          <w:rFonts w:ascii="Calibri" w:hAnsi="Calibri" w:cs="Calibri"/>
          <w:sz w:val="18"/>
          <w:szCs w:val="18"/>
        </w:rPr>
        <w:t>202</w:t>
      </w:r>
      <w:r w:rsidR="006403B3" w:rsidRPr="006403B3">
        <w:rPr>
          <w:rFonts w:ascii="Calibri" w:hAnsi="Calibri" w:cs="Calibri"/>
          <w:sz w:val="18"/>
          <w:szCs w:val="18"/>
        </w:rPr>
        <w:t>4</w:t>
      </w:r>
      <w:r w:rsidRPr="006403B3">
        <w:rPr>
          <w:rFonts w:ascii="Calibri" w:hAnsi="Calibri" w:cs="Calibri"/>
          <w:sz w:val="18"/>
          <w:szCs w:val="18"/>
        </w:rPr>
        <w:tab/>
      </w:r>
    </w:p>
    <w:p w14:paraId="6B41FB27" w14:textId="544AE5A2" w:rsidR="00043E9B" w:rsidRPr="006403B3" w:rsidRDefault="006403B3" w:rsidP="00BA733D">
      <w:pPr>
        <w:spacing w:after="40"/>
        <w:jc w:val="left"/>
        <w:rPr>
          <w:rFonts w:ascii="Calibri" w:hAnsi="Calibri" w:cs="Calibri"/>
          <w:sz w:val="18"/>
          <w:szCs w:val="18"/>
        </w:rPr>
      </w:pPr>
      <w:r w:rsidRPr="006403B3">
        <w:rPr>
          <w:noProof/>
        </w:rPr>
        <w:drawing>
          <wp:inline distT="0" distB="0" distL="0" distR="0" wp14:anchorId="024BBD3A" wp14:editId="17DC25EC">
            <wp:extent cx="5580380" cy="3822065"/>
            <wp:effectExtent l="0" t="0" r="1270" b="698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0380" cy="3822065"/>
                    </a:xfrm>
                    <a:prstGeom prst="rect">
                      <a:avLst/>
                    </a:prstGeom>
                    <a:noFill/>
                    <a:ln>
                      <a:noFill/>
                    </a:ln>
                  </pic:spPr>
                </pic:pic>
              </a:graphicData>
            </a:graphic>
          </wp:inline>
        </w:drawing>
      </w:r>
    </w:p>
    <w:p w14:paraId="6255815D" w14:textId="77777777" w:rsidR="00B02F0B" w:rsidRPr="006403B3" w:rsidRDefault="007D2061" w:rsidP="00043E9B">
      <w:pPr>
        <w:spacing w:after="120"/>
        <w:jc w:val="left"/>
        <w:rPr>
          <w:rFonts w:ascii="Calibri" w:hAnsi="Calibri" w:cs="Calibri"/>
          <w:bCs/>
          <w:i/>
          <w:sz w:val="16"/>
          <w:szCs w:val="16"/>
        </w:rPr>
      </w:pPr>
      <w:r w:rsidRPr="006403B3">
        <w:rPr>
          <w:rFonts w:ascii="Calibri" w:hAnsi="Calibri" w:cs="Calibri"/>
          <w:bCs/>
          <w:i/>
          <w:sz w:val="18"/>
          <w:szCs w:val="18"/>
        </w:rPr>
        <w:t xml:space="preserve"> </w:t>
      </w:r>
      <w:r w:rsidRPr="006403B3">
        <w:rPr>
          <w:rFonts w:ascii="Calibri" w:hAnsi="Calibri" w:cs="Calibri"/>
          <w:bCs/>
          <w:i/>
          <w:sz w:val="16"/>
          <w:szCs w:val="16"/>
        </w:rPr>
        <w:t xml:space="preserve">Fonte: </w:t>
      </w:r>
      <w:proofErr w:type="spellStart"/>
      <w:r w:rsidRPr="006403B3">
        <w:rPr>
          <w:rFonts w:ascii="Calibri" w:hAnsi="Calibri" w:cs="Calibri"/>
          <w:bCs/>
          <w:i/>
          <w:sz w:val="16"/>
          <w:szCs w:val="16"/>
        </w:rPr>
        <w:t>elab</w:t>
      </w:r>
      <w:proofErr w:type="spellEnd"/>
      <w:r w:rsidRPr="006403B3">
        <w:rPr>
          <w:rFonts w:ascii="Calibri" w:hAnsi="Calibri" w:cs="Calibri"/>
          <w:bCs/>
          <w:i/>
          <w:sz w:val="16"/>
          <w:szCs w:val="16"/>
        </w:rPr>
        <w:t xml:space="preserve">. Ufficio Studi e Statistica CCIAA Treviso – Belluno su dati ISTAT </w:t>
      </w:r>
      <w:proofErr w:type="spellStart"/>
      <w:r w:rsidRPr="006403B3">
        <w:rPr>
          <w:rFonts w:ascii="Calibri" w:hAnsi="Calibri" w:cs="Calibri"/>
          <w:bCs/>
          <w:i/>
          <w:sz w:val="16"/>
          <w:szCs w:val="16"/>
        </w:rPr>
        <w:t>Coeweb</w:t>
      </w:r>
      <w:proofErr w:type="spellEnd"/>
    </w:p>
    <w:p w14:paraId="02D5B123" w14:textId="77777777" w:rsidR="00B02F0B" w:rsidRPr="006403B3" w:rsidRDefault="00B02F0B" w:rsidP="00043E9B">
      <w:pPr>
        <w:spacing w:after="120"/>
        <w:jc w:val="left"/>
        <w:rPr>
          <w:rFonts w:ascii="Calibri" w:hAnsi="Calibri" w:cs="Calibri"/>
          <w:bCs/>
          <w:i/>
          <w:sz w:val="16"/>
          <w:szCs w:val="16"/>
        </w:rPr>
      </w:pPr>
    </w:p>
    <w:p w14:paraId="1F0D31DC" w14:textId="0BD6522E" w:rsidR="00DF5B8B" w:rsidRPr="006403B3" w:rsidRDefault="00DF5B8B" w:rsidP="00DF5B8B">
      <w:pPr>
        <w:jc w:val="left"/>
        <w:rPr>
          <w:rFonts w:ascii="Calibri" w:hAnsi="Calibri" w:cs="Calibri"/>
          <w:b/>
          <w:sz w:val="18"/>
          <w:szCs w:val="18"/>
        </w:rPr>
      </w:pPr>
      <w:r w:rsidRPr="006403B3">
        <w:rPr>
          <w:rFonts w:ascii="Calibri" w:hAnsi="Calibri" w:cs="Calibri"/>
          <w:b/>
          <w:sz w:val="18"/>
          <w:szCs w:val="18"/>
        </w:rPr>
        <w:lastRenderedPageBreak/>
        <w:t xml:space="preserve">Tav. </w:t>
      </w:r>
      <w:r w:rsidR="006873E1" w:rsidRPr="006403B3">
        <w:rPr>
          <w:rFonts w:ascii="Calibri" w:hAnsi="Calibri" w:cs="Calibri"/>
          <w:b/>
          <w:sz w:val="18"/>
          <w:szCs w:val="18"/>
        </w:rPr>
        <w:t>5</w:t>
      </w:r>
      <w:r w:rsidRPr="006403B3">
        <w:rPr>
          <w:rFonts w:ascii="Calibri" w:hAnsi="Calibri" w:cs="Calibri"/>
          <w:b/>
          <w:sz w:val="18"/>
          <w:szCs w:val="18"/>
        </w:rPr>
        <w:t xml:space="preserve">.a - BELLUNO. Principali Paesi di destinazione delle esportazioni. </w:t>
      </w:r>
      <w:r w:rsidR="0042322C" w:rsidRPr="006403B3">
        <w:rPr>
          <w:rFonts w:ascii="Calibri" w:hAnsi="Calibri" w:cs="Calibri"/>
          <w:b/>
          <w:sz w:val="18"/>
          <w:szCs w:val="18"/>
        </w:rPr>
        <w:t xml:space="preserve">Gennaio-marzo 2024 </w:t>
      </w:r>
      <w:r w:rsidRPr="006403B3">
        <w:rPr>
          <w:rFonts w:ascii="Calibri" w:hAnsi="Calibri" w:cs="Calibri"/>
          <w:b/>
          <w:sz w:val="18"/>
          <w:szCs w:val="18"/>
        </w:rPr>
        <w:t>(dati provvisori)</w:t>
      </w:r>
    </w:p>
    <w:p w14:paraId="583E8728" w14:textId="6F75DF93" w:rsidR="00DF5B8B" w:rsidRPr="006403B3" w:rsidRDefault="00DF5B8B" w:rsidP="00DF5B8B">
      <w:pPr>
        <w:spacing w:after="120"/>
        <w:jc w:val="left"/>
        <w:rPr>
          <w:rFonts w:ascii="Calibri" w:hAnsi="Calibri" w:cs="Calibri"/>
          <w:b/>
          <w:sz w:val="18"/>
          <w:szCs w:val="18"/>
        </w:rPr>
      </w:pPr>
      <w:r w:rsidRPr="006403B3">
        <w:rPr>
          <w:rFonts w:ascii="Calibri" w:hAnsi="Calibri" w:cs="Calibri"/>
          <w:sz w:val="18"/>
          <w:szCs w:val="18"/>
        </w:rPr>
        <w:t xml:space="preserve">Valori assoluti in migliaia di euro, variazioni e pesi percentuali. Ordinamento decrescente per valori </w:t>
      </w:r>
      <w:r w:rsidR="00F74403" w:rsidRPr="006403B3">
        <w:rPr>
          <w:rFonts w:ascii="Calibri" w:hAnsi="Calibri" w:cs="Calibri"/>
          <w:sz w:val="18"/>
          <w:szCs w:val="18"/>
        </w:rPr>
        <w:t>202</w:t>
      </w:r>
      <w:r w:rsidR="006403B3" w:rsidRPr="006403B3">
        <w:rPr>
          <w:rFonts w:ascii="Calibri" w:hAnsi="Calibri" w:cs="Calibri"/>
          <w:sz w:val="18"/>
          <w:szCs w:val="18"/>
        </w:rPr>
        <w:t>4</w:t>
      </w:r>
    </w:p>
    <w:p w14:paraId="2E9A684C" w14:textId="576AFDB6" w:rsidR="00904227" w:rsidRPr="006403B3" w:rsidRDefault="006403B3" w:rsidP="00D9569D">
      <w:pPr>
        <w:spacing w:before="40" w:after="40"/>
        <w:jc w:val="left"/>
        <w:rPr>
          <w:rFonts w:ascii="Calibri" w:hAnsi="Calibri" w:cs="Calibri"/>
          <w:bCs/>
          <w:i/>
          <w:sz w:val="16"/>
          <w:szCs w:val="16"/>
        </w:rPr>
      </w:pPr>
      <w:r w:rsidRPr="006403B3">
        <w:rPr>
          <w:noProof/>
        </w:rPr>
        <w:drawing>
          <wp:inline distT="0" distB="0" distL="0" distR="0" wp14:anchorId="2AC26490" wp14:editId="62F0C3FB">
            <wp:extent cx="5479323" cy="3752850"/>
            <wp:effectExtent l="0" t="0" r="762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0217" cy="3753462"/>
                    </a:xfrm>
                    <a:prstGeom prst="rect">
                      <a:avLst/>
                    </a:prstGeom>
                    <a:noFill/>
                    <a:ln>
                      <a:noFill/>
                    </a:ln>
                  </pic:spPr>
                </pic:pic>
              </a:graphicData>
            </a:graphic>
          </wp:inline>
        </w:drawing>
      </w:r>
    </w:p>
    <w:p w14:paraId="4FF5AD7B" w14:textId="3E8B8638" w:rsidR="00DF5B8B" w:rsidRPr="006403B3" w:rsidRDefault="00DF5B8B" w:rsidP="00492E2A">
      <w:pPr>
        <w:spacing w:before="120" w:after="40"/>
        <w:jc w:val="left"/>
        <w:rPr>
          <w:rFonts w:ascii="Calibri" w:hAnsi="Calibri" w:cs="Calibri"/>
          <w:sz w:val="18"/>
          <w:szCs w:val="18"/>
        </w:rPr>
      </w:pPr>
      <w:r w:rsidRPr="006403B3">
        <w:rPr>
          <w:rFonts w:ascii="Calibri" w:hAnsi="Calibri" w:cs="Calibri"/>
          <w:bCs/>
          <w:i/>
          <w:sz w:val="16"/>
          <w:szCs w:val="16"/>
        </w:rPr>
        <w:t xml:space="preserve">Fonte: </w:t>
      </w:r>
      <w:proofErr w:type="spellStart"/>
      <w:r w:rsidRPr="006403B3">
        <w:rPr>
          <w:rFonts w:ascii="Calibri" w:hAnsi="Calibri" w:cs="Calibri"/>
          <w:bCs/>
          <w:i/>
          <w:sz w:val="16"/>
          <w:szCs w:val="16"/>
        </w:rPr>
        <w:t>elab</w:t>
      </w:r>
      <w:proofErr w:type="spellEnd"/>
      <w:r w:rsidRPr="006403B3">
        <w:rPr>
          <w:rFonts w:ascii="Calibri" w:hAnsi="Calibri" w:cs="Calibri"/>
          <w:bCs/>
          <w:i/>
          <w:sz w:val="16"/>
          <w:szCs w:val="16"/>
        </w:rPr>
        <w:t xml:space="preserve">. Ufficio Studi e Statistica CCIAA Treviso – Belluno su dati ISTAT </w:t>
      </w:r>
      <w:proofErr w:type="spellStart"/>
      <w:r w:rsidRPr="006403B3">
        <w:rPr>
          <w:rFonts w:ascii="Calibri" w:hAnsi="Calibri" w:cs="Calibri"/>
          <w:bCs/>
          <w:i/>
          <w:sz w:val="16"/>
          <w:szCs w:val="16"/>
        </w:rPr>
        <w:t>Coeweb</w:t>
      </w:r>
      <w:proofErr w:type="spellEnd"/>
      <w:r w:rsidRPr="006403B3">
        <w:rPr>
          <w:rFonts w:ascii="Calibri" w:hAnsi="Calibri" w:cs="Calibri"/>
          <w:b/>
          <w:sz w:val="16"/>
          <w:szCs w:val="16"/>
        </w:rPr>
        <w:t xml:space="preserve"> </w:t>
      </w:r>
    </w:p>
    <w:p w14:paraId="077F12CD" w14:textId="77777777" w:rsidR="002904BF" w:rsidRPr="00E36E47" w:rsidRDefault="002904BF" w:rsidP="00337639">
      <w:pPr>
        <w:jc w:val="left"/>
        <w:rPr>
          <w:rFonts w:ascii="Calibri" w:hAnsi="Calibri" w:cs="Calibri"/>
          <w:sz w:val="18"/>
          <w:szCs w:val="18"/>
          <w:highlight w:val="yellow"/>
        </w:rPr>
      </w:pPr>
    </w:p>
    <w:p w14:paraId="385274E0" w14:textId="0C98885D" w:rsidR="002904BF" w:rsidRPr="006403B3" w:rsidRDefault="002904BF" w:rsidP="002904BF">
      <w:pPr>
        <w:jc w:val="left"/>
        <w:rPr>
          <w:rFonts w:ascii="Calibri" w:hAnsi="Calibri" w:cs="Calibri"/>
          <w:b/>
          <w:sz w:val="18"/>
          <w:szCs w:val="18"/>
        </w:rPr>
      </w:pPr>
      <w:r w:rsidRPr="006403B3">
        <w:rPr>
          <w:rFonts w:ascii="Calibri" w:hAnsi="Calibri" w:cs="Calibri"/>
          <w:b/>
          <w:sz w:val="18"/>
          <w:szCs w:val="18"/>
        </w:rPr>
        <w:t xml:space="preserve">Tav. </w:t>
      </w:r>
      <w:r w:rsidR="006873E1" w:rsidRPr="006403B3">
        <w:rPr>
          <w:rFonts w:ascii="Calibri" w:hAnsi="Calibri" w:cs="Calibri"/>
          <w:b/>
          <w:sz w:val="18"/>
          <w:szCs w:val="18"/>
        </w:rPr>
        <w:t>5</w:t>
      </w:r>
      <w:r w:rsidRPr="006403B3">
        <w:rPr>
          <w:rFonts w:ascii="Calibri" w:hAnsi="Calibri" w:cs="Calibri"/>
          <w:b/>
          <w:sz w:val="18"/>
          <w:szCs w:val="18"/>
        </w:rPr>
        <w:t xml:space="preserve">.b - BELLUNO. Principali Paesi di provenienza delle importazioni. </w:t>
      </w:r>
      <w:r w:rsidR="0042322C" w:rsidRPr="006403B3">
        <w:rPr>
          <w:rFonts w:ascii="Calibri" w:hAnsi="Calibri" w:cs="Calibri"/>
          <w:b/>
          <w:sz w:val="18"/>
          <w:szCs w:val="18"/>
        </w:rPr>
        <w:t xml:space="preserve">Gennaio-marzo 2024 </w:t>
      </w:r>
      <w:r w:rsidRPr="006403B3">
        <w:rPr>
          <w:rFonts w:ascii="Calibri" w:hAnsi="Calibri" w:cs="Calibri"/>
          <w:b/>
          <w:sz w:val="18"/>
          <w:szCs w:val="18"/>
        </w:rPr>
        <w:t>(dati provvisori)</w:t>
      </w:r>
    </w:p>
    <w:p w14:paraId="5857F41B" w14:textId="3CCD657C" w:rsidR="00890E22" w:rsidRPr="006403B3" w:rsidRDefault="002904BF" w:rsidP="002904BF">
      <w:pPr>
        <w:spacing w:after="120"/>
        <w:jc w:val="left"/>
        <w:rPr>
          <w:rFonts w:ascii="Calibri" w:hAnsi="Calibri" w:cs="Calibri"/>
          <w:sz w:val="18"/>
          <w:szCs w:val="18"/>
        </w:rPr>
      </w:pPr>
      <w:r w:rsidRPr="006403B3">
        <w:rPr>
          <w:rFonts w:ascii="Calibri" w:hAnsi="Calibri" w:cs="Calibri"/>
          <w:sz w:val="18"/>
          <w:szCs w:val="18"/>
        </w:rPr>
        <w:t xml:space="preserve">Valori assoluti in migliaia di euro, variazioni e pesi percentuali. Ordinamento decrescente per valori </w:t>
      </w:r>
      <w:r w:rsidR="00F74403" w:rsidRPr="006403B3">
        <w:rPr>
          <w:rFonts w:ascii="Calibri" w:hAnsi="Calibri" w:cs="Calibri"/>
          <w:sz w:val="18"/>
          <w:szCs w:val="18"/>
        </w:rPr>
        <w:t>202</w:t>
      </w:r>
      <w:r w:rsidR="006403B3" w:rsidRPr="006403B3">
        <w:rPr>
          <w:rFonts w:ascii="Calibri" w:hAnsi="Calibri" w:cs="Calibri"/>
          <w:sz w:val="18"/>
          <w:szCs w:val="18"/>
        </w:rPr>
        <w:t>4</w:t>
      </w:r>
    </w:p>
    <w:p w14:paraId="4EDBEADF" w14:textId="2A6A0068" w:rsidR="00305AD3" w:rsidRPr="006403B3" w:rsidRDefault="006403B3" w:rsidP="002904BF">
      <w:pPr>
        <w:spacing w:after="120"/>
        <w:jc w:val="left"/>
        <w:rPr>
          <w:noProof/>
        </w:rPr>
      </w:pPr>
      <w:r w:rsidRPr="006403B3">
        <w:rPr>
          <w:noProof/>
        </w:rPr>
        <w:drawing>
          <wp:inline distT="0" distB="0" distL="0" distR="0" wp14:anchorId="121ACE9D" wp14:editId="2263A535">
            <wp:extent cx="5451509" cy="3733800"/>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4142" cy="3735603"/>
                    </a:xfrm>
                    <a:prstGeom prst="rect">
                      <a:avLst/>
                    </a:prstGeom>
                    <a:noFill/>
                    <a:ln>
                      <a:noFill/>
                    </a:ln>
                  </pic:spPr>
                </pic:pic>
              </a:graphicData>
            </a:graphic>
          </wp:inline>
        </w:drawing>
      </w:r>
    </w:p>
    <w:p w14:paraId="08BDBA42" w14:textId="04E317D7" w:rsidR="00C053DA" w:rsidRPr="006403B3" w:rsidRDefault="007D2061" w:rsidP="002904BF">
      <w:pPr>
        <w:spacing w:after="120"/>
        <w:jc w:val="left"/>
        <w:rPr>
          <w:rFonts w:ascii="Calibri" w:hAnsi="Calibri" w:cs="Calibri"/>
          <w:bCs/>
          <w:i/>
          <w:sz w:val="18"/>
          <w:szCs w:val="18"/>
        </w:rPr>
      </w:pPr>
      <w:r w:rsidRPr="006403B3">
        <w:rPr>
          <w:rFonts w:ascii="Calibri" w:hAnsi="Calibri" w:cs="Calibri"/>
          <w:bCs/>
          <w:i/>
          <w:sz w:val="18"/>
          <w:szCs w:val="18"/>
        </w:rPr>
        <w:t xml:space="preserve"> </w:t>
      </w:r>
      <w:r w:rsidR="00C053DA" w:rsidRPr="006403B3">
        <w:rPr>
          <w:rFonts w:ascii="Calibri" w:hAnsi="Calibri" w:cs="Calibri"/>
          <w:bCs/>
          <w:i/>
          <w:sz w:val="18"/>
          <w:szCs w:val="18"/>
        </w:rPr>
        <w:t>Nota: +++ corrisponde a variazioni superiori al 999%</w:t>
      </w:r>
    </w:p>
    <w:p w14:paraId="320DDE42" w14:textId="47FFB18C" w:rsidR="00A0355F" w:rsidRPr="006403B3" w:rsidRDefault="007D2061" w:rsidP="006403B3">
      <w:pPr>
        <w:spacing w:after="120"/>
        <w:jc w:val="left"/>
        <w:rPr>
          <w:rFonts w:ascii="Calibri" w:hAnsi="Calibri" w:cs="Calibri"/>
          <w:bCs/>
          <w:i/>
          <w:sz w:val="16"/>
          <w:szCs w:val="16"/>
        </w:rPr>
      </w:pPr>
      <w:r w:rsidRPr="006403B3">
        <w:rPr>
          <w:rFonts w:ascii="Calibri" w:hAnsi="Calibri" w:cs="Calibri"/>
          <w:bCs/>
          <w:i/>
          <w:sz w:val="16"/>
          <w:szCs w:val="16"/>
        </w:rPr>
        <w:t xml:space="preserve">Fonte: </w:t>
      </w:r>
      <w:proofErr w:type="spellStart"/>
      <w:r w:rsidRPr="006403B3">
        <w:rPr>
          <w:rFonts w:ascii="Calibri" w:hAnsi="Calibri" w:cs="Calibri"/>
          <w:bCs/>
          <w:i/>
          <w:sz w:val="16"/>
          <w:szCs w:val="16"/>
        </w:rPr>
        <w:t>elab</w:t>
      </w:r>
      <w:proofErr w:type="spellEnd"/>
      <w:r w:rsidRPr="006403B3">
        <w:rPr>
          <w:rFonts w:ascii="Calibri" w:hAnsi="Calibri" w:cs="Calibri"/>
          <w:bCs/>
          <w:i/>
          <w:sz w:val="16"/>
          <w:szCs w:val="16"/>
        </w:rPr>
        <w:t xml:space="preserve">. Ufficio Studi e Statistica CCIAA Treviso – Belluno su dati ISTAT </w:t>
      </w:r>
      <w:proofErr w:type="spellStart"/>
      <w:r w:rsidRPr="006403B3">
        <w:rPr>
          <w:rFonts w:ascii="Calibri" w:hAnsi="Calibri" w:cs="Calibri"/>
          <w:bCs/>
          <w:i/>
          <w:sz w:val="16"/>
          <w:szCs w:val="16"/>
        </w:rPr>
        <w:t>Coeweb</w:t>
      </w:r>
      <w:proofErr w:type="spellEnd"/>
    </w:p>
    <w:sectPr w:rsidR="00A0355F" w:rsidRPr="006403B3" w:rsidSect="00694D90">
      <w:headerReference w:type="default" r:id="rId22"/>
      <w:footerReference w:type="default" r:id="rId23"/>
      <w:headerReference w:type="first" r:id="rId24"/>
      <w:footerReference w:type="first" r:id="rId25"/>
      <w:pgSz w:w="11906" w:h="16838"/>
      <w:pgMar w:top="1248" w:right="1559" w:bottom="669" w:left="1559" w:header="1191" w:footer="283"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E20CD" w14:textId="77777777" w:rsidR="00A50FCB" w:rsidRDefault="00A50FCB">
      <w:r>
        <w:separator/>
      </w:r>
    </w:p>
  </w:endnote>
  <w:endnote w:type="continuationSeparator" w:id="0">
    <w:p w14:paraId="2EBA68E8" w14:textId="77777777" w:rsidR="00A50FCB" w:rsidRDefault="00A5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Fedra Sans Std Light">
    <w:altName w:val="Arial"/>
    <w:panose1 w:val="00000000000000000000"/>
    <w:charset w:val="00"/>
    <w:family w:val="swiss"/>
    <w:notTrueType/>
    <w:pitch w:val="variable"/>
    <w:sig w:usb0="00000001" w:usb1="00000003"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65B8" w14:textId="77777777" w:rsidR="00C34C92" w:rsidRPr="00FA086C" w:rsidRDefault="00C34C92">
    <w:pPr>
      <w:pStyle w:val="Pidipagina"/>
      <w:jc w:val="right"/>
      <w:rPr>
        <w:rFonts w:ascii="Calibri" w:hAnsi="Calibri" w:cs="Calibri"/>
        <w:color w:val="000000"/>
      </w:rPr>
    </w:pPr>
    <w:r w:rsidRPr="00FA086C">
      <w:rPr>
        <w:rFonts w:ascii="Calibri" w:hAnsi="Calibri" w:cs="Calibri"/>
        <w:color w:val="000000"/>
      </w:rPr>
      <w:fldChar w:fldCharType="begin"/>
    </w:r>
    <w:r w:rsidRPr="00FA086C">
      <w:rPr>
        <w:rFonts w:ascii="Calibri" w:hAnsi="Calibri" w:cs="Calibri"/>
        <w:color w:val="000000"/>
      </w:rPr>
      <w:instrText>PAGE</w:instrText>
    </w:r>
    <w:r w:rsidRPr="00FA086C">
      <w:rPr>
        <w:rFonts w:ascii="Calibri" w:hAnsi="Calibri" w:cs="Calibri"/>
        <w:color w:val="000000"/>
      </w:rPr>
      <w:fldChar w:fldCharType="separate"/>
    </w:r>
    <w:r w:rsidR="00115A6C">
      <w:rPr>
        <w:rFonts w:ascii="Calibri" w:hAnsi="Calibri" w:cs="Calibri"/>
        <w:noProof/>
        <w:color w:val="000000"/>
      </w:rPr>
      <w:t>4</w:t>
    </w:r>
    <w:r w:rsidRPr="00FA086C">
      <w:rPr>
        <w:rFonts w:ascii="Calibri" w:hAnsi="Calibri" w:cs="Calibri"/>
        <w:color w:val="000000"/>
      </w:rPr>
      <w:fldChar w:fldCharType="end"/>
    </w:r>
  </w:p>
  <w:p w14:paraId="69F90255" w14:textId="77777777" w:rsidR="00C34C92" w:rsidRDefault="00C34C92">
    <w:pPr>
      <w:pStyle w:val="Pidipagina"/>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Y="9499"/>
      <w:tblW w:w="9356" w:type="dxa"/>
      <w:tblLayout w:type="fixed"/>
      <w:tblCellMar>
        <w:left w:w="70" w:type="dxa"/>
        <w:right w:w="70" w:type="dxa"/>
      </w:tblCellMar>
      <w:tblLook w:val="0000" w:firstRow="0" w:lastRow="0" w:firstColumn="0" w:lastColumn="0" w:noHBand="0" w:noVBand="0"/>
    </w:tblPr>
    <w:tblGrid>
      <w:gridCol w:w="4679"/>
      <w:gridCol w:w="4677"/>
    </w:tblGrid>
    <w:tr w:rsidR="00C34C92" w14:paraId="509FE5B3" w14:textId="77777777">
      <w:trPr>
        <w:trHeight w:val="464"/>
      </w:trPr>
      <w:tc>
        <w:tcPr>
          <w:tcW w:w="4678" w:type="dxa"/>
          <w:vAlign w:val="center"/>
        </w:tcPr>
        <w:p w14:paraId="61B3E1E2" w14:textId="77777777" w:rsidR="00C34C92" w:rsidRDefault="00C34C92">
          <w:pPr>
            <w:pStyle w:val="Pidipagina"/>
            <w:widowControl w:val="0"/>
            <w:tabs>
              <w:tab w:val="clear" w:pos="9638"/>
            </w:tabs>
            <w:spacing w:before="240" w:after="240"/>
            <w:jc w:val="left"/>
            <w:rPr>
              <w:rFonts w:ascii="Calibri" w:hAnsi="Calibri" w:cs="Calibri"/>
              <w:szCs w:val="24"/>
            </w:rPr>
          </w:pPr>
          <w:r>
            <w:rPr>
              <w:rFonts w:ascii="Fedra Sans Std Light" w:hAnsi="Fedra Sans Std Light"/>
              <w:b/>
              <w:color w:val="071D49"/>
              <w:sz w:val="20"/>
            </w:rPr>
            <w:t>Per ulteriori informazioni:</w:t>
          </w:r>
          <w:r>
            <w:rPr>
              <w:rFonts w:ascii="Fedra Sans Std Light" w:hAnsi="Fedra Sans Std Light"/>
              <w:b/>
              <w:color w:val="071D49"/>
              <w:sz w:val="20"/>
            </w:rPr>
            <w:br/>
          </w:r>
          <w:r>
            <w:rPr>
              <w:rFonts w:ascii="Fedra Sans Std Light" w:hAnsi="Fedra Sans Std Light"/>
              <w:color w:val="071D49"/>
              <w:sz w:val="20"/>
            </w:rPr>
            <w:t>0422 / 595366-391.3236809</w:t>
          </w:r>
          <w:r>
            <w:rPr>
              <w:rFonts w:ascii="Verdana" w:hAnsi="Verdana"/>
              <w:color w:val="808080"/>
              <w:sz w:val="18"/>
            </w:rPr>
            <w:t xml:space="preserve"> </w:t>
          </w:r>
        </w:p>
      </w:tc>
      <w:tc>
        <w:tcPr>
          <w:tcW w:w="4677" w:type="dxa"/>
          <w:vAlign w:val="center"/>
        </w:tcPr>
        <w:p w14:paraId="4CED8F51" w14:textId="77777777" w:rsidR="00C34C92" w:rsidRDefault="00C34C92">
          <w:pPr>
            <w:widowControl w:val="0"/>
            <w:jc w:val="right"/>
            <w:rPr>
              <w:rFonts w:ascii="Calibri" w:hAnsi="Calibri" w:cs="Calibri"/>
            </w:rPr>
          </w:pPr>
          <w:r>
            <w:rPr>
              <w:noProof/>
            </w:rPr>
            <w:drawing>
              <wp:inline distT="0" distB="0" distL="0" distR="0" wp14:anchorId="6DD3ADB2" wp14:editId="6CBB66D8">
                <wp:extent cx="219075" cy="219075"/>
                <wp:effectExtent l="0" t="0" r="0" b="0"/>
                <wp:docPr id="26" name="Immagine 26" descr="home_uc_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39" descr="home_uc_a">
                          <a:hlinkClick r:id="rId1"/>
                        </pic:cNvPr>
                        <pic:cNvPicPr>
                          <a:picLocks noChangeAspect="1" noChangeArrowheads="1"/>
                        </pic:cNvPicPr>
                      </pic:nvPicPr>
                      <pic:blipFill>
                        <a:blip r:embed="rId2"/>
                        <a:stretch>
                          <a:fillRect/>
                        </a:stretch>
                      </pic:blipFill>
                      <pic:spPr bwMode="auto">
                        <a:xfrm>
                          <a:off x="0" y="0"/>
                          <a:ext cx="219075" cy="219075"/>
                        </a:xfrm>
                        <a:prstGeom prst="rect">
                          <a:avLst/>
                        </a:prstGeom>
                      </pic:spPr>
                    </pic:pic>
                  </a:graphicData>
                </a:graphic>
              </wp:inline>
            </w:drawing>
          </w:r>
          <w:r>
            <w:rPr>
              <w:rFonts w:ascii="Calibri" w:hAnsi="Calibri" w:cs="Calibri"/>
              <w:b/>
            </w:rPr>
            <w:t xml:space="preserve"> </w:t>
          </w:r>
          <w:r>
            <w:rPr>
              <w:noProof/>
            </w:rPr>
            <w:drawing>
              <wp:inline distT="0" distB="0" distL="0" distR="0" wp14:anchorId="6C656879" wp14:editId="0965DB7A">
                <wp:extent cx="219075" cy="219075"/>
                <wp:effectExtent l="0" t="0" r="0" b="0"/>
                <wp:docPr id="27" name="Immagine 27" descr="ico_uc_emai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40" descr="ico_uc_email">
                          <a:hlinkClick r:id="rId3"/>
                        </pic:cNvPr>
                        <pic:cNvPicPr>
                          <a:picLocks noChangeAspect="1" noChangeArrowheads="1"/>
                        </pic:cNvPicPr>
                      </pic:nvPicPr>
                      <pic:blipFill>
                        <a:blip r:embed="rId4"/>
                        <a:stretch>
                          <a:fillRect/>
                        </a:stretch>
                      </pic:blipFill>
                      <pic:spPr bwMode="auto">
                        <a:xfrm>
                          <a:off x="0" y="0"/>
                          <a:ext cx="219075" cy="219075"/>
                        </a:xfrm>
                        <a:prstGeom prst="rect">
                          <a:avLst/>
                        </a:prstGeom>
                      </pic:spPr>
                    </pic:pic>
                  </a:graphicData>
                </a:graphic>
              </wp:inline>
            </w:drawing>
          </w:r>
          <w:r>
            <w:rPr>
              <w:rFonts w:ascii="Calibri" w:hAnsi="Calibri" w:cs="Calibri"/>
              <w:b/>
            </w:rPr>
            <w:t xml:space="preserve"> </w:t>
          </w:r>
          <w:r>
            <w:rPr>
              <w:noProof/>
            </w:rPr>
            <w:drawing>
              <wp:inline distT="0" distB="0" distL="0" distR="0" wp14:anchorId="23A191FE" wp14:editId="086A795F">
                <wp:extent cx="228600" cy="228600"/>
                <wp:effectExtent l="0" t="0" r="0" b="0"/>
                <wp:docPr id="30" name="Immagine 30" descr="logo-facebook-piccolo-andal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41" descr="logo-facebook-piccolo-andalo">
                          <a:hlinkClick r:id="rId5"/>
                        </pic:cNvPr>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Pr>
              <w:noProof/>
            </w:rPr>
            <w:drawing>
              <wp:inline distT="0" distB="0" distL="0" distR="0" wp14:anchorId="77BED88C" wp14:editId="6F86650C">
                <wp:extent cx="400050" cy="219075"/>
                <wp:effectExtent l="0" t="0" r="0" b="0"/>
                <wp:docPr id="31" name="Immagine 31" descr="twit rosso uc">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42" descr="twit rosso uc">
                          <a:hlinkClick r:id="rId7"/>
                        </pic:cNvPr>
                        <pic:cNvPicPr>
                          <a:picLocks noChangeAspect="1" noChangeArrowheads="1"/>
                        </pic:cNvPicPr>
                      </pic:nvPicPr>
                      <pic:blipFill>
                        <a:blip r:embed="rId8"/>
                        <a:stretch>
                          <a:fillRect/>
                        </a:stretch>
                      </pic:blipFill>
                      <pic:spPr bwMode="auto">
                        <a:xfrm>
                          <a:off x="0" y="0"/>
                          <a:ext cx="400050" cy="219075"/>
                        </a:xfrm>
                        <a:prstGeom prst="rect">
                          <a:avLst/>
                        </a:prstGeom>
                      </pic:spPr>
                    </pic:pic>
                  </a:graphicData>
                </a:graphic>
              </wp:inline>
            </w:drawing>
          </w:r>
          <w:r>
            <w:rPr>
              <w:noProof/>
            </w:rPr>
            <w:drawing>
              <wp:inline distT="0" distB="0" distL="0" distR="0" wp14:anchorId="11DF76AC" wp14:editId="44D85AF5">
                <wp:extent cx="428625" cy="228600"/>
                <wp:effectExtent l="0" t="0" r="0" b="0"/>
                <wp:docPr id="34" name="Immagine 34" descr="url1_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43" descr="url1_1">
                          <a:hlinkClick r:id="rId9"/>
                        </pic:cNvPr>
                        <pic:cNvPicPr>
                          <a:picLocks noChangeAspect="1" noChangeArrowheads="1"/>
                        </pic:cNvPicPr>
                      </pic:nvPicPr>
                      <pic:blipFill>
                        <a:blip r:embed="rId10"/>
                        <a:stretch>
                          <a:fillRect/>
                        </a:stretch>
                      </pic:blipFill>
                      <pic:spPr bwMode="auto">
                        <a:xfrm>
                          <a:off x="0" y="0"/>
                          <a:ext cx="428625" cy="228600"/>
                        </a:xfrm>
                        <a:prstGeom prst="rect">
                          <a:avLst/>
                        </a:prstGeom>
                      </pic:spPr>
                    </pic:pic>
                  </a:graphicData>
                </a:graphic>
              </wp:inline>
            </w:drawing>
          </w:r>
          <w:r>
            <w:rPr>
              <w:rFonts w:ascii="Calibri" w:hAnsi="Calibri" w:cs="Calibri"/>
            </w:rPr>
            <w:t xml:space="preserve">  </w:t>
          </w:r>
          <w:r>
            <w:rPr>
              <w:rFonts w:ascii="Calibri" w:hAnsi="Calibri" w:cs="Calibri"/>
              <w:b/>
            </w:rPr>
            <w:t xml:space="preserve"> </w:t>
          </w:r>
        </w:p>
      </w:tc>
    </w:tr>
  </w:tbl>
  <w:p w14:paraId="213BE49D" w14:textId="77777777" w:rsidR="00C34C92" w:rsidRDefault="00C34C92">
    <w:pPr>
      <w:pStyle w:val="Pidipagina"/>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24579" w14:textId="77777777" w:rsidR="00A50FCB" w:rsidRDefault="00A50FCB">
      <w:r>
        <w:separator/>
      </w:r>
    </w:p>
  </w:footnote>
  <w:footnote w:type="continuationSeparator" w:id="0">
    <w:p w14:paraId="704A1F05" w14:textId="77777777" w:rsidR="00A50FCB" w:rsidRDefault="00A50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F57D" w14:textId="77777777" w:rsidR="00C34C92" w:rsidRDefault="00C34C92">
    <w:pPr>
      <w:pStyle w:val="Intestazione"/>
    </w:pPr>
    <w:r>
      <w:rPr>
        <w:noProof/>
      </w:rPr>
      <w:drawing>
        <wp:anchor distT="0" distB="0" distL="0" distR="0" simplePos="0" relativeHeight="29" behindDoc="1" locked="0" layoutInCell="0" allowOverlap="1" wp14:anchorId="307C3330" wp14:editId="27C47A27">
          <wp:simplePos x="0" y="0"/>
          <wp:positionH relativeFrom="margin">
            <wp:posOffset>-717550</wp:posOffset>
          </wp:positionH>
          <wp:positionV relativeFrom="margin">
            <wp:posOffset>-721360</wp:posOffset>
          </wp:positionV>
          <wp:extent cx="3122930" cy="543560"/>
          <wp:effectExtent l="0" t="0" r="0" b="0"/>
          <wp:wrapNone/>
          <wp:docPr id="21" name="Immagine 21" descr="TrevisoBelluno2-marchio-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2" descr="TrevisoBelluno2-marchio-colore"/>
                  <pic:cNvPicPr>
                    <a:picLocks noChangeAspect="1" noChangeArrowheads="1"/>
                  </pic:cNvPicPr>
                </pic:nvPicPr>
                <pic:blipFill>
                  <a:blip r:embed="rId1"/>
                  <a:stretch>
                    <a:fillRect/>
                  </a:stretch>
                </pic:blipFill>
                <pic:spPr bwMode="auto">
                  <a:xfrm>
                    <a:off x="0" y="0"/>
                    <a:ext cx="3122930" cy="543560"/>
                  </a:xfrm>
                  <a:prstGeom prst="rect">
                    <a:avLst/>
                  </a:prstGeom>
                </pic:spPr>
              </pic:pic>
            </a:graphicData>
          </a:graphic>
        </wp:anchor>
      </w:drawing>
    </w:r>
  </w:p>
  <w:p w14:paraId="7D3C9319" w14:textId="77777777" w:rsidR="00C34C92" w:rsidRDefault="00C34C9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142F" w14:textId="77777777" w:rsidR="00C34C92" w:rsidRDefault="00C34C92">
    <w:pPr>
      <w:pStyle w:val="Intestazione"/>
    </w:pPr>
    <w:r>
      <w:rPr>
        <w:noProof/>
      </w:rPr>
      <w:drawing>
        <wp:anchor distT="0" distB="0" distL="114300" distR="114300" simplePos="0" relativeHeight="30" behindDoc="1" locked="0" layoutInCell="0" allowOverlap="1" wp14:anchorId="378EE91C" wp14:editId="0091A0D5">
          <wp:simplePos x="0" y="0"/>
          <wp:positionH relativeFrom="column">
            <wp:posOffset>-989965</wp:posOffset>
          </wp:positionH>
          <wp:positionV relativeFrom="paragraph">
            <wp:posOffset>-765175</wp:posOffset>
          </wp:positionV>
          <wp:extent cx="7560310" cy="1915795"/>
          <wp:effectExtent l="0" t="0" r="0" b="0"/>
          <wp:wrapTopAndBottom/>
          <wp:docPr id="25" name="Immagine 25" descr="intestazione-comunicato-stampa-nuov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2" descr="intestazione-comunicato-stampa-nuovo-logo"/>
                  <pic:cNvPicPr>
                    <a:picLocks noChangeAspect="1" noChangeArrowheads="1"/>
                  </pic:cNvPicPr>
                </pic:nvPicPr>
                <pic:blipFill>
                  <a:blip r:embed="rId1"/>
                  <a:stretch>
                    <a:fillRect/>
                  </a:stretch>
                </pic:blipFill>
                <pic:spPr bwMode="auto">
                  <a:xfrm>
                    <a:off x="0" y="0"/>
                    <a:ext cx="7560310" cy="19157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966"/>
    <w:multiLevelType w:val="hybridMultilevel"/>
    <w:tmpl w:val="2B48BA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00022D"/>
    <w:multiLevelType w:val="multilevel"/>
    <w:tmpl w:val="4B906A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45D55BF"/>
    <w:multiLevelType w:val="hybridMultilevel"/>
    <w:tmpl w:val="832A6C2A"/>
    <w:lvl w:ilvl="0" w:tplc="A49A19D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A80826"/>
    <w:multiLevelType w:val="hybridMultilevel"/>
    <w:tmpl w:val="A9689E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AE6FC0"/>
    <w:multiLevelType w:val="hybridMultilevel"/>
    <w:tmpl w:val="CA000744"/>
    <w:lvl w:ilvl="0" w:tplc="BE2657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89312F"/>
    <w:multiLevelType w:val="hybridMultilevel"/>
    <w:tmpl w:val="898E8F7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0146F41"/>
    <w:multiLevelType w:val="hybridMultilevel"/>
    <w:tmpl w:val="9E861E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BE4B16"/>
    <w:multiLevelType w:val="multilevel"/>
    <w:tmpl w:val="C4EAE794"/>
    <w:lvl w:ilvl="0">
      <w:start w:val="1"/>
      <w:numFmt w:val="bullet"/>
      <w:pStyle w:val="Rientrolettere"/>
      <w:lvlText w:val="-"/>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AC91877"/>
    <w:multiLevelType w:val="multilevel"/>
    <w:tmpl w:val="A5702A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E441A59"/>
    <w:multiLevelType w:val="hybridMultilevel"/>
    <w:tmpl w:val="E26CC802"/>
    <w:lvl w:ilvl="0" w:tplc="04100001">
      <w:start w:val="1"/>
      <w:numFmt w:val="bullet"/>
      <w:lvlText w:val=""/>
      <w:lvlJc w:val="left"/>
      <w:pPr>
        <w:ind w:left="1428"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0">
    <w:nsid w:val="627D33AD"/>
    <w:multiLevelType w:val="hybridMultilevel"/>
    <w:tmpl w:val="599041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CA26232"/>
    <w:multiLevelType w:val="multilevel"/>
    <w:tmpl w:val="BF5258D4"/>
    <w:lvl w:ilvl="0">
      <w:start w:val="1"/>
      <w:numFmt w:val="bullet"/>
      <w:lvlText w:val=""/>
      <w:lvlJc w:val="left"/>
      <w:pPr>
        <w:tabs>
          <w:tab w:val="num" w:pos="0"/>
        </w:tabs>
        <w:ind w:left="153" w:hanging="360"/>
      </w:pPr>
      <w:rPr>
        <w:rFonts w:ascii="Symbol" w:hAnsi="Symbol" w:cs="Symbol" w:hint="default"/>
      </w:rPr>
    </w:lvl>
    <w:lvl w:ilvl="1">
      <w:start w:val="1"/>
      <w:numFmt w:val="decimal"/>
      <w:lvlText w:val="%2."/>
      <w:lvlJc w:val="left"/>
      <w:pPr>
        <w:tabs>
          <w:tab w:val="num" w:pos="165"/>
        </w:tabs>
        <w:ind w:left="165" w:hanging="360"/>
      </w:pPr>
    </w:lvl>
    <w:lvl w:ilvl="2">
      <w:start w:val="1"/>
      <w:numFmt w:val="decimal"/>
      <w:lvlText w:val="%3."/>
      <w:lvlJc w:val="left"/>
      <w:pPr>
        <w:tabs>
          <w:tab w:val="num" w:pos="885"/>
        </w:tabs>
        <w:ind w:left="885" w:hanging="360"/>
      </w:pPr>
    </w:lvl>
    <w:lvl w:ilvl="3">
      <w:start w:val="1"/>
      <w:numFmt w:val="decimal"/>
      <w:lvlText w:val="%4."/>
      <w:lvlJc w:val="left"/>
      <w:pPr>
        <w:tabs>
          <w:tab w:val="num" w:pos="1605"/>
        </w:tabs>
        <w:ind w:left="1605" w:hanging="360"/>
      </w:pPr>
    </w:lvl>
    <w:lvl w:ilvl="4">
      <w:start w:val="1"/>
      <w:numFmt w:val="decimal"/>
      <w:lvlText w:val="%5."/>
      <w:lvlJc w:val="left"/>
      <w:pPr>
        <w:tabs>
          <w:tab w:val="num" w:pos="2325"/>
        </w:tabs>
        <w:ind w:left="2325" w:hanging="360"/>
      </w:pPr>
    </w:lvl>
    <w:lvl w:ilvl="5">
      <w:start w:val="1"/>
      <w:numFmt w:val="decimal"/>
      <w:lvlText w:val="%6."/>
      <w:lvlJc w:val="left"/>
      <w:pPr>
        <w:tabs>
          <w:tab w:val="num" w:pos="3045"/>
        </w:tabs>
        <w:ind w:left="3045" w:hanging="360"/>
      </w:pPr>
    </w:lvl>
    <w:lvl w:ilvl="6">
      <w:start w:val="1"/>
      <w:numFmt w:val="decimal"/>
      <w:lvlText w:val="%7."/>
      <w:lvlJc w:val="left"/>
      <w:pPr>
        <w:tabs>
          <w:tab w:val="num" w:pos="3765"/>
        </w:tabs>
        <w:ind w:left="3765" w:hanging="360"/>
      </w:pPr>
    </w:lvl>
    <w:lvl w:ilvl="7">
      <w:start w:val="1"/>
      <w:numFmt w:val="decimal"/>
      <w:lvlText w:val="%8."/>
      <w:lvlJc w:val="left"/>
      <w:pPr>
        <w:tabs>
          <w:tab w:val="num" w:pos="4485"/>
        </w:tabs>
        <w:ind w:left="4485" w:hanging="360"/>
      </w:pPr>
    </w:lvl>
    <w:lvl w:ilvl="8">
      <w:start w:val="1"/>
      <w:numFmt w:val="decimal"/>
      <w:lvlText w:val="%9."/>
      <w:lvlJc w:val="left"/>
      <w:pPr>
        <w:tabs>
          <w:tab w:val="num" w:pos="5205"/>
        </w:tabs>
        <w:ind w:left="5205" w:hanging="360"/>
      </w:pPr>
    </w:lvl>
  </w:abstractNum>
  <w:abstractNum w:abstractNumId="12" w15:restartNumberingAfterBreak="0">
    <w:nsid w:val="6D1A44D9"/>
    <w:multiLevelType w:val="hybridMultilevel"/>
    <w:tmpl w:val="FD50A984"/>
    <w:lvl w:ilvl="0" w:tplc="04100001">
      <w:start w:val="1"/>
      <w:numFmt w:val="bullet"/>
      <w:lvlText w:val=""/>
      <w:lvlJc w:val="left"/>
      <w:pPr>
        <w:ind w:left="-2136" w:hanging="360"/>
      </w:pPr>
      <w:rPr>
        <w:rFonts w:ascii="Symbol" w:hAnsi="Symbol" w:hint="default"/>
      </w:rPr>
    </w:lvl>
    <w:lvl w:ilvl="1" w:tplc="04100003">
      <w:start w:val="1"/>
      <w:numFmt w:val="bullet"/>
      <w:lvlText w:val="o"/>
      <w:lvlJc w:val="left"/>
      <w:pPr>
        <w:ind w:left="-1416" w:hanging="360"/>
      </w:pPr>
      <w:rPr>
        <w:rFonts w:ascii="Courier New" w:hAnsi="Courier New" w:cs="Courier New" w:hint="default"/>
      </w:rPr>
    </w:lvl>
    <w:lvl w:ilvl="2" w:tplc="04100005">
      <w:start w:val="1"/>
      <w:numFmt w:val="bullet"/>
      <w:lvlText w:val=""/>
      <w:lvlJc w:val="left"/>
      <w:pPr>
        <w:ind w:left="-696" w:hanging="360"/>
      </w:pPr>
      <w:rPr>
        <w:rFonts w:ascii="Wingdings" w:hAnsi="Wingdings" w:hint="default"/>
      </w:rPr>
    </w:lvl>
    <w:lvl w:ilvl="3" w:tplc="04100001">
      <w:start w:val="1"/>
      <w:numFmt w:val="bullet"/>
      <w:lvlText w:val=""/>
      <w:lvlJc w:val="left"/>
      <w:pPr>
        <w:ind w:left="24" w:hanging="360"/>
      </w:pPr>
      <w:rPr>
        <w:rFonts w:ascii="Symbol" w:hAnsi="Symbol" w:hint="default"/>
      </w:rPr>
    </w:lvl>
    <w:lvl w:ilvl="4" w:tplc="04100003" w:tentative="1">
      <w:start w:val="1"/>
      <w:numFmt w:val="bullet"/>
      <w:lvlText w:val="o"/>
      <w:lvlJc w:val="left"/>
      <w:pPr>
        <w:ind w:left="744" w:hanging="360"/>
      </w:pPr>
      <w:rPr>
        <w:rFonts w:ascii="Courier New" w:hAnsi="Courier New" w:cs="Courier New" w:hint="default"/>
      </w:rPr>
    </w:lvl>
    <w:lvl w:ilvl="5" w:tplc="04100005" w:tentative="1">
      <w:start w:val="1"/>
      <w:numFmt w:val="bullet"/>
      <w:lvlText w:val=""/>
      <w:lvlJc w:val="left"/>
      <w:pPr>
        <w:ind w:left="1464" w:hanging="360"/>
      </w:pPr>
      <w:rPr>
        <w:rFonts w:ascii="Wingdings" w:hAnsi="Wingdings" w:hint="default"/>
      </w:rPr>
    </w:lvl>
    <w:lvl w:ilvl="6" w:tplc="04100001" w:tentative="1">
      <w:start w:val="1"/>
      <w:numFmt w:val="bullet"/>
      <w:lvlText w:val=""/>
      <w:lvlJc w:val="left"/>
      <w:pPr>
        <w:ind w:left="2184" w:hanging="360"/>
      </w:pPr>
      <w:rPr>
        <w:rFonts w:ascii="Symbol" w:hAnsi="Symbol" w:hint="default"/>
      </w:rPr>
    </w:lvl>
    <w:lvl w:ilvl="7" w:tplc="04100003" w:tentative="1">
      <w:start w:val="1"/>
      <w:numFmt w:val="bullet"/>
      <w:lvlText w:val="o"/>
      <w:lvlJc w:val="left"/>
      <w:pPr>
        <w:ind w:left="2904" w:hanging="360"/>
      </w:pPr>
      <w:rPr>
        <w:rFonts w:ascii="Courier New" w:hAnsi="Courier New" w:cs="Courier New" w:hint="default"/>
      </w:rPr>
    </w:lvl>
    <w:lvl w:ilvl="8" w:tplc="04100005" w:tentative="1">
      <w:start w:val="1"/>
      <w:numFmt w:val="bullet"/>
      <w:lvlText w:val=""/>
      <w:lvlJc w:val="left"/>
      <w:pPr>
        <w:ind w:left="3624" w:hanging="360"/>
      </w:pPr>
      <w:rPr>
        <w:rFonts w:ascii="Wingdings" w:hAnsi="Wingdings" w:hint="default"/>
      </w:rPr>
    </w:lvl>
  </w:abstractNum>
  <w:abstractNum w:abstractNumId="13" w15:restartNumberingAfterBreak="0">
    <w:nsid w:val="770423C9"/>
    <w:multiLevelType w:val="hybridMultilevel"/>
    <w:tmpl w:val="058C2352"/>
    <w:lvl w:ilvl="0" w:tplc="346A2C7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A1A1D4D"/>
    <w:multiLevelType w:val="hybridMultilevel"/>
    <w:tmpl w:val="A5CAB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9407967">
    <w:abstractNumId w:val="7"/>
  </w:num>
  <w:num w:numId="2" w16cid:durableId="1950164408">
    <w:abstractNumId w:val="11"/>
  </w:num>
  <w:num w:numId="3" w16cid:durableId="764038424">
    <w:abstractNumId w:val="1"/>
  </w:num>
  <w:num w:numId="4" w16cid:durableId="123158599">
    <w:abstractNumId w:val="8"/>
  </w:num>
  <w:num w:numId="5" w16cid:durableId="1602834116">
    <w:abstractNumId w:val="2"/>
  </w:num>
  <w:num w:numId="6" w16cid:durableId="213467103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0896468">
    <w:abstractNumId w:val="6"/>
  </w:num>
  <w:num w:numId="8" w16cid:durableId="297076895">
    <w:abstractNumId w:val="13"/>
  </w:num>
  <w:num w:numId="9" w16cid:durableId="1455562365">
    <w:abstractNumId w:val="12"/>
  </w:num>
  <w:num w:numId="10" w16cid:durableId="382951284">
    <w:abstractNumId w:val="4"/>
  </w:num>
  <w:num w:numId="11" w16cid:durableId="455686498">
    <w:abstractNumId w:val="5"/>
  </w:num>
  <w:num w:numId="12" w16cid:durableId="673606664">
    <w:abstractNumId w:val="0"/>
  </w:num>
  <w:num w:numId="13" w16cid:durableId="218902315">
    <w:abstractNumId w:val="10"/>
  </w:num>
  <w:num w:numId="14" w16cid:durableId="1168638614">
    <w:abstractNumId w:val="14"/>
  </w:num>
  <w:num w:numId="15" w16cid:durableId="220870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0" w:nlCheck="1" w:checkStyle="0"/>
  <w:activeWritingStyle w:appName="MSWord" w:lang="en-US" w:vendorID="64" w:dllVersion="6" w:nlCheck="1" w:checkStyle="1"/>
  <w:activeWritingStyle w:appName="MSWord" w:lang="en-US" w:vendorID="64" w:dllVersion="0" w:nlCheck="1" w:checkStyle="0"/>
  <w:proofState w:spelling="clean"/>
  <w:documentProtection w:edit="readOnly" w:enforcement="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C7"/>
    <w:rsid w:val="00000315"/>
    <w:rsid w:val="0000088E"/>
    <w:rsid w:val="00000A25"/>
    <w:rsid w:val="00000B61"/>
    <w:rsid w:val="00000F4C"/>
    <w:rsid w:val="000013D1"/>
    <w:rsid w:val="00004146"/>
    <w:rsid w:val="00004768"/>
    <w:rsid w:val="000050BF"/>
    <w:rsid w:val="00005677"/>
    <w:rsid w:val="000057B9"/>
    <w:rsid w:val="00006750"/>
    <w:rsid w:val="00006B58"/>
    <w:rsid w:val="00007527"/>
    <w:rsid w:val="00010200"/>
    <w:rsid w:val="0001176A"/>
    <w:rsid w:val="000118F3"/>
    <w:rsid w:val="0001259B"/>
    <w:rsid w:val="00012880"/>
    <w:rsid w:val="00012F3C"/>
    <w:rsid w:val="000132A3"/>
    <w:rsid w:val="000133F0"/>
    <w:rsid w:val="00013E44"/>
    <w:rsid w:val="00014431"/>
    <w:rsid w:val="0002011B"/>
    <w:rsid w:val="0002065C"/>
    <w:rsid w:val="000211E0"/>
    <w:rsid w:val="000212F9"/>
    <w:rsid w:val="00022ADE"/>
    <w:rsid w:val="000239F0"/>
    <w:rsid w:val="00024BDD"/>
    <w:rsid w:val="00025541"/>
    <w:rsid w:val="00025B91"/>
    <w:rsid w:val="00026BA4"/>
    <w:rsid w:val="00026DCF"/>
    <w:rsid w:val="00026FB5"/>
    <w:rsid w:val="00027D68"/>
    <w:rsid w:val="000324B1"/>
    <w:rsid w:val="000327CA"/>
    <w:rsid w:val="00034F44"/>
    <w:rsid w:val="00035A5E"/>
    <w:rsid w:val="00036CA2"/>
    <w:rsid w:val="00037025"/>
    <w:rsid w:val="00040726"/>
    <w:rsid w:val="00041085"/>
    <w:rsid w:val="000411D0"/>
    <w:rsid w:val="000414B9"/>
    <w:rsid w:val="00042EE7"/>
    <w:rsid w:val="00043E9B"/>
    <w:rsid w:val="00044034"/>
    <w:rsid w:val="000441B2"/>
    <w:rsid w:val="000442C7"/>
    <w:rsid w:val="000447EC"/>
    <w:rsid w:val="0004666A"/>
    <w:rsid w:val="000473AF"/>
    <w:rsid w:val="000509EB"/>
    <w:rsid w:val="00050DF4"/>
    <w:rsid w:val="000510DC"/>
    <w:rsid w:val="00051843"/>
    <w:rsid w:val="00051E36"/>
    <w:rsid w:val="00052292"/>
    <w:rsid w:val="000524B2"/>
    <w:rsid w:val="00053046"/>
    <w:rsid w:val="000543AC"/>
    <w:rsid w:val="000547BF"/>
    <w:rsid w:val="000547FA"/>
    <w:rsid w:val="00054CA6"/>
    <w:rsid w:val="00054F7B"/>
    <w:rsid w:val="000559D3"/>
    <w:rsid w:val="000560AC"/>
    <w:rsid w:val="00057A5C"/>
    <w:rsid w:val="00057A6A"/>
    <w:rsid w:val="00060A66"/>
    <w:rsid w:val="000611F7"/>
    <w:rsid w:val="000615DC"/>
    <w:rsid w:val="000623C2"/>
    <w:rsid w:val="000625F8"/>
    <w:rsid w:val="00062DE5"/>
    <w:rsid w:val="00063162"/>
    <w:rsid w:val="00063B58"/>
    <w:rsid w:val="0006510E"/>
    <w:rsid w:val="00065303"/>
    <w:rsid w:val="00065992"/>
    <w:rsid w:val="000661EE"/>
    <w:rsid w:val="000668F9"/>
    <w:rsid w:val="00066DF9"/>
    <w:rsid w:val="0006706A"/>
    <w:rsid w:val="00067EBA"/>
    <w:rsid w:val="00070910"/>
    <w:rsid w:val="0007173D"/>
    <w:rsid w:val="0007191F"/>
    <w:rsid w:val="000719C5"/>
    <w:rsid w:val="00071C8C"/>
    <w:rsid w:val="0007293B"/>
    <w:rsid w:val="00072B7E"/>
    <w:rsid w:val="00074375"/>
    <w:rsid w:val="0007542B"/>
    <w:rsid w:val="000757EA"/>
    <w:rsid w:val="000758FF"/>
    <w:rsid w:val="00075C50"/>
    <w:rsid w:val="000767A1"/>
    <w:rsid w:val="00077253"/>
    <w:rsid w:val="00077C7B"/>
    <w:rsid w:val="000808CB"/>
    <w:rsid w:val="00080ABC"/>
    <w:rsid w:val="0008131A"/>
    <w:rsid w:val="00081796"/>
    <w:rsid w:val="00081879"/>
    <w:rsid w:val="00081E6F"/>
    <w:rsid w:val="00082C27"/>
    <w:rsid w:val="00083017"/>
    <w:rsid w:val="00086D62"/>
    <w:rsid w:val="00087BB5"/>
    <w:rsid w:val="00091057"/>
    <w:rsid w:val="00091092"/>
    <w:rsid w:val="000916B8"/>
    <w:rsid w:val="00091AD5"/>
    <w:rsid w:val="00092744"/>
    <w:rsid w:val="000933C2"/>
    <w:rsid w:val="00093C90"/>
    <w:rsid w:val="00094008"/>
    <w:rsid w:val="0009467B"/>
    <w:rsid w:val="00094918"/>
    <w:rsid w:val="00095431"/>
    <w:rsid w:val="00097D6D"/>
    <w:rsid w:val="000A07AD"/>
    <w:rsid w:val="000A0C58"/>
    <w:rsid w:val="000A18DE"/>
    <w:rsid w:val="000A29E7"/>
    <w:rsid w:val="000A2E61"/>
    <w:rsid w:val="000A4A5B"/>
    <w:rsid w:val="000A4E25"/>
    <w:rsid w:val="000A518B"/>
    <w:rsid w:val="000A6CE2"/>
    <w:rsid w:val="000A6D0A"/>
    <w:rsid w:val="000A6DFB"/>
    <w:rsid w:val="000A7050"/>
    <w:rsid w:val="000A7148"/>
    <w:rsid w:val="000A71B9"/>
    <w:rsid w:val="000A7B59"/>
    <w:rsid w:val="000A7D66"/>
    <w:rsid w:val="000A7EC7"/>
    <w:rsid w:val="000B0F0B"/>
    <w:rsid w:val="000B155A"/>
    <w:rsid w:val="000B160B"/>
    <w:rsid w:val="000B189E"/>
    <w:rsid w:val="000B2592"/>
    <w:rsid w:val="000B2B7D"/>
    <w:rsid w:val="000B31E2"/>
    <w:rsid w:val="000B36B0"/>
    <w:rsid w:val="000B3AF8"/>
    <w:rsid w:val="000B4136"/>
    <w:rsid w:val="000B4185"/>
    <w:rsid w:val="000B4494"/>
    <w:rsid w:val="000B4B1E"/>
    <w:rsid w:val="000B7A52"/>
    <w:rsid w:val="000B7A6F"/>
    <w:rsid w:val="000B7F12"/>
    <w:rsid w:val="000C005B"/>
    <w:rsid w:val="000C0CF4"/>
    <w:rsid w:val="000C18FD"/>
    <w:rsid w:val="000C1B9D"/>
    <w:rsid w:val="000C2095"/>
    <w:rsid w:val="000C2F30"/>
    <w:rsid w:val="000C36B7"/>
    <w:rsid w:val="000C3B8B"/>
    <w:rsid w:val="000C3F67"/>
    <w:rsid w:val="000C4CA1"/>
    <w:rsid w:val="000C53DD"/>
    <w:rsid w:val="000C554A"/>
    <w:rsid w:val="000C59B7"/>
    <w:rsid w:val="000C5F1B"/>
    <w:rsid w:val="000C693D"/>
    <w:rsid w:val="000C6D17"/>
    <w:rsid w:val="000C74AE"/>
    <w:rsid w:val="000C757B"/>
    <w:rsid w:val="000C7757"/>
    <w:rsid w:val="000D0E05"/>
    <w:rsid w:val="000D18CB"/>
    <w:rsid w:val="000D26FA"/>
    <w:rsid w:val="000D287F"/>
    <w:rsid w:val="000D446A"/>
    <w:rsid w:val="000D488C"/>
    <w:rsid w:val="000D4CB6"/>
    <w:rsid w:val="000D6193"/>
    <w:rsid w:val="000D62B5"/>
    <w:rsid w:val="000D6A78"/>
    <w:rsid w:val="000D724D"/>
    <w:rsid w:val="000E0096"/>
    <w:rsid w:val="000E0ED1"/>
    <w:rsid w:val="000E1F82"/>
    <w:rsid w:val="000E203F"/>
    <w:rsid w:val="000E2BF8"/>
    <w:rsid w:val="000E3958"/>
    <w:rsid w:val="000E6A7D"/>
    <w:rsid w:val="000E6AAB"/>
    <w:rsid w:val="000F033B"/>
    <w:rsid w:val="000F38E5"/>
    <w:rsid w:val="000F43DE"/>
    <w:rsid w:val="000F47EC"/>
    <w:rsid w:val="000F4E99"/>
    <w:rsid w:val="000F51AB"/>
    <w:rsid w:val="000F6AA2"/>
    <w:rsid w:val="000F74B9"/>
    <w:rsid w:val="00100309"/>
    <w:rsid w:val="00101149"/>
    <w:rsid w:val="00101DC7"/>
    <w:rsid w:val="00102C74"/>
    <w:rsid w:val="00103B26"/>
    <w:rsid w:val="00103DB7"/>
    <w:rsid w:val="00103EA0"/>
    <w:rsid w:val="00105588"/>
    <w:rsid w:val="001059A1"/>
    <w:rsid w:val="00106598"/>
    <w:rsid w:val="00106BD6"/>
    <w:rsid w:val="00106F6C"/>
    <w:rsid w:val="001074C2"/>
    <w:rsid w:val="00107DC9"/>
    <w:rsid w:val="0011013C"/>
    <w:rsid w:val="001107E5"/>
    <w:rsid w:val="00111A1D"/>
    <w:rsid w:val="00111D96"/>
    <w:rsid w:val="00112882"/>
    <w:rsid w:val="00112963"/>
    <w:rsid w:val="0011329B"/>
    <w:rsid w:val="0011404D"/>
    <w:rsid w:val="001140F7"/>
    <w:rsid w:val="001147F7"/>
    <w:rsid w:val="0011509F"/>
    <w:rsid w:val="0011596B"/>
    <w:rsid w:val="00115A6C"/>
    <w:rsid w:val="0011669E"/>
    <w:rsid w:val="001169E6"/>
    <w:rsid w:val="0011714B"/>
    <w:rsid w:val="0012233E"/>
    <w:rsid w:val="00124260"/>
    <w:rsid w:val="00124790"/>
    <w:rsid w:val="00124A53"/>
    <w:rsid w:val="001255ED"/>
    <w:rsid w:val="00127497"/>
    <w:rsid w:val="00127601"/>
    <w:rsid w:val="00130A4B"/>
    <w:rsid w:val="00130A50"/>
    <w:rsid w:val="00131841"/>
    <w:rsid w:val="00131A6F"/>
    <w:rsid w:val="00131FD3"/>
    <w:rsid w:val="001323BF"/>
    <w:rsid w:val="001334E1"/>
    <w:rsid w:val="00136089"/>
    <w:rsid w:val="001370D6"/>
    <w:rsid w:val="00137F39"/>
    <w:rsid w:val="00140575"/>
    <w:rsid w:val="00140B93"/>
    <w:rsid w:val="00140CB8"/>
    <w:rsid w:val="00141024"/>
    <w:rsid w:val="00141FA1"/>
    <w:rsid w:val="00142162"/>
    <w:rsid w:val="001426A9"/>
    <w:rsid w:val="00143009"/>
    <w:rsid w:val="001430DF"/>
    <w:rsid w:val="00143919"/>
    <w:rsid w:val="0014423A"/>
    <w:rsid w:val="00144957"/>
    <w:rsid w:val="00145C4B"/>
    <w:rsid w:val="00146D9A"/>
    <w:rsid w:val="00147E49"/>
    <w:rsid w:val="00147F41"/>
    <w:rsid w:val="001501E0"/>
    <w:rsid w:val="00150EDF"/>
    <w:rsid w:val="001519B6"/>
    <w:rsid w:val="00151CF7"/>
    <w:rsid w:val="00151ECB"/>
    <w:rsid w:val="00152E1C"/>
    <w:rsid w:val="0015385A"/>
    <w:rsid w:val="00154187"/>
    <w:rsid w:val="00155446"/>
    <w:rsid w:val="001576BA"/>
    <w:rsid w:val="00157CE0"/>
    <w:rsid w:val="001607DF"/>
    <w:rsid w:val="00160A82"/>
    <w:rsid w:val="00160F5F"/>
    <w:rsid w:val="00161007"/>
    <w:rsid w:val="001617D0"/>
    <w:rsid w:val="0016343D"/>
    <w:rsid w:val="0016375A"/>
    <w:rsid w:val="00164533"/>
    <w:rsid w:val="001649B0"/>
    <w:rsid w:val="001656A0"/>
    <w:rsid w:val="0016592E"/>
    <w:rsid w:val="00166A92"/>
    <w:rsid w:val="00166A93"/>
    <w:rsid w:val="00167288"/>
    <w:rsid w:val="001673B2"/>
    <w:rsid w:val="00172674"/>
    <w:rsid w:val="00172C09"/>
    <w:rsid w:val="0017587D"/>
    <w:rsid w:val="00175E4B"/>
    <w:rsid w:val="00177D2A"/>
    <w:rsid w:val="00180332"/>
    <w:rsid w:val="00180EA0"/>
    <w:rsid w:val="00180FA2"/>
    <w:rsid w:val="001821B8"/>
    <w:rsid w:val="00182471"/>
    <w:rsid w:val="00183270"/>
    <w:rsid w:val="001836B4"/>
    <w:rsid w:val="00184AAF"/>
    <w:rsid w:val="00186EEB"/>
    <w:rsid w:val="00190B6C"/>
    <w:rsid w:val="0019145D"/>
    <w:rsid w:val="0019173B"/>
    <w:rsid w:val="00191A1C"/>
    <w:rsid w:val="00194C39"/>
    <w:rsid w:val="001951E9"/>
    <w:rsid w:val="001971AC"/>
    <w:rsid w:val="00197736"/>
    <w:rsid w:val="001A0EC2"/>
    <w:rsid w:val="001A1059"/>
    <w:rsid w:val="001A159B"/>
    <w:rsid w:val="001A23C2"/>
    <w:rsid w:val="001A24B0"/>
    <w:rsid w:val="001A2F7C"/>
    <w:rsid w:val="001A31CD"/>
    <w:rsid w:val="001A3819"/>
    <w:rsid w:val="001A3A3F"/>
    <w:rsid w:val="001A4431"/>
    <w:rsid w:val="001A521B"/>
    <w:rsid w:val="001A5D67"/>
    <w:rsid w:val="001A62F1"/>
    <w:rsid w:val="001B328C"/>
    <w:rsid w:val="001B3494"/>
    <w:rsid w:val="001B4332"/>
    <w:rsid w:val="001B4360"/>
    <w:rsid w:val="001B4379"/>
    <w:rsid w:val="001B45DE"/>
    <w:rsid w:val="001B49E4"/>
    <w:rsid w:val="001B4EB7"/>
    <w:rsid w:val="001B51D0"/>
    <w:rsid w:val="001B57F9"/>
    <w:rsid w:val="001B5ADB"/>
    <w:rsid w:val="001B60BE"/>
    <w:rsid w:val="001B6E06"/>
    <w:rsid w:val="001C04FD"/>
    <w:rsid w:val="001C069B"/>
    <w:rsid w:val="001C0FC9"/>
    <w:rsid w:val="001C23DF"/>
    <w:rsid w:val="001C2592"/>
    <w:rsid w:val="001C3A73"/>
    <w:rsid w:val="001C3B9C"/>
    <w:rsid w:val="001C3D66"/>
    <w:rsid w:val="001C4496"/>
    <w:rsid w:val="001C494C"/>
    <w:rsid w:val="001C54A6"/>
    <w:rsid w:val="001C591E"/>
    <w:rsid w:val="001C6325"/>
    <w:rsid w:val="001C76C8"/>
    <w:rsid w:val="001C7CFD"/>
    <w:rsid w:val="001D24EF"/>
    <w:rsid w:val="001D4623"/>
    <w:rsid w:val="001D5310"/>
    <w:rsid w:val="001D7513"/>
    <w:rsid w:val="001E1235"/>
    <w:rsid w:val="001E152C"/>
    <w:rsid w:val="001E2BC9"/>
    <w:rsid w:val="001E353D"/>
    <w:rsid w:val="001E406B"/>
    <w:rsid w:val="001E438C"/>
    <w:rsid w:val="001E5F97"/>
    <w:rsid w:val="001E690B"/>
    <w:rsid w:val="001E7620"/>
    <w:rsid w:val="001F01C9"/>
    <w:rsid w:val="001F0D01"/>
    <w:rsid w:val="001F234C"/>
    <w:rsid w:val="001F252E"/>
    <w:rsid w:val="001F362F"/>
    <w:rsid w:val="001F40CF"/>
    <w:rsid w:val="001F43EF"/>
    <w:rsid w:val="001F5FF6"/>
    <w:rsid w:val="001F60C4"/>
    <w:rsid w:val="001F6AFC"/>
    <w:rsid w:val="001F6BC7"/>
    <w:rsid w:val="00200467"/>
    <w:rsid w:val="002007E6"/>
    <w:rsid w:val="0020121F"/>
    <w:rsid w:val="00202117"/>
    <w:rsid w:val="00202172"/>
    <w:rsid w:val="00202A27"/>
    <w:rsid w:val="00202C46"/>
    <w:rsid w:val="00203043"/>
    <w:rsid w:val="0020373F"/>
    <w:rsid w:val="002045AC"/>
    <w:rsid w:val="00204704"/>
    <w:rsid w:val="00204C6C"/>
    <w:rsid w:val="00204F14"/>
    <w:rsid w:val="00205795"/>
    <w:rsid w:val="00206802"/>
    <w:rsid w:val="002072DC"/>
    <w:rsid w:val="002073C1"/>
    <w:rsid w:val="002078D4"/>
    <w:rsid w:val="00210991"/>
    <w:rsid w:val="00213847"/>
    <w:rsid w:val="0021396D"/>
    <w:rsid w:val="00213E15"/>
    <w:rsid w:val="00213E94"/>
    <w:rsid w:val="002148A4"/>
    <w:rsid w:val="00215650"/>
    <w:rsid w:val="00215DDD"/>
    <w:rsid w:val="00216475"/>
    <w:rsid w:val="00216DA3"/>
    <w:rsid w:val="00216E33"/>
    <w:rsid w:val="002200AD"/>
    <w:rsid w:val="002205C5"/>
    <w:rsid w:val="002210DA"/>
    <w:rsid w:val="002212EA"/>
    <w:rsid w:val="0022345D"/>
    <w:rsid w:val="002234C4"/>
    <w:rsid w:val="002242DE"/>
    <w:rsid w:val="002248BE"/>
    <w:rsid w:val="00224EDC"/>
    <w:rsid w:val="00225B4F"/>
    <w:rsid w:val="00226CAA"/>
    <w:rsid w:val="002277E8"/>
    <w:rsid w:val="00227CD4"/>
    <w:rsid w:val="002310A8"/>
    <w:rsid w:val="00233C70"/>
    <w:rsid w:val="00234B4A"/>
    <w:rsid w:val="002351C1"/>
    <w:rsid w:val="002365D8"/>
    <w:rsid w:val="0023688F"/>
    <w:rsid w:val="00236DA1"/>
    <w:rsid w:val="00237255"/>
    <w:rsid w:val="00237968"/>
    <w:rsid w:val="00241303"/>
    <w:rsid w:val="002414C0"/>
    <w:rsid w:val="00242883"/>
    <w:rsid w:val="002429F3"/>
    <w:rsid w:val="00243C27"/>
    <w:rsid w:val="00244243"/>
    <w:rsid w:val="00244301"/>
    <w:rsid w:val="00245D25"/>
    <w:rsid w:val="00246243"/>
    <w:rsid w:val="0024686F"/>
    <w:rsid w:val="002500CC"/>
    <w:rsid w:val="00251341"/>
    <w:rsid w:val="002517B5"/>
    <w:rsid w:val="00251E4B"/>
    <w:rsid w:val="00254A4A"/>
    <w:rsid w:val="00255B5E"/>
    <w:rsid w:val="0025647D"/>
    <w:rsid w:val="0025727F"/>
    <w:rsid w:val="0025749D"/>
    <w:rsid w:val="0025750E"/>
    <w:rsid w:val="002606BF"/>
    <w:rsid w:val="00261FB9"/>
    <w:rsid w:val="00262F72"/>
    <w:rsid w:val="00262FC8"/>
    <w:rsid w:val="00264B08"/>
    <w:rsid w:val="0026600D"/>
    <w:rsid w:val="00266172"/>
    <w:rsid w:val="00267374"/>
    <w:rsid w:val="00267836"/>
    <w:rsid w:val="002707CC"/>
    <w:rsid w:val="002708F6"/>
    <w:rsid w:val="00271977"/>
    <w:rsid w:val="00271B97"/>
    <w:rsid w:val="002729CF"/>
    <w:rsid w:val="00273481"/>
    <w:rsid w:val="00274959"/>
    <w:rsid w:val="00276810"/>
    <w:rsid w:val="00276C22"/>
    <w:rsid w:val="002771B6"/>
    <w:rsid w:val="00277E32"/>
    <w:rsid w:val="00280C1C"/>
    <w:rsid w:val="00281863"/>
    <w:rsid w:val="00282778"/>
    <w:rsid w:val="00282B57"/>
    <w:rsid w:val="002844B0"/>
    <w:rsid w:val="002853BF"/>
    <w:rsid w:val="002856A0"/>
    <w:rsid w:val="00286FA1"/>
    <w:rsid w:val="002904BF"/>
    <w:rsid w:val="00291F13"/>
    <w:rsid w:val="00292C30"/>
    <w:rsid w:val="0029341B"/>
    <w:rsid w:val="0029376E"/>
    <w:rsid w:val="00293A1D"/>
    <w:rsid w:val="00295571"/>
    <w:rsid w:val="002959EA"/>
    <w:rsid w:val="00295A10"/>
    <w:rsid w:val="00296770"/>
    <w:rsid w:val="00296EF5"/>
    <w:rsid w:val="002A0E49"/>
    <w:rsid w:val="002A1449"/>
    <w:rsid w:val="002A1670"/>
    <w:rsid w:val="002A1D1C"/>
    <w:rsid w:val="002A221A"/>
    <w:rsid w:val="002A23E4"/>
    <w:rsid w:val="002A2829"/>
    <w:rsid w:val="002A2A5C"/>
    <w:rsid w:val="002A2D31"/>
    <w:rsid w:val="002A4023"/>
    <w:rsid w:val="002A53F8"/>
    <w:rsid w:val="002A6B9F"/>
    <w:rsid w:val="002A6E1B"/>
    <w:rsid w:val="002A797E"/>
    <w:rsid w:val="002B2ED5"/>
    <w:rsid w:val="002B377E"/>
    <w:rsid w:val="002B3873"/>
    <w:rsid w:val="002B503B"/>
    <w:rsid w:val="002B5B10"/>
    <w:rsid w:val="002B5B7C"/>
    <w:rsid w:val="002B5F50"/>
    <w:rsid w:val="002B6C1A"/>
    <w:rsid w:val="002B776F"/>
    <w:rsid w:val="002C0182"/>
    <w:rsid w:val="002C0653"/>
    <w:rsid w:val="002C133C"/>
    <w:rsid w:val="002C1C73"/>
    <w:rsid w:val="002C2433"/>
    <w:rsid w:val="002C2EC2"/>
    <w:rsid w:val="002C54A2"/>
    <w:rsid w:val="002D0680"/>
    <w:rsid w:val="002D3744"/>
    <w:rsid w:val="002D6082"/>
    <w:rsid w:val="002D6293"/>
    <w:rsid w:val="002D67FB"/>
    <w:rsid w:val="002D6E97"/>
    <w:rsid w:val="002E01E5"/>
    <w:rsid w:val="002E087C"/>
    <w:rsid w:val="002E11A7"/>
    <w:rsid w:val="002E27C5"/>
    <w:rsid w:val="002E3082"/>
    <w:rsid w:val="002E338F"/>
    <w:rsid w:val="002E3CBD"/>
    <w:rsid w:val="002E767C"/>
    <w:rsid w:val="002F0F13"/>
    <w:rsid w:val="002F120F"/>
    <w:rsid w:val="002F375C"/>
    <w:rsid w:val="002F40C5"/>
    <w:rsid w:val="002F54BD"/>
    <w:rsid w:val="002F6228"/>
    <w:rsid w:val="002F6D8C"/>
    <w:rsid w:val="002F7000"/>
    <w:rsid w:val="002F7870"/>
    <w:rsid w:val="003002F1"/>
    <w:rsid w:val="00300CD8"/>
    <w:rsid w:val="00301203"/>
    <w:rsid w:val="00301F27"/>
    <w:rsid w:val="00304325"/>
    <w:rsid w:val="00304608"/>
    <w:rsid w:val="003048E6"/>
    <w:rsid w:val="00304BAB"/>
    <w:rsid w:val="003050AB"/>
    <w:rsid w:val="003050C3"/>
    <w:rsid w:val="00305AD3"/>
    <w:rsid w:val="00307FEF"/>
    <w:rsid w:val="00311360"/>
    <w:rsid w:val="00311FAD"/>
    <w:rsid w:val="00312188"/>
    <w:rsid w:val="00312ED3"/>
    <w:rsid w:val="0031415D"/>
    <w:rsid w:val="00314790"/>
    <w:rsid w:val="00314828"/>
    <w:rsid w:val="003165A0"/>
    <w:rsid w:val="00316C00"/>
    <w:rsid w:val="0031761D"/>
    <w:rsid w:val="00317FA9"/>
    <w:rsid w:val="00320262"/>
    <w:rsid w:val="00320AB1"/>
    <w:rsid w:val="00320B02"/>
    <w:rsid w:val="003217E1"/>
    <w:rsid w:val="00322010"/>
    <w:rsid w:val="003222A3"/>
    <w:rsid w:val="00322E22"/>
    <w:rsid w:val="00323285"/>
    <w:rsid w:val="0032358C"/>
    <w:rsid w:val="003238BA"/>
    <w:rsid w:val="00323A25"/>
    <w:rsid w:val="00324C9E"/>
    <w:rsid w:val="00325633"/>
    <w:rsid w:val="003257D3"/>
    <w:rsid w:val="00327268"/>
    <w:rsid w:val="00327F2E"/>
    <w:rsid w:val="003329B8"/>
    <w:rsid w:val="00332E52"/>
    <w:rsid w:val="00334C11"/>
    <w:rsid w:val="00336033"/>
    <w:rsid w:val="00336F4D"/>
    <w:rsid w:val="00337280"/>
    <w:rsid w:val="00337639"/>
    <w:rsid w:val="003379D5"/>
    <w:rsid w:val="00337E3A"/>
    <w:rsid w:val="00341465"/>
    <w:rsid w:val="00341F6D"/>
    <w:rsid w:val="0034234A"/>
    <w:rsid w:val="003424DF"/>
    <w:rsid w:val="00342936"/>
    <w:rsid w:val="00342AFD"/>
    <w:rsid w:val="00345550"/>
    <w:rsid w:val="003476F8"/>
    <w:rsid w:val="00347D2A"/>
    <w:rsid w:val="003502CE"/>
    <w:rsid w:val="0035092B"/>
    <w:rsid w:val="00350F91"/>
    <w:rsid w:val="003522B4"/>
    <w:rsid w:val="003537B2"/>
    <w:rsid w:val="00353A70"/>
    <w:rsid w:val="00354143"/>
    <w:rsid w:val="00354C96"/>
    <w:rsid w:val="00354D0A"/>
    <w:rsid w:val="003552EA"/>
    <w:rsid w:val="003558B7"/>
    <w:rsid w:val="00356806"/>
    <w:rsid w:val="003569B4"/>
    <w:rsid w:val="003572A5"/>
    <w:rsid w:val="00357594"/>
    <w:rsid w:val="00360350"/>
    <w:rsid w:val="0036046B"/>
    <w:rsid w:val="00360A29"/>
    <w:rsid w:val="00361AFE"/>
    <w:rsid w:val="00362869"/>
    <w:rsid w:val="0036354A"/>
    <w:rsid w:val="003635F9"/>
    <w:rsid w:val="00363C02"/>
    <w:rsid w:val="00363D23"/>
    <w:rsid w:val="00363D2E"/>
    <w:rsid w:val="003650C7"/>
    <w:rsid w:val="0036760A"/>
    <w:rsid w:val="00367896"/>
    <w:rsid w:val="00367F13"/>
    <w:rsid w:val="00370CCC"/>
    <w:rsid w:val="00371222"/>
    <w:rsid w:val="00372FA2"/>
    <w:rsid w:val="003736D9"/>
    <w:rsid w:val="00373987"/>
    <w:rsid w:val="00374650"/>
    <w:rsid w:val="00374B15"/>
    <w:rsid w:val="003757C3"/>
    <w:rsid w:val="003763D3"/>
    <w:rsid w:val="00377B05"/>
    <w:rsid w:val="003803BB"/>
    <w:rsid w:val="00381C4E"/>
    <w:rsid w:val="003825D6"/>
    <w:rsid w:val="003853FC"/>
    <w:rsid w:val="00386317"/>
    <w:rsid w:val="00387912"/>
    <w:rsid w:val="00387DAD"/>
    <w:rsid w:val="003901BC"/>
    <w:rsid w:val="00390B05"/>
    <w:rsid w:val="0039419E"/>
    <w:rsid w:val="0039442D"/>
    <w:rsid w:val="00394C1A"/>
    <w:rsid w:val="00394D23"/>
    <w:rsid w:val="003950CF"/>
    <w:rsid w:val="003951C7"/>
    <w:rsid w:val="003A0796"/>
    <w:rsid w:val="003A1564"/>
    <w:rsid w:val="003A17CE"/>
    <w:rsid w:val="003A18D2"/>
    <w:rsid w:val="003A1EEB"/>
    <w:rsid w:val="003A590A"/>
    <w:rsid w:val="003A60F1"/>
    <w:rsid w:val="003A6E9B"/>
    <w:rsid w:val="003B0264"/>
    <w:rsid w:val="003B1A1F"/>
    <w:rsid w:val="003B1E71"/>
    <w:rsid w:val="003B2775"/>
    <w:rsid w:val="003B29C2"/>
    <w:rsid w:val="003B3F70"/>
    <w:rsid w:val="003B54B8"/>
    <w:rsid w:val="003B565B"/>
    <w:rsid w:val="003B5914"/>
    <w:rsid w:val="003B6D79"/>
    <w:rsid w:val="003B7434"/>
    <w:rsid w:val="003C044E"/>
    <w:rsid w:val="003C397E"/>
    <w:rsid w:val="003C5A5E"/>
    <w:rsid w:val="003C73F2"/>
    <w:rsid w:val="003C751F"/>
    <w:rsid w:val="003C7607"/>
    <w:rsid w:val="003D1259"/>
    <w:rsid w:val="003D2DAF"/>
    <w:rsid w:val="003D2E04"/>
    <w:rsid w:val="003D389F"/>
    <w:rsid w:val="003D558B"/>
    <w:rsid w:val="003D5DC8"/>
    <w:rsid w:val="003D63EE"/>
    <w:rsid w:val="003D644E"/>
    <w:rsid w:val="003D755B"/>
    <w:rsid w:val="003D784E"/>
    <w:rsid w:val="003E128E"/>
    <w:rsid w:val="003E145E"/>
    <w:rsid w:val="003E35BB"/>
    <w:rsid w:val="003E3ADC"/>
    <w:rsid w:val="003E3B5C"/>
    <w:rsid w:val="003E460F"/>
    <w:rsid w:val="003E5B1A"/>
    <w:rsid w:val="003E682F"/>
    <w:rsid w:val="003E7C1D"/>
    <w:rsid w:val="003F0FB0"/>
    <w:rsid w:val="003F127F"/>
    <w:rsid w:val="003F4DCF"/>
    <w:rsid w:val="003F4FF1"/>
    <w:rsid w:val="003F5B7E"/>
    <w:rsid w:val="003F7C89"/>
    <w:rsid w:val="0040106E"/>
    <w:rsid w:val="0040162D"/>
    <w:rsid w:val="00402042"/>
    <w:rsid w:val="004025D6"/>
    <w:rsid w:val="00402E32"/>
    <w:rsid w:val="00403ECD"/>
    <w:rsid w:val="004076D4"/>
    <w:rsid w:val="00407C29"/>
    <w:rsid w:val="0041011F"/>
    <w:rsid w:val="00410382"/>
    <w:rsid w:val="00410C8F"/>
    <w:rsid w:val="00412509"/>
    <w:rsid w:val="00412C1D"/>
    <w:rsid w:val="00412CB3"/>
    <w:rsid w:val="0041307E"/>
    <w:rsid w:val="00413923"/>
    <w:rsid w:val="0041565F"/>
    <w:rsid w:val="00416C11"/>
    <w:rsid w:val="00417BE1"/>
    <w:rsid w:val="00420B0B"/>
    <w:rsid w:val="00420FBA"/>
    <w:rsid w:val="004215F4"/>
    <w:rsid w:val="00421C9D"/>
    <w:rsid w:val="0042299E"/>
    <w:rsid w:val="0042322C"/>
    <w:rsid w:val="004234A1"/>
    <w:rsid w:val="00423ADA"/>
    <w:rsid w:val="00423BAC"/>
    <w:rsid w:val="00427B6D"/>
    <w:rsid w:val="00427F23"/>
    <w:rsid w:val="00431C14"/>
    <w:rsid w:val="00432A66"/>
    <w:rsid w:val="00432D14"/>
    <w:rsid w:val="0043361C"/>
    <w:rsid w:val="00434030"/>
    <w:rsid w:val="00434CFF"/>
    <w:rsid w:val="00434FEA"/>
    <w:rsid w:val="00435AB4"/>
    <w:rsid w:val="0043609E"/>
    <w:rsid w:val="00436150"/>
    <w:rsid w:val="00437135"/>
    <w:rsid w:val="00437805"/>
    <w:rsid w:val="004403D0"/>
    <w:rsid w:val="004426A8"/>
    <w:rsid w:val="004438AA"/>
    <w:rsid w:val="004448B2"/>
    <w:rsid w:val="00444D27"/>
    <w:rsid w:val="00445096"/>
    <w:rsid w:val="004467B0"/>
    <w:rsid w:val="004476A6"/>
    <w:rsid w:val="0044787F"/>
    <w:rsid w:val="00447982"/>
    <w:rsid w:val="00447C4B"/>
    <w:rsid w:val="00450898"/>
    <w:rsid w:val="00452229"/>
    <w:rsid w:val="00452396"/>
    <w:rsid w:val="004529C6"/>
    <w:rsid w:val="00452F74"/>
    <w:rsid w:val="00454EE6"/>
    <w:rsid w:val="00460A3B"/>
    <w:rsid w:val="00460C7A"/>
    <w:rsid w:val="0046196F"/>
    <w:rsid w:val="00462047"/>
    <w:rsid w:val="00462142"/>
    <w:rsid w:val="00462609"/>
    <w:rsid w:val="00462AE1"/>
    <w:rsid w:val="00463174"/>
    <w:rsid w:val="00464E89"/>
    <w:rsid w:val="00465A0A"/>
    <w:rsid w:val="004660F2"/>
    <w:rsid w:val="00466637"/>
    <w:rsid w:val="00466EA1"/>
    <w:rsid w:val="00467763"/>
    <w:rsid w:val="0046777F"/>
    <w:rsid w:val="00467782"/>
    <w:rsid w:val="00470046"/>
    <w:rsid w:val="004702C0"/>
    <w:rsid w:val="00471619"/>
    <w:rsid w:val="004718DD"/>
    <w:rsid w:val="004748D5"/>
    <w:rsid w:val="004749D5"/>
    <w:rsid w:val="00474A2D"/>
    <w:rsid w:val="004755B0"/>
    <w:rsid w:val="004757DC"/>
    <w:rsid w:val="00476ED7"/>
    <w:rsid w:val="004773F5"/>
    <w:rsid w:val="004774DA"/>
    <w:rsid w:val="004802C4"/>
    <w:rsid w:val="00482DD6"/>
    <w:rsid w:val="004835E1"/>
    <w:rsid w:val="0048395B"/>
    <w:rsid w:val="00484597"/>
    <w:rsid w:val="0048496E"/>
    <w:rsid w:val="00484A91"/>
    <w:rsid w:val="0048504B"/>
    <w:rsid w:val="00485131"/>
    <w:rsid w:val="00485F9F"/>
    <w:rsid w:val="00486124"/>
    <w:rsid w:val="00486FC7"/>
    <w:rsid w:val="00486FF0"/>
    <w:rsid w:val="004874B7"/>
    <w:rsid w:val="0048788F"/>
    <w:rsid w:val="004900C2"/>
    <w:rsid w:val="00492402"/>
    <w:rsid w:val="00492C1D"/>
    <w:rsid w:val="00492E2A"/>
    <w:rsid w:val="00493585"/>
    <w:rsid w:val="00493EDD"/>
    <w:rsid w:val="00495657"/>
    <w:rsid w:val="00496828"/>
    <w:rsid w:val="004A0C7C"/>
    <w:rsid w:val="004A0CDB"/>
    <w:rsid w:val="004A10E8"/>
    <w:rsid w:val="004A1A14"/>
    <w:rsid w:val="004A2413"/>
    <w:rsid w:val="004A2DE8"/>
    <w:rsid w:val="004A324E"/>
    <w:rsid w:val="004A433F"/>
    <w:rsid w:val="004A4720"/>
    <w:rsid w:val="004A6B48"/>
    <w:rsid w:val="004A704D"/>
    <w:rsid w:val="004B00C1"/>
    <w:rsid w:val="004B16B5"/>
    <w:rsid w:val="004B224C"/>
    <w:rsid w:val="004B2FA5"/>
    <w:rsid w:val="004B30D6"/>
    <w:rsid w:val="004B3181"/>
    <w:rsid w:val="004B3306"/>
    <w:rsid w:val="004B4F29"/>
    <w:rsid w:val="004B5E17"/>
    <w:rsid w:val="004B5E96"/>
    <w:rsid w:val="004B5EF8"/>
    <w:rsid w:val="004B6348"/>
    <w:rsid w:val="004B7B53"/>
    <w:rsid w:val="004C07CD"/>
    <w:rsid w:val="004C0AF2"/>
    <w:rsid w:val="004C0E6E"/>
    <w:rsid w:val="004C0EC7"/>
    <w:rsid w:val="004C10EA"/>
    <w:rsid w:val="004C11F5"/>
    <w:rsid w:val="004C206D"/>
    <w:rsid w:val="004C304B"/>
    <w:rsid w:val="004C3285"/>
    <w:rsid w:val="004C343D"/>
    <w:rsid w:val="004C3882"/>
    <w:rsid w:val="004C38C3"/>
    <w:rsid w:val="004C3AEE"/>
    <w:rsid w:val="004C4014"/>
    <w:rsid w:val="004C4391"/>
    <w:rsid w:val="004C4783"/>
    <w:rsid w:val="004C48B8"/>
    <w:rsid w:val="004C4E15"/>
    <w:rsid w:val="004C62A6"/>
    <w:rsid w:val="004D02BF"/>
    <w:rsid w:val="004D02DC"/>
    <w:rsid w:val="004D1264"/>
    <w:rsid w:val="004D1910"/>
    <w:rsid w:val="004D25D0"/>
    <w:rsid w:val="004D2AB9"/>
    <w:rsid w:val="004D3192"/>
    <w:rsid w:val="004D3CC3"/>
    <w:rsid w:val="004D45A5"/>
    <w:rsid w:val="004D7AF6"/>
    <w:rsid w:val="004D7C49"/>
    <w:rsid w:val="004E194C"/>
    <w:rsid w:val="004E25D1"/>
    <w:rsid w:val="004E3C39"/>
    <w:rsid w:val="004E3E6F"/>
    <w:rsid w:val="004E4028"/>
    <w:rsid w:val="004E5572"/>
    <w:rsid w:val="004E5B72"/>
    <w:rsid w:val="004E5BF2"/>
    <w:rsid w:val="004E62A2"/>
    <w:rsid w:val="004E65A2"/>
    <w:rsid w:val="004E65F8"/>
    <w:rsid w:val="004E7173"/>
    <w:rsid w:val="004F02EB"/>
    <w:rsid w:val="004F0A70"/>
    <w:rsid w:val="004F1FC4"/>
    <w:rsid w:val="004F2322"/>
    <w:rsid w:val="004F2A7C"/>
    <w:rsid w:val="004F50CA"/>
    <w:rsid w:val="004F5C4E"/>
    <w:rsid w:val="004F67AB"/>
    <w:rsid w:val="004F7274"/>
    <w:rsid w:val="005003E1"/>
    <w:rsid w:val="005005BF"/>
    <w:rsid w:val="005008EB"/>
    <w:rsid w:val="00501C67"/>
    <w:rsid w:val="005033DC"/>
    <w:rsid w:val="00503C2B"/>
    <w:rsid w:val="005049A6"/>
    <w:rsid w:val="00506B05"/>
    <w:rsid w:val="00506C22"/>
    <w:rsid w:val="00510563"/>
    <w:rsid w:val="005122A6"/>
    <w:rsid w:val="00512AFB"/>
    <w:rsid w:val="00512CD5"/>
    <w:rsid w:val="005131D7"/>
    <w:rsid w:val="005139A0"/>
    <w:rsid w:val="00514C7F"/>
    <w:rsid w:val="005152E5"/>
    <w:rsid w:val="00515604"/>
    <w:rsid w:val="00516477"/>
    <w:rsid w:val="0052156D"/>
    <w:rsid w:val="00521720"/>
    <w:rsid w:val="005237FF"/>
    <w:rsid w:val="0052433F"/>
    <w:rsid w:val="005243BA"/>
    <w:rsid w:val="005244FF"/>
    <w:rsid w:val="0052565A"/>
    <w:rsid w:val="005266EF"/>
    <w:rsid w:val="005266F9"/>
    <w:rsid w:val="00526AA1"/>
    <w:rsid w:val="00526B45"/>
    <w:rsid w:val="005272DE"/>
    <w:rsid w:val="00527B2B"/>
    <w:rsid w:val="005301D1"/>
    <w:rsid w:val="00533C36"/>
    <w:rsid w:val="005344CF"/>
    <w:rsid w:val="005353B1"/>
    <w:rsid w:val="00535924"/>
    <w:rsid w:val="0053625C"/>
    <w:rsid w:val="005367D9"/>
    <w:rsid w:val="00536AD8"/>
    <w:rsid w:val="005372F6"/>
    <w:rsid w:val="00540509"/>
    <w:rsid w:val="0054196C"/>
    <w:rsid w:val="005437F7"/>
    <w:rsid w:val="00543E09"/>
    <w:rsid w:val="005442AE"/>
    <w:rsid w:val="00544ADF"/>
    <w:rsid w:val="005453AE"/>
    <w:rsid w:val="00547349"/>
    <w:rsid w:val="005506BB"/>
    <w:rsid w:val="005522C1"/>
    <w:rsid w:val="005528E4"/>
    <w:rsid w:val="005535B1"/>
    <w:rsid w:val="005537D5"/>
    <w:rsid w:val="0055444E"/>
    <w:rsid w:val="005545AC"/>
    <w:rsid w:val="0055509C"/>
    <w:rsid w:val="005550B7"/>
    <w:rsid w:val="00555295"/>
    <w:rsid w:val="00555902"/>
    <w:rsid w:val="00555CE5"/>
    <w:rsid w:val="00557979"/>
    <w:rsid w:val="00557C39"/>
    <w:rsid w:val="00561375"/>
    <w:rsid w:val="0056279B"/>
    <w:rsid w:val="0056387D"/>
    <w:rsid w:val="00563DA7"/>
    <w:rsid w:val="00564EAD"/>
    <w:rsid w:val="0056525B"/>
    <w:rsid w:val="005659C9"/>
    <w:rsid w:val="00565BF9"/>
    <w:rsid w:val="00566CF8"/>
    <w:rsid w:val="005671A1"/>
    <w:rsid w:val="005675BF"/>
    <w:rsid w:val="00567839"/>
    <w:rsid w:val="00567970"/>
    <w:rsid w:val="0057082F"/>
    <w:rsid w:val="00570D89"/>
    <w:rsid w:val="005716DE"/>
    <w:rsid w:val="00571859"/>
    <w:rsid w:val="00571A47"/>
    <w:rsid w:val="00572475"/>
    <w:rsid w:val="00572C5E"/>
    <w:rsid w:val="00573A25"/>
    <w:rsid w:val="00573FF9"/>
    <w:rsid w:val="005742ED"/>
    <w:rsid w:val="005742F8"/>
    <w:rsid w:val="00574696"/>
    <w:rsid w:val="00574D85"/>
    <w:rsid w:val="00574E28"/>
    <w:rsid w:val="005820D4"/>
    <w:rsid w:val="00582761"/>
    <w:rsid w:val="005827E1"/>
    <w:rsid w:val="00583400"/>
    <w:rsid w:val="00583D34"/>
    <w:rsid w:val="00585566"/>
    <w:rsid w:val="00586BBC"/>
    <w:rsid w:val="00587E99"/>
    <w:rsid w:val="00591254"/>
    <w:rsid w:val="00592CA7"/>
    <w:rsid w:val="00592DC7"/>
    <w:rsid w:val="00593A89"/>
    <w:rsid w:val="005A0306"/>
    <w:rsid w:val="005A0422"/>
    <w:rsid w:val="005A1F86"/>
    <w:rsid w:val="005A249D"/>
    <w:rsid w:val="005A3B44"/>
    <w:rsid w:val="005A3E1C"/>
    <w:rsid w:val="005A5B2C"/>
    <w:rsid w:val="005A5EFA"/>
    <w:rsid w:val="005A6BC1"/>
    <w:rsid w:val="005A75D3"/>
    <w:rsid w:val="005A7B18"/>
    <w:rsid w:val="005B12F5"/>
    <w:rsid w:val="005B2058"/>
    <w:rsid w:val="005B2225"/>
    <w:rsid w:val="005B268A"/>
    <w:rsid w:val="005B2A31"/>
    <w:rsid w:val="005B35C8"/>
    <w:rsid w:val="005B3C8F"/>
    <w:rsid w:val="005B5AB7"/>
    <w:rsid w:val="005B5B0B"/>
    <w:rsid w:val="005B647B"/>
    <w:rsid w:val="005B6552"/>
    <w:rsid w:val="005B699D"/>
    <w:rsid w:val="005B73E3"/>
    <w:rsid w:val="005C09B3"/>
    <w:rsid w:val="005C2087"/>
    <w:rsid w:val="005C3A6B"/>
    <w:rsid w:val="005C60AB"/>
    <w:rsid w:val="005C687D"/>
    <w:rsid w:val="005C73E5"/>
    <w:rsid w:val="005D0822"/>
    <w:rsid w:val="005D18CC"/>
    <w:rsid w:val="005D2C7B"/>
    <w:rsid w:val="005D4A08"/>
    <w:rsid w:val="005D681B"/>
    <w:rsid w:val="005D74F9"/>
    <w:rsid w:val="005E1231"/>
    <w:rsid w:val="005E1336"/>
    <w:rsid w:val="005E1423"/>
    <w:rsid w:val="005E1964"/>
    <w:rsid w:val="005E1E8A"/>
    <w:rsid w:val="005E2EFA"/>
    <w:rsid w:val="005E3405"/>
    <w:rsid w:val="005E40EF"/>
    <w:rsid w:val="005E5980"/>
    <w:rsid w:val="005E5FCF"/>
    <w:rsid w:val="005E63D3"/>
    <w:rsid w:val="005E6617"/>
    <w:rsid w:val="005E6B82"/>
    <w:rsid w:val="005E7417"/>
    <w:rsid w:val="005E784A"/>
    <w:rsid w:val="005F3573"/>
    <w:rsid w:val="005F4DD8"/>
    <w:rsid w:val="005F5085"/>
    <w:rsid w:val="005F5A87"/>
    <w:rsid w:val="005F5B41"/>
    <w:rsid w:val="005F66B6"/>
    <w:rsid w:val="005F671B"/>
    <w:rsid w:val="005F7397"/>
    <w:rsid w:val="005F7D25"/>
    <w:rsid w:val="005F7F93"/>
    <w:rsid w:val="00600B07"/>
    <w:rsid w:val="006013AC"/>
    <w:rsid w:val="00601B46"/>
    <w:rsid w:val="00601B81"/>
    <w:rsid w:val="006035A0"/>
    <w:rsid w:val="00603C8D"/>
    <w:rsid w:val="00603D39"/>
    <w:rsid w:val="00605521"/>
    <w:rsid w:val="0060570E"/>
    <w:rsid w:val="00605994"/>
    <w:rsid w:val="00605B85"/>
    <w:rsid w:val="006063BA"/>
    <w:rsid w:val="00610E6B"/>
    <w:rsid w:val="006112BA"/>
    <w:rsid w:val="006124E6"/>
    <w:rsid w:val="006138FB"/>
    <w:rsid w:val="0061399D"/>
    <w:rsid w:val="00614C0A"/>
    <w:rsid w:val="00614C0D"/>
    <w:rsid w:val="00615275"/>
    <w:rsid w:val="0061563A"/>
    <w:rsid w:val="00615892"/>
    <w:rsid w:val="00616C57"/>
    <w:rsid w:val="00616D10"/>
    <w:rsid w:val="00616FE9"/>
    <w:rsid w:val="00622860"/>
    <w:rsid w:val="00622C23"/>
    <w:rsid w:val="00623522"/>
    <w:rsid w:val="0062354C"/>
    <w:rsid w:val="00625C91"/>
    <w:rsid w:val="0062647A"/>
    <w:rsid w:val="00626EE9"/>
    <w:rsid w:val="00627221"/>
    <w:rsid w:val="0062731A"/>
    <w:rsid w:val="00627CEB"/>
    <w:rsid w:val="00627EA3"/>
    <w:rsid w:val="00627EE4"/>
    <w:rsid w:val="006300D2"/>
    <w:rsid w:val="00631D47"/>
    <w:rsid w:val="006325F9"/>
    <w:rsid w:val="00632F08"/>
    <w:rsid w:val="006334A0"/>
    <w:rsid w:val="00635257"/>
    <w:rsid w:val="006357EF"/>
    <w:rsid w:val="006359D7"/>
    <w:rsid w:val="00636F9D"/>
    <w:rsid w:val="00637035"/>
    <w:rsid w:val="00637CDD"/>
    <w:rsid w:val="00637DE9"/>
    <w:rsid w:val="00637F99"/>
    <w:rsid w:val="006403B3"/>
    <w:rsid w:val="006403CC"/>
    <w:rsid w:val="006408F7"/>
    <w:rsid w:val="0064104F"/>
    <w:rsid w:val="006415C6"/>
    <w:rsid w:val="00641699"/>
    <w:rsid w:val="00641877"/>
    <w:rsid w:val="0064272F"/>
    <w:rsid w:val="00642789"/>
    <w:rsid w:val="00644556"/>
    <w:rsid w:val="006445B2"/>
    <w:rsid w:val="00645EC3"/>
    <w:rsid w:val="00645FE2"/>
    <w:rsid w:val="006469F0"/>
    <w:rsid w:val="00647F28"/>
    <w:rsid w:val="0065073C"/>
    <w:rsid w:val="00651CFE"/>
    <w:rsid w:val="0065241C"/>
    <w:rsid w:val="006524D8"/>
    <w:rsid w:val="0065256C"/>
    <w:rsid w:val="00652FDF"/>
    <w:rsid w:val="0065510A"/>
    <w:rsid w:val="006555E4"/>
    <w:rsid w:val="00655A97"/>
    <w:rsid w:val="00655D4A"/>
    <w:rsid w:val="00656D7F"/>
    <w:rsid w:val="00657761"/>
    <w:rsid w:val="00657EA8"/>
    <w:rsid w:val="00661DBC"/>
    <w:rsid w:val="006650AF"/>
    <w:rsid w:val="00665263"/>
    <w:rsid w:val="006665AC"/>
    <w:rsid w:val="00667ED9"/>
    <w:rsid w:val="00670024"/>
    <w:rsid w:val="006703F2"/>
    <w:rsid w:val="00673191"/>
    <w:rsid w:val="0067367C"/>
    <w:rsid w:val="00675949"/>
    <w:rsid w:val="00676068"/>
    <w:rsid w:val="00676D8C"/>
    <w:rsid w:val="00676F8D"/>
    <w:rsid w:val="00676FA3"/>
    <w:rsid w:val="00680197"/>
    <w:rsid w:val="0068032E"/>
    <w:rsid w:val="00680692"/>
    <w:rsid w:val="00681036"/>
    <w:rsid w:val="006815BD"/>
    <w:rsid w:val="00681B06"/>
    <w:rsid w:val="00681CD4"/>
    <w:rsid w:val="00682C62"/>
    <w:rsid w:val="00683334"/>
    <w:rsid w:val="006847A1"/>
    <w:rsid w:val="00684F3E"/>
    <w:rsid w:val="006851A7"/>
    <w:rsid w:val="006873E1"/>
    <w:rsid w:val="0069062A"/>
    <w:rsid w:val="006914CC"/>
    <w:rsid w:val="006916EB"/>
    <w:rsid w:val="006925BE"/>
    <w:rsid w:val="00692DBE"/>
    <w:rsid w:val="006933C8"/>
    <w:rsid w:val="00693A18"/>
    <w:rsid w:val="00693AC4"/>
    <w:rsid w:val="00694D90"/>
    <w:rsid w:val="00694F70"/>
    <w:rsid w:val="0069505C"/>
    <w:rsid w:val="00695462"/>
    <w:rsid w:val="0069586F"/>
    <w:rsid w:val="00696DBF"/>
    <w:rsid w:val="00697292"/>
    <w:rsid w:val="00697E10"/>
    <w:rsid w:val="006A2072"/>
    <w:rsid w:val="006A4A38"/>
    <w:rsid w:val="006A4F61"/>
    <w:rsid w:val="006A5A1D"/>
    <w:rsid w:val="006A5C77"/>
    <w:rsid w:val="006A6CE2"/>
    <w:rsid w:val="006B04D6"/>
    <w:rsid w:val="006B1358"/>
    <w:rsid w:val="006B29C0"/>
    <w:rsid w:val="006B3409"/>
    <w:rsid w:val="006B3BE6"/>
    <w:rsid w:val="006B424D"/>
    <w:rsid w:val="006B4999"/>
    <w:rsid w:val="006B64A2"/>
    <w:rsid w:val="006B64B8"/>
    <w:rsid w:val="006B6546"/>
    <w:rsid w:val="006B781C"/>
    <w:rsid w:val="006B78FE"/>
    <w:rsid w:val="006B7F15"/>
    <w:rsid w:val="006C0DC7"/>
    <w:rsid w:val="006C11AD"/>
    <w:rsid w:val="006C14DB"/>
    <w:rsid w:val="006C1D09"/>
    <w:rsid w:val="006C27C3"/>
    <w:rsid w:val="006C2CA6"/>
    <w:rsid w:val="006C3CB6"/>
    <w:rsid w:val="006C4A5A"/>
    <w:rsid w:val="006C6D6C"/>
    <w:rsid w:val="006C7015"/>
    <w:rsid w:val="006D08A1"/>
    <w:rsid w:val="006D20C3"/>
    <w:rsid w:val="006D2142"/>
    <w:rsid w:val="006D253F"/>
    <w:rsid w:val="006D286B"/>
    <w:rsid w:val="006D28B3"/>
    <w:rsid w:val="006D2DB7"/>
    <w:rsid w:val="006D3315"/>
    <w:rsid w:val="006D3B0E"/>
    <w:rsid w:val="006D4974"/>
    <w:rsid w:val="006D5423"/>
    <w:rsid w:val="006D545C"/>
    <w:rsid w:val="006D5CE4"/>
    <w:rsid w:val="006D64DA"/>
    <w:rsid w:val="006D6706"/>
    <w:rsid w:val="006D7F30"/>
    <w:rsid w:val="006E065D"/>
    <w:rsid w:val="006E0737"/>
    <w:rsid w:val="006E184F"/>
    <w:rsid w:val="006E1C99"/>
    <w:rsid w:val="006E27FE"/>
    <w:rsid w:val="006E2962"/>
    <w:rsid w:val="006E38BE"/>
    <w:rsid w:val="006E483D"/>
    <w:rsid w:val="006E73A4"/>
    <w:rsid w:val="006E76F8"/>
    <w:rsid w:val="006F0859"/>
    <w:rsid w:val="006F09C3"/>
    <w:rsid w:val="006F09C5"/>
    <w:rsid w:val="006F19F6"/>
    <w:rsid w:val="006F3CE8"/>
    <w:rsid w:val="006F5ABB"/>
    <w:rsid w:val="006F6D34"/>
    <w:rsid w:val="00701137"/>
    <w:rsid w:val="007012B9"/>
    <w:rsid w:val="007020A5"/>
    <w:rsid w:val="00703617"/>
    <w:rsid w:val="00703E29"/>
    <w:rsid w:val="00704214"/>
    <w:rsid w:val="0070642E"/>
    <w:rsid w:val="00706959"/>
    <w:rsid w:val="00707240"/>
    <w:rsid w:val="00707364"/>
    <w:rsid w:val="007104A1"/>
    <w:rsid w:val="00710E93"/>
    <w:rsid w:val="00711543"/>
    <w:rsid w:val="00712363"/>
    <w:rsid w:val="0071301D"/>
    <w:rsid w:val="007139C9"/>
    <w:rsid w:val="00713BCB"/>
    <w:rsid w:val="00715F1F"/>
    <w:rsid w:val="00716AE3"/>
    <w:rsid w:val="0072045A"/>
    <w:rsid w:val="00722250"/>
    <w:rsid w:val="00724A59"/>
    <w:rsid w:val="00725594"/>
    <w:rsid w:val="007256A0"/>
    <w:rsid w:val="00725767"/>
    <w:rsid w:val="00725DD2"/>
    <w:rsid w:val="00726025"/>
    <w:rsid w:val="00726946"/>
    <w:rsid w:val="00730350"/>
    <w:rsid w:val="007308B7"/>
    <w:rsid w:val="00730F01"/>
    <w:rsid w:val="0073104C"/>
    <w:rsid w:val="007313FD"/>
    <w:rsid w:val="0073281B"/>
    <w:rsid w:val="0073330C"/>
    <w:rsid w:val="00733C13"/>
    <w:rsid w:val="00735006"/>
    <w:rsid w:val="00736F9B"/>
    <w:rsid w:val="00737B02"/>
    <w:rsid w:val="00740892"/>
    <w:rsid w:val="00741121"/>
    <w:rsid w:val="00741230"/>
    <w:rsid w:val="007413A8"/>
    <w:rsid w:val="00741416"/>
    <w:rsid w:val="0074177B"/>
    <w:rsid w:val="00743C4D"/>
    <w:rsid w:val="007444E4"/>
    <w:rsid w:val="007448D1"/>
    <w:rsid w:val="007449DE"/>
    <w:rsid w:val="007454A2"/>
    <w:rsid w:val="00745941"/>
    <w:rsid w:val="00745FEF"/>
    <w:rsid w:val="00746F57"/>
    <w:rsid w:val="007511C0"/>
    <w:rsid w:val="00752A5D"/>
    <w:rsid w:val="00752A60"/>
    <w:rsid w:val="00752B2C"/>
    <w:rsid w:val="00752CCF"/>
    <w:rsid w:val="00752FFF"/>
    <w:rsid w:val="00754DC2"/>
    <w:rsid w:val="00755AD9"/>
    <w:rsid w:val="00756958"/>
    <w:rsid w:val="00756BEA"/>
    <w:rsid w:val="00756C05"/>
    <w:rsid w:val="00760713"/>
    <w:rsid w:val="00760814"/>
    <w:rsid w:val="007611BA"/>
    <w:rsid w:val="00761640"/>
    <w:rsid w:val="007617A0"/>
    <w:rsid w:val="007622BB"/>
    <w:rsid w:val="0076282A"/>
    <w:rsid w:val="00762A15"/>
    <w:rsid w:val="0076350A"/>
    <w:rsid w:val="00764F1B"/>
    <w:rsid w:val="007652C7"/>
    <w:rsid w:val="007666E8"/>
    <w:rsid w:val="00766F51"/>
    <w:rsid w:val="00766FF8"/>
    <w:rsid w:val="00767FBA"/>
    <w:rsid w:val="007706AB"/>
    <w:rsid w:val="00773671"/>
    <w:rsid w:val="00773E78"/>
    <w:rsid w:val="00774947"/>
    <w:rsid w:val="00775594"/>
    <w:rsid w:val="00775DDD"/>
    <w:rsid w:val="0077668C"/>
    <w:rsid w:val="007766D8"/>
    <w:rsid w:val="00776EA7"/>
    <w:rsid w:val="00777193"/>
    <w:rsid w:val="0078011C"/>
    <w:rsid w:val="00780F06"/>
    <w:rsid w:val="00781B8C"/>
    <w:rsid w:val="00782379"/>
    <w:rsid w:val="007829BF"/>
    <w:rsid w:val="00782DB8"/>
    <w:rsid w:val="00784F14"/>
    <w:rsid w:val="00786D46"/>
    <w:rsid w:val="0078702F"/>
    <w:rsid w:val="0079146A"/>
    <w:rsid w:val="00791682"/>
    <w:rsid w:val="00791DD3"/>
    <w:rsid w:val="00792072"/>
    <w:rsid w:val="00792C13"/>
    <w:rsid w:val="00792FFC"/>
    <w:rsid w:val="0079321A"/>
    <w:rsid w:val="007937F9"/>
    <w:rsid w:val="00793FE6"/>
    <w:rsid w:val="0079435F"/>
    <w:rsid w:val="007944E4"/>
    <w:rsid w:val="00795DA7"/>
    <w:rsid w:val="00795E1C"/>
    <w:rsid w:val="0079604C"/>
    <w:rsid w:val="007979B1"/>
    <w:rsid w:val="00797AEC"/>
    <w:rsid w:val="00797EE1"/>
    <w:rsid w:val="007A02E6"/>
    <w:rsid w:val="007A11E8"/>
    <w:rsid w:val="007A2263"/>
    <w:rsid w:val="007A2651"/>
    <w:rsid w:val="007A348F"/>
    <w:rsid w:val="007A419D"/>
    <w:rsid w:val="007A4F6E"/>
    <w:rsid w:val="007A67EE"/>
    <w:rsid w:val="007A6A95"/>
    <w:rsid w:val="007B0B61"/>
    <w:rsid w:val="007B23AF"/>
    <w:rsid w:val="007B4310"/>
    <w:rsid w:val="007B5222"/>
    <w:rsid w:val="007B61ED"/>
    <w:rsid w:val="007B798C"/>
    <w:rsid w:val="007B7F7E"/>
    <w:rsid w:val="007C1027"/>
    <w:rsid w:val="007C1A16"/>
    <w:rsid w:val="007C4DCC"/>
    <w:rsid w:val="007C5521"/>
    <w:rsid w:val="007C5E04"/>
    <w:rsid w:val="007C65CB"/>
    <w:rsid w:val="007C6B7E"/>
    <w:rsid w:val="007C781B"/>
    <w:rsid w:val="007D0E7E"/>
    <w:rsid w:val="007D2061"/>
    <w:rsid w:val="007D26DB"/>
    <w:rsid w:val="007D29AB"/>
    <w:rsid w:val="007D39C8"/>
    <w:rsid w:val="007D47B4"/>
    <w:rsid w:val="007D5FC4"/>
    <w:rsid w:val="007D6382"/>
    <w:rsid w:val="007D6E0E"/>
    <w:rsid w:val="007E003B"/>
    <w:rsid w:val="007E0447"/>
    <w:rsid w:val="007E106B"/>
    <w:rsid w:val="007E2B9B"/>
    <w:rsid w:val="007E4DC3"/>
    <w:rsid w:val="007E5007"/>
    <w:rsid w:val="007E5D14"/>
    <w:rsid w:val="007E5D51"/>
    <w:rsid w:val="007E5E0D"/>
    <w:rsid w:val="007E65A6"/>
    <w:rsid w:val="007F0EEA"/>
    <w:rsid w:val="007F168E"/>
    <w:rsid w:val="007F1B2B"/>
    <w:rsid w:val="007F2B9B"/>
    <w:rsid w:val="007F3753"/>
    <w:rsid w:val="007F39F5"/>
    <w:rsid w:val="007F3BDE"/>
    <w:rsid w:val="007F3ED2"/>
    <w:rsid w:val="007F484E"/>
    <w:rsid w:val="007F5004"/>
    <w:rsid w:val="007F5491"/>
    <w:rsid w:val="007F596A"/>
    <w:rsid w:val="007F5A75"/>
    <w:rsid w:val="007F5ABA"/>
    <w:rsid w:val="007F5D84"/>
    <w:rsid w:val="007F606E"/>
    <w:rsid w:val="008001B8"/>
    <w:rsid w:val="00801277"/>
    <w:rsid w:val="00802824"/>
    <w:rsid w:val="008030F6"/>
    <w:rsid w:val="00803410"/>
    <w:rsid w:val="0080353E"/>
    <w:rsid w:val="008047B5"/>
    <w:rsid w:val="0080594F"/>
    <w:rsid w:val="00805B12"/>
    <w:rsid w:val="00805F22"/>
    <w:rsid w:val="00806D05"/>
    <w:rsid w:val="00807517"/>
    <w:rsid w:val="00810384"/>
    <w:rsid w:val="008108E7"/>
    <w:rsid w:val="00810AE3"/>
    <w:rsid w:val="008119CD"/>
    <w:rsid w:val="00811BE4"/>
    <w:rsid w:val="00812B84"/>
    <w:rsid w:val="00812E86"/>
    <w:rsid w:val="00812F37"/>
    <w:rsid w:val="00812FE0"/>
    <w:rsid w:val="008141F6"/>
    <w:rsid w:val="00814879"/>
    <w:rsid w:val="00814E4B"/>
    <w:rsid w:val="0081582C"/>
    <w:rsid w:val="00815897"/>
    <w:rsid w:val="00815B09"/>
    <w:rsid w:val="00816505"/>
    <w:rsid w:val="00817427"/>
    <w:rsid w:val="00817C9F"/>
    <w:rsid w:val="00820076"/>
    <w:rsid w:val="008215D1"/>
    <w:rsid w:val="0082190E"/>
    <w:rsid w:val="00822770"/>
    <w:rsid w:val="00822A9F"/>
    <w:rsid w:val="00824248"/>
    <w:rsid w:val="008244C3"/>
    <w:rsid w:val="00825099"/>
    <w:rsid w:val="008255C5"/>
    <w:rsid w:val="00825ED3"/>
    <w:rsid w:val="00825F08"/>
    <w:rsid w:val="00831195"/>
    <w:rsid w:val="0083134D"/>
    <w:rsid w:val="008318FB"/>
    <w:rsid w:val="00833B75"/>
    <w:rsid w:val="008341C2"/>
    <w:rsid w:val="00834527"/>
    <w:rsid w:val="00834A2C"/>
    <w:rsid w:val="00836040"/>
    <w:rsid w:val="00837222"/>
    <w:rsid w:val="0083748C"/>
    <w:rsid w:val="00837EC4"/>
    <w:rsid w:val="008413B1"/>
    <w:rsid w:val="00843D70"/>
    <w:rsid w:val="00844484"/>
    <w:rsid w:val="00844F0D"/>
    <w:rsid w:val="00845EDB"/>
    <w:rsid w:val="00850580"/>
    <w:rsid w:val="00850E51"/>
    <w:rsid w:val="0085150D"/>
    <w:rsid w:val="0085162B"/>
    <w:rsid w:val="00851689"/>
    <w:rsid w:val="00851D3E"/>
    <w:rsid w:val="00852E59"/>
    <w:rsid w:val="00853B51"/>
    <w:rsid w:val="00853C11"/>
    <w:rsid w:val="00855CD0"/>
    <w:rsid w:val="00856119"/>
    <w:rsid w:val="00861940"/>
    <w:rsid w:val="008619F4"/>
    <w:rsid w:val="00863EFE"/>
    <w:rsid w:val="008646F4"/>
    <w:rsid w:val="00865C16"/>
    <w:rsid w:val="00865D15"/>
    <w:rsid w:val="00866432"/>
    <w:rsid w:val="008704F0"/>
    <w:rsid w:val="00870BE9"/>
    <w:rsid w:val="00870F10"/>
    <w:rsid w:val="00872529"/>
    <w:rsid w:val="008729D0"/>
    <w:rsid w:val="0087448A"/>
    <w:rsid w:val="008745E3"/>
    <w:rsid w:val="0087496B"/>
    <w:rsid w:val="00874AC1"/>
    <w:rsid w:val="008757C7"/>
    <w:rsid w:val="0087664C"/>
    <w:rsid w:val="00876EAB"/>
    <w:rsid w:val="008805A2"/>
    <w:rsid w:val="00881080"/>
    <w:rsid w:val="00882150"/>
    <w:rsid w:val="008823C5"/>
    <w:rsid w:val="00882438"/>
    <w:rsid w:val="00882766"/>
    <w:rsid w:val="00882F3F"/>
    <w:rsid w:val="00883446"/>
    <w:rsid w:val="00883877"/>
    <w:rsid w:val="008841E2"/>
    <w:rsid w:val="00884D0F"/>
    <w:rsid w:val="008852EF"/>
    <w:rsid w:val="008858F5"/>
    <w:rsid w:val="00886B96"/>
    <w:rsid w:val="00886C3C"/>
    <w:rsid w:val="00887313"/>
    <w:rsid w:val="00887965"/>
    <w:rsid w:val="00890160"/>
    <w:rsid w:val="00890742"/>
    <w:rsid w:val="00890C35"/>
    <w:rsid w:val="00890E22"/>
    <w:rsid w:val="00891B03"/>
    <w:rsid w:val="00892013"/>
    <w:rsid w:val="0089268E"/>
    <w:rsid w:val="0089389D"/>
    <w:rsid w:val="00894DD2"/>
    <w:rsid w:val="0089527C"/>
    <w:rsid w:val="00895377"/>
    <w:rsid w:val="00895882"/>
    <w:rsid w:val="0089716E"/>
    <w:rsid w:val="0089745C"/>
    <w:rsid w:val="00897E9B"/>
    <w:rsid w:val="008A0CB1"/>
    <w:rsid w:val="008A0F5D"/>
    <w:rsid w:val="008A0F71"/>
    <w:rsid w:val="008A11EB"/>
    <w:rsid w:val="008A1AFE"/>
    <w:rsid w:val="008A348A"/>
    <w:rsid w:val="008A44CE"/>
    <w:rsid w:val="008A4E70"/>
    <w:rsid w:val="008A5069"/>
    <w:rsid w:val="008A52B2"/>
    <w:rsid w:val="008A53ED"/>
    <w:rsid w:val="008A5D28"/>
    <w:rsid w:val="008A5D2D"/>
    <w:rsid w:val="008A7CD0"/>
    <w:rsid w:val="008A7D04"/>
    <w:rsid w:val="008B15BB"/>
    <w:rsid w:val="008B21F4"/>
    <w:rsid w:val="008B395A"/>
    <w:rsid w:val="008B3CA1"/>
    <w:rsid w:val="008B3E43"/>
    <w:rsid w:val="008B3F18"/>
    <w:rsid w:val="008B41C4"/>
    <w:rsid w:val="008B4B29"/>
    <w:rsid w:val="008B5939"/>
    <w:rsid w:val="008B6826"/>
    <w:rsid w:val="008B6A15"/>
    <w:rsid w:val="008B77CB"/>
    <w:rsid w:val="008B7DF9"/>
    <w:rsid w:val="008B7E35"/>
    <w:rsid w:val="008C073B"/>
    <w:rsid w:val="008C1C3C"/>
    <w:rsid w:val="008C1DE0"/>
    <w:rsid w:val="008C1F53"/>
    <w:rsid w:val="008C4A8B"/>
    <w:rsid w:val="008D0DC9"/>
    <w:rsid w:val="008D1F29"/>
    <w:rsid w:val="008D281C"/>
    <w:rsid w:val="008D486D"/>
    <w:rsid w:val="008D5608"/>
    <w:rsid w:val="008D74C3"/>
    <w:rsid w:val="008D74E0"/>
    <w:rsid w:val="008E148D"/>
    <w:rsid w:val="008E4B1A"/>
    <w:rsid w:val="008E4CCA"/>
    <w:rsid w:val="008E60A8"/>
    <w:rsid w:val="008E60B6"/>
    <w:rsid w:val="008E6A6A"/>
    <w:rsid w:val="008F395B"/>
    <w:rsid w:val="008F4D26"/>
    <w:rsid w:val="008F6679"/>
    <w:rsid w:val="008F75EB"/>
    <w:rsid w:val="009009A2"/>
    <w:rsid w:val="00900BB8"/>
    <w:rsid w:val="009019DF"/>
    <w:rsid w:val="009029E2"/>
    <w:rsid w:val="00903E56"/>
    <w:rsid w:val="00904227"/>
    <w:rsid w:val="009043D3"/>
    <w:rsid w:val="0090442E"/>
    <w:rsid w:val="00904F30"/>
    <w:rsid w:val="0090552C"/>
    <w:rsid w:val="009058FF"/>
    <w:rsid w:val="00907C15"/>
    <w:rsid w:val="00910F84"/>
    <w:rsid w:val="0091136E"/>
    <w:rsid w:val="009126EF"/>
    <w:rsid w:val="00913297"/>
    <w:rsid w:val="00913BFE"/>
    <w:rsid w:val="00913F63"/>
    <w:rsid w:val="00913FDD"/>
    <w:rsid w:val="0091599D"/>
    <w:rsid w:val="00915C1D"/>
    <w:rsid w:val="00915E09"/>
    <w:rsid w:val="00915E6C"/>
    <w:rsid w:val="00920156"/>
    <w:rsid w:val="00920D8C"/>
    <w:rsid w:val="00921544"/>
    <w:rsid w:val="009239A1"/>
    <w:rsid w:val="00924143"/>
    <w:rsid w:val="00925F66"/>
    <w:rsid w:val="0092661D"/>
    <w:rsid w:val="0092727D"/>
    <w:rsid w:val="0092732C"/>
    <w:rsid w:val="00930443"/>
    <w:rsid w:val="009309EE"/>
    <w:rsid w:val="00930E35"/>
    <w:rsid w:val="0093124C"/>
    <w:rsid w:val="00931CC4"/>
    <w:rsid w:val="00931E8C"/>
    <w:rsid w:val="00934C2A"/>
    <w:rsid w:val="00935168"/>
    <w:rsid w:val="009364E5"/>
    <w:rsid w:val="009375A3"/>
    <w:rsid w:val="00940C18"/>
    <w:rsid w:val="009410BF"/>
    <w:rsid w:val="009411F6"/>
    <w:rsid w:val="009412A6"/>
    <w:rsid w:val="009413B6"/>
    <w:rsid w:val="00942605"/>
    <w:rsid w:val="00942DBE"/>
    <w:rsid w:val="00942DCB"/>
    <w:rsid w:val="00943716"/>
    <w:rsid w:val="00944213"/>
    <w:rsid w:val="00944462"/>
    <w:rsid w:val="009452B1"/>
    <w:rsid w:val="00946220"/>
    <w:rsid w:val="009464D2"/>
    <w:rsid w:val="00946608"/>
    <w:rsid w:val="00946FAA"/>
    <w:rsid w:val="009477C7"/>
    <w:rsid w:val="009500C1"/>
    <w:rsid w:val="0095161C"/>
    <w:rsid w:val="009529F7"/>
    <w:rsid w:val="00952F5A"/>
    <w:rsid w:val="00953BC0"/>
    <w:rsid w:val="00953EAC"/>
    <w:rsid w:val="00954441"/>
    <w:rsid w:val="0095488B"/>
    <w:rsid w:val="0095530A"/>
    <w:rsid w:val="00956A0E"/>
    <w:rsid w:val="009570E6"/>
    <w:rsid w:val="00961606"/>
    <w:rsid w:val="00961A74"/>
    <w:rsid w:val="009630D0"/>
    <w:rsid w:val="00963785"/>
    <w:rsid w:val="00964EC4"/>
    <w:rsid w:val="00966953"/>
    <w:rsid w:val="009674EE"/>
    <w:rsid w:val="0097011D"/>
    <w:rsid w:val="00971830"/>
    <w:rsid w:val="00971EE1"/>
    <w:rsid w:val="00972C7B"/>
    <w:rsid w:val="00973C75"/>
    <w:rsid w:val="00974B42"/>
    <w:rsid w:val="00974C11"/>
    <w:rsid w:val="00975EBC"/>
    <w:rsid w:val="00975F75"/>
    <w:rsid w:val="00976432"/>
    <w:rsid w:val="00976C7A"/>
    <w:rsid w:val="00976F8F"/>
    <w:rsid w:val="00977860"/>
    <w:rsid w:val="00977E19"/>
    <w:rsid w:val="00980209"/>
    <w:rsid w:val="00980F0C"/>
    <w:rsid w:val="009819E5"/>
    <w:rsid w:val="00981F8A"/>
    <w:rsid w:val="00983D29"/>
    <w:rsid w:val="00983F9A"/>
    <w:rsid w:val="0098755A"/>
    <w:rsid w:val="009902E0"/>
    <w:rsid w:val="0099132D"/>
    <w:rsid w:val="0099189A"/>
    <w:rsid w:val="00991D9C"/>
    <w:rsid w:val="00992AE4"/>
    <w:rsid w:val="00992C0E"/>
    <w:rsid w:val="00992D40"/>
    <w:rsid w:val="00993308"/>
    <w:rsid w:val="009936FE"/>
    <w:rsid w:val="00993E7C"/>
    <w:rsid w:val="00994112"/>
    <w:rsid w:val="00994366"/>
    <w:rsid w:val="00995D6A"/>
    <w:rsid w:val="00996419"/>
    <w:rsid w:val="00997038"/>
    <w:rsid w:val="009976CD"/>
    <w:rsid w:val="00997766"/>
    <w:rsid w:val="009A1828"/>
    <w:rsid w:val="009A2ACF"/>
    <w:rsid w:val="009A5A36"/>
    <w:rsid w:val="009A6944"/>
    <w:rsid w:val="009A7332"/>
    <w:rsid w:val="009B375E"/>
    <w:rsid w:val="009B4D57"/>
    <w:rsid w:val="009B52EB"/>
    <w:rsid w:val="009B532A"/>
    <w:rsid w:val="009B5C43"/>
    <w:rsid w:val="009B6004"/>
    <w:rsid w:val="009B6248"/>
    <w:rsid w:val="009B7A14"/>
    <w:rsid w:val="009C298B"/>
    <w:rsid w:val="009C2AEB"/>
    <w:rsid w:val="009C387D"/>
    <w:rsid w:val="009C428B"/>
    <w:rsid w:val="009C5F37"/>
    <w:rsid w:val="009C65FD"/>
    <w:rsid w:val="009C6B8E"/>
    <w:rsid w:val="009C7570"/>
    <w:rsid w:val="009C76A0"/>
    <w:rsid w:val="009D0B2A"/>
    <w:rsid w:val="009D0DF1"/>
    <w:rsid w:val="009D3173"/>
    <w:rsid w:val="009D3AEB"/>
    <w:rsid w:val="009D3E22"/>
    <w:rsid w:val="009D3E69"/>
    <w:rsid w:val="009D419F"/>
    <w:rsid w:val="009D479D"/>
    <w:rsid w:val="009D47B2"/>
    <w:rsid w:val="009D5FD8"/>
    <w:rsid w:val="009D617C"/>
    <w:rsid w:val="009D7A7F"/>
    <w:rsid w:val="009E1375"/>
    <w:rsid w:val="009E1C1B"/>
    <w:rsid w:val="009E1D14"/>
    <w:rsid w:val="009E2269"/>
    <w:rsid w:val="009E5D9D"/>
    <w:rsid w:val="009E6646"/>
    <w:rsid w:val="009F01FD"/>
    <w:rsid w:val="009F0718"/>
    <w:rsid w:val="009F1063"/>
    <w:rsid w:val="009F19E4"/>
    <w:rsid w:val="009F1D9C"/>
    <w:rsid w:val="009F241F"/>
    <w:rsid w:val="009F2953"/>
    <w:rsid w:val="009F3F06"/>
    <w:rsid w:val="009F3FBA"/>
    <w:rsid w:val="009F46F0"/>
    <w:rsid w:val="009F4C28"/>
    <w:rsid w:val="009F500B"/>
    <w:rsid w:val="009F5962"/>
    <w:rsid w:val="009F67BD"/>
    <w:rsid w:val="00A0033B"/>
    <w:rsid w:val="00A00BAE"/>
    <w:rsid w:val="00A00FF8"/>
    <w:rsid w:val="00A01229"/>
    <w:rsid w:val="00A01788"/>
    <w:rsid w:val="00A0252B"/>
    <w:rsid w:val="00A02A4B"/>
    <w:rsid w:val="00A0315B"/>
    <w:rsid w:val="00A033AF"/>
    <w:rsid w:val="00A0355F"/>
    <w:rsid w:val="00A03DDD"/>
    <w:rsid w:val="00A05F6B"/>
    <w:rsid w:val="00A06593"/>
    <w:rsid w:val="00A07767"/>
    <w:rsid w:val="00A07786"/>
    <w:rsid w:val="00A11AC2"/>
    <w:rsid w:val="00A13D3A"/>
    <w:rsid w:val="00A15C03"/>
    <w:rsid w:val="00A16952"/>
    <w:rsid w:val="00A16C45"/>
    <w:rsid w:val="00A176D6"/>
    <w:rsid w:val="00A20383"/>
    <w:rsid w:val="00A206C3"/>
    <w:rsid w:val="00A2149E"/>
    <w:rsid w:val="00A2194E"/>
    <w:rsid w:val="00A22587"/>
    <w:rsid w:val="00A22CEC"/>
    <w:rsid w:val="00A24781"/>
    <w:rsid w:val="00A25103"/>
    <w:rsid w:val="00A25364"/>
    <w:rsid w:val="00A267D2"/>
    <w:rsid w:val="00A26BF8"/>
    <w:rsid w:val="00A26D5F"/>
    <w:rsid w:val="00A270A1"/>
    <w:rsid w:val="00A27828"/>
    <w:rsid w:val="00A30240"/>
    <w:rsid w:val="00A305E9"/>
    <w:rsid w:val="00A30B33"/>
    <w:rsid w:val="00A31572"/>
    <w:rsid w:val="00A319FD"/>
    <w:rsid w:val="00A330BC"/>
    <w:rsid w:val="00A33DF5"/>
    <w:rsid w:val="00A33FE6"/>
    <w:rsid w:val="00A343E5"/>
    <w:rsid w:val="00A3477F"/>
    <w:rsid w:val="00A359B9"/>
    <w:rsid w:val="00A359EA"/>
    <w:rsid w:val="00A363E1"/>
    <w:rsid w:val="00A368D2"/>
    <w:rsid w:val="00A36BF8"/>
    <w:rsid w:val="00A37147"/>
    <w:rsid w:val="00A41219"/>
    <w:rsid w:val="00A41354"/>
    <w:rsid w:val="00A42A05"/>
    <w:rsid w:val="00A42ACA"/>
    <w:rsid w:val="00A4338A"/>
    <w:rsid w:val="00A439B9"/>
    <w:rsid w:val="00A44E9A"/>
    <w:rsid w:val="00A4596A"/>
    <w:rsid w:val="00A47B02"/>
    <w:rsid w:val="00A50690"/>
    <w:rsid w:val="00A50FCB"/>
    <w:rsid w:val="00A5237E"/>
    <w:rsid w:val="00A52B24"/>
    <w:rsid w:val="00A52BE6"/>
    <w:rsid w:val="00A52E96"/>
    <w:rsid w:val="00A52EEF"/>
    <w:rsid w:val="00A54061"/>
    <w:rsid w:val="00A548CA"/>
    <w:rsid w:val="00A54B12"/>
    <w:rsid w:val="00A555B6"/>
    <w:rsid w:val="00A5599F"/>
    <w:rsid w:val="00A56098"/>
    <w:rsid w:val="00A56870"/>
    <w:rsid w:val="00A57A2F"/>
    <w:rsid w:val="00A60C6C"/>
    <w:rsid w:val="00A6185E"/>
    <w:rsid w:val="00A6199F"/>
    <w:rsid w:val="00A6204E"/>
    <w:rsid w:val="00A6243B"/>
    <w:rsid w:val="00A63EDD"/>
    <w:rsid w:val="00A64417"/>
    <w:rsid w:val="00A648DD"/>
    <w:rsid w:val="00A64A10"/>
    <w:rsid w:val="00A652B8"/>
    <w:rsid w:val="00A652B9"/>
    <w:rsid w:val="00A65DFB"/>
    <w:rsid w:val="00A6633D"/>
    <w:rsid w:val="00A66443"/>
    <w:rsid w:val="00A666FC"/>
    <w:rsid w:val="00A672D1"/>
    <w:rsid w:val="00A674CF"/>
    <w:rsid w:val="00A6782D"/>
    <w:rsid w:val="00A67AA6"/>
    <w:rsid w:val="00A7083D"/>
    <w:rsid w:val="00A71893"/>
    <w:rsid w:val="00A71AB1"/>
    <w:rsid w:val="00A74ED3"/>
    <w:rsid w:val="00A7782B"/>
    <w:rsid w:val="00A800B4"/>
    <w:rsid w:val="00A81383"/>
    <w:rsid w:val="00A82800"/>
    <w:rsid w:val="00A829D5"/>
    <w:rsid w:val="00A852E6"/>
    <w:rsid w:val="00A90146"/>
    <w:rsid w:val="00A90E8A"/>
    <w:rsid w:val="00A914BF"/>
    <w:rsid w:val="00A9178A"/>
    <w:rsid w:val="00A926C4"/>
    <w:rsid w:val="00A92DA0"/>
    <w:rsid w:val="00A93C6B"/>
    <w:rsid w:val="00A949A4"/>
    <w:rsid w:val="00A94D98"/>
    <w:rsid w:val="00A9500F"/>
    <w:rsid w:val="00A95C91"/>
    <w:rsid w:val="00A97983"/>
    <w:rsid w:val="00A97F0C"/>
    <w:rsid w:val="00AA03A9"/>
    <w:rsid w:val="00AA0556"/>
    <w:rsid w:val="00AA0BFC"/>
    <w:rsid w:val="00AA1002"/>
    <w:rsid w:val="00AA1283"/>
    <w:rsid w:val="00AA1BF9"/>
    <w:rsid w:val="00AA1FB7"/>
    <w:rsid w:val="00AA63EB"/>
    <w:rsid w:val="00AA7068"/>
    <w:rsid w:val="00AA732B"/>
    <w:rsid w:val="00AA7D5E"/>
    <w:rsid w:val="00AB1734"/>
    <w:rsid w:val="00AB1F25"/>
    <w:rsid w:val="00AB2615"/>
    <w:rsid w:val="00AB28F1"/>
    <w:rsid w:val="00AB2BA2"/>
    <w:rsid w:val="00AB3327"/>
    <w:rsid w:val="00AB39B4"/>
    <w:rsid w:val="00AB40E5"/>
    <w:rsid w:val="00AB46AD"/>
    <w:rsid w:val="00AB48D9"/>
    <w:rsid w:val="00AB4D2A"/>
    <w:rsid w:val="00AB5981"/>
    <w:rsid w:val="00AB62ED"/>
    <w:rsid w:val="00AB6C2C"/>
    <w:rsid w:val="00AB7A00"/>
    <w:rsid w:val="00AC132D"/>
    <w:rsid w:val="00AC199E"/>
    <w:rsid w:val="00AC1AC1"/>
    <w:rsid w:val="00AC302F"/>
    <w:rsid w:val="00AC323A"/>
    <w:rsid w:val="00AC343F"/>
    <w:rsid w:val="00AC4AA5"/>
    <w:rsid w:val="00AC5E31"/>
    <w:rsid w:val="00AC5ED9"/>
    <w:rsid w:val="00AC651B"/>
    <w:rsid w:val="00AC6EC8"/>
    <w:rsid w:val="00AC7306"/>
    <w:rsid w:val="00AD19C6"/>
    <w:rsid w:val="00AD1EE5"/>
    <w:rsid w:val="00AD1F0B"/>
    <w:rsid w:val="00AD2B46"/>
    <w:rsid w:val="00AD38C3"/>
    <w:rsid w:val="00AD3B25"/>
    <w:rsid w:val="00AD3B59"/>
    <w:rsid w:val="00AD4D32"/>
    <w:rsid w:val="00AD53C5"/>
    <w:rsid w:val="00AD5D17"/>
    <w:rsid w:val="00AD66F9"/>
    <w:rsid w:val="00AD74A3"/>
    <w:rsid w:val="00AE0D40"/>
    <w:rsid w:val="00AE1AC6"/>
    <w:rsid w:val="00AE222D"/>
    <w:rsid w:val="00AE27CB"/>
    <w:rsid w:val="00AE27F1"/>
    <w:rsid w:val="00AE3477"/>
    <w:rsid w:val="00AE658A"/>
    <w:rsid w:val="00AE7102"/>
    <w:rsid w:val="00AE77DE"/>
    <w:rsid w:val="00AF05C5"/>
    <w:rsid w:val="00AF0D4F"/>
    <w:rsid w:val="00AF226C"/>
    <w:rsid w:val="00AF2970"/>
    <w:rsid w:val="00AF3A56"/>
    <w:rsid w:val="00AF44AF"/>
    <w:rsid w:val="00AF654D"/>
    <w:rsid w:val="00B00072"/>
    <w:rsid w:val="00B008DD"/>
    <w:rsid w:val="00B02F0B"/>
    <w:rsid w:val="00B039CD"/>
    <w:rsid w:val="00B04F7C"/>
    <w:rsid w:val="00B065A6"/>
    <w:rsid w:val="00B06BCB"/>
    <w:rsid w:val="00B06D5D"/>
    <w:rsid w:val="00B07ABC"/>
    <w:rsid w:val="00B1134E"/>
    <w:rsid w:val="00B115BC"/>
    <w:rsid w:val="00B12B4C"/>
    <w:rsid w:val="00B148B7"/>
    <w:rsid w:val="00B14CD3"/>
    <w:rsid w:val="00B163FC"/>
    <w:rsid w:val="00B16503"/>
    <w:rsid w:val="00B1775A"/>
    <w:rsid w:val="00B20032"/>
    <w:rsid w:val="00B200D0"/>
    <w:rsid w:val="00B22583"/>
    <w:rsid w:val="00B233D3"/>
    <w:rsid w:val="00B247F1"/>
    <w:rsid w:val="00B25016"/>
    <w:rsid w:val="00B2586F"/>
    <w:rsid w:val="00B2672E"/>
    <w:rsid w:val="00B26748"/>
    <w:rsid w:val="00B3106C"/>
    <w:rsid w:val="00B31329"/>
    <w:rsid w:val="00B31830"/>
    <w:rsid w:val="00B31FF4"/>
    <w:rsid w:val="00B3293C"/>
    <w:rsid w:val="00B32D1E"/>
    <w:rsid w:val="00B349EA"/>
    <w:rsid w:val="00B35144"/>
    <w:rsid w:val="00B35FB6"/>
    <w:rsid w:val="00B36260"/>
    <w:rsid w:val="00B369C3"/>
    <w:rsid w:val="00B370DE"/>
    <w:rsid w:val="00B3749D"/>
    <w:rsid w:val="00B404F8"/>
    <w:rsid w:val="00B4051C"/>
    <w:rsid w:val="00B42168"/>
    <w:rsid w:val="00B43F76"/>
    <w:rsid w:val="00B459AE"/>
    <w:rsid w:val="00B460E9"/>
    <w:rsid w:val="00B46426"/>
    <w:rsid w:val="00B467EC"/>
    <w:rsid w:val="00B47F30"/>
    <w:rsid w:val="00B50EFC"/>
    <w:rsid w:val="00B51155"/>
    <w:rsid w:val="00B51883"/>
    <w:rsid w:val="00B522E4"/>
    <w:rsid w:val="00B5278D"/>
    <w:rsid w:val="00B54C52"/>
    <w:rsid w:val="00B54E86"/>
    <w:rsid w:val="00B5552B"/>
    <w:rsid w:val="00B560E5"/>
    <w:rsid w:val="00B572AD"/>
    <w:rsid w:val="00B57E3C"/>
    <w:rsid w:val="00B61890"/>
    <w:rsid w:val="00B61F5D"/>
    <w:rsid w:val="00B62245"/>
    <w:rsid w:val="00B62950"/>
    <w:rsid w:val="00B63CCA"/>
    <w:rsid w:val="00B63F38"/>
    <w:rsid w:val="00B6407D"/>
    <w:rsid w:val="00B64BDF"/>
    <w:rsid w:val="00B65727"/>
    <w:rsid w:val="00B65D03"/>
    <w:rsid w:val="00B6622D"/>
    <w:rsid w:val="00B6756E"/>
    <w:rsid w:val="00B679CA"/>
    <w:rsid w:val="00B67D20"/>
    <w:rsid w:val="00B71964"/>
    <w:rsid w:val="00B72D91"/>
    <w:rsid w:val="00B73EF0"/>
    <w:rsid w:val="00B74555"/>
    <w:rsid w:val="00B76416"/>
    <w:rsid w:val="00B81A2E"/>
    <w:rsid w:val="00B81B4B"/>
    <w:rsid w:val="00B81BF8"/>
    <w:rsid w:val="00B82F7B"/>
    <w:rsid w:val="00B83B72"/>
    <w:rsid w:val="00B8407B"/>
    <w:rsid w:val="00B84E6A"/>
    <w:rsid w:val="00B85966"/>
    <w:rsid w:val="00B860A5"/>
    <w:rsid w:val="00B86178"/>
    <w:rsid w:val="00B87EA0"/>
    <w:rsid w:val="00B905E1"/>
    <w:rsid w:val="00B90661"/>
    <w:rsid w:val="00B91013"/>
    <w:rsid w:val="00B918BE"/>
    <w:rsid w:val="00B9226E"/>
    <w:rsid w:val="00B92721"/>
    <w:rsid w:val="00B928E3"/>
    <w:rsid w:val="00B93256"/>
    <w:rsid w:val="00B936D6"/>
    <w:rsid w:val="00B944F6"/>
    <w:rsid w:val="00B951FB"/>
    <w:rsid w:val="00B97921"/>
    <w:rsid w:val="00BA07CE"/>
    <w:rsid w:val="00BA1AE5"/>
    <w:rsid w:val="00BA2B06"/>
    <w:rsid w:val="00BA3E5C"/>
    <w:rsid w:val="00BA5162"/>
    <w:rsid w:val="00BA7336"/>
    <w:rsid w:val="00BA733D"/>
    <w:rsid w:val="00BA7B1E"/>
    <w:rsid w:val="00BA7E07"/>
    <w:rsid w:val="00BB0926"/>
    <w:rsid w:val="00BB2734"/>
    <w:rsid w:val="00BB2FE7"/>
    <w:rsid w:val="00BB32AE"/>
    <w:rsid w:val="00BB4C76"/>
    <w:rsid w:val="00BB4EC6"/>
    <w:rsid w:val="00BB537E"/>
    <w:rsid w:val="00BB5E1A"/>
    <w:rsid w:val="00BB7381"/>
    <w:rsid w:val="00BC015C"/>
    <w:rsid w:val="00BC087E"/>
    <w:rsid w:val="00BC2157"/>
    <w:rsid w:val="00BC2203"/>
    <w:rsid w:val="00BC3194"/>
    <w:rsid w:val="00BC319A"/>
    <w:rsid w:val="00BC3920"/>
    <w:rsid w:val="00BC4B51"/>
    <w:rsid w:val="00BC73C3"/>
    <w:rsid w:val="00BC741A"/>
    <w:rsid w:val="00BC7F63"/>
    <w:rsid w:val="00BD0229"/>
    <w:rsid w:val="00BD138C"/>
    <w:rsid w:val="00BD1D50"/>
    <w:rsid w:val="00BD24D4"/>
    <w:rsid w:val="00BD2778"/>
    <w:rsid w:val="00BD29B8"/>
    <w:rsid w:val="00BD32B8"/>
    <w:rsid w:val="00BD3730"/>
    <w:rsid w:val="00BD41FA"/>
    <w:rsid w:val="00BD4CE8"/>
    <w:rsid w:val="00BD4FD3"/>
    <w:rsid w:val="00BD5089"/>
    <w:rsid w:val="00BD55CA"/>
    <w:rsid w:val="00BD5732"/>
    <w:rsid w:val="00BD64F7"/>
    <w:rsid w:val="00BD7069"/>
    <w:rsid w:val="00BE2AF9"/>
    <w:rsid w:val="00BE3E05"/>
    <w:rsid w:val="00BE4FBB"/>
    <w:rsid w:val="00BE744B"/>
    <w:rsid w:val="00BF0AFF"/>
    <w:rsid w:val="00BF1245"/>
    <w:rsid w:val="00BF14EF"/>
    <w:rsid w:val="00BF1E14"/>
    <w:rsid w:val="00BF28DF"/>
    <w:rsid w:val="00BF2E36"/>
    <w:rsid w:val="00BF3BB7"/>
    <w:rsid w:val="00BF47E2"/>
    <w:rsid w:val="00BF4DA0"/>
    <w:rsid w:val="00BF4FB0"/>
    <w:rsid w:val="00BF5BB0"/>
    <w:rsid w:val="00BF5C42"/>
    <w:rsid w:val="00BF69B4"/>
    <w:rsid w:val="00BF7731"/>
    <w:rsid w:val="00BF7C7F"/>
    <w:rsid w:val="00C02C26"/>
    <w:rsid w:val="00C03D65"/>
    <w:rsid w:val="00C04A31"/>
    <w:rsid w:val="00C053DA"/>
    <w:rsid w:val="00C05E09"/>
    <w:rsid w:val="00C10055"/>
    <w:rsid w:val="00C100A8"/>
    <w:rsid w:val="00C1011C"/>
    <w:rsid w:val="00C13557"/>
    <w:rsid w:val="00C1370D"/>
    <w:rsid w:val="00C14087"/>
    <w:rsid w:val="00C1409C"/>
    <w:rsid w:val="00C149B2"/>
    <w:rsid w:val="00C14CFF"/>
    <w:rsid w:val="00C15D10"/>
    <w:rsid w:val="00C16A1B"/>
    <w:rsid w:val="00C16B5F"/>
    <w:rsid w:val="00C16D42"/>
    <w:rsid w:val="00C207E3"/>
    <w:rsid w:val="00C2125D"/>
    <w:rsid w:val="00C227B5"/>
    <w:rsid w:val="00C236A7"/>
    <w:rsid w:val="00C23BC7"/>
    <w:rsid w:val="00C23CF2"/>
    <w:rsid w:val="00C24BD9"/>
    <w:rsid w:val="00C24F10"/>
    <w:rsid w:val="00C26505"/>
    <w:rsid w:val="00C27AB8"/>
    <w:rsid w:val="00C30AD2"/>
    <w:rsid w:val="00C30E8C"/>
    <w:rsid w:val="00C31534"/>
    <w:rsid w:val="00C31F4A"/>
    <w:rsid w:val="00C32BFF"/>
    <w:rsid w:val="00C337D5"/>
    <w:rsid w:val="00C33E25"/>
    <w:rsid w:val="00C34C92"/>
    <w:rsid w:val="00C3521B"/>
    <w:rsid w:val="00C3574F"/>
    <w:rsid w:val="00C36252"/>
    <w:rsid w:val="00C4039E"/>
    <w:rsid w:val="00C410FA"/>
    <w:rsid w:val="00C424CF"/>
    <w:rsid w:val="00C43DE4"/>
    <w:rsid w:val="00C44B59"/>
    <w:rsid w:val="00C45919"/>
    <w:rsid w:val="00C462A6"/>
    <w:rsid w:val="00C463CB"/>
    <w:rsid w:val="00C46C94"/>
    <w:rsid w:val="00C502F8"/>
    <w:rsid w:val="00C50F9B"/>
    <w:rsid w:val="00C5142A"/>
    <w:rsid w:val="00C5237D"/>
    <w:rsid w:val="00C5297E"/>
    <w:rsid w:val="00C53E0E"/>
    <w:rsid w:val="00C54576"/>
    <w:rsid w:val="00C56355"/>
    <w:rsid w:val="00C56703"/>
    <w:rsid w:val="00C574B4"/>
    <w:rsid w:val="00C6149C"/>
    <w:rsid w:val="00C61ADA"/>
    <w:rsid w:val="00C61FB0"/>
    <w:rsid w:val="00C6215B"/>
    <w:rsid w:val="00C623E8"/>
    <w:rsid w:val="00C63124"/>
    <w:rsid w:val="00C6331F"/>
    <w:rsid w:val="00C634AA"/>
    <w:rsid w:val="00C63BF2"/>
    <w:rsid w:val="00C642FF"/>
    <w:rsid w:val="00C65888"/>
    <w:rsid w:val="00C65A63"/>
    <w:rsid w:val="00C6624B"/>
    <w:rsid w:val="00C6687D"/>
    <w:rsid w:val="00C66E6C"/>
    <w:rsid w:val="00C678AE"/>
    <w:rsid w:val="00C67D30"/>
    <w:rsid w:val="00C704B7"/>
    <w:rsid w:val="00C708D8"/>
    <w:rsid w:val="00C70D16"/>
    <w:rsid w:val="00C716B3"/>
    <w:rsid w:val="00C72273"/>
    <w:rsid w:val="00C722CB"/>
    <w:rsid w:val="00C7359B"/>
    <w:rsid w:val="00C7529A"/>
    <w:rsid w:val="00C76AB2"/>
    <w:rsid w:val="00C76F8F"/>
    <w:rsid w:val="00C77885"/>
    <w:rsid w:val="00C8019B"/>
    <w:rsid w:val="00C802FA"/>
    <w:rsid w:val="00C80311"/>
    <w:rsid w:val="00C8061F"/>
    <w:rsid w:val="00C83702"/>
    <w:rsid w:val="00C83ADE"/>
    <w:rsid w:val="00C844CB"/>
    <w:rsid w:val="00C869A6"/>
    <w:rsid w:val="00C87975"/>
    <w:rsid w:val="00C87E8B"/>
    <w:rsid w:val="00C900AA"/>
    <w:rsid w:val="00C901AE"/>
    <w:rsid w:val="00C90BFA"/>
    <w:rsid w:val="00C910DB"/>
    <w:rsid w:val="00C91E8E"/>
    <w:rsid w:val="00C92429"/>
    <w:rsid w:val="00C92D3A"/>
    <w:rsid w:val="00C92D66"/>
    <w:rsid w:val="00C933AD"/>
    <w:rsid w:val="00C95399"/>
    <w:rsid w:val="00C96B98"/>
    <w:rsid w:val="00C96D61"/>
    <w:rsid w:val="00C96E8A"/>
    <w:rsid w:val="00CA0572"/>
    <w:rsid w:val="00CA0697"/>
    <w:rsid w:val="00CA39AC"/>
    <w:rsid w:val="00CA416F"/>
    <w:rsid w:val="00CA5874"/>
    <w:rsid w:val="00CA7836"/>
    <w:rsid w:val="00CA793C"/>
    <w:rsid w:val="00CB14CE"/>
    <w:rsid w:val="00CB32B2"/>
    <w:rsid w:val="00CB59C2"/>
    <w:rsid w:val="00CB6649"/>
    <w:rsid w:val="00CB6792"/>
    <w:rsid w:val="00CB77FE"/>
    <w:rsid w:val="00CC0486"/>
    <w:rsid w:val="00CC132A"/>
    <w:rsid w:val="00CC2B98"/>
    <w:rsid w:val="00CC359A"/>
    <w:rsid w:val="00CC4C06"/>
    <w:rsid w:val="00CC5073"/>
    <w:rsid w:val="00CC62C7"/>
    <w:rsid w:val="00CD1D32"/>
    <w:rsid w:val="00CD3FA9"/>
    <w:rsid w:val="00CD4905"/>
    <w:rsid w:val="00CD5067"/>
    <w:rsid w:val="00CD5510"/>
    <w:rsid w:val="00CD6F49"/>
    <w:rsid w:val="00CD7F1E"/>
    <w:rsid w:val="00CE0FB9"/>
    <w:rsid w:val="00CE17FE"/>
    <w:rsid w:val="00CE1D8F"/>
    <w:rsid w:val="00CE24D3"/>
    <w:rsid w:val="00CE3D70"/>
    <w:rsid w:val="00CE3D76"/>
    <w:rsid w:val="00CE48A3"/>
    <w:rsid w:val="00CE5298"/>
    <w:rsid w:val="00CE55A5"/>
    <w:rsid w:val="00CE5858"/>
    <w:rsid w:val="00CE587E"/>
    <w:rsid w:val="00CE5AB3"/>
    <w:rsid w:val="00CE6D60"/>
    <w:rsid w:val="00CE7036"/>
    <w:rsid w:val="00CF11C0"/>
    <w:rsid w:val="00CF1537"/>
    <w:rsid w:val="00CF1780"/>
    <w:rsid w:val="00CF1D84"/>
    <w:rsid w:val="00CF412C"/>
    <w:rsid w:val="00CF42CA"/>
    <w:rsid w:val="00CF54A2"/>
    <w:rsid w:val="00CF55EB"/>
    <w:rsid w:val="00CF5636"/>
    <w:rsid w:val="00CF57C5"/>
    <w:rsid w:val="00CF5E5E"/>
    <w:rsid w:val="00CF6504"/>
    <w:rsid w:val="00CF6579"/>
    <w:rsid w:val="00CF6D19"/>
    <w:rsid w:val="00CF73B3"/>
    <w:rsid w:val="00CF7D78"/>
    <w:rsid w:val="00D0111F"/>
    <w:rsid w:val="00D01C62"/>
    <w:rsid w:val="00D024E7"/>
    <w:rsid w:val="00D0286A"/>
    <w:rsid w:val="00D03255"/>
    <w:rsid w:val="00D048A9"/>
    <w:rsid w:val="00D066A7"/>
    <w:rsid w:val="00D075B3"/>
    <w:rsid w:val="00D07C08"/>
    <w:rsid w:val="00D07D6E"/>
    <w:rsid w:val="00D07F6A"/>
    <w:rsid w:val="00D1009D"/>
    <w:rsid w:val="00D10187"/>
    <w:rsid w:val="00D12618"/>
    <w:rsid w:val="00D13BD5"/>
    <w:rsid w:val="00D14139"/>
    <w:rsid w:val="00D142C1"/>
    <w:rsid w:val="00D15A08"/>
    <w:rsid w:val="00D162B7"/>
    <w:rsid w:val="00D16954"/>
    <w:rsid w:val="00D17F04"/>
    <w:rsid w:val="00D20712"/>
    <w:rsid w:val="00D21583"/>
    <w:rsid w:val="00D21E4C"/>
    <w:rsid w:val="00D225DD"/>
    <w:rsid w:val="00D226E9"/>
    <w:rsid w:val="00D22830"/>
    <w:rsid w:val="00D24407"/>
    <w:rsid w:val="00D25E3E"/>
    <w:rsid w:val="00D25FD2"/>
    <w:rsid w:val="00D271F7"/>
    <w:rsid w:val="00D27E19"/>
    <w:rsid w:val="00D27F3E"/>
    <w:rsid w:val="00D30D8C"/>
    <w:rsid w:val="00D32B57"/>
    <w:rsid w:val="00D32F82"/>
    <w:rsid w:val="00D3363E"/>
    <w:rsid w:val="00D33D01"/>
    <w:rsid w:val="00D33D42"/>
    <w:rsid w:val="00D34586"/>
    <w:rsid w:val="00D34AF0"/>
    <w:rsid w:val="00D35F36"/>
    <w:rsid w:val="00D368E3"/>
    <w:rsid w:val="00D369BA"/>
    <w:rsid w:val="00D37166"/>
    <w:rsid w:val="00D37267"/>
    <w:rsid w:val="00D4017A"/>
    <w:rsid w:val="00D40CCE"/>
    <w:rsid w:val="00D40EB6"/>
    <w:rsid w:val="00D41555"/>
    <w:rsid w:val="00D419E5"/>
    <w:rsid w:val="00D43474"/>
    <w:rsid w:val="00D449F3"/>
    <w:rsid w:val="00D45016"/>
    <w:rsid w:val="00D45339"/>
    <w:rsid w:val="00D45B4C"/>
    <w:rsid w:val="00D45C75"/>
    <w:rsid w:val="00D461B5"/>
    <w:rsid w:val="00D479C1"/>
    <w:rsid w:val="00D47F0B"/>
    <w:rsid w:val="00D500D1"/>
    <w:rsid w:val="00D50892"/>
    <w:rsid w:val="00D50CB3"/>
    <w:rsid w:val="00D50F6B"/>
    <w:rsid w:val="00D51A9E"/>
    <w:rsid w:val="00D522B7"/>
    <w:rsid w:val="00D52A52"/>
    <w:rsid w:val="00D52FF2"/>
    <w:rsid w:val="00D53241"/>
    <w:rsid w:val="00D55292"/>
    <w:rsid w:val="00D559B7"/>
    <w:rsid w:val="00D55AD5"/>
    <w:rsid w:val="00D56DD3"/>
    <w:rsid w:val="00D57167"/>
    <w:rsid w:val="00D57BEA"/>
    <w:rsid w:val="00D60B4F"/>
    <w:rsid w:val="00D60D8A"/>
    <w:rsid w:val="00D6150C"/>
    <w:rsid w:val="00D6195B"/>
    <w:rsid w:val="00D61E43"/>
    <w:rsid w:val="00D62708"/>
    <w:rsid w:val="00D62720"/>
    <w:rsid w:val="00D62D0D"/>
    <w:rsid w:val="00D630D8"/>
    <w:rsid w:val="00D63535"/>
    <w:rsid w:val="00D637B3"/>
    <w:rsid w:val="00D63BB2"/>
    <w:rsid w:val="00D65861"/>
    <w:rsid w:val="00D65A5A"/>
    <w:rsid w:val="00D65C04"/>
    <w:rsid w:val="00D65C52"/>
    <w:rsid w:val="00D6691B"/>
    <w:rsid w:val="00D66FE3"/>
    <w:rsid w:val="00D70031"/>
    <w:rsid w:val="00D71174"/>
    <w:rsid w:val="00D71C33"/>
    <w:rsid w:val="00D72914"/>
    <w:rsid w:val="00D736D5"/>
    <w:rsid w:val="00D7379E"/>
    <w:rsid w:val="00D75585"/>
    <w:rsid w:val="00D75B0B"/>
    <w:rsid w:val="00D7601C"/>
    <w:rsid w:val="00D77F20"/>
    <w:rsid w:val="00D803E1"/>
    <w:rsid w:val="00D8064E"/>
    <w:rsid w:val="00D81D99"/>
    <w:rsid w:val="00D83D23"/>
    <w:rsid w:val="00D845D6"/>
    <w:rsid w:val="00D85D8A"/>
    <w:rsid w:val="00D8719E"/>
    <w:rsid w:val="00D909DD"/>
    <w:rsid w:val="00D91B18"/>
    <w:rsid w:val="00D924D2"/>
    <w:rsid w:val="00D929B2"/>
    <w:rsid w:val="00D9303D"/>
    <w:rsid w:val="00D931E6"/>
    <w:rsid w:val="00D93338"/>
    <w:rsid w:val="00D93422"/>
    <w:rsid w:val="00D93C51"/>
    <w:rsid w:val="00D93EF9"/>
    <w:rsid w:val="00D93F23"/>
    <w:rsid w:val="00D9569D"/>
    <w:rsid w:val="00D957E4"/>
    <w:rsid w:val="00D96000"/>
    <w:rsid w:val="00D96A05"/>
    <w:rsid w:val="00D97A66"/>
    <w:rsid w:val="00DA1619"/>
    <w:rsid w:val="00DA1C43"/>
    <w:rsid w:val="00DA3240"/>
    <w:rsid w:val="00DA4251"/>
    <w:rsid w:val="00DA4AC9"/>
    <w:rsid w:val="00DA4B51"/>
    <w:rsid w:val="00DA4D6F"/>
    <w:rsid w:val="00DA6FD2"/>
    <w:rsid w:val="00DB0697"/>
    <w:rsid w:val="00DB0742"/>
    <w:rsid w:val="00DB0CC7"/>
    <w:rsid w:val="00DB1B82"/>
    <w:rsid w:val="00DB2811"/>
    <w:rsid w:val="00DB359B"/>
    <w:rsid w:val="00DB39A4"/>
    <w:rsid w:val="00DB47C0"/>
    <w:rsid w:val="00DB500D"/>
    <w:rsid w:val="00DB61E8"/>
    <w:rsid w:val="00DC3823"/>
    <w:rsid w:val="00DC38D5"/>
    <w:rsid w:val="00DC5EFD"/>
    <w:rsid w:val="00DC61CB"/>
    <w:rsid w:val="00DC6399"/>
    <w:rsid w:val="00DC72E6"/>
    <w:rsid w:val="00DC79A2"/>
    <w:rsid w:val="00DD0448"/>
    <w:rsid w:val="00DD2340"/>
    <w:rsid w:val="00DD2714"/>
    <w:rsid w:val="00DD2D77"/>
    <w:rsid w:val="00DD310F"/>
    <w:rsid w:val="00DD3736"/>
    <w:rsid w:val="00DD5DFE"/>
    <w:rsid w:val="00DD5ECD"/>
    <w:rsid w:val="00DD6513"/>
    <w:rsid w:val="00DE09D6"/>
    <w:rsid w:val="00DE1782"/>
    <w:rsid w:val="00DE2A0D"/>
    <w:rsid w:val="00DE2C82"/>
    <w:rsid w:val="00DE417E"/>
    <w:rsid w:val="00DE510C"/>
    <w:rsid w:val="00DE581C"/>
    <w:rsid w:val="00DE6124"/>
    <w:rsid w:val="00DE6A8F"/>
    <w:rsid w:val="00DE7D65"/>
    <w:rsid w:val="00DF114F"/>
    <w:rsid w:val="00DF1D9B"/>
    <w:rsid w:val="00DF38E4"/>
    <w:rsid w:val="00DF5B8B"/>
    <w:rsid w:val="00DF6DA7"/>
    <w:rsid w:val="00DF77EB"/>
    <w:rsid w:val="00DF798D"/>
    <w:rsid w:val="00DF7E9F"/>
    <w:rsid w:val="00E000C7"/>
    <w:rsid w:val="00E0092A"/>
    <w:rsid w:val="00E015B2"/>
    <w:rsid w:val="00E016EA"/>
    <w:rsid w:val="00E01D6C"/>
    <w:rsid w:val="00E02075"/>
    <w:rsid w:val="00E02721"/>
    <w:rsid w:val="00E0391B"/>
    <w:rsid w:val="00E048E2"/>
    <w:rsid w:val="00E04F2D"/>
    <w:rsid w:val="00E05075"/>
    <w:rsid w:val="00E061D4"/>
    <w:rsid w:val="00E06276"/>
    <w:rsid w:val="00E065C3"/>
    <w:rsid w:val="00E06A26"/>
    <w:rsid w:val="00E0718E"/>
    <w:rsid w:val="00E105E9"/>
    <w:rsid w:val="00E1060D"/>
    <w:rsid w:val="00E1085D"/>
    <w:rsid w:val="00E10A4A"/>
    <w:rsid w:val="00E10D08"/>
    <w:rsid w:val="00E11660"/>
    <w:rsid w:val="00E11F25"/>
    <w:rsid w:val="00E12A73"/>
    <w:rsid w:val="00E12AF2"/>
    <w:rsid w:val="00E133CB"/>
    <w:rsid w:val="00E14584"/>
    <w:rsid w:val="00E15818"/>
    <w:rsid w:val="00E15E37"/>
    <w:rsid w:val="00E16532"/>
    <w:rsid w:val="00E16B45"/>
    <w:rsid w:val="00E16B9C"/>
    <w:rsid w:val="00E16FE6"/>
    <w:rsid w:val="00E204D7"/>
    <w:rsid w:val="00E212FC"/>
    <w:rsid w:val="00E22094"/>
    <w:rsid w:val="00E240EE"/>
    <w:rsid w:val="00E24DF5"/>
    <w:rsid w:val="00E25714"/>
    <w:rsid w:val="00E26DC0"/>
    <w:rsid w:val="00E27A9F"/>
    <w:rsid w:val="00E32A94"/>
    <w:rsid w:val="00E3389E"/>
    <w:rsid w:val="00E33AB0"/>
    <w:rsid w:val="00E3456B"/>
    <w:rsid w:val="00E35648"/>
    <w:rsid w:val="00E36CA9"/>
    <w:rsid w:val="00E36E47"/>
    <w:rsid w:val="00E378E6"/>
    <w:rsid w:val="00E4017F"/>
    <w:rsid w:val="00E4368E"/>
    <w:rsid w:val="00E440DC"/>
    <w:rsid w:val="00E45212"/>
    <w:rsid w:val="00E46C2C"/>
    <w:rsid w:val="00E50189"/>
    <w:rsid w:val="00E516A7"/>
    <w:rsid w:val="00E534A2"/>
    <w:rsid w:val="00E53C93"/>
    <w:rsid w:val="00E55581"/>
    <w:rsid w:val="00E60753"/>
    <w:rsid w:val="00E6227E"/>
    <w:rsid w:val="00E6238F"/>
    <w:rsid w:val="00E62434"/>
    <w:rsid w:val="00E62676"/>
    <w:rsid w:val="00E62920"/>
    <w:rsid w:val="00E62F6A"/>
    <w:rsid w:val="00E63977"/>
    <w:rsid w:val="00E63D46"/>
    <w:rsid w:val="00E66807"/>
    <w:rsid w:val="00E66D20"/>
    <w:rsid w:val="00E66D63"/>
    <w:rsid w:val="00E67B0E"/>
    <w:rsid w:val="00E714CE"/>
    <w:rsid w:val="00E71508"/>
    <w:rsid w:val="00E72734"/>
    <w:rsid w:val="00E73623"/>
    <w:rsid w:val="00E760D3"/>
    <w:rsid w:val="00E7635F"/>
    <w:rsid w:val="00E8071F"/>
    <w:rsid w:val="00E81C0B"/>
    <w:rsid w:val="00E81D82"/>
    <w:rsid w:val="00E81ED2"/>
    <w:rsid w:val="00E81EE8"/>
    <w:rsid w:val="00E83FB7"/>
    <w:rsid w:val="00E854A9"/>
    <w:rsid w:val="00E85650"/>
    <w:rsid w:val="00E85A95"/>
    <w:rsid w:val="00E85E0C"/>
    <w:rsid w:val="00E8600C"/>
    <w:rsid w:val="00E86A85"/>
    <w:rsid w:val="00E86D07"/>
    <w:rsid w:val="00E875D5"/>
    <w:rsid w:val="00E903C1"/>
    <w:rsid w:val="00E906BA"/>
    <w:rsid w:val="00E90BC6"/>
    <w:rsid w:val="00E90E5D"/>
    <w:rsid w:val="00E91977"/>
    <w:rsid w:val="00E9356E"/>
    <w:rsid w:val="00E9531A"/>
    <w:rsid w:val="00E96878"/>
    <w:rsid w:val="00E96C33"/>
    <w:rsid w:val="00E978BD"/>
    <w:rsid w:val="00E97C73"/>
    <w:rsid w:val="00EA35A0"/>
    <w:rsid w:val="00EA3D58"/>
    <w:rsid w:val="00EA4F6D"/>
    <w:rsid w:val="00EA561E"/>
    <w:rsid w:val="00EA6337"/>
    <w:rsid w:val="00EA7138"/>
    <w:rsid w:val="00EB10E2"/>
    <w:rsid w:val="00EB10F2"/>
    <w:rsid w:val="00EB1927"/>
    <w:rsid w:val="00EB2FB9"/>
    <w:rsid w:val="00EB397F"/>
    <w:rsid w:val="00EB585F"/>
    <w:rsid w:val="00EB5DD9"/>
    <w:rsid w:val="00EB5E37"/>
    <w:rsid w:val="00EB7737"/>
    <w:rsid w:val="00EB79EC"/>
    <w:rsid w:val="00EC0C33"/>
    <w:rsid w:val="00EC111C"/>
    <w:rsid w:val="00EC11A3"/>
    <w:rsid w:val="00EC1318"/>
    <w:rsid w:val="00EC139D"/>
    <w:rsid w:val="00EC17DE"/>
    <w:rsid w:val="00EC2189"/>
    <w:rsid w:val="00EC2266"/>
    <w:rsid w:val="00EC2B32"/>
    <w:rsid w:val="00EC2B87"/>
    <w:rsid w:val="00EC33D0"/>
    <w:rsid w:val="00EC3C2A"/>
    <w:rsid w:val="00EC3DB3"/>
    <w:rsid w:val="00EC492D"/>
    <w:rsid w:val="00EC4D1C"/>
    <w:rsid w:val="00EC4D5F"/>
    <w:rsid w:val="00EC5993"/>
    <w:rsid w:val="00EC59A8"/>
    <w:rsid w:val="00EC66FD"/>
    <w:rsid w:val="00ED14C4"/>
    <w:rsid w:val="00ED1C97"/>
    <w:rsid w:val="00ED2882"/>
    <w:rsid w:val="00ED3EB6"/>
    <w:rsid w:val="00ED414C"/>
    <w:rsid w:val="00ED5A0F"/>
    <w:rsid w:val="00ED619E"/>
    <w:rsid w:val="00ED647C"/>
    <w:rsid w:val="00ED6AD2"/>
    <w:rsid w:val="00ED7237"/>
    <w:rsid w:val="00ED7A8D"/>
    <w:rsid w:val="00ED7E18"/>
    <w:rsid w:val="00EE009E"/>
    <w:rsid w:val="00EE0353"/>
    <w:rsid w:val="00EE0747"/>
    <w:rsid w:val="00EE1198"/>
    <w:rsid w:val="00EE1D6C"/>
    <w:rsid w:val="00EE2777"/>
    <w:rsid w:val="00EE2926"/>
    <w:rsid w:val="00EE3173"/>
    <w:rsid w:val="00EE3FBA"/>
    <w:rsid w:val="00EE438D"/>
    <w:rsid w:val="00EE4C60"/>
    <w:rsid w:val="00EE5C67"/>
    <w:rsid w:val="00EE5F4C"/>
    <w:rsid w:val="00EE6183"/>
    <w:rsid w:val="00EE7D8B"/>
    <w:rsid w:val="00EF01B5"/>
    <w:rsid w:val="00EF0612"/>
    <w:rsid w:val="00EF25C6"/>
    <w:rsid w:val="00EF295B"/>
    <w:rsid w:val="00EF2DB3"/>
    <w:rsid w:val="00EF2FAF"/>
    <w:rsid w:val="00EF61EC"/>
    <w:rsid w:val="00EF65B4"/>
    <w:rsid w:val="00EF7056"/>
    <w:rsid w:val="00EF73FF"/>
    <w:rsid w:val="00EF7FC9"/>
    <w:rsid w:val="00F00237"/>
    <w:rsid w:val="00F00B3A"/>
    <w:rsid w:val="00F01B34"/>
    <w:rsid w:val="00F020E4"/>
    <w:rsid w:val="00F029E0"/>
    <w:rsid w:val="00F0302D"/>
    <w:rsid w:val="00F057F8"/>
    <w:rsid w:val="00F0667C"/>
    <w:rsid w:val="00F06C30"/>
    <w:rsid w:val="00F06E12"/>
    <w:rsid w:val="00F07EAE"/>
    <w:rsid w:val="00F10868"/>
    <w:rsid w:val="00F10BE0"/>
    <w:rsid w:val="00F10EBD"/>
    <w:rsid w:val="00F10FE0"/>
    <w:rsid w:val="00F11AAA"/>
    <w:rsid w:val="00F12C3D"/>
    <w:rsid w:val="00F12D2C"/>
    <w:rsid w:val="00F1318E"/>
    <w:rsid w:val="00F14534"/>
    <w:rsid w:val="00F14815"/>
    <w:rsid w:val="00F14CDE"/>
    <w:rsid w:val="00F14F95"/>
    <w:rsid w:val="00F14FE0"/>
    <w:rsid w:val="00F15AB9"/>
    <w:rsid w:val="00F1646A"/>
    <w:rsid w:val="00F170AB"/>
    <w:rsid w:val="00F179E4"/>
    <w:rsid w:val="00F209A2"/>
    <w:rsid w:val="00F2151B"/>
    <w:rsid w:val="00F21DA6"/>
    <w:rsid w:val="00F22369"/>
    <w:rsid w:val="00F24002"/>
    <w:rsid w:val="00F245A4"/>
    <w:rsid w:val="00F24CF9"/>
    <w:rsid w:val="00F24CFB"/>
    <w:rsid w:val="00F270FD"/>
    <w:rsid w:val="00F303C2"/>
    <w:rsid w:val="00F3083C"/>
    <w:rsid w:val="00F30C76"/>
    <w:rsid w:val="00F31919"/>
    <w:rsid w:val="00F31C54"/>
    <w:rsid w:val="00F32216"/>
    <w:rsid w:val="00F33703"/>
    <w:rsid w:val="00F34142"/>
    <w:rsid w:val="00F34A11"/>
    <w:rsid w:val="00F35949"/>
    <w:rsid w:val="00F35F4B"/>
    <w:rsid w:val="00F370F6"/>
    <w:rsid w:val="00F3781C"/>
    <w:rsid w:val="00F4031B"/>
    <w:rsid w:val="00F4323A"/>
    <w:rsid w:val="00F438DC"/>
    <w:rsid w:val="00F43B4F"/>
    <w:rsid w:val="00F44648"/>
    <w:rsid w:val="00F44734"/>
    <w:rsid w:val="00F44AE0"/>
    <w:rsid w:val="00F44DD7"/>
    <w:rsid w:val="00F45639"/>
    <w:rsid w:val="00F470E0"/>
    <w:rsid w:val="00F4739C"/>
    <w:rsid w:val="00F47770"/>
    <w:rsid w:val="00F47D10"/>
    <w:rsid w:val="00F50AB1"/>
    <w:rsid w:val="00F50DCF"/>
    <w:rsid w:val="00F51167"/>
    <w:rsid w:val="00F5177B"/>
    <w:rsid w:val="00F51A74"/>
    <w:rsid w:val="00F520AF"/>
    <w:rsid w:val="00F52637"/>
    <w:rsid w:val="00F5288E"/>
    <w:rsid w:val="00F52DA0"/>
    <w:rsid w:val="00F5337E"/>
    <w:rsid w:val="00F53D3D"/>
    <w:rsid w:val="00F53D5F"/>
    <w:rsid w:val="00F54353"/>
    <w:rsid w:val="00F54A4E"/>
    <w:rsid w:val="00F55241"/>
    <w:rsid w:val="00F55535"/>
    <w:rsid w:val="00F56574"/>
    <w:rsid w:val="00F56EE0"/>
    <w:rsid w:val="00F57519"/>
    <w:rsid w:val="00F575A8"/>
    <w:rsid w:val="00F57A49"/>
    <w:rsid w:val="00F6229C"/>
    <w:rsid w:val="00F62777"/>
    <w:rsid w:val="00F64357"/>
    <w:rsid w:val="00F646DB"/>
    <w:rsid w:val="00F64B7B"/>
    <w:rsid w:val="00F65197"/>
    <w:rsid w:val="00F65626"/>
    <w:rsid w:val="00F65787"/>
    <w:rsid w:val="00F65B86"/>
    <w:rsid w:val="00F67440"/>
    <w:rsid w:val="00F67B22"/>
    <w:rsid w:val="00F70509"/>
    <w:rsid w:val="00F7077B"/>
    <w:rsid w:val="00F710D0"/>
    <w:rsid w:val="00F720FE"/>
    <w:rsid w:val="00F735A9"/>
    <w:rsid w:val="00F74403"/>
    <w:rsid w:val="00F745C4"/>
    <w:rsid w:val="00F749F3"/>
    <w:rsid w:val="00F75917"/>
    <w:rsid w:val="00F75ACD"/>
    <w:rsid w:val="00F761D8"/>
    <w:rsid w:val="00F76DFC"/>
    <w:rsid w:val="00F7772F"/>
    <w:rsid w:val="00F77DF0"/>
    <w:rsid w:val="00F82C4E"/>
    <w:rsid w:val="00F83545"/>
    <w:rsid w:val="00F83A4B"/>
    <w:rsid w:val="00F85FB9"/>
    <w:rsid w:val="00F86494"/>
    <w:rsid w:val="00F86792"/>
    <w:rsid w:val="00F867BA"/>
    <w:rsid w:val="00F86BDD"/>
    <w:rsid w:val="00F87010"/>
    <w:rsid w:val="00F871E3"/>
    <w:rsid w:val="00F87426"/>
    <w:rsid w:val="00F875BA"/>
    <w:rsid w:val="00F87C24"/>
    <w:rsid w:val="00F924AD"/>
    <w:rsid w:val="00F92757"/>
    <w:rsid w:val="00F9299B"/>
    <w:rsid w:val="00F92FEC"/>
    <w:rsid w:val="00F932E3"/>
    <w:rsid w:val="00F93D44"/>
    <w:rsid w:val="00F952B8"/>
    <w:rsid w:val="00F95D5D"/>
    <w:rsid w:val="00F97452"/>
    <w:rsid w:val="00F979A7"/>
    <w:rsid w:val="00FA086C"/>
    <w:rsid w:val="00FA0C85"/>
    <w:rsid w:val="00FA2629"/>
    <w:rsid w:val="00FA3215"/>
    <w:rsid w:val="00FA4F5A"/>
    <w:rsid w:val="00FB0174"/>
    <w:rsid w:val="00FB1FE1"/>
    <w:rsid w:val="00FB2EF2"/>
    <w:rsid w:val="00FB46B9"/>
    <w:rsid w:val="00FB4E93"/>
    <w:rsid w:val="00FB699C"/>
    <w:rsid w:val="00FB70D4"/>
    <w:rsid w:val="00FB71A0"/>
    <w:rsid w:val="00FC0E70"/>
    <w:rsid w:val="00FC12C9"/>
    <w:rsid w:val="00FC3D0A"/>
    <w:rsid w:val="00FC53B8"/>
    <w:rsid w:val="00FC5CEC"/>
    <w:rsid w:val="00FC7312"/>
    <w:rsid w:val="00FC7E81"/>
    <w:rsid w:val="00FD0113"/>
    <w:rsid w:val="00FD0FD6"/>
    <w:rsid w:val="00FD2F1F"/>
    <w:rsid w:val="00FD5151"/>
    <w:rsid w:val="00FD57BA"/>
    <w:rsid w:val="00FD5D41"/>
    <w:rsid w:val="00FD721C"/>
    <w:rsid w:val="00FE0873"/>
    <w:rsid w:val="00FE1DB5"/>
    <w:rsid w:val="00FE2A25"/>
    <w:rsid w:val="00FE37C1"/>
    <w:rsid w:val="00FE4269"/>
    <w:rsid w:val="00FE5338"/>
    <w:rsid w:val="00FE57E8"/>
    <w:rsid w:val="00FE761D"/>
    <w:rsid w:val="00FE7C60"/>
    <w:rsid w:val="00FE7D25"/>
    <w:rsid w:val="00FF01E0"/>
    <w:rsid w:val="00FF032E"/>
    <w:rsid w:val="00FF11CA"/>
    <w:rsid w:val="00FF34E5"/>
    <w:rsid w:val="00FF3791"/>
    <w:rsid w:val="00FF3836"/>
    <w:rsid w:val="00FF3CD0"/>
    <w:rsid w:val="00FF3F45"/>
    <w:rsid w:val="00FF43CD"/>
    <w:rsid w:val="00FF4D8B"/>
    <w:rsid w:val="00FF4F52"/>
    <w:rsid w:val="00FF614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C6A6"/>
  <w15:docId w15:val="{73F866D5-1E1D-43DB-94D6-1CEE1F1A6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55ED"/>
    <w:pPr>
      <w:jc w:val="both"/>
    </w:pPr>
    <w:rPr>
      <w:sz w:val="24"/>
    </w:rPr>
  </w:style>
  <w:style w:type="paragraph" w:styleId="Titolo1">
    <w:name w:val="heading 1"/>
    <w:basedOn w:val="Normale"/>
    <w:next w:val="Normale"/>
    <w:qFormat/>
    <w:pPr>
      <w:keepNext/>
      <w:jc w:val="center"/>
      <w:outlineLvl w:val="0"/>
    </w:pPr>
    <w:rPr>
      <w:b/>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keepNext/>
      <w:outlineLvl w:val="2"/>
    </w:pPr>
    <w:rPr>
      <w:b/>
      <w:sz w:val="22"/>
    </w:rPr>
  </w:style>
  <w:style w:type="paragraph" w:styleId="Titolo4">
    <w:name w:val="heading 4"/>
    <w:basedOn w:val="Normale"/>
    <w:next w:val="Normale"/>
    <w:link w:val="Titolo4Carattere"/>
    <w:qFormat/>
    <w:pPr>
      <w:keepNext/>
      <w:outlineLvl w:val="3"/>
    </w:pPr>
    <w:rPr>
      <w:rFonts w:ascii="Verdana" w:hAnsi="Verdana"/>
      <w:b/>
      <w:sz w:val="20"/>
    </w:rPr>
  </w:style>
  <w:style w:type="paragraph" w:styleId="Titolo5">
    <w:name w:val="heading 5"/>
    <w:basedOn w:val="Normale"/>
    <w:next w:val="Normale"/>
    <w:link w:val="Titolo5Carattere"/>
    <w:qFormat/>
    <w:pPr>
      <w:keepNext/>
      <w:jc w:val="center"/>
      <w:outlineLvl w:val="4"/>
    </w:pPr>
    <w:rPr>
      <w:sz w:val="28"/>
    </w:rPr>
  </w:style>
  <w:style w:type="paragraph" w:styleId="Titolo6">
    <w:name w:val="heading 6"/>
    <w:basedOn w:val="Normale"/>
    <w:next w:val="Normale"/>
    <w:link w:val="Titolo6Carattere"/>
    <w:qFormat/>
    <w:pPr>
      <w:keepNext/>
      <w:jc w:val="left"/>
      <w:outlineLvl w:val="5"/>
    </w:pPr>
    <w:rPr>
      <w:rFonts w:ascii="Arial" w:hAnsi="Arial"/>
      <w:b/>
      <w:color w:val="000000"/>
      <w:sz w:val="18"/>
    </w:rPr>
  </w:style>
  <w:style w:type="paragraph" w:styleId="Titolo7">
    <w:name w:val="heading 7"/>
    <w:basedOn w:val="Normale"/>
    <w:next w:val="Normale"/>
    <w:qFormat/>
    <w:pPr>
      <w:keepNext/>
      <w:outlineLvl w:val="6"/>
    </w:pPr>
    <w:rPr>
      <w:rFonts w:ascii="Arial" w:hAnsi="Arial"/>
      <w:b/>
      <w:sz w:val="18"/>
    </w:rPr>
  </w:style>
  <w:style w:type="paragraph" w:styleId="Titolo8">
    <w:name w:val="heading 8"/>
    <w:basedOn w:val="Normale"/>
    <w:next w:val="Normale"/>
    <w:qFormat/>
    <w:pPr>
      <w:keepNext/>
      <w:ind w:right="-1"/>
      <w:jc w:val="center"/>
      <w:outlineLvl w:val="7"/>
    </w:pPr>
    <w:rPr>
      <w:rFonts w:ascii="MyriadPro-It" w:hAnsi="MyriadPro-It"/>
      <w:sz w:val="36"/>
    </w:rPr>
  </w:style>
  <w:style w:type="paragraph" w:styleId="Titolo9">
    <w:name w:val="heading 9"/>
    <w:basedOn w:val="Normale"/>
    <w:next w:val="Normale"/>
    <w:qFormat/>
    <w:pPr>
      <w:keepNext/>
      <w:ind w:right="-1"/>
      <w:jc w:val="center"/>
      <w:outlineLvl w:val="8"/>
    </w:pPr>
    <w:rPr>
      <w:rFonts w:ascii="Arial" w:hAnsi="Arial"/>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qFormat/>
    <w:rsid w:val="00B844F4"/>
    <w:rPr>
      <w:rFonts w:ascii="Verdana" w:hAnsi="Verdana"/>
      <w:b/>
    </w:rPr>
  </w:style>
  <w:style w:type="character" w:customStyle="1" w:styleId="Titolo5Carattere">
    <w:name w:val="Titolo 5 Carattere"/>
    <w:link w:val="Titolo5"/>
    <w:qFormat/>
    <w:rsid w:val="00B844F4"/>
    <w:rPr>
      <w:sz w:val="28"/>
    </w:rPr>
  </w:style>
  <w:style w:type="character" w:customStyle="1" w:styleId="Titolo6Carattere">
    <w:name w:val="Titolo 6 Carattere"/>
    <w:link w:val="Titolo6"/>
    <w:qFormat/>
    <w:rsid w:val="00B844F4"/>
    <w:rPr>
      <w:rFonts w:ascii="Arial" w:hAnsi="Arial"/>
      <w:b/>
      <w:color w:val="000000"/>
      <w:sz w:val="18"/>
    </w:rPr>
  </w:style>
  <w:style w:type="character" w:customStyle="1" w:styleId="CollegamentoInternet">
    <w:name w:val="Collegamento Internet"/>
    <w:uiPriority w:val="99"/>
    <w:semiHidden/>
    <w:rPr>
      <w:color w:val="0000FF"/>
      <w:u w:val="single"/>
    </w:rPr>
  </w:style>
  <w:style w:type="character" w:customStyle="1" w:styleId="Richiamoallanotaapidipagina">
    <w:name w:val="Richiamo alla nota a piè di pagina"/>
    <w:rPr>
      <w:vertAlign w:val="superscript"/>
    </w:rPr>
  </w:style>
  <w:style w:type="character" w:customStyle="1" w:styleId="FootnoteCharacters">
    <w:name w:val="Footnote Characters"/>
    <w:uiPriority w:val="99"/>
    <w:semiHidden/>
    <w:qFormat/>
    <w:rPr>
      <w:vertAlign w:val="superscript"/>
    </w:rPr>
  </w:style>
  <w:style w:type="character" w:customStyle="1" w:styleId="RientrocorpodeltestoCarattere">
    <w:name w:val="Rientro corpo del testo Carattere"/>
    <w:link w:val="Rientrocorpodeltesto"/>
    <w:semiHidden/>
    <w:qFormat/>
    <w:rsid w:val="00B844F4"/>
    <w:rPr>
      <w:sz w:val="24"/>
      <w:szCs w:val="24"/>
    </w:rPr>
  </w:style>
  <w:style w:type="character" w:customStyle="1" w:styleId="Rientrocorpodeltesto2Carattere">
    <w:name w:val="Rientro corpo del testo 2 Carattere"/>
    <w:link w:val="Rientrocorpodeltesto2"/>
    <w:semiHidden/>
    <w:qFormat/>
    <w:rsid w:val="00B844F4"/>
    <w:rPr>
      <w:rFonts w:ascii="Tahoma" w:hAnsi="Tahoma"/>
      <w:b/>
      <w:sz w:val="32"/>
      <w:szCs w:val="24"/>
    </w:rPr>
  </w:style>
  <w:style w:type="character" w:customStyle="1" w:styleId="Rientrocorpodeltesto3Carattere">
    <w:name w:val="Rientro corpo del testo 3 Carattere"/>
    <w:link w:val="Rientrocorpodeltesto3"/>
    <w:semiHidden/>
    <w:qFormat/>
    <w:rsid w:val="00B844F4"/>
    <w:rPr>
      <w:rFonts w:ascii="Tahoma" w:hAnsi="Tahoma"/>
      <w:sz w:val="28"/>
      <w:szCs w:val="24"/>
    </w:rPr>
  </w:style>
  <w:style w:type="character" w:customStyle="1" w:styleId="TestofumettoCarattere">
    <w:name w:val="Testo fumetto Carattere"/>
    <w:link w:val="Testofumetto"/>
    <w:uiPriority w:val="99"/>
    <w:semiHidden/>
    <w:qFormat/>
    <w:rsid w:val="00B844F4"/>
    <w:rPr>
      <w:rFonts w:ascii="Tahoma" w:hAnsi="Tahoma"/>
      <w:sz w:val="16"/>
      <w:szCs w:val="16"/>
      <w:lang w:val="x-none" w:eastAsia="x-none"/>
    </w:rPr>
  </w:style>
  <w:style w:type="character" w:customStyle="1" w:styleId="style132">
    <w:name w:val="style132"/>
    <w:qFormat/>
    <w:rsid w:val="00B844F4"/>
  </w:style>
  <w:style w:type="character" w:styleId="Enfasigrassetto">
    <w:name w:val="Strong"/>
    <w:uiPriority w:val="22"/>
    <w:qFormat/>
    <w:rsid w:val="00B844F4"/>
    <w:rPr>
      <w:b/>
      <w:bCs/>
    </w:rPr>
  </w:style>
  <w:style w:type="character" w:customStyle="1" w:styleId="TestonotaapidipaginaCarattere">
    <w:name w:val="Testo nota a piè di pagina Carattere"/>
    <w:link w:val="Testonotaapidipagina"/>
    <w:uiPriority w:val="99"/>
    <w:qFormat/>
    <w:rsid w:val="00991118"/>
  </w:style>
  <w:style w:type="character" w:customStyle="1" w:styleId="tabitem">
    <w:name w:val="tab item"/>
    <w:qFormat/>
    <w:rsid w:val="00991118"/>
    <w:rPr>
      <w:rFonts w:ascii="Courier New" w:hAnsi="Courier New" w:cs="Courier New"/>
    </w:rPr>
  </w:style>
  <w:style w:type="character" w:customStyle="1" w:styleId="IntestazioneCarattere">
    <w:name w:val="Intestazione Carattere"/>
    <w:link w:val="Intestazione"/>
    <w:uiPriority w:val="99"/>
    <w:qFormat/>
    <w:rsid w:val="0014309F"/>
    <w:rPr>
      <w:sz w:val="24"/>
    </w:rPr>
  </w:style>
  <w:style w:type="character" w:customStyle="1" w:styleId="PidipaginaCarattere">
    <w:name w:val="Piè di pagina Carattere"/>
    <w:link w:val="Pidipagina"/>
    <w:uiPriority w:val="99"/>
    <w:qFormat/>
    <w:rsid w:val="0014309F"/>
    <w:rPr>
      <w:sz w:val="24"/>
    </w:rPr>
  </w:style>
  <w:style w:type="character" w:customStyle="1" w:styleId="SottotitoloCarattere">
    <w:name w:val="Sottotitolo Carattere"/>
    <w:link w:val="Sottotitolo"/>
    <w:uiPriority w:val="11"/>
    <w:qFormat/>
    <w:rsid w:val="004F5D2F"/>
    <w:rPr>
      <w:b/>
      <w:sz w:val="32"/>
    </w:rPr>
  </w:style>
  <w:style w:type="paragraph" w:styleId="Titolo">
    <w:name w:val="Title"/>
    <w:basedOn w:val="Normale"/>
    <w:next w:val="Corpotesto"/>
    <w:qFormat/>
    <w:pPr>
      <w:jc w:val="center"/>
    </w:pPr>
    <w:rPr>
      <w:i/>
      <w:sz w:val="26"/>
    </w:rPr>
  </w:style>
  <w:style w:type="paragraph" w:styleId="Corpotesto">
    <w:name w:val="Body Text"/>
    <w:basedOn w:val="Normale"/>
    <w:semiHidden/>
    <w:rPr>
      <w:sz w:val="28"/>
    </w:rPr>
  </w:style>
  <w:style w:type="paragraph" w:styleId="Elenco">
    <w:name w:val="List"/>
    <w:basedOn w:val="Corpotesto"/>
    <w:rPr>
      <w:rFonts w:cs="Lucida Sans"/>
    </w:rPr>
  </w:style>
  <w:style w:type="paragraph" w:styleId="Didascalia">
    <w:name w:val="caption"/>
    <w:basedOn w:val="Normale"/>
    <w:next w:val="Normale"/>
    <w:qFormat/>
    <w:pPr>
      <w:spacing w:after="240"/>
    </w:pPr>
    <w:rPr>
      <w:i/>
      <w:sz w:val="20"/>
    </w:rPr>
  </w:style>
  <w:style w:type="paragraph" w:customStyle="1" w:styleId="Indice">
    <w:name w:val="Indice"/>
    <w:basedOn w:val="Normale"/>
    <w:qFormat/>
    <w:pPr>
      <w:suppressLineNumbers/>
    </w:pPr>
    <w:rPr>
      <w:rFonts w:cs="Lucida Sans"/>
    </w:rPr>
  </w:style>
  <w:style w:type="paragraph" w:styleId="Corpodeltesto2">
    <w:name w:val="Body Text 2"/>
    <w:basedOn w:val="Normale"/>
    <w:semiHidden/>
    <w:qFormat/>
    <w:rPr>
      <w:sz w:val="26"/>
    </w:rPr>
  </w:style>
  <w:style w:type="paragraph" w:styleId="Sottotitolo">
    <w:name w:val="Subtitle"/>
    <w:basedOn w:val="Normale"/>
    <w:link w:val="SottotitoloCarattere"/>
    <w:uiPriority w:val="11"/>
    <w:qFormat/>
    <w:pPr>
      <w:jc w:val="center"/>
    </w:pPr>
    <w:rPr>
      <w:b/>
      <w:sz w:val="32"/>
    </w:rPr>
  </w:style>
  <w:style w:type="paragraph" w:styleId="Mappadocumento">
    <w:name w:val="Document Map"/>
    <w:basedOn w:val="Normale"/>
    <w:semiHidden/>
    <w:qFormat/>
    <w:pPr>
      <w:shd w:val="clear" w:color="auto" w:fill="000080"/>
    </w:pPr>
    <w:rPr>
      <w:rFonts w:ascii="Tahoma" w:hAnsi="Tahoma"/>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Corpodeltesto3">
    <w:name w:val="Body Text 3"/>
    <w:basedOn w:val="Normale"/>
    <w:semiHidden/>
    <w:qFormat/>
    <w:rPr>
      <w:i/>
    </w:rPr>
  </w:style>
  <w:style w:type="paragraph" w:customStyle="1" w:styleId="S2">
    <w:name w:val="S2"/>
    <w:basedOn w:val="Normale"/>
    <w:autoRedefine/>
    <w:qFormat/>
    <w:pPr>
      <w:jc w:val="left"/>
      <w:outlineLvl w:val="0"/>
    </w:pPr>
    <w:rPr>
      <w:rFonts w:ascii="Tempus Sans ITC" w:hAnsi="Tempus Sans ITC"/>
      <w:b/>
      <w:sz w:val="26"/>
    </w:rPr>
  </w:style>
  <w:style w:type="paragraph" w:styleId="Testonotaapidipagina">
    <w:name w:val="footnote text"/>
    <w:basedOn w:val="Normale"/>
    <w:link w:val="TestonotaapidipaginaCarattere"/>
    <w:uiPriority w:val="99"/>
    <w:pPr>
      <w:jc w:val="left"/>
    </w:pPr>
    <w:rPr>
      <w:sz w:val="20"/>
    </w:rPr>
  </w:style>
  <w:style w:type="paragraph" w:styleId="Testodelblocco">
    <w:name w:val="Block Text"/>
    <w:basedOn w:val="Normale"/>
    <w:semiHidden/>
    <w:qFormat/>
    <w:pPr>
      <w:ind w:left="-284" w:right="-285"/>
      <w:jc w:val="center"/>
    </w:pPr>
    <w:rPr>
      <w:rFonts w:ascii="Verdana" w:hAnsi="Verdana"/>
      <w:b/>
      <w:sz w:val="32"/>
    </w:rPr>
  </w:style>
  <w:style w:type="paragraph" w:customStyle="1" w:styleId="Tabella">
    <w:name w:val="Tabella"/>
    <w:basedOn w:val="Titolo2"/>
    <w:qFormat/>
    <w:pPr>
      <w:spacing w:before="120" w:after="60"/>
    </w:pPr>
    <w:rPr>
      <w:b w:val="0"/>
      <w:i/>
    </w:rPr>
  </w:style>
  <w:style w:type="paragraph" w:customStyle="1" w:styleId="xl41">
    <w:name w:val="xl41"/>
    <w:basedOn w:val="Normale"/>
    <w:qFormat/>
    <w:pPr>
      <w:spacing w:before="100" w:after="100"/>
    </w:pPr>
    <w:rPr>
      <w:rFonts w:eastAsia="Arial Unicode MS"/>
    </w:rPr>
  </w:style>
  <w:style w:type="paragraph" w:customStyle="1" w:styleId="Fonte">
    <w:name w:val="Fonte"/>
    <w:basedOn w:val="Didascalia"/>
    <w:qFormat/>
    <w:pPr>
      <w:spacing w:after="0"/>
    </w:pPr>
    <w:rPr>
      <w:i w:val="0"/>
      <w:sz w:val="18"/>
    </w:rPr>
  </w:style>
  <w:style w:type="paragraph" w:customStyle="1" w:styleId="Stile1">
    <w:name w:val="Stile1"/>
    <w:basedOn w:val="Normale"/>
    <w:qFormat/>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qFormat/>
    <w:rsid w:val="00B844F4"/>
    <w:pPr>
      <w:keepNext/>
      <w:spacing w:line="360" w:lineRule="auto"/>
      <w:ind w:firstLine="708"/>
      <w:outlineLvl w:val="0"/>
    </w:pPr>
    <w:rPr>
      <w:rFonts w:ascii="Tahoma" w:hAnsi="Tahoma"/>
      <w:sz w:val="28"/>
      <w:szCs w:val="24"/>
    </w:rPr>
  </w:style>
  <w:style w:type="paragraph" w:styleId="Rientrocorpodeltesto">
    <w:name w:val="Body Text Indent"/>
    <w:basedOn w:val="Normale"/>
    <w:link w:val="RientrocorpodeltestoCarattere"/>
    <w:semiHidden/>
    <w:rsid w:val="00B844F4"/>
    <w:pPr>
      <w:ind w:left="708"/>
    </w:pPr>
    <w:rPr>
      <w:szCs w:val="24"/>
    </w:rPr>
  </w:style>
  <w:style w:type="paragraph" w:styleId="Rientrocorpodeltesto2">
    <w:name w:val="Body Text Indent 2"/>
    <w:basedOn w:val="Normale"/>
    <w:link w:val="Rientrocorpodeltesto2Carattere"/>
    <w:semiHidden/>
    <w:qFormat/>
    <w:rsid w:val="00B844F4"/>
    <w:pPr>
      <w:widowControl w:val="0"/>
      <w:spacing w:line="360" w:lineRule="auto"/>
      <w:ind w:left="-840"/>
      <w:jc w:val="left"/>
    </w:pPr>
    <w:rPr>
      <w:rFonts w:ascii="Tahoma" w:hAnsi="Tahoma"/>
      <w:b/>
      <w:sz w:val="32"/>
      <w:szCs w:val="24"/>
    </w:rPr>
  </w:style>
  <w:style w:type="paragraph" w:styleId="Rientrocorpodeltesto3">
    <w:name w:val="Body Text Indent 3"/>
    <w:basedOn w:val="Normale"/>
    <w:link w:val="Rientrocorpodeltesto3Carattere"/>
    <w:semiHidden/>
    <w:qFormat/>
    <w:rsid w:val="00B844F4"/>
    <w:pPr>
      <w:ind w:left="708"/>
      <w:jc w:val="left"/>
    </w:pPr>
    <w:rPr>
      <w:rFonts w:ascii="Tahoma" w:hAnsi="Tahoma"/>
      <w:sz w:val="28"/>
      <w:szCs w:val="24"/>
    </w:rPr>
  </w:style>
  <w:style w:type="paragraph" w:customStyle="1" w:styleId="Rientrolettere">
    <w:name w:val="Rientro lettere"/>
    <w:basedOn w:val="Normale"/>
    <w:qFormat/>
    <w:rsid w:val="00B844F4"/>
    <w:pPr>
      <w:numPr>
        <w:numId w:val="1"/>
      </w:numPr>
      <w:jc w:val="left"/>
    </w:pPr>
    <w:rPr>
      <w:sz w:val="20"/>
      <w:szCs w:val="24"/>
    </w:rPr>
  </w:style>
  <w:style w:type="paragraph" w:styleId="Paragrafoelenco">
    <w:name w:val="List Paragraph"/>
    <w:basedOn w:val="Normale"/>
    <w:uiPriority w:val="34"/>
    <w:qFormat/>
    <w:rsid w:val="00B844F4"/>
    <w:pPr>
      <w:spacing w:after="200" w:line="276" w:lineRule="auto"/>
      <w:ind w:left="720"/>
      <w:jc w:val="left"/>
    </w:pPr>
    <w:rPr>
      <w:rFonts w:ascii="Calibri" w:eastAsia="Calibri" w:hAnsi="Calibri"/>
      <w:sz w:val="22"/>
      <w:szCs w:val="24"/>
    </w:rPr>
  </w:style>
  <w:style w:type="paragraph" w:styleId="Testofumetto">
    <w:name w:val="Balloon Text"/>
    <w:basedOn w:val="Normale"/>
    <w:link w:val="TestofumettoCarattere"/>
    <w:uiPriority w:val="99"/>
    <w:semiHidden/>
    <w:unhideWhenUsed/>
    <w:qFormat/>
    <w:rsid w:val="00B844F4"/>
    <w:pPr>
      <w:jc w:val="left"/>
    </w:pPr>
    <w:rPr>
      <w:rFonts w:ascii="Tahoma" w:hAnsi="Tahoma"/>
      <w:sz w:val="16"/>
      <w:szCs w:val="16"/>
      <w:lang w:val="x-none" w:eastAsia="x-none"/>
    </w:rPr>
  </w:style>
  <w:style w:type="paragraph" w:styleId="NormaleWeb">
    <w:name w:val="Normal (Web)"/>
    <w:basedOn w:val="Normale"/>
    <w:uiPriority w:val="99"/>
    <w:semiHidden/>
    <w:unhideWhenUsed/>
    <w:qFormat/>
    <w:rsid w:val="00B844F4"/>
    <w:pPr>
      <w:spacing w:beforeAutospacing="1" w:afterAutospacing="1"/>
      <w:jc w:val="left"/>
    </w:pPr>
    <w:rPr>
      <w:szCs w:val="24"/>
    </w:rPr>
  </w:style>
  <w:style w:type="paragraph" w:customStyle="1" w:styleId="IsnartTabitem">
    <w:name w:val="Isnart Tab item"/>
    <w:basedOn w:val="Normale"/>
    <w:qFormat/>
    <w:rsid w:val="00991118"/>
    <w:pPr>
      <w:spacing w:before="60" w:after="60"/>
      <w:jc w:val="left"/>
    </w:pPr>
    <w:rPr>
      <w:rFonts w:ascii="Arial Narrow" w:hAnsi="Arial Narrow"/>
      <w:color w:val="000000"/>
    </w:rPr>
  </w:style>
  <w:style w:type="paragraph" w:customStyle="1" w:styleId="Default">
    <w:name w:val="Default"/>
    <w:qFormat/>
    <w:rsid w:val="00197073"/>
    <w:rPr>
      <w:rFonts w:ascii="Calibri" w:hAnsi="Calibri" w:cs="Calibri"/>
      <w:color w:val="000000"/>
      <w:sz w:val="24"/>
      <w:szCs w:val="24"/>
    </w:rPr>
  </w:style>
  <w:style w:type="paragraph" w:styleId="Revisione">
    <w:name w:val="Revision"/>
    <w:uiPriority w:val="99"/>
    <w:semiHidden/>
    <w:qFormat/>
    <w:rsid w:val="00DD1DCD"/>
    <w:rPr>
      <w:sz w:val="24"/>
    </w:rPr>
  </w:style>
  <w:style w:type="paragraph" w:customStyle="1" w:styleId="Contenutocornice">
    <w:name w:val="Contenuto cornice"/>
    <w:basedOn w:val="Normale"/>
    <w:qFormat/>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334C11"/>
    <w:rPr>
      <w:color w:val="0563C1" w:themeColor="hyperlink"/>
      <w:u w:val="single"/>
    </w:rPr>
  </w:style>
  <w:style w:type="character" w:styleId="Rimandonotaapidipagina">
    <w:name w:val="footnote reference"/>
    <w:basedOn w:val="Carpredefinitoparagrafo"/>
    <w:uiPriority w:val="99"/>
    <w:semiHidden/>
    <w:unhideWhenUsed/>
    <w:rsid w:val="004B00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7821">
      <w:bodyDiv w:val="1"/>
      <w:marLeft w:val="0"/>
      <w:marRight w:val="0"/>
      <w:marTop w:val="0"/>
      <w:marBottom w:val="0"/>
      <w:divBdr>
        <w:top w:val="none" w:sz="0" w:space="0" w:color="auto"/>
        <w:left w:val="none" w:sz="0" w:space="0" w:color="auto"/>
        <w:bottom w:val="none" w:sz="0" w:space="0" w:color="auto"/>
        <w:right w:val="none" w:sz="0" w:space="0" w:color="auto"/>
      </w:divBdr>
    </w:div>
    <w:div w:id="120538150">
      <w:bodyDiv w:val="1"/>
      <w:marLeft w:val="0"/>
      <w:marRight w:val="0"/>
      <w:marTop w:val="0"/>
      <w:marBottom w:val="0"/>
      <w:divBdr>
        <w:top w:val="none" w:sz="0" w:space="0" w:color="auto"/>
        <w:left w:val="none" w:sz="0" w:space="0" w:color="auto"/>
        <w:bottom w:val="none" w:sz="0" w:space="0" w:color="auto"/>
        <w:right w:val="none" w:sz="0" w:space="0" w:color="auto"/>
      </w:divBdr>
    </w:div>
    <w:div w:id="404181919">
      <w:bodyDiv w:val="1"/>
      <w:marLeft w:val="0"/>
      <w:marRight w:val="0"/>
      <w:marTop w:val="0"/>
      <w:marBottom w:val="0"/>
      <w:divBdr>
        <w:top w:val="none" w:sz="0" w:space="0" w:color="auto"/>
        <w:left w:val="none" w:sz="0" w:space="0" w:color="auto"/>
        <w:bottom w:val="none" w:sz="0" w:space="0" w:color="auto"/>
        <w:right w:val="none" w:sz="0" w:space="0" w:color="auto"/>
      </w:divBdr>
    </w:div>
    <w:div w:id="836261474">
      <w:bodyDiv w:val="1"/>
      <w:marLeft w:val="0"/>
      <w:marRight w:val="0"/>
      <w:marTop w:val="0"/>
      <w:marBottom w:val="0"/>
      <w:divBdr>
        <w:top w:val="none" w:sz="0" w:space="0" w:color="auto"/>
        <w:left w:val="none" w:sz="0" w:space="0" w:color="auto"/>
        <w:bottom w:val="none" w:sz="0" w:space="0" w:color="auto"/>
        <w:right w:val="none" w:sz="0" w:space="0" w:color="auto"/>
      </w:divBdr>
    </w:div>
    <w:div w:id="966080014">
      <w:bodyDiv w:val="1"/>
      <w:marLeft w:val="0"/>
      <w:marRight w:val="0"/>
      <w:marTop w:val="0"/>
      <w:marBottom w:val="0"/>
      <w:divBdr>
        <w:top w:val="none" w:sz="0" w:space="0" w:color="auto"/>
        <w:left w:val="none" w:sz="0" w:space="0" w:color="auto"/>
        <w:bottom w:val="none" w:sz="0" w:space="0" w:color="auto"/>
        <w:right w:val="none" w:sz="0" w:space="0" w:color="auto"/>
      </w:divBdr>
    </w:div>
    <w:div w:id="996884243">
      <w:bodyDiv w:val="1"/>
      <w:marLeft w:val="0"/>
      <w:marRight w:val="0"/>
      <w:marTop w:val="0"/>
      <w:marBottom w:val="0"/>
      <w:divBdr>
        <w:top w:val="none" w:sz="0" w:space="0" w:color="auto"/>
        <w:left w:val="none" w:sz="0" w:space="0" w:color="auto"/>
        <w:bottom w:val="none" w:sz="0" w:space="0" w:color="auto"/>
        <w:right w:val="none" w:sz="0" w:space="0" w:color="auto"/>
      </w:divBdr>
    </w:div>
    <w:div w:id="1011108604">
      <w:bodyDiv w:val="1"/>
      <w:marLeft w:val="0"/>
      <w:marRight w:val="0"/>
      <w:marTop w:val="0"/>
      <w:marBottom w:val="0"/>
      <w:divBdr>
        <w:top w:val="none" w:sz="0" w:space="0" w:color="auto"/>
        <w:left w:val="none" w:sz="0" w:space="0" w:color="auto"/>
        <w:bottom w:val="none" w:sz="0" w:space="0" w:color="auto"/>
        <w:right w:val="none" w:sz="0" w:space="0" w:color="auto"/>
      </w:divBdr>
    </w:div>
    <w:div w:id="1041443190">
      <w:bodyDiv w:val="1"/>
      <w:marLeft w:val="0"/>
      <w:marRight w:val="0"/>
      <w:marTop w:val="0"/>
      <w:marBottom w:val="0"/>
      <w:divBdr>
        <w:top w:val="none" w:sz="0" w:space="0" w:color="auto"/>
        <w:left w:val="none" w:sz="0" w:space="0" w:color="auto"/>
        <w:bottom w:val="none" w:sz="0" w:space="0" w:color="auto"/>
        <w:right w:val="none" w:sz="0" w:space="0" w:color="auto"/>
      </w:divBdr>
    </w:div>
    <w:div w:id="1140655759">
      <w:bodyDiv w:val="1"/>
      <w:marLeft w:val="0"/>
      <w:marRight w:val="0"/>
      <w:marTop w:val="0"/>
      <w:marBottom w:val="0"/>
      <w:divBdr>
        <w:top w:val="none" w:sz="0" w:space="0" w:color="auto"/>
        <w:left w:val="none" w:sz="0" w:space="0" w:color="auto"/>
        <w:bottom w:val="none" w:sz="0" w:space="0" w:color="auto"/>
        <w:right w:val="none" w:sz="0" w:space="0" w:color="auto"/>
      </w:divBdr>
    </w:div>
    <w:div w:id="1189762349">
      <w:bodyDiv w:val="1"/>
      <w:marLeft w:val="0"/>
      <w:marRight w:val="0"/>
      <w:marTop w:val="0"/>
      <w:marBottom w:val="0"/>
      <w:divBdr>
        <w:top w:val="none" w:sz="0" w:space="0" w:color="auto"/>
        <w:left w:val="none" w:sz="0" w:space="0" w:color="auto"/>
        <w:bottom w:val="none" w:sz="0" w:space="0" w:color="auto"/>
        <w:right w:val="none" w:sz="0" w:space="0" w:color="auto"/>
      </w:divBdr>
    </w:div>
    <w:div w:id="1493449406">
      <w:bodyDiv w:val="1"/>
      <w:marLeft w:val="0"/>
      <w:marRight w:val="0"/>
      <w:marTop w:val="0"/>
      <w:marBottom w:val="0"/>
      <w:divBdr>
        <w:top w:val="none" w:sz="0" w:space="0" w:color="auto"/>
        <w:left w:val="none" w:sz="0" w:space="0" w:color="auto"/>
        <w:bottom w:val="none" w:sz="0" w:space="0" w:color="auto"/>
        <w:right w:val="none" w:sz="0" w:space="0" w:color="auto"/>
      </w:divBdr>
    </w:div>
    <w:div w:id="1717925430">
      <w:bodyDiv w:val="1"/>
      <w:marLeft w:val="0"/>
      <w:marRight w:val="0"/>
      <w:marTop w:val="0"/>
      <w:marBottom w:val="0"/>
      <w:divBdr>
        <w:top w:val="none" w:sz="0" w:space="0" w:color="auto"/>
        <w:left w:val="none" w:sz="0" w:space="0" w:color="auto"/>
        <w:bottom w:val="none" w:sz="0" w:space="0" w:color="auto"/>
        <w:right w:val="none" w:sz="0" w:space="0" w:color="auto"/>
      </w:divBdr>
    </w:div>
    <w:div w:id="2026512354">
      <w:bodyDiv w:val="1"/>
      <w:marLeft w:val="0"/>
      <w:marRight w:val="0"/>
      <w:marTop w:val="0"/>
      <w:marBottom w:val="0"/>
      <w:divBdr>
        <w:top w:val="none" w:sz="0" w:space="0" w:color="auto"/>
        <w:left w:val="none" w:sz="0" w:space="0" w:color="auto"/>
        <w:bottom w:val="none" w:sz="0" w:space="0" w:color="auto"/>
        <w:right w:val="none" w:sz="0" w:space="0" w:color="auto"/>
      </w:divBdr>
    </w:div>
    <w:div w:id="2133590183">
      <w:bodyDiv w:val="1"/>
      <w:marLeft w:val="0"/>
      <w:marRight w:val="0"/>
      <w:marTop w:val="0"/>
      <w:marBottom w:val="0"/>
      <w:divBdr>
        <w:top w:val="none" w:sz="0" w:space="0" w:color="auto"/>
        <w:left w:val="none" w:sz="0" w:space="0" w:color="auto"/>
        <w:bottom w:val="none" w:sz="0" w:space="0" w:color="auto"/>
        <w:right w:val="none" w:sz="0" w:space="0" w:color="auto"/>
      </w:divBdr>
    </w:div>
    <w:div w:id="2136095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lvia.trevisan@tb.camcom.i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1.xml"/><Relationship Id="rId10" Type="http://schemas.openxmlformats.org/officeDocument/2006/relationships/hyperlink" Target="mailto:statistica@tb.camcom.it" TargetMode="Externa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18.jpeg"/><Relationship Id="rId3" Type="http://schemas.openxmlformats.org/officeDocument/2006/relationships/hyperlink" Target="mailto:ufficio.stampa@tb.camcom.it" TargetMode="External"/><Relationship Id="rId7" Type="http://schemas.openxmlformats.org/officeDocument/2006/relationships/hyperlink" Target="https://twitter.com/TrevisoBelluno" TargetMode="External"/><Relationship Id="rId2" Type="http://schemas.openxmlformats.org/officeDocument/2006/relationships/image" Target="media/image15.jpeg"/><Relationship Id="rId1" Type="http://schemas.openxmlformats.org/officeDocument/2006/relationships/hyperlink" Target="http://www.tb.camcom.gov.it/" TargetMode="External"/><Relationship Id="rId6" Type="http://schemas.openxmlformats.org/officeDocument/2006/relationships/image" Target="media/image17.png"/><Relationship Id="rId5" Type="http://schemas.openxmlformats.org/officeDocument/2006/relationships/hyperlink" Target="http://www.facebook.com/trevisobellunosystem" TargetMode="External"/><Relationship Id="rId10" Type="http://schemas.openxmlformats.org/officeDocument/2006/relationships/image" Target="media/image19.png"/><Relationship Id="rId4" Type="http://schemas.openxmlformats.org/officeDocument/2006/relationships/image" Target="media/image16.jpeg"/><Relationship Id="rId9" Type="http://schemas.openxmlformats.org/officeDocument/2006/relationships/hyperlink" Target="https://www.youtube.com/channel/UCgeCM6Sy9Bc4nUFy_x8Dq9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78C7F-9A82-4EE5-BDA8-6F3A5926B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3157</Words>
  <Characters>17996</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21111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meri dallalibera</dc:creator>
  <cp:lastModifiedBy>silvia trevisan</cp:lastModifiedBy>
  <cp:revision>2</cp:revision>
  <cp:lastPrinted>2024-06-17T14:53:00Z</cp:lastPrinted>
  <dcterms:created xsi:type="dcterms:W3CDTF">2024-06-18T10:23:00Z</dcterms:created>
  <dcterms:modified xsi:type="dcterms:W3CDTF">2024-06-18T10:23:00Z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Unioncamere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-952409382</vt:i4>
  </property>
</Properties>
</file>