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F2772" w:rsidRPr="00FF2772" w:rsidRDefault="00FF2772" w:rsidP="00654468">
      <w:pPr>
        <w:spacing w:before="0" w:after="0" w:line="140" w:lineRule="exact"/>
        <w:ind w:left="1990"/>
        <w:rPr>
          <w:rFonts w:ascii="Arial" w:hAnsi="Arial" w:cs="Arial"/>
          <w:color w:val="5F5F5F"/>
          <w:sz w:val="16"/>
          <w:szCs w:val="28"/>
        </w:rPr>
      </w:pPr>
      <w:bookmarkStart w:id="0" w:name="_GoBack"/>
      <w:bookmarkEnd w:id="0"/>
    </w:p>
    <w:p w:rsidR="001D330A" w:rsidRDefault="001D330A" w:rsidP="0009734F">
      <w:pPr>
        <w:spacing w:before="0" w:after="0"/>
        <w:ind w:left="1814"/>
        <w:rPr>
          <w:rFonts w:ascii="Arial" w:hAnsi="Arial" w:cs="Arial"/>
          <w:color w:val="5F5F5F"/>
          <w:sz w:val="28"/>
          <w:szCs w:val="28"/>
        </w:rPr>
      </w:pPr>
    </w:p>
    <w:p w:rsidR="00382674" w:rsidRPr="0060260E" w:rsidRDefault="00087335" w:rsidP="0009734F">
      <w:pPr>
        <w:spacing w:before="0" w:after="0"/>
        <w:ind w:left="1814"/>
        <w:rPr>
          <w:rFonts w:ascii="Arial" w:hAnsi="Arial" w:cs="Arial"/>
          <w:color w:val="5F5F5F"/>
          <w:sz w:val="28"/>
          <w:szCs w:val="28"/>
        </w:rPr>
      </w:pPr>
      <w:r>
        <w:rPr>
          <w:rFonts w:ascii="Arial" w:hAnsi="Arial" w:cs="Arial"/>
          <w:color w:val="5F5F5F"/>
          <w:sz w:val="28"/>
          <w:szCs w:val="28"/>
        </w:rPr>
        <w:t>Lugli</w:t>
      </w:r>
      <w:r w:rsidR="00DD1C07">
        <w:rPr>
          <w:rFonts w:ascii="Arial" w:hAnsi="Arial" w:cs="Arial"/>
          <w:color w:val="5F5F5F"/>
          <w:sz w:val="28"/>
          <w:szCs w:val="28"/>
        </w:rPr>
        <w:t>o</w:t>
      </w:r>
      <w:r w:rsidR="008E4B64" w:rsidRPr="008E4B64">
        <w:rPr>
          <w:rFonts w:ascii="Arial" w:hAnsi="Arial" w:cs="Arial"/>
          <w:color w:val="5F5F5F"/>
          <w:sz w:val="28"/>
          <w:szCs w:val="28"/>
        </w:rPr>
        <w:t xml:space="preserve"> </w:t>
      </w:r>
      <w:r w:rsidR="000E42DF">
        <w:rPr>
          <w:rFonts w:ascii="Arial" w:hAnsi="Arial" w:cs="Arial"/>
          <w:color w:val="5F5F5F"/>
          <w:sz w:val="28"/>
          <w:szCs w:val="28"/>
        </w:rPr>
        <w:t>202</w:t>
      </w:r>
      <w:r w:rsidR="00876D35">
        <w:rPr>
          <w:rFonts w:ascii="Arial" w:hAnsi="Arial" w:cs="Arial"/>
          <w:color w:val="5F5F5F"/>
          <w:sz w:val="28"/>
          <w:szCs w:val="28"/>
        </w:rPr>
        <w:t>4</w:t>
      </w:r>
    </w:p>
    <w:p w:rsidR="00382674" w:rsidRPr="00816166" w:rsidRDefault="00382674" w:rsidP="00816166">
      <w:pPr>
        <w:tabs>
          <w:tab w:val="left" w:pos="142"/>
        </w:tabs>
        <w:spacing w:before="0" w:after="0"/>
        <w:ind w:left="1814"/>
        <w:rPr>
          <w:rFonts w:ascii="Calibri" w:hAnsi="Calibri" w:cs="Arial"/>
          <w:b/>
          <w:bCs/>
          <w:caps/>
          <w:color w:val="5F5F5F"/>
          <w:sz w:val="52"/>
          <w:szCs w:val="52"/>
        </w:rPr>
      </w:pPr>
      <w:r w:rsidRPr="00816166">
        <w:rPr>
          <w:rFonts w:ascii="Calibri" w:hAnsi="Calibri" w:cs="Arial"/>
          <w:b/>
          <w:bCs/>
          <w:caps/>
          <w:color w:val="5F5F5F"/>
          <w:sz w:val="52"/>
          <w:szCs w:val="52"/>
        </w:rPr>
        <w:t xml:space="preserve">PREZZI </w:t>
      </w:r>
      <w:r w:rsidR="00140552" w:rsidRPr="00816166">
        <w:rPr>
          <w:rFonts w:ascii="Calibri" w:hAnsi="Calibri" w:cs="Arial"/>
          <w:b/>
          <w:bCs/>
          <w:caps/>
          <w:color w:val="5F5F5F"/>
          <w:sz w:val="52"/>
          <w:szCs w:val="52"/>
        </w:rPr>
        <w:t>AL CONSUMO</w:t>
      </w:r>
    </w:p>
    <w:p w:rsidR="00A646A5" w:rsidRPr="00A3249A" w:rsidRDefault="00382674" w:rsidP="00382674">
      <w:pPr>
        <w:spacing w:before="0" w:after="0"/>
        <w:ind w:left="1814"/>
        <w:rPr>
          <w:rFonts w:ascii="Arial" w:hAnsi="Arial" w:cs="Arial"/>
          <w:color w:val="808080"/>
          <w:sz w:val="28"/>
          <w:szCs w:val="28"/>
        </w:rPr>
      </w:pPr>
      <w:r w:rsidRPr="00A3249A">
        <w:rPr>
          <w:rFonts w:ascii="Arial" w:hAnsi="Arial" w:cs="Arial"/>
          <w:color w:val="808080"/>
          <w:sz w:val="28"/>
          <w:szCs w:val="28"/>
        </w:rPr>
        <w:t>Dati provvisori</w:t>
      </w:r>
      <w:r w:rsidR="00BE7554" w:rsidRPr="00A3249A">
        <w:rPr>
          <w:rFonts w:ascii="Arial Narrow" w:hAnsi="Arial Narrow" w:cs="Arial"/>
          <w:sz w:val="18"/>
          <w:szCs w:val="16"/>
        </w:rPr>
        <w:t xml:space="preserve"> </w:t>
      </w:r>
    </w:p>
    <w:p w:rsidR="00933064" w:rsidRPr="00A3249A" w:rsidRDefault="00933064" w:rsidP="00382674">
      <w:pPr>
        <w:spacing w:before="0" w:after="0"/>
        <w:ind w:left="1814"/>
        <w:rPr>
          <w:rFonts w:ascii="Arial" w:hAnsi="Arial" w:cs="Arial"/>
          <w:color w:val="808080"/>
          <w:sz w:val="28"/>
          <w:szCs w:val="28"/>
        </w:rPr>
      </w:pPr>
    </w:p>
    <w:p w:rsidR="00500422" w:rsidRPr="002E2387" w:rsidRDefault="00500422" w:rsidP="00500422">
      <w:pPr>
        <w:pStyle w:val="Paragrafoelenco"/>
        <w:numPr>
          <w:ilvl w:val="0"/>
          <w:numId w:val="30"/>
        </w:numPr>
        <w:tabs>
          <w:tab w:val="left" w:pos="10206"/>
        </w:tabs>
        <w:spacing w:after="100" w:line="230" w:lineRule="exact"/>
        <w:ind w:left="284" w:hanging="284"/>
        <w:contextualSpacing w:val="0"/>
        <w:jc w:val="both"/>
        <w:rPr>
          <w:rFonts w:ascii="Arial" w:hAnsi="Arial" w:cs="Arial"/>
          <w:sz w:val="21"/>
          <w:szCs w:val="21"/>
        </w:rPr>
      </w:pPr>
      <w:r w:rsidRPr="002E2387">
        <w:rPr>
          <w:rFonts w:ascii="Arial" w:hAnsi="Arial" w:cs="Arial"/>
          <w:sz w:val="21"/>
          <w:szCs w:val="21"/>
        </w:rPr>
        <w:t xml:space="preserve">Secondo le stime preliminari, nel mese di </w:t>
      </w:r>
      <w:r w:rsidR="00E34C73">
        <w:rPr>
          <w:rFonts w:ascii="Arial" w:hAnsi="Arial" w:cs="Arial"/>
          <w:sz w:val="21"/>
          <w:szCs w:val="21"/>
        </w:rPr>
        <w:t>luglio</w:t>
      </w:r>
      <w:r w:rsidR="009D708C">
        <w:rPr>
          <w:rFonts w:ascii="Arial" w:hAnsi="Arial" w:cs="Arial"/>
          <w:sz w:val="21"/>
          <w:szCs w:val="21"/>
        </w:rPr>
        <w:t xml:space="preserve"> 2024</w:t>
      </w:r>
      <w:r w:rsidRPr="002E2387">
        <w:rPr>
          <w:rFonts w:ascii="Arial" w:hAnsi="Arial" w:cs="Arial"/>
          <w:sz w:val="21"/>
          <w:szCs w:val="21"/>
        </w:rPr>
        <w:t xml:space="preserve"> l’indice nazionale dei prezzi al consumo per l’intera collettività (NIC), al lordo dei tabacchi, </w:t>
      </w:r>
      <w:r>
        <w:rPr>
          <w:rFonts w:ascii="Arial" w:hAnsi="Arial" w:cs="Arial"/>
          <w:sz w:val="21"/>
          <w:szCs w:val="21"/>
        </w:rPr>
        <w:t>aumenta</w:t>
      </w:r>
      <w:r w:rsidRPr="002E2387">
        <w:rPr>
          <w:rFonts w:ascii="Arial" w:hAnsi="Arial" w:cs="Arial"/>
          <w:sz w:val="21"/>
          <w:szCs w:val="21"/>
        </w:rPr>
        <w:t xml:space="preserve"> dello 0,</w:t>
      </w:r>
      <w:r w:rsidR="00747E56">
        <w:rPr>
          <w:rFonts w:ascii="Arial" w:hAnsi="Arial" w:cs="Arial"/>
          <w:sz w:val="21"/>
          <w:szCs w:val="21"/>
        </w:rPr>
        <w:t>5</w:t>
      </w:r>
      <w:r w:rsidRPr="002E2387">
        <w:rPr>
          <w:rFonts w:ascii="Arial" w:hAnsi="Arial" w:cs="Arial"/>
          <w:sz w:val="21"/>
          <w:szCs w:val="21"/>
        </w:rPr>
        <w:t>%</w:t>
      </w:r>
      <w:r w:rsidR="00747E56">
        <w:rPr>
          <w:rFonts w:ascii="Arial" w:hAnsi="Arial" w:cs="Arial"/>
          <w:sz w:val="21"/>
          <w:szCs w:val="21"/>
        </w:rPr>
        <w:t xml:space="preserve"> su base mensile e dell’1,3</w:t>
      </w:r>
      <w:r w:rsidRPr="002E2387">
        <w:rPr>
          <w:rFonts w:ascii="Arial" w:hAnsi="Arial" w:cs="Arial"/>
          <w:sz w:val="21"/>
          <w:szCs w:val="21"/>
        </w:rPr>
        <w:t>% su base annua</w:t>
      </w:r>
      <w:r w:rsidR="00747E56">
        <w:rPr>
          <w:rFonts w:ascii="Arial" w:hAnsi="Arial" w:cs="Arial"/>
          <w:sz w:val="21"/>
          <w:szCs w:val="21"/>
        </w:rPr>
        <w:t>, da +0,8% del mese precedente</w:t>
      </w:r>
      <w:r w:rsidRPr="002E2387">
        <w:rPr>
          <w:rFonts w:ascii="Arial" w:hAnsi="Arial" w:cs="Arial"/>
          <w:sz w:val="21"/>
          <w:szCs w:val="21"/>
        </w:rPr>
        <w:t>.</w:t>
      </w:r>
    </w:p>
    <w:p w:rsidR="00747E56" w:rsidRDefault="00747E56" w:rsidP="00663C11">
      <w:pPr>
        <w:pStyle w:val="Paragrafoelenco"/>
        <w:numPr>
          <w:ilvl w:val="0"/>
          <w:numId w:val="30"/>
        </w:numPr>
        <w:tabs>
          <w:tab w:val="left" w:pos="10206"/>
        </w:tabs>
        <w:spacing w:after="100" w:line="230" w:lineRule="exact"/>
        <w:ind w:left="284" w:hanging="284"/>
        <w:contextualSpacing w:val="0"/>
        <w:jc w:val="both"/>
        <w:rPr>
          <w:rFonts w:ascii="Arial" w:hAnsi="Arial" w:cs="Arial"/>
          <w:sz w:val="21"/>
          <w:szCs w:val="21"/>
        </w:rPr>
      </w:pPr>
      <w:r>
        <w:rPr>
          <w:rFonts w:ascii="Arial" w:hAnsi="Arial" w:cs="Arial"/>
          <w:sz w:val="21"/>
          <w:szCs w:val="21"/>
        </w:rPr>
        <w:t>L</w:t>
      </w:r>
      <w:r w:rsidR="00C3416E">
        <w:rPr>
          <w:rFonts w:ascii="Arial" w:hAnsi="Arial" w:cs="Arial"/>
          <w:sz w:val="21"/>
          <w:szCs w:val="21"/>
        </w:rPr>
        <w:t xml:space="preserve">a risalita </w:t>
      </w:r>
      <w:r>
        <w:rPr>
          <w:rFonts w:ascii="Arial" w:hAnsi="Arial" w:cs="Arial"/>
          <w:sz w:val="21"/>
          <w:szCs w:val="21"/>
        </w:rPr>
        <w:t>d</w:t>
      </w:r>
      <w:r w:rsidR="00C3416E">
        <w:rPr>
          <w:rFonts w:ascii="Arial" w:hAnsi="Arial" w:cs="Arial"/>
          <w:sz w:val="21"/>
          <w:szCs w:val="21"/>
        </w:rPr>
        <w:t>ell</w:t>
      </w:r>
      <w:r w:rsidR="0036019E">
        <w:rPr>
          <w:rFonts w:ascii="Arial" w:hAnsi="Arial" w:cs="Arial"/>
          <w:sz w:val="21"/>
          <w:szCs w:val="21"/>
        </w:rPr>
        <w:t xml:space="preserve">’inflazione </w:t>
      </w:r>
      <w:r w:rsidR="00C3416E">
        <w:rPr>
          <w:rFonts w:ascii="Arial" w:hAnsi="Arial" w:cs="Arial"/>
          <w:sz w:val="21"/>
          <w:szCs w:val="21"/>
        </w:rPr>
        <w:t>si deve in primo luogo</w:t>
      </w:r>
      <w:r>
        <w:rPr>
          <w:rFonts w:ascii="Arial" w:hAnsi="Arial" w:cs="Arial"/>
          <w:sz w:val="21"/>
          <w:szCs w:val="21"/>
        </w:rPr>
        <w:t xml:space="preserve"> </w:t>
      </w:r>
      <w:r w:rsidR="00C3416E">
        <w:rPr>
          <w:rFonts w:ascii="Arial" w:hAnsi="Arial" w:cs="Arial"/>
          <w:sz w:val="21"/>
          <w:szCs w:val="21"/>
        </w:rPr>
        <w:t>al</w:t>
      </w:r>
      <w:r>
        <w:rPr>
          <w:rFonts w:ascii="Arial" w:hAnsi="Arial" w:cs="Arial"/>
          <w:sz w:val="21"/>
          <w:szCs w:val="21"/>
        </w:rPr>
        <w:t>l</w:t>
      </w:r>
      <w:r w:rsidR="00C3416E">
        <w:rPr>
          <w:rFonts w:ascii="Arial" w:hAnsi="Arial" w:cs="Arial"/>
          <w:sz w:val="21"/>
          <w:szCs w:val="21"/>
        </w:rPr>
        <w:t xml:space="preserve">’accelerazione su base tendenziale </w:t>
      </w:r>
      <w:r w:rsidR="00A243A0">
        <w:rPr>
          <w:rFonts w:ascii="Arial" w:hAnsi="Arial" w:cs="Arial"/>
          <w:sz w:val="21"/>
          <w:szCs w:val="21"/>
        </w:rPr>
        <w:t>dei prezzi dei Beni</w:t>
      </w:r>
      <w:r>
        <w:rPr>
          <w:rFonts w:ascii="Arial" w:hAnsi="Arial" w:cs="Arial"/>
          <w:sz w:val="21"/>
          <w:szCs w:val="21"/>
        </w:rPr>
        <w:t xml:space="preserve"> </w:t>
      </w:r>
      <w:r w:rsidR="00A243A0">
        <w:rPr>
          <w:rFonts w:ascii="Arial" w:hAnsi="Arial" w:cs="Arial"/>
          <w:sz w:val="21"/>
          <w:szCs w:val="21"/>
        </w:rPr>
        <w:t>e</w:t>
      </w:r>
      <w:r>
        <w:rPr>
          <w:rFonts w:ascii="Arial" w:hAnsi="Arial" w:cs="Arial"/>
          <w:sz w:val="21"/>
          <w:szCs w:val="21"/>
        </w:rPr>
        <w:t xml:space="preserve">nergetici regolamentati (da +3,5% a +11,3%) e </w:t>
      </w:r>
      <w:r w:rsidR="00C3416E">
        <w:rPr>
          <w:rFonts w:ascii="Arial" w:hAnsi="Arial" w:cs="Arial"/>
          <w:sz w:val="21"/>
          <w:szCs w:val="21"/>
        </w:rPr>
        <w:t xml:space="preserve">all’attenuarsi della flessione degli energetici </w:t>
      </w:r>
      <w:r>
        <w:rPr>
          <w:rFonts w:ascii="Arial" w:hAnsi="Arial" w:cs="Arial"/>
          <w:sz w:val="21"/>
          <w:szCs w:val="21"/>
        </w:rPr>
        <w:t>non regolamentati (da -10,3% a -</w:t>
      </w:r>
      <w:r w:rsidR="00A243A0">
        <w:rPr>
          <w:rFonts w:ascii="Arial" w:hAnsi="Arial" w:cs="Arial"/>
          <w:sz w:val="21"/>
          <w:szCs w:val="21"/>
        </w:rPr>
        <w:t>6,1%)</w:t>
      </w:r>
      <w:r w:rsidR="00C3416E">
        <w:rPr>
          <w:rFonts w:ascii="Arial" w:hAnsi="Arial" w:cs="Arial"/>
          <w:sz w:val="21"/>
          <w:szCs w:val="21"/>
        </w:rPr>
        <w:t xml:space="preserve">. Un sostegno all’inflazione deriva inoltre dall’andamento dei prezzi dei </w:t>
      </w:r>
      <w:r w:rsidR="00A243A0">
        <w:rPr>
          <w:rFonts w:ascii="Arial" w:hAnsi="Arial" w:cs="Arial"/>
          <w:sz w:val="21"/>
          <w:szCs w:val="21"/>
        </w:rPr>
        <w:t>Tabacchi (da +3,4% a +4,1%) e dei Servizi ricreativi, culturali e per la cura della persona (da +4,0% a +4,4%)</w:t>
      </w:r>
      <w:r w:rsidR="00C3416E">
        <w:rPr>
          <w:rFonts w:ascii="Arial" w:hAnsi="Arial" w:cs="Arial"/>
          <w:sz w:val="21"/>
          <w:szCs w:val="21"/>
        </w:rPr>
        <w:t xml:space="preserve">. </w:t>
      </w:r>
      <w:r w:rsidR="00D171C9">
        <w:rPr>
          <w:rFonts w:ascii="Arial" w:hAnsi="Arial" w:cs="Arial"/>
          <w:sz w:val="21"/>
          <w:szCs w:val="21"/>
        </w:rPr>
        <w:t>P</w:t>
      </w:r>
      <w:r w:rsidR="00A243A0">
        <w:rPr>
          <w:rFonts w:ascii="Arial" w:hAnsi="Arial" w:cs="Arial"/>
          <w:sz w:val="21"/>
          <w:szCs w:val="21"/>
        </w:rPr>
        <w:t xml:space="preserve">er contro, </w:t>
      </w:r>
      <w:r w:rsidR="00D171C9">
        <w:rPr>
          <w:rFonts w:ascii="Arial" w:hAnsi="Arial" w:cs="Arial"/>
          <w:sz w:val="21"/>
          <w:szCs w:val="21"/>
        </w:rPr>
        <w:t xml:space="preserve">in rallentamento risultano </w:t>
      </w:r>
      <w:r w:rsidR="00A243A0">
        <w:rPr>
          <w:rFonts w:ascii="Arial" w:hAnsi="Arial" w:cs="Arial"/>
          <w:sz w:val="21"/>
          <w:szCs w:val="21"/>
        </w:rPr>
        <w:t xml:space="preserve">i prezzi </w:t>
      </w:r>
      <w:r w:rsidR="00D171C9">
        <w:rPr>
          <w:rFonts w:ascii="Arial" w:hAnsi="Arial" w:cs="Arial"/>
          <w:sz w:val="21"/>
          <w:szCs w:val="21"/>
        </w:rPr>
        <w:t>dei Servizi vari (da +1,8% a +1,5%), dei Beni non durevoli (da +1,3% a +1,0%)</w:t>
      </w:r>
      <w:r w:rsidR="00064527">
        <w:rPr>
          <w:rFonts w:ascii="Arial" w:hAnsi="Arial" w:cs="Arial"/>
          <w:sz w:val="21"/>
          <w:szCs w:val="21"/>
        </w:rPr>
        <w:t>,</w:t>
      </w:r>
      <w:r w:rsidR="00D171C9">
        <w:rPr>
          <w:rFonts w:ascii="Arial" w:hAnsi="Arial" w:cs="Arial"/>
          <w:sz w:val="21"/>
          <w:szCs w:val="21"/>
        </w:rPr>
        <w:t xml:space="preserve"> dei Beni alimentari lavorati (da +2,0% a +1,8%), dei </w:t>
      </w:r>
      <w:r w:rsidR="00A243A0">
        <w:rPr>
          <w:rFonts w:ascii="Arial" w:hAnsi="Arial" w:cs="Arial"/>
          <w:sz w:val="21"/>
          <w:szCs w:val="21"/>
        </w:rPr>
        <w:t>Beni alimentari non lavorati (</w:t>
      </w:r>
      <w:r w:rsidR="00D171C9">
        <w:rPr>
          <w:rFonts w:ascii="Arial" w:hAnsi="Arial" w:cs="Arial"/>
          <w:sz w:val="21"/>
          <w:szCs w:val="21"/>
        </w:rPr>
        <w:t xml:space="preserve">che scendono </w:t>
      </w:r>
      <w:r w:rsidR="00A243A0">
        <w:rPr>
          <w:rFonts w:ascii="Arial" w:hAnsi="Arial" w:cs="Arial"/>
          <w:sz w:val="21"/>
          <w:szCs w:val="21"/>
        </w:rPr>
        <w:t>a -0,3%</w:t>
      </w:r>
      <w:r w:rsidR="00D171C9">
        <w:rPr>
          <w:rFonts w:ascii="Arial" w:hAnsi="Arial" w:cs="Arial"/>
          <w:sz w:val="21"/>
          <w:szCs w:val="21"/>
        </w:rPr>
        <w:t>, dal +0,3% del mese precedente</w:t>
      </w:r>
      <w:r w:rsidR="00A243A0">
        <w:rPr>
          <w:rFonts w:ascii="Arial" w:hAnsi="Arial" w:cs="Arial"/>
          <w:sz w:val="21"/>
          <w:szCs w:val="21"/>
        </w:rPr>
        <w:t xml:space="preserve">) e dei Beni durevoli (da -1,0% a </w:t>
      </w:r>
      <w:r w:rsidR="0058260E">
        <w:rPr>
          <w:rFonts w:ascii="Arial" w:hAnsi="Arial" w:cs="Arial"/>
          <w:sz w:val="21"/>
          <w:szCs w:val="21"/>
        </w:rPr>
        <w:t xml:space="preserve">     </w:t>
      </w:r>
      <w:r w:rsidR="00A243A0">
        <w:rPr>
          <w:rFonts w:ascii="Arial" w:hAnsi="Arial" w:cs="Arial"/>
          <w:sz w:val="21"/>
          <w:szCs w:val="21"/>
        </w:rPr>
        <w:t>-1,2%).</w:t>
      </w:r>
    </w:p>
    <w:p w:rsidR="00500422" w:rsidRDefault="00663C11" w:rsidP="00663C11">
      <w:pPr>
        <w:pStyle w:val="Paragrafoelenco"/>
        <w:numPr>
          <w:ilvl w:val="0"/>
          <w:numId w:val="30"/>
        </w:numPr>
        <w:tabs>
          <w:tab w:val="left" w:pos="10206"/>
        </w:tabs>
        <w:spacing w:after="100" w:line="230" w:lineRule="exact"/>
        <w:ind w:left="284" w:hanging="284"/>
        <w:contextualSpacing w:val="0"/>
        <w:jc w:val="both"/>
        <w:rPr>
          <w:rFonts w:ascii="Arial" w:hAnsi="Arial" w:cs="Arial"/>
          <w:sz w:val="21"/>
          <w:szCs w:val="21"/>
        </w:rPr>
      </w:pPr>
      <w:r>
        <w:rPr>
          <w:rFonts w:ascii="Arial" w:hAnsi="Arial" w:cs="Arial"/>
          <w:sz w:val="21"/>
          <w:szCs w:val="21"/>
        </w:rPr>
        <w:t>N</w:t>
      </w:r>
      <w:r w:rsidRPr="00663C11">
        <w:rPr>
          <w:rFonts w:ascii="Arial" w:hAnsi="Arial" w:cs="Arial"/>
          <w:sz w:val="21"/>
          <w:szCs w:val="21"/>
        </w:rPr>
        <w:t xml:space="preserve">el mese di </w:t>
      </w:r>
      <w:r w:rsidR="00862420">
        <w:rPr>
          <w:rFonts w:ascii="Arial" w:hAnsi="Arial" w:cs="Arial"/>
          <w:sz w:val="21"/>
          <w:szCs w:val="21"/>
        </w:rPr>
        <w:t>luglio</w:t>
      </w:r>
      <w:r>
        <w:rPr>
          <w:rFonts w:ascii="Arial" w:hAnsi="Arial" w:cs="Arial"/>
          <w:sz w:val="21"/>
          <w:szCs w:val="21"/>
        </w:rPr>
        <w:t xml:space="preserve"> l</w:t>
      </w:r>
      <w:r w:rsidR="00500422" w:rsidRPr="00663C11">
        <w:rPr>
          <w:rFonts w:ascii="Arial" w:hAnsi="Arial" w:cs="Arial"/>
          <w:sz w:val="21"/>
          <w:szCs w:val="21"/>
        </w:rPr>
        <w:t>’“inflazione di fondo”, al netto degli energeti</w:t>
      </w:r>
      <w:r w:rsidR="00C63740">
        <w:rPr>
          <w:rFonts w:ascii="Arial" w:hAnsi="Arial" w:cs="Arial"/>
          <w:sz w:val="21"/>
          <w:szCs w:val="21"/>
        </w:rPr>
        <w:t>ci e degli ali</w:t>
      </w:r>
      <w:r w:rsidR="00A70231">
        <w:rPr>
          <w:rFonts w:ascii="Arial" w:hAnsi="Arial" w:cs="Arial"/>
          <w:sz w:val="21"/>
          <w:szCs w:val="21"/>
        </w:rPr>
        <w:t xml:space="preserve">mentari freschi, </w:t>
      </w:r>
      <w:r w:rsidR="00F21FFC">
        <w:rPr>
          <w:rFonts w:ascii="Arial" w:hAnsi="Arial" w:cs="Arial"/>
          <w:sz w:val="21"/>
          <w:szCs w:val="21"/>
        </w:rPr>
        <w:t>resta stabile a +1,9</w:t>
      </w:r>
      <w:r w:rsidR="00122E75">
        <w:rPr>
          <w:rFonts w:ascii="Arial" w:hAnsi="Arial" w:cs="Arial"/>
          <w:sz w:val="21"/>
          <w:szCs w:val="21"/>
        </w:rPr>
        <w:t>%, mentre</w:t>
      </w:r>
      <w:r w:rsidR="00C63740">
        <w:rPr>
          <w:rFonts w:ascii="Arial" w:hAnsi="Arial" w:cs="Arial"/>
          <w:sz w:val="21"/>
          <w:szCs w:val="21"/>
        </w:rPr>
        <w:t xml:space="preserve"> </w:t>
      </w:r>
      <w:r w:rsidR="00500422" w:rsidRPr="00663C11">
        <w:rPr>
          <w:rFonts w:ascii="Arial" w:hAnsi="Arial" w:cs="Arial"/>
          <w:sz w:val="21"/>
          <w:szCs w:val="21"/>
        </w:rPr>
        <w:t xml:space="preserve">quella al netto dei soli beni energetici </w:t>
      </w:r>
      <w:r w:rsidR="00122E75">
        <w:rPr>
          <w:rFonts w:ascii="Arial" w:hAnsi="Arial" w:cs="Arial"/>
          <w:sz w:val="21"/>
          <w:szCs w:val="21"/>
        </w:rPr>
        <w:t xml:space="preserve">decelera lievemente </w:t>
      </w:r>
      <w:r w:rsidR="00CA6762">
        <w:rPr>
          <w:rFonts w:ascii="Arial" w:hAnsi="Arial" w:cs="Arial"/>
          <w:sz w:val="21"/>
          <w:szCs w:val="21"/>
        </w:rPr>
        <w:t>(</w:t>
      </w:r>
      <w:r w:rsidR="003918D7">
        <w:rPr>
          <w:rFonts w:ascii="Arial" w:hAnsi="Arial" w:cs="Arial"/>
          <w:sz w:val="21"/>
          <w:szCs w:val="21"/>
        </w:rPr>
        <w:t xml:space="preserve">da </w:t>
      </w:r>
      <w:r w:rsidR="00F21FFC">
        <w:rPr>
          <w:rFonts w:ascii="Arial" w:hAnsi="Arial" w:cs="Arial"/>
          <w:sz w:val="21"/>
          <w:szCs w:val="21"/>
        </w:rPr>
        <w:t>+1,9% a +1,8</w:t>
      </w:r>
      <w:r w:rsidR="00500422" w:rsidRPr="00663C11">
        <w:rPr>
          <w:rFonts w:ascii="Arial" w:hAnsi="Arial" w:cs="Arial"/>
          <w:sz w:val="21"/>
          <w:szCs w:val="21"/>
        </w:rPr>
        <w:t>%</w:t>
      </w:r>
      <w:r w:rsidR="00CA6762">
        <w:rPr>
          <w:rFonts w:ascii="Arial" w:hAnsi="Arial" w:cs="Arial"/>
          <w:sz w:val="21"/>
          <w:szCs w:val="21"/>
        </w:rPr>
        <w:t>)</w:t>
      </w:r>
      <w:r w:rsidR="00500422" w:rsidRPr="00663C11">
        <w:rPr>
          <w:rFonts w:ascii="Arial" w:hAnsi="Arial" w:cs="Arial"/>
          <w:sz w:val="21"/>
          <w:szCs w:val="21"/>
        </w:rPr>
        <w:t>.</w:t>
      </w:r>
    </w:p>
    <w:p w:rsidR="009D708C" w:rsidRPr="00F3647C" w:rsidRDefault="003556D2" w:rsidP="009D708C">
      <w:pPr>
        <w:pStyle w:val="Paragrafoelenco"/>
        <w:numPr>
          <w:ilvl w:val="0"/>
          <w:numId w:val="30"/>
        </w:numPr>
        <w:tabs>
          <w:tab w:val="left" w:pos="10206"/>
        </w:tabs>
        <w:spacing w:after="100" w:line="230" w:lineRule="exact"/>
        <w:ind w:left="284" w:hanging="284"/>
        <w:contextualSpacing w:val="0"/>
        <w:jc w:val="both"/>
        <w:rPr>
          <w:rFonts w:ascii="Arial" w:hAnsi="Arial" w:cs="Arial"/>
          <w:sz w:val="21"/>
          <w:szCs w:val="21"/>
        </w:rPr>
      </w:pPr>
      <w:r w:rsidRPr="00F3647C">
        <w:rPr>
          <w:rFonts w:ascii="Arial" w:hAnsi="Arial" w:cs="Arial"/>
          <w:sz w:val="21"/>
          <w:szCs w:val="21"/>
        </w:rPr>
        <w:t>L</w:t>
      </w:r>
      <w:r w:rsidR="009D708C" w:rsidRPr="00F3647C">
        <w:rPr>
          <w:rFonts w:ascii="Arial" w:hAnsi="Arial" w:cs="Arial"/>
          <w:sz w:val="21"/>
          <w:szCs w:val="21"/>
        </w:rPr>
        <w:t>a dinamica tendenziale dei prezzi dei beni</w:t>
      </w:r>
      <w:r w:rsidR="009475CE">
        <w:rPr>
          <w:rFonts w:ascii="Arial" w:hAnsi="Arial" w:cs="Arial"/>
          <w:sz w:val="21"/>
          <w:szCs w:val="21"/>
        </w:rPr>
        <w:t>, pur restando negativa,</w:t>
      </w:r>
      <w:r w:rsidR="009D708C" w:rsidRPr="00F3647C">
        <w:rPr>
          <w:rFonts w:ascii="Arial" w:hAnsi="Arial" w:cs="Arial"/>
          <w:sz w:val="21"/>
          <w:szCs w:val="21"/>
        </w:rPr>
        <w:t xml:space="preserve"> </w:t>
      </w:r>
      <w:r w:rsidR="003977F5">
        <w:rPr>
          <w:rFonts w:ascii="Arial" w:hAnsi="Arial" w:cs="Arial"/>
          <w:sz w:val="21"/>
          <w:szCs w:val="21"/>
        </w:rPr>
        <w:t>registra una</w:t>
      </w:r>
      <w:r w:rsidR="00CD13C6">
        <w:rPr>
          <w:rFonts w:ascii="Arial" w:hAnsi="Arial" w:cs="Arial"/>
          <w:sz w:val="21"/>
          <w:szCs w:val="21"/>
        </w:rPr>
        <w:t xml:space="preserve"> </w:t>
      </w:r>
      <w:r w:rsidR="009475CE">
        <w:rPr>
          <w:rFonts w:ascii="Arial" w:hAnsi="Arial" w:cs="Arial"/>
          <w:sz w:val="21"/>
          <w:szCs w:val="21"/>
        </w:rPr>
        <w:t>risalita</w:t>
      </w:r>
      <w:r w:rsidR="007C4E48">
        <w:rPr>
          <w:rFonts w:ascii="Arial" w:hAnsi="Arial" w:cs="Arial"/>
          <w:sz w:val="21"/>
          <w:szCs w:val="21"/>
        </w:rPr>
        <w:t xml:space="preserve"> (da -0,7% a -0,1</w:t>
      </w:r>
      <w:r w:rsidR="003977F5">
        <w:rPr>
          <w:rFonts w:ascii="Arial" w:hAnsi="Arial" w:cs="Arial"/>
          <w:sz w:val="21"/>
          <w:szCs w:val="21"/>
        </w:rPr>
        <w:t xml:space="preserve">%) </w:t>
      </w:r>
      <w:r w:rsidR="007C4E48">
        <w:rPr>
          <w:rFonts w:ascii="Arial" w:hAnsi="Arial" w:cs="Arial"/>
          <w:sz w:val="21"/>
          <w:szCs w:val="21"/>
        </w:rPr>
        <w:t>e</w:t>
      </w:r>
      <w:r w:rsidR="003977F5">
        <w:rPr>
          <w:rFonts w:ascii="Arial" w:hAnsi="Arial" w:cs="Arial"/>
          <w:sz w:val="21"/>
          <w:szCs w:val="21"/>
        </w:rPr>
        <w:t xml:space="preserve"> </w:t>
      </w:r>
      <w:r w:rsidR="009D708C" w:rsidRPr="00F3647C">
        <w:rPr>
          <w:rFonts w:ascii="Arial" w:hAnsi="Arial" w:cs="Arial"/>
          <w:sz w:val="21"/>
          <w:szCs w:val="21"/>
        </w:rPr>
        <w:t xml:space="preserve">quella dei servizi </w:t>
      </w:r>
      <w:r w:rsidR="003977F5">
        <w:rPr>
          <w:rFonts w:ascii="Arial" w:hAnsi="Arial" w:cs="Arial"/>
          <w:sz w:val="21"/>
          <w:szCs w:val="21"/>
        </w:rPr>
        <w:t xml:space="preserve">è in lieve </w:t>
      </w:r>
      <w:r w:rsidR="007C4E48">
        <w:rPr>
          <w:rFonts w:ascii="Arial" w:hAnsi="Arial" w:cs="Arial"/>
          <w:sz w:val="21"/>
          <w:szCs w:val="21"/>
        </w:rPr>
        <w:t>ac</w:t>
      </w:r>
      <w:r w:rsidR="003977F5">
        <w:rPr>
          <w:rFonts w:ascii="Arial" w:hAnsi="Arial" w:cs="Arial"/>
          <w:sz w:val="21"/>
          <w:szCs w:val="21"/>
        </w:rPr>
        <w:t>celerazione (da</w:t>
      </w:r>
      <w:r w:rsidR="009D708C" w:rsidRPr="00F3647C">
        <w:rPr>
          <w:rFonts w:ascii="Arial" w:hAnsi="Arial" w:cs="Arial"/>
          <w:sz w:val="21"/>
          <w:szCs w:val="21"/>
        </w:rPr>
        <w:t xml:space="preserve"> +</w:t>
      </w:r>
      <w:r w:rsidR="007C4E48">
        <w:rPr>
          <w:rFonts w:ascii="Arial" w:hAnsi="Arial" w:cs="Arial"/>
          <w:sz w:val="21"/>
          <w:szCs w:val="21"/>
        </w:rPr>
        <w:t>2,8</w:t>
      </w:r>
      <w:r w:rsidR="009D708C" w:rsidRPr="00F3647C">
        <w:rPr>
          <w:rFonts w:ascii="Arial" w:hAnsi="Arial" w:cs="Arial"/>
          <w:sz w:val="21"/>
          <w:szCs w:val="21"/>
        </w:rPr>
        <w:t>%</w:t>
      </w:r>
      <w:r w:rsidR="007C4E48">
        <w:rPr>
          <w:rFonts w:ascii="Arial" w:hAnsi="Arial" w:cs="Arial"/>
          <w:sz w:val="21"/>
          <w:szCs w:val="21"/>
        </w:rPr>
        <w:t xml:space="preserve"> a +3,0</w:t>
      </w:r>
      <w:r w:rsidR="003977F5">
        <w:rPr>
          <w:rFonts w:ascii="Arial" w:hAnsi="Arial" w:cs="Arial"/>
          <w:sz w:val="21"/>
          <w:szCs w:val="21"/>
        </w:rPr>
        <w:t>%</w:t>
      </w:r>
      <w:r w:rsidR="009D708C" w:rsidRPr="00F3647C">
        <w:rPr>
          <w:rFonts w:ascii="Arial" w:hAnsi="Arial" w:cs="Arial"/>
          <w:sz w:val="21"/>
          <w:szCs w:val="21"/>
        </w:rPr>
        <w:t>)</w:t>
      </w:r>
      <w:r w:rsidR="009475CE">
        <w:rPr>
          <w:rFonts w:ascii="Arial" w:hAnsi="Arial" w:cs="Arial"/>
          <w:sz w:val="21"/>
          <w:szCs w:val="21"/>
        </w:rPr>
        <w:t xml:space="preserve">. Il </w:t>
      </w:r>
      <w:r w:rsidR="009D708C" w:rsidRPr="00F3647C">
        <w:rPr>
          <w:rFonts w:ascii="Arial" w:hAnsi="Arial" w:cs="Arial"/>
          <w:sz w:val="21"/>
          <w:szCs w:val="21"/>
        </w:rPr>
        <w:t xml:space="preserve">differenziale inflazionistico tra il comparto dei servizi e quello dei beni </w:t>
      </w:r>
      <w:r w:rsidR="009475CE">
        <w:rPr>
          <w:rFonts w:ascii="Arial" w:hAnsi="Arial" w:cs="Arial"/>
          <w:sz w:val="21"/>
          <w:szCs w:val="21"/>
        </w:rPr>
        <w:t xml:space="preserve">si porta quindi </w:t>
      </w:r>
      <w:r w:rsidR="007C4E48">
        <w:rPr>
          <w:rFonts w:ascii="Arial" w:hAnsi="Arial" w:cs="Arial"/>
          <w:sz w:val="21"/>
          <w:szCs w:val="21"/>
        </w:rPr>
        <w:t xml:space="preserve">a </w:t>
      </w:r>
      <w:r w:rsidR="00C22FEB">
        <w:rPr>
          <w:rFonts w:ascii="Arial" w:hAnsi="Arial" w:cs="Arial"/>
          <w:sz w:val="21"/>
          <w:szCs w:val="21"/>
        </w:rPr>
        <w:t>+</w:t>
      </w:r>
      <w:r w:rsidR="007C4E48">
        <w:rPr>
          <w:rFonts w:ascii="Arial" w:hAnsi="Arial" w:cs="Arial"/>
          <w:sz w:val="21"/>
          <w:szCs w:val="21"/>
        </w:rPr>
        <w:t>3,1</w:t>
      </w:r>
      <w:r w:rsidR="005D0921">
        <w:rPr>
          <w:rFonts w:ascii="Arial" w:hAnsi="Arial" w:cs="Arial"/>
          <w:sz w:val="21"/>
          <w:szCs w:val="21"/>
        </w:rPr>
        <w:t xml:space="preserve"> punti percentuali </w:t>
      </w:r>
      <w:r w:rsidR="00D8798B">
        <w:rPr>
          <w:rFonts w:ascii="Arial" w:hAnsi="Arial" w:cs="Arial"/>
          <w:sz w:val="21"/>
          <w:szCs w:val="21"/>
        </w:rPr>
        <w:t>(</w:t>
      </w:r>
      <w:r w:rsidR="005D0921">
        <w:rPr>
          <w:rFonts w:ascii="Arial" w:hAnsi="Arial" w:cs="Arial"/>
          <w:sz w:val="21"/>
          <w:szCs w:val="21"/>
        </w:rPr>
        <w:t>d</w:t>
      </w:r>
      <w:r w:rsidR="007E6F57">
        <w:rPr>
          <w:rFonts w:ascii="Arial" w:hAnsi="Arial" w:cs="Arial"/>
          <w:sz w:val="21"/>
          <w:szCs w:val="21"/>
        </w:rPr>
        <w:t>a</w:t>
      </w:r>
      <w:r w:rsidR="005D0921">
        <w:rPr>
          <w:rFonts w:ascii="Arial" w:hAnsi="Arial" w:cs="Arial"/>
          <w:sz w:val="21"/>
          <w:szCs w:val="21"/>
        </w:rPr>
        <w:t>i</w:t>
      </w:r>
      <w:r w:rsidR="007E6F57">
        <w:rPr>
          <w:rFonts w:ascii="Arial" w:hAnsi="Arial" w:cs="Arial"/>
          <w:sz w:val="21"/>
          <w:szCs w:val="21"/>
        </w:rPr>
        <w:t xml:space="preserve"> </w:t>
      </w:r>
      <w:r w:rsidR="007C4E48">
        <w:rPr>
          <w:rFonts w:ascii="Arial" w:hAnsi="Arial" w:cs="Arial"/>
          <w:sz w:val="21"/>
          <w:szCs w:val="21"/>
        </w:rPr>
        <w:t>+3,5</w:t>
      </w:r>
      <w:r w:rsidR="003977F5">
        <w:rPr>
          <w:rFonts w:ascii="Arial" w:hAnsi="Arial" w:cs="Arial"/>
          <w:sz w:val="21"/>
          <w:szCs w:val="21"/>
        </w:rPr>
        <w:t xml:space="preserve"> </w:t>
      </w:r>
      <w:r w:rsidR="005D0921">
        <w:rPr>
          <w:rFonts w:ascii="Arial" w:hAnsi="Arial" w:cs="Arial"/>
          <w:sz w:val="21"/>
          <w:szCs w:val="21"/>
        </w:rPr>
        <w:t xml:space="preserve">di </w:t>
      </w:r>
      <w:r w:rsidR="007C4E48">
        <w:rPr>
          <w:rFonts w:ascii="Arial" w:hAnsi="Arial" w:cs="Arial"/>
          <w:sz w:val="21"/>
          <w:szCs w:val="21"/>
        </w:rPr>
        <w:t>giugno</w:t>
      </w:r>
      <w:r w:rsidR="003977F5">
        <w:rPr>
          <w:rFonts w:ascii="Arial" w:hAnsi="Arial" w:cs="Arial"/>
          <w:sz w:val="21"/>
          <w:szCs w:val="21"/>
        </w:rPr>
        <w:t>)</w:t>
      </w:r>
      <w:r w:rsidR="009D708C" w:rsidRPr="00F3647C">
        <w:rPr>
          <w:rFonts w:ascii="Arial" w:hAnsi="Arial" w:cs="Arial"/>
          <w:sz w:val="21"/>
          <w:szCs w:val="21"/>
        </w:rPr>
        <w:t>.</w:t>
      </w:r>
    </w:p>
    <w:p w:rsidR="00500422" w:rsidRPr="00B73DEE" w:rsidRDefault="00500422" w:rsidP="00500422">
      <w:pPr>
        <w:pStyle w:val="Paragrafoelenco"/>
        <w:numPr>
          <w:ilvl w:val="0"/>
          <w:numId w:val="30"/>
        </w:numPr>
        <w:tabs>
          <w:tab w:val="left" w:pos="10206"/>
        </w:tabs>
        <w:spacing w:after="100" w:line="230" w:lineRule="exact"/>
        <w:ind w:left="284" w:hanging="284"/>
        <w:contextualSpacing w:val="0"/>
        <w:jc w:val="both"/>
        <w:rPr>
          <w:rFonts w:ascii="Arial" w:hAnsi="Arial" w:cs="Arial"/>
          <w:sz w:val="21"/>
          <w:szCs w:val="21"/>
        </w:rPr>
      </w:pPr>
      <w:r>
        <w:rPr>
          <w:rFonts w:ascii="Arial" w:hAnsi="Arial" w:cs="Arial"/>
          <w:sz w:val="21"/>
          <w:szCs w:val="21"/>
        </w:rPr>
        <w:t>I</w:t>
      </w:r>
      <w:r w:rsidRPr="00B73DEE">
        <w:rPr>
          <w:rFonts w:ascii="Arial" w:hAnsi="Arial" w:cs="Arial"/>
          <w:sz w:val="21"/>
          <w:szCs w:val="21"/>
        </w:rPr>
        <w:t xml:space="preserve"> prezzi dei Beni alimentari, per la cura della casa e della persona </w:t>
      </w:r>
      <w:r w:rsidR="00E4078F">
        <w:rPr>
          <w:rFonts w:ascii="Arial" w:hAnsi="Arial" w:cs="Arial"/>
          <w:sz w:val="21"/>
          <w:szCs w:val="21"/>
        </w:rPr>
        <w:t xml:space="preserve">rallentano </w:t>
      </w:r>
      <w:r>
        <w:rPr>
          <w:rFonts w:ascii="Arial" w:hAnsi="Arial" w:cs="Arial"/>
          <w:sz w:val="21"/>
          <w:szCs w:val="21"/>
        </w:rPr>
        <w:t xml:space="preserve">su base tendenziale </w:t>
      </w:r>
      <w:r w:rsidR="00DB1508">
        <w:rPr>
          <w:rFonts w:ascii="Arial" w:hAnsi="Arial" w:cs="Arial"/>
          <w:sz w:val="21"/>
          <w:szCs w:val="21"/>
        </w:rPr>
        <w:t>(</w:t>
      </w:r>
      <w:r w:rsidRPr="00B73DEE">
        <w:rPr>
          <w:rFonts w:ascii="Arial" w:hAnsi="Arial" w:cs="Arial"/>
          <w:sz w:val="21"/>
          <w:szCs w:val="21"/>
        </w:rPr>
        <w:t>da +</w:t>
      </w:r>
      <w:r w:rsidR="008B75C7">
        <w:rPr>
          <w:rFonts w:ascii="Arial" w:hAnsi="Arial" w:cs="Arial"/>
          <w:sz w:val="21"/>
          <w:szCs w:val="21"/>
        </w:rPr>
        <w:t>1,2</w:t>
      </w:r>
      <w:r w:rsidRPr="00B73DEE">
        <w:rPr>
          <w:rFonts w:ascii="Arial" w:hAnsi="Arial" w:cs="Arial"/>
          <w:sz w:val="21"/>
          <w:szCs w:val="21"/>
        </w:rPr>
        <w:t>% a +</w:t>
      </w:r>
      <w:r w:rsidR="008B75C7">
        <w:rPr>
          <w:rFonts w:ascii="Arial" w:hAnsi="Arial" w:cs="Arial"/>
          <w:sz w:val="21"/>
          <w:szCs w:val="21"/>
        </w:rPr>
        <w:t>0,8</w:t>
      </w:r>
      <w:r>
        <w:rPr>
          <w:rFonts w:ascii="Arial" w:hAnsi="Arial" w:cs="Arial"/>
          <w:sz w:val="21"/>
          <w:szCs w:val="21"/>
        </w:rPr>
        <w:t>%</w:t>
      </w:r>
      <w:r w:rsidR="00DB1508">
        <w:rPr>
          <w:rFonts w:ascii="Arial" w:hAnsi="Arial" w:cs="Arial"/>
          <w:sz w:val="21"/>
          <w:szCs w:val="21"/>
        </w:rPr>
        <w:t>)</w:t>
      </w:r>
      <w:r>
        <w:rPr>
          <w:rFonts w:ascii="Arial" w:hAnsi="Arial" w:cs="Arial"/>
          <w:sz w:val="21"/>
          <w:szCs w:val="21"/>
        </w:rPr>
        <w:t xml:space="preserve">, </w:t>
      </w:r>
      <w:r w:rsidR="00D90A32">
        <w:rPr>
          <w:rFonts w:ascii="Arial" w:hAnsi="Arial" w:cs="Arial"/>
          <w:sz w:val="21"/>
          <w:szCs w:val="21"/>
        </w:rPr>
        <w:t xml:space="preserve">come anche </w:t>
      </w:r>
      <w:r>
        <w:rPr>
          <w:rFonts w:ascii="Arial" w:hAnsi="Arial" w:cs="Arial"/>
          <w:sz w:val="21"/>
          <w:szCs w:val="21"/>
        </w:rPr>
        <w:t>quelli dei</w:t>
      </w:r>
      <w:r w:rsidRPr="00B73DEE">
        <w:rPr>
          <w:rFonts w:ascii="Arial" w:hAnsi="Arial" w:cs="Arial"/>
          <w:sz w:val="21"/>
          <w:szCs w:val="21"/>
        </w:rPr>
        <w:t xml:space="preserve"> prodotti ad </w:t>
      </w:r>
      <w:r>
        <w:rPr>
          <w:rFonts w:ascii="Arial" w:hAnsi="Arial" w:cs="Arial"/>
          <w:sz w:val="21"/>
          <w:szCs w:val="21"/>
        </w:rPr>
        <w:t>alta frequenza d’acquisto</w:t>
      </w:r>
      <w:r w:rsidR="003A16CD">
        <w:rPr>
          <w:rFonts w:ascii="Arial" w:hAnsi="Arial" w:cs="Arial"/>
          <w:sz w:val="21"/>
          <w:szCs w:val="21"/>
        </w:rPr>
        <w:t xml:space="preserve"> </w:t>
      </w:r>
      <w:r w:rsidR="0076677D">
        <w:rPr>
          <w:rFonts w:ascii="Arial" w:hAnsi="Arial" w:cs="Arial"/>
          <w:sz w:val="21"/>
          <w:szCs w:val="21"/>
        </w:rPr>
        <w:t>(</w:t>
      </w:r>
      <w:r w:rsidR="008B75C7">
        <w:rPr>
          <w:rFonts w:ascii="Arial" w:hAnsi="Arial" w:cs="Arial"/>
          <w:sz w:val="21"/>
          <w:szCs w:val="21"/>
        </w:rPr>
        <w:t>da +2,0% a +1,9</w:t>
      </w:r>
      <w:r w:rsidRPr="00B73DEE">
        <w:rPr>
          <w:rFonts w:ascii="Arial" w:hAnsi="Arial" w:cs="Arial"/>
          <w:sz w:val="21"/>
          <w:szCs w:val="21"/>
        </w:rPr>
        <w:t>%).</w:t>
      </w:r>
    </w:p>
    <w:p w:rsidR="00500422" w:rsidRDefault="000D4BAF" w:rsidP="00500422">
      <w:pPr>
        <w:pStyle w:val="Paragrafoelenco"/>
        <w:numPr>
          <w:ilvl w:val="0"/>
          <w:numId w:val="30"/>
        </w:numPr>
        <w:tabs>
          <w:tab w:val="left" w:pos="10206"/>
        </w:tabs>
        <w:spacing w:after="100" w:line="230" w:lineRule="exact"/>
        <w:ind w:left="284" w:hanging="284"/>
        <w:contextualSpacing w:val="0"/>
        <w:jc w:val="both"/>
        <w:rPr>
          <w:rFonts w:ascii="Arial" w:hAnsi="Arial" w:cs="Arial"/>
          <w:sz w:val="21"/>
          <w:szCs w:val="21"/>
        </w:rPr>
      </w:pPr>
      <w:r>
        <w:rPr>
          <w:rFonts w:ascii="Arial" w:hAnsi="Arial" w:cs="Arial"/>
          <w:sz w:val="21"/>
          <w:szCs w:val="21"/>
        </w:rPr>
        <w:t>L’aumento</w:t>
      </w:r>
      <w:r w:rsidR="00500422" w:rsidRPr="00BA5D8E">
        <w:rPr>
          <w:rFonts w:ascii="Arial" w:hAnsi="Arial" w:cs="Arial"/>
          <w:sz w:val="21"/>
          <w:szCs w:val="21"/>
        </w:rPr>
        <w:t xml:space="preserve"> congiunturale dell’indice generale </w:t>
      </w:r>
      <w:r>
        <w:rPr>
          <w:rFonts w:ascii="Arial" w:hAnsi="Arial" w:cs="Arial"/>
          <w:sz w:val="21"/>
          <w:szCs w:val="21"/>
        </w:rPr>
        <w:t xml:space="preserve">riflette, per lo più, la crescita dei prezzi </w:t>
      </w:r>
      <w:r w:rsidR="0086363B">
        <w:rPr>
          <w:rFonts w:ascii="Arial" w:hAnsi="Arial" w:cs="Arial"/>
          <w:sz w:val="21"/>
          <w:szCs w:val="21"/>
        </w:rPr>
        <w:t>dei Ben</w:t>
      </w:r>
      <w:r w:rsidR="00826FF9">
        <w:rPr>
          <w:rFonts w:ascii="Arial" w:hAnsi="Arial" w:cs="Arial"/>
          <w:sz w:val="21"/>
          <w:szCs w:val="21"/>
        </w:rPr>
        <w:t>i energetici regolamentati (+5,5</w:t>
      </w:r>
      <w:r w:rsidR="0086363B">
        <w:rPr>
          <w:rFonts w:ascii="Arial" w:hAnsi="Arial" w:cs="Arial"/>
          <w:sz w:val="21"/>
          <w:szCs w:val="21"/>
        </w:rPr>
        <w:t xml:space="preserve">%), </w:t>
      </w:r>
      <w:r w:rsidR="00826FF9">
        <w:rPr>
          <w:rFonts w:ascii="Arial" w:hAnsi="Arial" w:cs="Arial"/>
          <w:sz w:val="21"/>
          <w:szCs w:val="21"/>
        </w:rPr>
        <w:t xml:space="preserve">dei Beni energetici non regolamentati (+3,3%), </w:t>
      </w:r>
      <w:r w:rsidR="0086363B">
        <w:rPr>
          <w:rFonts w:ascii="Arial" w:hAnsi="Arial" w:cs="Arial"/>
          <w:sz w:val="21"/>
          <w:szCs w:val="21"/>
        </w:rPr>
        <w:t xml:space="preserve">dei Servizi ricreativi, culturali e per </w:t>
      </w:r>
      <w:r w:rsidR="00826FF9">
        <w:rPr>
          <w:rFonts w:ascii="Arial" w:hAnsi="Arial" w:cs="Arial"/>
          <w:sz w:val="21"/>
          <w:szCs w:val="21"/>
        </w:rPr>
        <w:t xml:space="preserve">la cura della persona (+0,8%), dei Servizi relativi ai trasporti (+0,4%) e </w:t>
      </w:r>
      <w:r>
        <w:rPr>
          <w:rFonts w:ascii="Arial" w:hAnsi="Arial" w:cs="Arial"/>
          <w:sz w:val="21"/>
          <w:szCs w:val="21"/>
        </w:rPr>
        <w:t xml:space="preserve">dei </w:t>
      </w:r>
      <w:r w:rsidR="00347416">
        <w:rPr>
          <w:rFonts w:ascii="Arial" w:hAnsi="Arial" w:cs="Arial"/>
          <w:sz w:val="21"/>
          <w:szCs w:val="21"/>
        </w:rPr>
        <w:t>Beni alimentari lavorati (+</w:t>
      </w:r>
      <w:r w:rsidR="00826FF9">
        <w:rPr>
          <w:rFonts w:ascii="Arial" w:hAnsi="Arial" w:cs="Arial"/>
          <w:sz w:val="21"/>
          <w:szCs w:val="21"/>
        </w:rPr>
        <w:t>0,3</w:t>
      </w:r>
      <w:r w:rsidR="0086363B">
        <w:rPr>
          <w:rFonts w:ascii="Arial" w:hAnsi="Arial" w:cs="Arial"/>
          <w:sz w:val="21"/>
          <w:szCs w:val="21"/>
        </w:rPr>
        <w:t>%)</w:t>
      </w:r>
      <w:r>
        <w:rPr>
          <w:rFonts w:ascii="Arial" w:hAnsi="Arial" w:cs="Arial"/>
          <w:sz w:val="21"/>
          <w:szCs w:val="21"/>
        </w:rPr>
        <w:t>.</w:t>
      </w:r>
      <w:r w:rsidR="00790CAA">
        <w:rPr>
          <w:rFonts w:ascii="Arial" w:hAnsi="Arial" w:cs="Arial"/>
          <w:sz w:val="21"/>
          <w:szCs w:val="21"/>
        </w:rPr>
        <w:t xml:space="preserve"> </w:t>
      </w:r>
      <w:r>
        <w:rPr>
          <w:rFonts w:ascii="Arial" w:hAnsi="Arial" w:cs="Arial"/>
          <w:sz w:val="21"/>
          <w:szCs w:val="21"/>
        </w:rPr>
        <w:t xml:space="preserve">Gli effetti di questi aumenti sono stati solo in parte compensati dalla </w:t>
      </w:r>
      <w:r w:rsidR="0038382B">
        <w:rPr>
          <w:rFonts w:ascii="Arial" w:hAnsi="Arial" w:cs="Arial"/>
          <w:sz w:val="21"/>
          <w:szCs w:val="21"/>
        </w:rPr>
        <w:t>diminuzione</w:t>
      </w:r>
      <w:r>
        <w:rPr>
          <w:rFonts w:ascii="Arial" w:hAnsi="Arial" w:cs="Arial"/>
          <w:sz w:val="21"/>
          <w:szCs w:val="21"/>
        </w:rPr>
        <w:t xml:space="preserve"> dei prezzi dei </w:t>
      </w:r>
      <w:r w:rsidR="0086363B">
        <w:rPr>
          <w:rFonts w:ascii="Arial" w:hAnsi="Arial" w:cs="Arial"/>
          <w:sz w:val="21"/>
          <w:szCs w:val="21"/>
        </w:rPr>
        <w:t>Be</w:t>
      </w:r>
      <w:r w:rsidR="00826FF9">
        <w:rPr>
          <w:rFonts w:ascii="Arial" w:hAnsi="Arial" w:cs="Arial"/>
          <w:sz w:val="21"/>
          <w:szCs w:val="21"/>
        </w:rPr>
        <w:t>ni alimentari non lavorati (-1,4%)</w:t>
      </w:r>
      <w:r w:rsidR="0086363B">
        <w:rPr>
          <w:rFonts w:ascii="Arial" w:hAnsi="Arial" w:cs="Arial"/>
          <w:sz w:val="21"/>
          <w:szCs w:val="21"/>
        </w:rPr>
        <w:t xml:space="preserve">. </w:t>
      </w:r>
    </w:p>
    <w:p w:rsidR="005654F4" w:rsidRDefault="009D708C" w:rsidP="005654F4">
      <w:pPr>
        <w:pStyle w:val="Paragrafoelenco"/>
        <w:numPr>
          <w:ilvl w:val="0"/>
          <w:numId w:val="30"/>
        </w:numPr>
        <w:tabs>
          <w:tab w:val="left" w:pos="10206"/>
        </w:tabs>
        <w:spacing w:after="100" w:line="230" w:lineRule="exact"/>
        <w:ind w:left="284" w:hanging="284"/>
        <w:contextualSpacing w:val="0"/>
        <w:jc w:val="both"/>
        <w:rPr>
          <w:rFonts w:ascii="Arial" w:hAnsi="Arial" w:cs="Arial"/>
          <w:sz w:val="21"/>
          <w:szCs w:val="21"/>
        </w:rPr>
      </w:pPr>
      <w:r w:rsidRPr="00C4222E">
        <w:rPr>
          <w:rFonts w:ascii="Arial" w:hAnsi="Arial" w:cs="Arial"/>
          <w:sz w:val="21"/>
          <w:szCs w:val="21"/>
        </w:rPr>
        <w:t xml:space="preserve">L’inflazione acquisita per </w:t>
      </w:r>
      <w:r>
        <w:rPr>
          <w:rFonts w:ascii="Arial" w:hAnsi="Arial" w:cs="Arial"/>
          <w:sz w:val="21"/>
          <w:szCs w:val="21"/>
        </w:rPr>
        <w:t>il 2024 è pari a</w:t>
      </w:r>
      <w:r w:rsidRPr="00DB2D2A">
        <w:rPr>
          <w:rFonts w:ascii="Arial" w:hAnsi="Arial" w:cs="Arial"/>
          <w:sz w:val="21"/>
          <w:szCs w:val="21"/>
        </w:rPr>
        <w:t xml:space="preserve"> </w:t>
      </w:r>
      <w:r>
        <w:rPr>
          <w:rFonts w:ascii="Arial" w:hAnsi="Arial" w:cs="Arial"/>
          <w:sz w:val="21"/>
          <w:szCs w:val="21"/>
        </w:rPr>
        <w:t>+</w:t>
      </w:r>
      <w:r w:rsidR="00C33086">
        <w:rPr>
          <w:rFonts w:ascii="Arial" w:hAnsi="Arial" w:cs="Arial"/>
          <w:sz w:val="21"/>
          <w:szCs w:val="21"/>
        </w:rPr>
        <w:t>1,0</w:t>
      </w:r>
      <w:r w:rsidRPr="005B35CE">
        <w:rPr>
          <w:rFonts w:ascii="Arial" w:hAnsi="Arial" w:cs="Arial"/>
          <w:sz w:val="21"/>
          <w:szCs w:val="21"/>
        </w:rPr>
        <w:t>%</w:t>
      </w:r>
      <w:r w:rsidRPr="00DB2D2A">
        <w:rPr>
          <w:rFonts w:ascii="Arial" w:hAnsi="Arial" w:cs="Arial"/>
          <w:sz w:val="21"/>
          <w:szCs w:val="21"/>
        </w:rPr>
        <w:t xml:space="preserve"> per l’indice generale</w:t>
      </w:r>
      <w:r>
        <w:rPr>
          <w:rFonts w:ascii="Arial" w:hAnsi="Arial" w:cs="Arial"/>
          <w:sz w:val="21"/>
          <w:szCs w:val="21"/>
        </w:rPr>
        <w:t xml:space="preserve"> </w:t>
      </w:r>
      <w:r w:rsidRPr="00DB2D2A">
        <w:rPr>
          <w:rFonts w:ascii="Arial" w:hAnsi="Arial" w:cs="Arial"/>
          <w:sz w:val="21"/>
          <w:szCs w:val="21"/>
        </w:rPr>
        <w:t xml:space="preserve">e a </w:t>
      </w:r>
      <w:r w:rsidRPr="005B35CE">
        <w:rPr>
          <w:rFonts w:ascii="Arial" w:hAnsi="Arial" w:cs="Arial"/>
          <w:sz w:val="21"/>
          <w:szCs w:val="21"/>
        </w:rPr>
        <w:t>+</w:t>
      </w:r>
      <w:r w:rsidR="00C33086">
        <w:rPr>
          <w:rFonts w:ascii="Arial" w:hAnsi="Arial" w:cs="Arial"/>
          <w:sz w:val="21"/>
          <w:szCs w:val="21"/>
        </w:rPr>
        <w:t>2,0</w:t>
      </w:r>
      <w:r w:rsidRPr="00DB2D2A">
        <w:rPr>
          <w:rFonts w:ascii="Arial" w:hAnsi="Arial" w:cs="Arial"/>
          <w:sz w:val="21"/>
          <w:szCs w:val="21"/>
        </w:rPr>
        <w:t>% per</w:t>
      </w:r>
      <w:r w:rsidRPr="00605FC8">
        <w:rPr>
          <w:rFonts w:ascii="Arial" w:hAnsi="Arial" w:cs="Arial"/>
          <w:sz w:val="21"/>
          <w:szCs w:val="21"/>
        </w:rPr>
        <w:t xml:space="preserve"> la componente di fondo.</w:t>
      </w:r>
    </w:p>
    <w:p w:rsidR="00BF773D" w:rsidRPr="00C33086" w:rsidRDefault="009D708C" w:rsidP="00C33086">
      <w:pPr>
        <w:pStyle w:val="Paragrafoelenco"/>
        <w:numPr>
          <w:ilvl w:val="0"/>
          <w:numId w:val="30"/>
        </w:numPr>
        <w:tabs>
          <w:tab w:val="left" w:pos="10206"/>
        </w:tabs>
        <w:spacing w:after="100" w:line="230" w:lineRule="exact"/>
        <w:ind w:left="284" w:hanging="284"/>
        <w:contextualSpacing w:val="0"/>
        <w:jc w:val="both"/>
        <w:rPr>
          <w:rFonts w:ascii="Arial" w:hAnsi="Arial" w:cs="Arial"/>
          <w:sz w:val="21"/>
          <w:szCs w:val="21"/>
        </w:rPr>
      </w:pPr>
      <w:r w:rsidRPr="005654F4">
        <w:rPr>
          <w:rFonts w:ascii="Arial" w:hAnsi="Arial" w:cs="Arial"/>
          <w:sz w:val="21"/>
          <w:szCs w:val="21"/>
        </w:rPr>
        <w:t xml:space="preserve">In base alle stime preliminari, l’indice armonizzato dei prezzi al consumo (IPCA) </w:t>
      </w:r>
      <w:r w:rsidR="00C33086">
        <w:rPr>
          <w:rFonts w:ascii="Arial" w:hAnsi="Arial" w:cs="Arial"/>
          <w:sz w:val="21"/>
          <w:szCs w:val="21"/>
        </w:rPr>
        <w:t>diminuisce dello 0,8</w:t>
      </w:r>
      <w:r w:rsidR="00C33086" w:rsidRPr="005D7619">
        <w:rPr>
          <w:rFonts w:ascii="Arial" w:hAnsi="Arial" w:cs="Arial"/>
          <w:sz w:val="21"/>
          <w:szCs w:val="21"/>
        </w:rPr>
        <w:t>% su base mensile</w:t>
      </w:r>
      <w:r w:rsidR="00C33086" w:rsidRPr="00C86B09">
        <w:rPr>
          <w:rFonts w:ascii="Arial" w:hAnsi="Arial" w:cs="Arial"/>
          <w:sz w:val="21"/>
          <w:szCs w:val="21"/>
        </w:rPr>
        <w:t>, a causa dei saldi estivi di cui il NIC non tiene conto,</w:t>
      </w:r>
      <w:r w:rsidR="00C33086" w:rsidRPr="005D7619">
        <w:rPr>
          <w:rFonts w:ascii="Arial" w:hAnsi="Arial" w:cs="Arial"/>
          <w:sz w:val="21"/>
          <w:szCs w:val="21"/>
        </w:rPr>
        <w:t xml:space="preserve"> e </w:t>
      </w:r>
      <w:r w:rsidR="00C33086">
        <w:rPr>
          <w:rFonts w:ascii="Arial" w:hAnsi="Arial" w:cs="Arial"/>
          <w:sz w:val="21"/>
          <w:szCs w:val="21"/>
        </w:rPr>
        <w:t xml:space="preserve">aumenta </w:t>
      </w:r>
      <w:r w:rsidR="00C33086" w:rsidRPr="005D7619">
        <w:rPr>
          <w:rFonts w:ascii="Arial" w:hAnsi="Arial" w:cs="Arial"/>
          <w:sz w:val="21"/>
          <w:szCs w:val="21"/>
        </w:rPr>
        <w:t>del</w:t>
      </w:r>
      <w:r w:rsidR="00C33086">
        <w:rPr>
          <w:rFonts w:ascii="Arial" w:hAnsi="Arial" w:cs="Arial"/>
          <w:sz w:val="21"/>
          <w:szCs w:val="21"/>
        </w:rPr>
        <w:t>l’1,7</w:t>
      </w:r>
      <w:r w:rsidR="00C33086" w:rsidRPr="005D7619">
        <w:rPr>
          <w:rFonts w:ascii="Arial" w:hAnsi="Arial" w:cs="Arial"/>
          <w:sz w:val="21"/>
          <w:szCs w:val="21"/>
        </w:rPr>
        <w:t xml:space="preserve">% su base annua (in </w:t>
      </w:r>
      <w:r w:rsidR="00C33086">
        <w:rPr>
          <w:rFonts w:ascii="Arial" w:hAnsi="Arial" w:cs="Arial"/>
          <w:sz w:val="21"/>
          <w:szCs w:val="21"/>
        </w:rPr>
        <w:t>ac</w:t>
      </w:r>
      <w:r w:rsidR="00C33086" w:rsidRPr="005D7619">
        <w:rPr>
          <w:rFonts w:ascii="Arial" w:hAnsi="Arial" w:cs="Arial"/>
          <w:sz w:val="21"/>
          <w:szCs w:val="21"/>
        </w:rPr>
        <w:t>celerazione da +</w:t>
      </w:r>
      <w:r w:rsidR="00C33086">
        <w:rPr>
          <w:rFonts w:ascii="Arial" w:hAnsi="Arial" w:cs="Arial"/>
          <w:sz w:val="21"/>
          <w:szCs w:val="21"/>
        </w:rPr>
        <w:t>0,9</w:t>
      </w:r>
      <w:r w:rsidR="00C33086" w:rsidRPr="005D7619">
        <w:rPr>
          <w:rFonts w:ascii="Arial" w:hAnsi="Arial" w:cs="Arial"/>
          <w:sz w:val="21"/>
          <w:szCs w:val="21"/>
        </w:rPr>
        <w:t xml:space="preserve">% di </w:t>
      </w:r>
      <w:r w:rsidR="00C33086">
        <w:rPr>
          <w:rFonts w:ascii="Arial" w:hAnsi="Arial" w:cs="Arial"/>
          <w:sz w:val="21"/>
          <w:szCs w:val="21"/>
        </w:rPr>
        <w:t>giugno</w:t>
      </w:r>
      <w:r w:rsidR="00C33086" w:rsidRPr="005D7619">
        <w:rPr>
          <w:rFonts w:ascii="Arial" w:hAnsi="Arial" w:cs="Arial"/>
          <w:sz w:val="21"/>
          <w:szCs w:val="21"/>
        </w:rPr>
        <w:t>)</w:t>
      </w:r>
      <w:r w:rsidRPr="005654F4">
        <w:rPr>
          <w:rFonts w:ascii="Arial" w:hAnsi="Arial" w:cs="Arial"/>
          <w:sz w:val="21"/>
          <w:szCs w:val="21"/>
        </w:rPr>
        <w:t>.</w:t>
      </w:r>
    </w:p>
    <w:p w:rsidR="00870437" w:rsidRDefault="00B6287C" w:rsidP="00654468">
      <w:pPr>
        <w:widowControl/>
        <w:tabs>
          <w:tab w:val="left" w:pos="10206"/>
        </w:tabs>
        <w:overflowPunct/>
        <w:spacing w:before="0" w:after="0" w:line="230" w:lineRule="exact"/>
        <w:ind w:left="284"/>
        <w:jc w:val="both"/>
        <w:rPr>
          <w:rFonts w:ascii="Arial" w:hAnsi="Arial" w:cs="Arial"/>
          <w:sz w:val="21"/>
          <w:szCs w:val="21"/>
        </w:rPr>
      </w:pPr>
      <w:r>
        <w:rPr>
          <w:rFonts w:ascii="Calibri" w:hAnsi="Calibri" w:cs="Arial"/>
          <w:b/>
          <w:noProof/>
          <w:color w:val="FFFFFF"/>
          <w:sz w:val="28"/>
          <w:szCs w:val="28"/>
        </w:rPr>
        <w:drawing>
          <wp:anchor distT="0" distB="0" distL="114300" distR="114300" simplePos="0" relativeHeight="251711488" behindDoc="0" locked="0" layoutInCell="1" allowOverlap="1" wp14:anchorId="222DC157" wp14:editId="505EE7A4">
            <wp:simplePos x="0" y="0"/>
            <wp:positionH relativeFrom="column">
              <wp:posOffset>6062455</wp:posOffset>
            </wp:positionH>
            <wp:positionV relativeFrom="paragraph">
              <wp:posOffset>2242544</wp:posOffset>
            </wp:positionV>
            <wp:extent cx="638175" cy="619125"/>
            <wp:effectExtent l="0" t="0" r="9525" b="9525"/>
            <wp:wrapNone/>
            <wp:docPr id="29" name="Immagine 8" descr="Descrizione: iconeComunicati-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magine 8" descr="Descrizione: iconeComunicati-0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38175" cy="619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anchor>
        </w:drawing>
      </w:r>
      <w:r w:rsidR="00A14DC1">
        <w:rPr>
          <w:noProof/>
        </w:rPr>
        <w:drawing>
          <wp:anchor distT="0" distB="0" distL="114300" distR="114300" simplePos="0" relativeHeight="251716608" behindDoc="0" locked="0" layoutInCell="1" allowOverlap="1" wp14:anchorId="6A81E130" wp14:editId="13A8ED5E">
            <wp:simplePos x="0" y="0"/>
            <wp:positionH relativeFrom="column">
              <wp:posOffset>-242018</wp:posOffset>
            </wp:positionH>
            <wp:positionV relativeFrom="paragraph">
              <wp:posOffset>31667</wp:posOffset>
            </wp:positionV>
            <wp:extent cx="932180" cy="932180"/>
            <wp:effectExtent l="0" t="0" r="1270" b="1270"/>
            <wp:wrapNone/>
            <wp:docPr id="20" name="Immagin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32180" cy="932180"/>
                    </a:xfrm>
                    <a:prstGeom prst="rect">
                      <a:avLst/>
                    </a:prstGeom>
                    <a:noFill/>
                  </pic:spPr>
                </pic:pic>
              </a:graphicData>
            </a:graphic>
            <wp14:sizeRelH relativeFrom="margin">
              <wp14:pctWidth>0</wp14:pctWidth>
            </wp14:sizeRelH>
            <wp14:sizeRelV relativeFrom="margin">
              <wp14:pctHeight>0</wp14:pctHeight>
            </wp14:sizeRelV>
          </wp:anchor>
        </w:drawing>
      </w:r>
    </w:p>
    <w:tbl>
      <w:tblPr>
        <w:tblW w:w="1020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916"/>
        <w:gridCol w:w="3290"/>
      </w:tblGrid>
      <w:tr w:rsidR="00870437" w:rsidRPr="002578CE" w:rsidTr="00BA11A0">
        <w:trPr>
          <w:trHeight w:val="115"/>
        </w:trPr>
        <w:tc>
          <w:tcPr>
            <w:tcW w:w="6916" w:type="dxa"/>
            <w:vMerge w:val="restart"/>
            <w:tcBorders>
              <w:top w:val="nil"/>
              <w:left w:val="single" w:sz="4" w:space="0" w:color="FFFFFF"/>
              <w:right w:val="single" w:sz="48" w:space="0" w:color="FFFFFF"/>
            </w:tcBorders>
            <w:shd w:val="clear" w:color="auto" w:fill="D9D9D9"/>
          </w:tcPr>
          <w:p w:rsidR="00870437" w:rsidRPr="004A3353" w:rsidRDefault="00870437" w:rsidP="00BA11A0">
            <w:pPr>
              <w:pStyle w:val="Paragrafobase"/>
              <w:spacing w:before="120" w:line="140" w:lineRule="atLeast"/>
              <w:rPr>
                <w:rFonts w:ascii="Calibri" w:hAnsi="Calibri" w:cs="Arial"/>
                <w:color w:val="E42618"/>
                <w:sz w:val="56"/>
                <w:szCs w:val="56"/>
              </w:rPr>
            </w:pPr>
            <w:r>
              <w:rPr>
                <w:noProof/>
              </w:rPr>
              <w:drawing>
                <wp:anchor distT="0" distB="0" distL="114300" distR="114300" simplePos="0" relativeHeight="251715584" behindDoc="0" locked="0" layoutInCell="1" allowOverlap="1" wp14:anchorId="24B1FCC8" wp14:editId="5B3B3EA6">
                  <wp:simplePos x="0" y="0"/>
                  <wp:positionH relativeFrom="column">
                    <wp:posOffset>398145</wp:posOffset>
                  </wp:positionH>
                  <wp:positionV relativeFrom="paragraph">
                    <wp:posOffset>6514465</wp:posOffset>
                  </wp:positionV>
                  <wp:extent cx="920750" cy="920750"/>
                  <wp:effectExtent l="0" t="0" r="0" b="0"/>
                  <wp:wrapNone/>
                  <wp:docPr id="34" name="Immagin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20750" cy="920750"/>
                          </a:xfrm>
                          <a:prstGeom prst="rect">
                            <a:avLst/>
                          </a:prstGeom>
                          <a:noFill/>
                        </pic:spPr>
                      </pic:pic>
                    </a:graphicData>
                  </a:graphic>
                  <wp14:sizeRelH relativeFrom="page">
                    <wp14:pctWidth>0</wp14:pctWidth>
                  </wp14:sizeRelH>
                  <wp14:sizeRelV relativeFrom="page">
                    <wp14:pctHeight>0</wp14:pctHeight>
                  </wp14:sizeRelV>
                </wp:anchor>
              </w:drawing>
            </w:r>
            <w:r>
              <w:rPr>
                <w:rFonts w:ascii="Arial" w:hAnsi="Arial" w:cs="Arial"/>
                <w:iCs/>
                <w:noProof/>
                <w:sz w:val="21"/>
                <w:szCs w:val="21"/>
              </w:rPr>
              <w:drawing>
                <wp:anchor distT="0" distB="0" distL="114300" distR="114300" simplePos="0" relativeHeight="251714560" behindDoc="0" locked="0" layoutInCell="1" allowOverlap="1" wp14:anchorId="0ADF56C7" wp14:editId="3510B60F">
                  <wp:simplePos x="0" y="0"/>
                  <wp:positionH relativeFrom="column">
                    <wp:posOffset>398145</wp:posOffset>
                  </wp:positionH>
                  <wp:positionV relativeFrom="paragraph">
                    <wp:posOffset>6514465</wp:posOffset>
                  </wp:positionV>
                  <wp:extent cx="920750" cy="920750"/>
                  <wp:effectExtent l="0" t="0" r="0" b="0"/>
                  <wp:wrapNone/>
                  <wp:docPr id="23" name="Immagin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20750" cy="920750"/>
                          </a:xfrm>
                          <a:prstGeom prst="rect">
                            <a:avLst/>
                          </a:prstGeom>
                          <a:noFill/>
                        </pic:spPr>
                      </pic:pic>
                    </a:graphicData>
                  </a:graphic>
                  <wp14:sizeRelH relativeFrom="page">
                    <wp14:pctWidth>0</wp14:pctWidth>
                  </wp14:sizeRelH>
                  <wp14:sizeRelV relativeFrom="page">
                    <wp14:pctHeight>0</wp14:pctHeight>
                  </wp14:sizeRelV>
                </wp:anchor>
              </w:drawing>
            </w:r>
            <w:r w:rsidRPr="00EA401A">
              <w:rPr>
                <w:rFonts w:ascii="Arial" w:hAnsi="Arial" w:cs="Arial"/>
                <w:iCs/>
                <w:noProof/>
                <w:sz w:val="21"/>
                <w:szCs w:val="21"/>
              </w:rPr>
              <w:t xml:space="preserve"> </w:t>
            </w:r>
            <w:r>
              <w:rPr>
                <w:rFonts w:ascii="Arial" w:hAnsi="Arial" w:cs="Arial"/>
                <w:noProof/>
                <w:color w:val="E42618"/>
                <w:sz w:val="22"/>
                <w:szCs w:val="22"/>
              </w:rPr>
              <w:drawing>
                <wp:anchor distT="0" distB="0" distL="114300" distR="114300" simplePos="0" relativeHeight="251713536" behindDoc="0" locked="0" layoutInCell="1" allowOverlap="1" wp14:anchorId="5D2525E7" wp14:editId="752C018E">
                  <wp:simplePos x="0" y="0"/>
                  <wp:positionH relativeFrom="column">
                    <wp:posOffset>398145</wp:posOffset>
                  </wp:positionH>
                  <wp:positionV relativeFrom="paragraph">
                    <wp:posOffset>6514465</wp:posOffset>
                  </wp:positionV>
                  <wp:extent cx="920750" cy="920750"/>
                  <wp:effectExtent l="0" t="0" r="0" b="0"/>
                  <wp:wrapNone/>
                  <wp:docPr id="27" name="Immagin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20750" cy="920750"/>
                          </a:xfrm>
                          <a:prstGeom prst="rect">
                            <a:avLst/>
                          </a:prstGeom>
                          <a:noFill/>
                        </pic:spPr>
                      </pic:pic>
                    </a:graphicData>
                  </a:graphic>
                  <wp14:sizeRelH relativeFrom="page">
                    <wp14:pctWidth>0</wp14:pctWidth>
                  </wp14:sizeRelH>
                  <wp14:sizeRelV relativeFrom="page">
                    <wp14:pctHeight>0</wp14:pctHeight>
                  </wp14:sizeRelV>
                </wp:anchor>
              </w:drawing>
            </w:r>
            <w:r>
              <w:rPr>
                <w:rFonts w:ascii="Arial" w:hAnsi="Arial" w:cs="Arial"/>
                <w:noProof/>
                <w:color w:val="E42618"/>
                <w:sz w:val="22"/>
                <w:szCs w:val="22"/>
              </w:rPr>
              <mc:AlternateContent>
                <mc:Choice Requires="wpg">
                  <w:drawing>
                    <wp:anchor distT="0" distB="0" distL="114300" distR="114300" simplePos="0" relativeHeight="251710464" behindDoc="0" locked="0" layoutInCell="1" allowOverlap="1" wp14:anchorId="3444A158" wp14:editId="47EE7114">
                      <wp:simplePos x="0" y="0"/>
                      <wp:positionH relativeFrom="column">
                        <wp:posOffset>403225</wp:posOffset>
                      </wp:positionH>
                      <wp:positionV relativeFrom="paragraph">
                        <wp:posOffset>6517005</wp:posOffset>
                      </wp:positionV>
                      <wp:extent cx="6760210" cy="3480435"/>
                      <wp:effectExtent l="0" t="1270" r="0" b="4445"/>
                      <wp:wrapNone/>
                      <wp:docPr id="10" name="Gruppo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60210" cy="3480435"/>
                                <a:chOff x="635" y="10263"/>
                                <a:chExt cx="10646" cy="5481"/>
                              </a:xfrm>
                            </wpg:grpSpPr>
                            <pic:pic xmlns:pic="http://schemas.openxmlformats.org/drawingml/2006/picture">
                              <pic:nvPicPr>
                                <pic:cNvPr id="12" name="Immagine 9" descr="Descrizione: iconeComunicati-0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10261" y="11995"/>
                                  <a:ext cx="1020" cy="9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4" name="Immagine 8" descr="Descrizione: iconeComunicati-0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10271" y="14769"/>
                                  <a:ext cx="1005" cy="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 name="Immagine 15" descr="Descrizione: iconeComunicati-0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635" y="10263"/>
                                  <a:ext cx="1410" cy="14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6" name="Immagine 3" descr="Descrizione: iconeComunicati-0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10246" y="10525"/>
                                  <a:ext cx="1035" cy="1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7DD2EE57" id="Gruppo 10" o:spid="_x0000_s1026" style="position:absolute;margin-left:31.75pt;margin-top:513.15pt;width:532.3pt;height:274.05pt;z-index:251710464" coordorigin="635,10263" coordsize="10646,548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">
                      <v:shape id="Immagine 9" o:spid="_x0000_s1027" type="#_x0000_t75" alt="Descrizione: iconeComunicati-03" style="position:absolute;left:10261;top:11995;width:1020;height:9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">
                        <v:imagedata r:id="rId18" o:title=" iconeComunicati-03"/>
                      </v:shape>
                      <v:shape id="Immagine 8" o:spid="_x0000_s1028" type="#_x0000_t75" alt="Descrizione: iconeComunicati-06" style="position:absolute;left:10271;top:14769;width:1005;height:9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">
                        <v:imagedata r:id="rId19" o:title=" iconeComunicati-06"/>
                      </v:shape>
                      <v:shape id="Immagine 15" o:spid="_x0000_s1029" type="#_x0000_t75" alt="Descrizione: iconeComunicati-02" style="position:absolute;left:635;top:10263;width:1410;height:14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">
                        <v:imagedata r:id="rId20" o:title=" iconeComunicati-02"/>
                      </v:shape>
                      <v:shape id="Immagine 3" o:spid="_x0000_s1030" type="#_x0000_t75" alt="Descrizione: iconeComunicati-05" style="position:absolute;left:10246;top:10525;width:1035;height:10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">
                        <v:imagedata r:id="rId21" o:title=" iconeComunicati-05"/>
                      </v:shape>
                    </v:group>
                  </w:pict>
                </mc:Fallback>
              </mc:AlternateContent>
            </w:r>
            <w:r w:rsidRPr="004A3353">
              <w:rPr>
                <w:rFonts w:ascii="Arial" w:hAnsi="Arial" w:cs="Arial"/>
                <w:color w:val="E42618"/>
                <w:sz w:val="22"/>
                <w:szCs w:val="22"/>
              </w:rPr>
              <w:t xml:space="preserve">                     </w:t>
            </w:r>
            <w:r w:rsidRPr="004A3353">
              <w:rPr>
                <w:rFonts w:ascii="Calibri" w:hAnsi="Calibri" w:cs="Arial"/>
                <w:color w:val="E42618"/>
                <w:sz w:val="56"/>
                <w:szCs w:val="56"/>
              </w:rPr>
              <w:t>Il commento</w:t>
            </w:r>
          </w:p>
          <w:p w:rsidR="00870437" w:rsidRDefault="00870437" w:rsidP="00BA11A0">
            <w:pPr>
              <w:widowControl/>
              <w:tabs>
                <w:tab w:val="left" w:pos="284"/>
              </w:tabs>
              <w:overflowPunct/>
              <w:autoSpaceDE/>
              <w:autoSpaceDN/>
              <w:adjustRightInd/>
              <w:spacing w:before="0" w:after="40"/>
              <w:jc w:val="both"/>
              <w:rPr>
                <w:rFonts w:ascii="Calibri" w:hAnsi="Calibri" w:cs="Arial"/>
                <w:color w:val="E31C18"/>
                <w:kern w:val="0"/>
                <w:sz w:val="24"/>
                <w:szCs w:val="24"/>
              </w:rPr>
            </w:pPr>
          </w:p>
          <w:p w:rsidR="007120A6" w:rsidRPr="002578CE" w:rsidRDefault="00B325BF" w:rsidP="00F8522C">
            <w:pPr>
              <w:pStyle w:val="Paragrafobase"/>
              <w:tabs>
                <w:tab w:val="left" w:pos="6526"/>
              </w:tabs>
              <w:spacing w:before="200" w:after="240" w:line="260" w:lineRule="exact"/>
              <w:ind w:left="142" w:right="176"/>
              <w:jc w:val="both"/>
              <w:rPr>
                <w:rFonts w:ascii="Arial" w:hAnsi="Arial" w:cs="Arial"/>
                <w:sz w:val="21"/>
                <w:szCs w:val="21"/>
              </w:rPr>
            </w:pPr>
            <w:r w:rsidRPr="00B325BF">
              <w:rPr>
                <w:rFonts w:ascii="Arial" w:hAnsi="Arial" w:cs="Arial"/>
                <w:sz w:val="21"/>
                <w:szCs w:val="21"/>
              </w:rPr>
              <w:t xml:space="preserve">A </w:t>
            </w:r>
            <w:r w:rsidR="00C22FEB">
              <w:rPr>
                <w:rFonts w:ascii="Arial" w:hAnsi="Arial" w:cs="Arial"/>
                <w:sz w:val="21"/>
                <w:szCs w:val="21"/>
              </w:rPr>
              <w:t>luglio</w:t>
            </w:r>
            <w:r w:rsidRPr="00B325BF">
              <w:rPr>
                <w:rFonts w:ascii="Arial" w:hAnsi="Arial" w:cs="Arial"/>
                <w:sz w:val="21"/>
                <w:szCs w:val="21"/>
              </w:rPr>
              <w:t xml:space="preserve">, secondo le stime preliminari, l’inflazione </w:t>
            </w:r>
            <w:r w:rsidR="00C22FEB">
              <w:rPr>
                <w:rFonts w:ascii="Arial" w:hAnsi="Arial" w:cs="Arial"/>
                <w:sz w:val="21"/>
                <w:szCs w:val="21"/>
              </w:rPr>
              <w:t>risale leggermente, portandosi all’1,3%.</w:t>
            </w:r>
            <w:r w:rsidR="00D171C9">
              <w:rPr>
                <w:rFonts w:ascii="Arial" w:hAnsi="Arial" w:cs="Arial"/>
                <w:sz w:val="21"/>
                <w:szCs w:val="21"/>
              </w:rPr>
              <w:t xml:space="preserve"> Tale a</w:t>
            </w:r>
            <w:r w:rsidR="00C22FEB">
              <w:rPr>
                <w:rFonts w:ascii="Arial" w:hAnsi="Arial" w:cs="Arial"/>
                <w:sz w:val="21"/>
                <w:szCs w:val="21"/>
              </w:rPr>
              <w:t>ccelerazione riflette l’attenuarsi della flessione su base tendenziale dei</w:t>
            </w:r>
            <w:r w:rsidR="00656B41">
              <w:rPr>
                <w:rFonts w:ascii="Arial" w:hAnsi="Arial" w:cs="Arial"/>
                <w:sz w:val="21"/>
                <w:szCs w:val="21"/>
              </w:rPr>
              <w:t xml:space="preserve"> prezzi dei</w:t>
            </w:r>
            <w:r w:rsidR="00A911C6">
              <w:rPr>
                <w:rFonts w:ascii="Arial" w:hAnsi="Arial" w:cs="Arial"/>
                <w:sz w:val="21"/>
                <w:szCs w:val="21"/>
              </w:rPr>
              <w:t xml:space="preserve"> </w:t>
            </w:r>
            <w:r w:rsidR="00AE10F0">
              <w:rPr>
                <w:rFonts w:ascii="Arial" w:hAnsi="Arial" w:cs="Arial"/>
                <w:sz w:val="21"/>
                <w:szCs w:val="21"/>
              </w:rPr>
              <w:t>B</w:t>
            </w:r>
            <w:r w:rsidR="00A911C6">
              <w:rPr>
                <w:rFonts w:ascii="Arial" w:hAnsi="Arial" w:cs="Arial"/>
                <w:sz w:val="21"/>
                <w:szCs w:val="21"/>
              </w:rPr>
              <w:t xml:space="preserve">eni </w:t>
            </w:r>
            <w:r w:rsidR="00C22FEB">
              <w:rPr>
                <w:rFonts w:ascii="Arial" w:hAnsi="Arial" w:cs="Arial"/>
                <w:sz w:val="21"/>
                <w:szCs w:val="21"/>
              </w:rPr>
              <w:t>energetici (-4,1</w:t>
            </w:r>
            <w:r w:rsidR="002F5FF0">
              <w:rPr>
                <w:rFonts w:ascii="Arial" w:hAnsi="Arial" w:cs="Arial"/>
                <w:sz w:val="21"/>
                <w:szCs w:val="21"/>
              </w:rPr>
              <w:t xml:space="preserve">% </w:t>
            </w:r>
            <w:r w:rsidR="00C22FEB">
              <w:rPr>
                <w:rFonts w:ascii="Arial" w:hAnsi="Arial" w:cs="Arial"/>
                <w:sz w:val="21"/>
                <w:szCs w:val="21"/>
              </w:rPr>
              <w:t>da -8,6</w:t>
            </w:r>
            <w:r w:rsidR="00130759">
              <w:rPr>
                <w:rFonts w:ascii="Arial" w:hAnsi="Arial" w:cs="Arial"/>
                <w:sz w:val="21"/>
                <w:szCs w:val="21"/>
              </w:rPr>
              <w:t xml:space="preserve">% di </w:t>
            </w:r>
            <w:r w:rsidR="00C22FEB">
              <w:rPr>
                <w:rFonts w:ascii="Arial" w:hAnsi="Arial" w:cs="Arial"/>
                <w:sz w:val="21"/>
                <w:szCs w:val="21"/>
              </w:rPr>
              <w:t>giugno</w:t>
            </w:r>
            <w:r w:rsidR="00130759">
              <w:rPr>
                <w:rFonts w:ascii="Arial" w:hAnsi="Arial" w:cs="Arial"/>
                <w:sz w:val="21"/>
                <w:szCs w:val="21"/>
              </w:rPr>
              <w:t xml:space="preserve">), </w:t>
            </w:r>
            <w:r w:rsidR="00FE540D">
              <w:rPr>
                <w:rFonts w:ascii="Arial" w:hAnsi="Arial" w:cs="Arial"/>
                <w:sz w:val="21"/>
                <w:szCs w:val="21"/>
              </w:rPr>
              <w:t xml:space="preserve">a causa </w:t>
            </w:r>
            <w:r w:rsidR="006D72DB">
              <w:rPr>
                <w:rFonts w:ascii="Arial" w:hAnsi="Arial" w:cs="Arial"/>
                <w:sz w:val="21"/>
                <w:szCs w:val="21"/>
              </w:rPr>
              <w:t xml:space="preserve">sia </w:t>
            </w:r>
            <w:r w:rsidR="00FE540D">
              <w:rPr>
                <w:rFonts w:ascii="Arial" w:hAnsi="Arial" w:cs="Arial"/>
                <w:sz w:val="21"/>
                <w:szCs w:val="21"/>
              </w:rPr>
              <w:t>del</w:t>
            </w:r>
            <w:r w:rsidR="006D72DB">
              <w:rPr>
                <w:rFonts w:ascii="Arial" w:hAnsi="Arial" w:cs="Arial"/>
                <w:sz w:val="21"/>
                <w:szCs w:val="21"/>
              </w:rPr>
              <w:t xml:space="preserve">la componente regolamentata </w:t>
            </w:r>
            <w:r w:rsidR="00D171C9">
              <w:rPr>
                <w:rFonts w:ascii="Arial" w:hAnsi="Arial" w:cs="Arial"/>
                <w:sz w:val="21"/>
                <w:szCs w:val="21"/>
              </w:rPr>
              <w:t xml:space="preserve">sia di quella </w:t>
            </w:r>
            <w:r w:rsidR="006D72DB">
              <w:rPr>
                <w:rFonts w:ascii="Arial" w:hAnsi="Arial" w:cs="Arial"/>
                <w:sz w:val="21"/>
                <w:szCs w:val="21"/>
              </w:rPr>
              <w:t xml:space="preserve">non regolamentata. </w:t>
            </w:r>
            <w:r w:rsidR="00045F6A">
              <w:rPr>
                <w:rFonts w:ascii="Arial" w:hAnsi="Arial" w:cs="Arial"/>
                <w:sz w:val="21"/>
                <w:szCs w:val="21"/>
              </w:rPr>
              <w:t xml:space="preserve">Di contro, nel settore alimentare i prezzi dei prodotti non lavorati, come anche quelli dei beni lavorati, evidenziano un’attenuazione della loro crescita in ragione d’anno, che contribuisce al rallentamento </w:t>
            </w:r>
            <w:r w:rsidR="008B602F">
              <w:rPr>
                <w:rFonts w:ascii="Arial" w:hAnsi="Arial" w:cs="Arial"/>
                <w:sz w:val="21"/>
                <w:szCs w:val="21"/>
              </w:rPr>
              <w:t xml:space="preserve">del tasso di crescita </w:t>
            </w:r>
            <w:r w:rsidR="00320598">
              <w:rPr>
                <w:rFonts w:ascii="Arial" w:hAnsi="Arial" w:cs="Arial"/>
                <w:sz w:val="21"/>
                <w:szCs w:val="21"/>
              </w:rPr>
              <w:t xml:space="preserve">dei prezzi </w:t>
            </w:r>
            <w:r w:rsidR="006455A6">
              <w:rPr>
                <w:rFonts w:ascii="Arial" w:hAnsi="Arial" w:cs="Arial"/>
                <w:sz w:val="21"/>
                <w:szCs w:val="21"/>
              </w:rPr>
              <w:t xml:space="preserve">del “carrello della spesa” </w:t>
            </w:r>
            <w:r w:rsidR="00DB24A8">
              <w:rPr>
                <w:rFonts w:ascii="Arial" w:hAnsi="Arial" w:cs="Arial"/>
                <w:sz w:val="21"/>
                <w:szCs w:val="21"/>
              </w:rPr>
              <w:t>(+0,8</w:t>
            </w:r>
            <w:r w:rsidR="00DC5A9C" w:rsidRPr="004754B3">
              <w:rPr>
                <w:rFonts w:ascii="Arial" w:hAnsi="Arial" w:cs="Arial"/>
                <w:sz w:val="21"/>
                <w:szCs w:val="21"/>
              </w:rPr>
              <w:t>%</w:t>
            </w:r>
            <w:r w:rsidR="00DB24A8">
              <w:rPr>
                <w:rFonts w:ascii="Arial" w:hAnsi="Arial" w:cs="Arial"/>
                <w:sz w:val="21"/>
                <w:szCs w:val="21"/>
              </w:rPr>
              <w:t xml:space="preserve"> da +1,2</w:t>
            </w:r>
            <w:r w:rsidR="006D39A5">
              <w:rPr>
                <w:rFonts w:ascii="Arial" w:hAnsi="Arial" w:cs="Arial"/>
                <w:sz w:val="21"/>
                <w:szCs w:val="21"/>
              </w:rPr>
              <w:t>%</w:t>
            </w:r>
            <w:r w:rsidR="00DC5A9C" w:rsidRPr="004754B3">
              <w:rPr>
                <w:rFonts w:ascii="Arial" w:hAnsi="Arial" w:cs="Arial"/>
                <w:sz w:val="21"/>
                <w:szCs w:val="21"/>
              </w:rPr>
              <w:t>)</w:t>
            </w:r>
            <w:r w:rsidR="00D171C9">
              <w:rPr>
                <w:rFonts w:ascii="Arial" w:hAnsi="Arial" w:cs="Arial"/>
                <w:sz w:val="21"/>
                <w:szCs w:val="21"/>
              </w:rPr>
              <w:t xml:space="preserve">. A luglio, l’inflazione di fondo rimane stabile </w:t>
            </w:r>
            <w:r w:rsidR="003E12A2">
              <w:rPr>
                <w:rFonts w:ascii="Arial" w:hAnsi="Arial" w:cs="Arial"/>
                <w:sz w:val="21"/>
                <w:szCs w:val="21"/>
              </w:rPr>
              <w:t xml:space="preserve">a </w:t>
            </w:r>
            <w:r w:rsidR="00DB24A8">
              <w:rPr>
                <w:rFonts w:ascii="Arial" w:hAnsi="Arial" w:cs="Arial"/>
                <w:sz w:val="21"/>
                <w:szCs w:val="21"/>
              </w:rPr>
              <w:t>+1,9</w:t>
            </w:r>
            <w:r w:rsidR="002F5FF0">
              <w:rPr>
                <w:rFonts w:ascii="Arial" w:hAnsi="Arial" w:cs="Arial"/>
                <w:sz w:val="21"/>
                <w:szCs w:val="21"/>
              </w:rPr>
              <w:t>%</w:t>
            </w:r>
            <w:r w:rsidR="00DC5A9C" w:rsidRPr="004754B3">
              <w:rPr>
                <w:rFonts w:ascii="Arial" w:hAnsi="Arial" w:cs="Arial"/>
                <w:sz w:val="21"/>
                <w:szCs w:val="21"/>
              </w:rPr>
              <w:t>.</w:t>
            </w:r>
          </w:p>
        </w:tc>
        <w:tc>
          <w:tcPr>
            <w:tcW w:w="3290" w:type="dxa"/>
            <w:tcBorders>
              <w:top w:val="nil"/>
              <w:left w:val="single" w:sz="48" w:space="0" w:color="FFFFFF"/>
              <w:bottom w:val="single" w:sz="36" w:space="0" w:color="FFFFFF"/>
              <w:right w:val="single" w:sz="36" w:space="0" w:color="FFFFFF"/>
            </w:tcBorders>
            <w:shd w:val="clear" w:color="auto" w:fill="E31C18"/>
          </w:tcPr>
          <w:p w:rsidR="00870437" w:rsidRPr="00163D97" w:rsidRDefault="00B6287C" w:rsidP="00BA11A0">
            <w:pPr>
              <w:pStyle w:val="Paragrafobase"/>
              <w:spacing w:before="200" w:line="320" w:lineRule="exact"/>
              <w:ind w:left="176"/>
              <w:rPr>
                <w:rFonts w:ascii="Calibri" w:hAnsi="Calibri" w:cs="Arial"/>
                <w:b/>
                <w:color w:val="FFFFFF"/>
                <w:sz w:val="28"/>
                <w:szCs w:val="28"/>
              </w:rPr>
            </w:pPr>
            <w:r>
              <w:rPr>
                <w:rFonts w:ascii="Arial" w:hAnsi="Arial" w:cs="Arial"/>
                <w:iCs/>
                <w:noProof/>
                <w:sz w:val="21"/>
                <w:szCs w:val="21"/>
              </w:rPr>
              <w:drawing>
                <wp:anchor distT="0" distB="0" distL="114300" distR="114300" simplePos="0" relativeHeight="251712512" behindDoc="0" locked="0" layoutInCell="1" allowOverlap="1" wp14:anchorId="0E472815" wp14:editId="5AD976AF">
                  <wp:simplePos x="0" y="0"/>
                  <wp:positionH relativeFrom="column">
                    <wp:posOffset>1516711</wp:posOffset>
                  </wp:positionH>
                  <wp:positionV relativeFrom="paragraph">
                    <wp:posOffset>-63307</wp:posOffset>
                  </wp:positionV>
                  <wp:extent cx="657225" cy="638175"/>
                  <wp:effectExtent l="0" t="0" r="9525" b="9525"/>
                  <wp:wrapNone/>
                  <wp:docPr id="24" name="Immagine 3" descr="Descrizione: iconeComunicati-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magine 3" descr="Descrizione: iconeComunicati-0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57225" cy="638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anchor>
              </w:drawing>
            </w:r>
            <w:r w:rsidR="00870437" w:rsidRPr="00163D97">
              <w:rPr>
                <w:rFonts w:ascii="Calibri" w:hAnsi="Calibri" w:cs="Arial"/>
                <w:b/>
                <w:color w:val="FFFFFF"/>
                <w:sz w:val="28"/>
                <w:szCs w:val="28"/>
              </w:rPr>
              <w:t>PROSSIMA</w:t>
            </w:r>
          </w:p>
          <w:p w:rsidR="00870437" w:rsidRPr="00163D97" w:rsidRDefault="00870437" w:rsidP="00BA11A0">
            <w:pPr>
              <w:pStyle w:val="Paragrafobase"/>
              <w:spacing w:line="320" w:lineRule="exact"/>
              <w:ind w:left="175"/>
              <w:rPr>
                <w:rFonts w:ascii="Arial Narrow" w:hAnsi="Arial Narrow" w:cs="Arial"/>
                <w:b/>
                <w:color w:val="FFFFFF"/>
                <w:sz w:val="28"/>
                <w:szCs w:val="28"/>
              </w:rPr>
            </w:pPr>
            <w:r w:rsidRPr="00163D97">
              <w:rPr>
                <w:rFonts w:ascii="Calibri" w:hAnsi="Calibri" w:cs="Arial"/>
                <w:b/>
                <w:color w:val="FFFFFF"/>
                <w:sz w:val="28"/>
                <w:szCs w:val="28"/>
              </w:rPr>
              <w:t>DIFFUSIONE</w:t>
            </w:r>
          </w:p>
          <w:p w:rsidR="00870437" w:rsidRPr="002578CE" w:rsidRDefault="00087335" w:rsidP="00087335">
            <w:pPr>
              <w:pStyle w:val="Paragrafobase"/>
              <w:spacing w:before="120" w:after="120" w:line="160" w:lineRule="atLeast"/>
              <w:ind w:left="176"/>
              <w:rPr>
                <w:rFonts w:ascii="Arial" w:hAnsi="Arial" w:cs="Arial"/>
                <w:sz w:val="21"/>
                <w:szCs w:val="21"/>
              </w:rPr>
            </w:pPr>
            <w:r>
              <w:rPr>
                <w:rFonts w:ascii="Arial Narrow" w:hAnsi="Arial Narrow" w:cs="Arial"/>
                <w:color w:val="FFFFFF"/>
                <w:sz w:val="22"/>
                <w:szCs w:val="22"/>
              </w:rPr>
              <w:t>9</w:t>
            </w:r>
            <w:r w:rsidR="009D708C">
              <w:rPr>
                <w:rFonts w:ascii="Arial Narrow" w:hAnsi="Arial Narrow" w:cs="Arial"/>
                <w:color w:val="FFFFFF"/>
                <w:sz w:val="22"/>
                <w:szCs w:val="22"/>
              </w:rPr>
              <w:t xml:space="preserve"> </w:t>
            </w:r>
            <w:r>
              <w:rPr>
                <w:rFonts w:ascii="Arial Narrow" w:hAnsi="Arial Narrow" w:cs="Arial"/>
                <w:color w:val="FFFFFF"/>
                <w:sz w:val="22"/>
                <w:szCs w:val="22"/>
              </w:rPr>
              <w:t>agost</w:t>
            </w:r>
            <w:r w:rsidR="00DD1C07">
              <w:rPr>
                <w:rFonts w:ascii="Arial Narrow" w:hAnsi="Arial Narrow" w:cs="Arial"/>
                <w:color w:val="FFFFFF"/>
                <w:sz w:val="22"/>
                <w:szCs w:val="22"/>
              </w:rPr>
              <w:t>o</w:t>
            </w:r>
            <w:r w:rsidR="00E35AE6">
              <w:rPr>
                <w:rFonts w:ascii="Arial Narrow" w:hAnsi="Arial Narrow" w:cs="Arial"/>
                <w:color w:val="FFFFFF"/>
                <w:sz w:val="22"/>
                <w:szCs w:val="22"/>
              </w:rPr>
              <w:t xml:space="preserve"> 202</w:t>
            </w:r>
            <w:r w:rsidR="008B2A59">
              <w:rPr>
                <w:rFonts w:ascii="Arial Narrow" w:hAnsi="Arial Narrow" w:cs="Arial"/>
                <w:color w:val="FFFFFF"/>
                <w:sz w:val="22"/>
                <w:szCs w:val="22"/>
              </w:rPr>
              <w:t>4</w:t>
            </w:r>
          </w:p>
        </w:tc>
      </w:tr>
      <w:tr w:rsidR="00870437" w:rsidRPr="00220D49" w:rsidTr="00BA11A0">
        <w:trPr>
          <w:trHeight w:val="115"/>
        </w:trPr>
        <w:tc>
          <w:tcPr>
            <w:tcW w:w="6916" w:type="dxa"/>
            <w:vMerge/>
            <w:tcBorders>
              <w:left w:val="single" w:sz="4" w:space="0" w:color="FFFFFF"/>
              <w:right w:val="single" w:sz="48" w:space="0" w:color="FFFFFF"/>
            </w:tcBorders>
            <w:shd w:val="clear" w:color="auto" w:fill="D9D9D9"/>
          </w:tcPr>
          <w:p w:rsidR="00870437" w:rsidRPr="002578CE" w:rsidRDefault="00870437" w:rsidP="00BA11A0">
            <w:pPr>
              <w:widowControl/>
              <w:tabs>
                <w:tab w:val="left" w:pos="284"/>
                <w:tab w:val="left" w:pos="709"/>
              </w:tabs>
              <w:overflowPunct/>
              <w:autoSpaceDE/>
              <w:autoSpaceDN/>
              <w:adjustRightInd/>
              <w:spacing w:before="0" w:after="120" w:line="230" w:lineRule="exact"/>
              <w:jc w:val="both"/>
              <w:rPr>
                <w:rFonts w:ascii="Arial" w:hAnsi="Arial" w:cs="Arial"/>
                <w:sz w:val="21"/>
                <w:szCs w:val="21"/>
              </w:rPr>
            </w:pPr>
          </w:p>
        </w:tc>
        <w:tc>
          <w:tcPr>
            <w:tcW w:w="3290" w:type="dxa"/>
            <w:tcBorders>
              <w:top w:val="single" w:sz="36" w:space="0" w:color="FFFFFF"/>
              <w:left w:val="single" w:sz="48" w:space="0" w:color="FFFFFF"/>
              <w:bottom w:val="single" w:sz="36" w:space="0" w:color="FFFFFF"/>
              <w:right w:val="single" w:sz="36" w:space="0" w:color="FFFFFF"/>
            </w:tcBorders>
            <w:shd w:val="clear" w:color="auto" w:fill="E31C18"/>
          </w:tcPr>
          <w:p w:rsidR="00870437" w:rsidRPr="00E80755" w:rsidRDefault="00B6287C" w:rsidP="00BA11A0">
            <w:pPr>
              <w:pStyle w:val="Paragrafobase"/>
              <w:spacing w:before="200" w:line="320" w:lineRule="exact"/>
              <w:ind w:left="176"/>
              <w:rPr>
                <w:rFonts w:ascii="Calibri" w:hAnsi="Calibri" w:cs="Arial"/>
                <w:b/>
                <w:color w:val="FFFFFF"/>
                <w:sz w:val="28"/>
                <w:szCs w:val="28"/>
                <w:lang w:val="en-US"/>
              </w:rPr>
            </w:pPr>
            <w:r>
              <w:rPr>
                <w:rFonts w:ascii="Arial" w:hAnsi="Arial" w:cs="Arial"/>
                <w:noProof/>
                <w:sz w:val="21"/>
                <w:szCs w:val="21"/>
              </w:rPr>
              <w:drawing>
                <wp:anchor distT="0" distB="0" distL="114300" distR="114300" simplePos="0" relativeHeight="251718656" behindDoc="0" locked="0" layoutInCell="1" allowOverlap="1" wp14:anchorId="63AAF53C" wp14:editId="308EDA96">
                  <wp:simplePos x="0" y="0"/>
                  <wp:positionH relativeFrom="column">
                    <wp:posOffset>1520135</wp:posOffset>
                  </wp:positionH>
                  <wp:positionV relativeFrom="paragraph">
                    <wp:posOffset>-90970</wp:posOffset>
                  </wp:positionV>
                  <wp:extent cx="647700" cy="628650"/>
                  <wp:effectExtent l="0" t="0" r="0" b="0"/>
                  <wp:wrapNone/>
                  <wp:docPr id="52" name="Immagine 52" descr="Descrizione: iconeComunicati-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9" descr="Descrizione: iconeComunicati-0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47700" cy="628650"/>
                          </a:xfrm>
                          <a:prstGeom prst="rect">
                            <a:avLst/>
                          </a:prstGeom>
                          <a:noFill/>
                          <a:ln>
                            <a:noFill/>
                          </a:ln>
                        </pic:spPr>
                      </pic:pic>
                    </a:graphicData>
                  </a:graphic>
                </wp:anchor>
              </w:drawing>
            </w:r>
            <w:r w:rsidR="00870437" w:rsidRPr="00E80755">
              <w:rPr>
                <w:rFonts w:ascii="Calibri" w:hAnsi="Calibri" w:cs="Arial"/>
                <w:b/>
                <w:color w:val="FFFFFF"/>
                <w:sz w:val="28"/>
                <w:szCs w:val="28"/>
                <w:lang w:val="en-US"/>
              </w:rPr>
              <w:t>Link utili</w:t>
            </w:r>
          </w:p>
          <w:p w:rsidR="00870437" w:rsidRPr="00E80755" w:rsidRDefault="00333381" w:rsidP="00BA11A0">
            <w:pPr>
              <w:pStyle w:val="Paragrafobase"/>
              <w:spacing w:before="120" w:line="240" w:lineRule="exact"/>
              <w:ind w:left="176"/>
              <w:rPr>
                <w:rStyle w:val="Collegamentoipertestuale"/>
                <w:rFonts w:cs="Arial"/>
                <w:color w:val="FFFFFF"/>
                <w:lang w:val="en-US"/>
              </w:rPr>
            </w:pPr>
            <w:hyperlink r:id="rId22" w:history="1">
              <w:r w:rsidR="00804142" w:rsidRPr="00E80755">
                <w:rPr>
                  <w:rStyle w:val="Collegamentoipertestuale"/>
                  <w:rFonts w:ascii="Arial Narrow" w:hAnsi="Arial Narrow" w:cs="Arial"/>
                  <w:color w:val="FFFFFF"/>
                  <w:sz w:val="22"/>
                  <w:szCs w:val="22"/>
                  <w:lang w:val="en-US"/>
                </w:rPr>
                <w:t>https://esploradati.istat.it/</w:t>
              </w:r>
            </w:hyperlink>
          </w:p>
          <w:p w:rsidR="00804142" w:rsidRPr="00E80755" w:rsidRDefault="00333381" w:rsidP="00804142">
            <w:pPr>
              <w:pStyle w:val="Paragrafobase"/>
              <w:spacing w:before="120" w:line="240" w:lineRule="exact"/>
              <w:ind w:left="176"/>
              <w:rPr>
                <w:rStyle w:val="Collegamentoipertestuale"/>
                <w:rFonts w:ascii="Arial Narrow" w:hAnsi="Arial Narrow" w:cs="Arial"/>
                <w:color w:val="FFFFFF"/>
                <w:sz w:val="22"/>
                <w:szCs w:val="22"/>
                <w:lang w:val="en-US"/>
              </w:rPr>
            </w:pPr>
            <w:hyperlink r:id="rId23" w:history="1">
              <w:r w:rsidR="00804142" w:rsidRPr="00E80755">
                <w:rPr>
                  <w:rStyle w:val="Collegamentoipertestuale"/>
                  <w:rFonts w:ascii="Arial Narrow" w:hAnsi="Arial Narrow" w:cs="Arial"/>
                  <w:color w:val="FFFFFF"/>
                  <w:sz w:val="22"/>
                  <w:szCs w:val="22"/>
                  <w:lang w:val="en-US"/>
                </w:rPr>
                <w:t>http://www.istat.it/it/congiuntura</w:t>
              </w:r>
            </w:hyperlink>
          </w:p>
          <w:p w:rsidR="00870437" w:rsidRPr="00844F2C" w:rsidRDefault="00804142" w:rsidP="00804142">
            <w:pPr>
              <w:widowControl/>
              <w:overflowPunct/>
              <w:autoSpaceDE/>
              <w:autoSpaceDN/>
              <w:adjustRightInd/>
              <w:spacing w:before="120" w:after="120" w:line="160" w:lineRule="atLeast"/>
              <w:ind w:left="176"/>
              <w:rPr>
                <w:rFonts w:ascii="Arial Narrow" w:hAnsi="Arial Narrow" w:cs="Arial"/>
                <w:color w:val="FFFFFF"/>
                <w:kern w:val="0"/>
                <w:sz w:val="22"/>
                <w:szCs w:val="22"/>
                <w:lang w:val="en-US"/>
              </w:rPr>
            </w:pPr>
            <w:r w:rsidRPr="00844F2C">
              <w:rPr>
                <w:rFonts w:ascii="Arial Narrow" w:hAnsi="Arial Narrow" w:cs="Arial"/>
                <w:color w:val="FFFFFF" w:themeColor="background1"/>
                <w:sz w:val="22"/>
                <w:szCs w:val="22"/>
                <w:u w:val="single"/>
                <w:lang w:val="en-US"/>
              </w:rPr>
              <w:t>http://rivaluta.istat.it/Rivaluta/</w:t>
            </w:r>
          </w:p>
        </w:tc>
      </w:tr>
      <w:tr w:rsidR="00870437" w:rsidRPr="002578CE" w:rsidTr="00BA11A0">
        <w:trPr>
          <w:trHeight w:val="686"/>
        </w:trPr>
        <w:tc>
          <w:tcPr>
            <w:tcW w:w="6916" w:type="dxa"/>
            <w:vMerge/>
            <w:tcBorders>
              <w:left w:val="single" w:sz="4" w:space="0" w:color="FFFFFF"/>
              <w:bottom w:val="nil"/>
              <w:right w:val="single" w:sz="48" w:space="0" w:color="FFFFFF"/>
            </w:tcBorders>
            <w:shd w:val="clear" w:color="auto" w:fill="D9D9D9"/>
          </w:tcPr>
          <w:p w:rsidR="00870437" w:rsidRPr="00844F2C" w:rsidRDefault="00870437" w:rsidP="00BA11A0">
            <w:pPr>
              <w:widowControl/>
              <w:tabs>
                <w:tab w:val="left" w:pos="284"/>
                <w:tab w:val="left" w:pos="709"/>
              </w:tabs>
              <w:overflowPunct/>
              <w:autoSpaceDE/>
              <w:autoSpaceDN/>
              <w:adjustRightInd/>
              <w:spacing w:before="0" w:after="120" w:line="230" w:lineRule="exact"/>
              <w:jc w:val="both"/>
              <w:rPr>
                <w:rFonts w:ascii="Arial" w:hAnsi="Arial" w:cs="Arial"/>
                <w:sz w:val="21"/>
                <w:szCs w:val="21"/>
                <w:lang w:val="en-US"/>
              </w:rPr>
            </w:pPr>
          </w:p>
        </w:tc>
        <w:tc>
          <w:tcPr>
            <w:tcW w:w="3290" w:type="dxa"/>
            <w:tcBorders>
              <w:top w:val="single" w:sz="36" w:space="0" w:color="FFFFFF"/>
              <w:left w:val="single" w:sz="48" w:space="0" w:color="FFFFFF"/>
              <w:bottom w:val="single" w:sz="36" w:space="0" w:color="FFFFFF"/>
              <w:right w:val="single" w:sz="36" w:space="0" w:color="FFFFFF"/>
            </w:tcBorders>
            <w:shd w:val="clear" w:color="auto" w:fill="E31C18"/>
          </w:tcPr>
          <w:p w:rsidR="00870437" w:rsidRPr="00E61ECE" w:rsidRDefault="00870437" w:rsidP="00BA11A0">
            <w:pPr>
              <w:pStyle w:val="Paragrafobase"/>
              <w:spacing w:before="160" w:line="320" w:lineRule="exact"/>
              <w:ind w:left="175"/>
              <w:rPr>
                <w:rFonts w:ascii="Calibri" w:hAnsi="Calibri" w:cs="Arial"/>
                <w:b/>
                <w:color w:val="FFFFFF"/>
                <w:sz w:val="28"/>
                <w:szCs w:val="28"/>
              </w:rPr>
            </w:pPr>
            <w:r w:rsidRPr="00E61ECE">
              <w:rPr>
                <w:rFonts w:ascii="Calibri" w:hAnsi="Calibri" w:cs="Arial"/>
                <w:b/>
                <w:color w:val="FFFFFF"/>
                <w:sz w:val="28"/>
                <w:szCs w:val="28"/>
              </w:rPr>
              <w:t>L’approfondimento</w:t>
            </w:r>
          </w:p>
          <w:p w:rsidR="00870437" w:rsidRPr="002578CE" w:rsidRDefault="00870437" w:rsidP="00ED59DC">
            <w:pPr>
              <w:pStyle w:val="Paragrafobase"/>
              <w:spacing w:before="120" w:after="120" w:line="240" w:lineRule="exact"/>
              <w:ind w:left="176" w:right="-391"/>
              <w:rPr>
                <w:rFonts w:ascii="Arial" w:hAnsi="Arial" w:cs="Arial"/>
                <w:sz w:val="21"/>
                <w:szCs w:val="21"/>
              </w:rPr>
            </w:pPr>
            <w:r>
              <w:rPr>
                <w:rFonts w:ascii="Arial Narrow" w:hAnsi="Arial Narrow" w:cs="Arial"/>
                <w:color w:val="FFFFFF"/>
                <w:sz w:val="22"/>
                <w:szCs w:val="22"/>
                <w:u w:val="single"/>
              </w:rPr>
              <w:t>pagina 7</w:t>
            </w:r>
          </w:p>
        </w:tc>
      </w:tr>
    </w:tbl>
    <w:p w:rsidR="002B1B35" w:rsidRDefault="002B1B35" w:rsidP="0043285D">
      <w:pPr>
        <w:widowControl/>
        <w:tabs>
          <w:tab w:val="left" w:pos="10206"/>
        </w:tabs>
        <w:overflowPunct/>
        <w:spacing w:before="0" w:line="230" w:lineRule="exact"/>
        <w:ind w:left="284"/>
        <w:jc w:val="both"/>
        <w:rPr>
          <w:rFonts w:ascii="Arial" w:hAnsi="Arial" w:cs="Arial"/>
          <w:sz w:val="21"/>
          <w:szCs w:val="21"/>
        </w:rPr>
      </w:pPr>
    </w:p>
    <w:p w:rsidR="0043285D" w:rsidRPr="00957753" w:rsidRDefault="0043285D" w:rsidP="00870437">
      <w:pPr>
        <w:widowControl/>
        <w:tabs>
          <w:tab w:val="left" w:pos="10206"/>
        </w:tabs>
        <w:overflowPunct/>
        <w:spacing w:before="0" w:line="230" w:lineRule="exact"/>
        <w:ind w:left="284"/>
        <w:jc w:val="both"/>
        <w:rPr>
          <w:rFonts w:ascii="Arial" w:hAnsi="Arial" w:cs="Arial"/>
          <w:b/>
          <w:sz w:val="8"/>
          <w:szCs w:val="8"/>
          <w:lang w:val="en-US"/>
        </w:rPr>
        <w:sectPr w:rsidR="0043285D" w:rsidRPr="00957753" w:rsidSect="003728D3">
          <w:headerReference w:type="default" r:id="rId24"/>
          <w:headerReference w:type="first" r:id="rId25"/>
          <w:pgSz w:w="11907" w:h="16840" w:code="9"/>
          <w:pgMar w:top="2238" w:right="851" w:bottom="680" w:left="851" w:header="567" w:footer="204" w:gutter="0"/>
          <w:cols w:space="720"/>
          <w:noEndnote/>
          <w:docGrid w:linePitch="272"/>
        </w:sectPr>
      </w:pPr>
    </w:p>
    <w:p w:rsidR="00E5745F" w:rsidRPr="00233824" w:rsidRDefault="00E5745F" w:rsidP="00EB5D65">
      <w:pPr>
        <w:pStyle w:val="001TitoGra"/>
        <w:spacing w:after="120" w:line="240" w:lineRule="auto"/>
      </w:pPr>
    </w:p>
    <w:p w:rsidR="00E71CB0" w:rsidRPr="00820101" w:rsidRDefault="00E71CB0" w:rsidP="00E71CB0">
      <w:pPr>
        <w:pStyle w:val="001TitoGra"/>
        <w:spacing w:after="120" w:line="240" w:lineRule="auto"/>
      </w:pPr>
    </w:p>
    <w:p w:rsidR="00EB5D65" w:rsidRDefault="00EB5D65" w:rsidP="00EB5D65">
      <w:pPr>
        <w:pStyle w:val="001TitoGra"/>
      </w:pPr>
      <w:r w:rsidRPr="00B5016A">
        <w:rPr>
          <w:color w:val="E42618"/>
        </w:rPr>
        <w:t>FIGURA 1</w:t>
      </w:r>
      <w:r w:rsidRPr="002E0A17">
        <w:rPr>
          <w:color w:val="D90B13"/>
        </w:rPr>
        <w:t>.</w:t>
      </w:r>
      <w:r>
        <w:t xml:space="preserve"> INDICE DEI PREZZI AL CONSUMO NIC</w:t>
      </w:r>
    </w:p>
    <w:p w:rsidR="00EB5D65" w:rsidRDefault="000E42DF" w:rsidP="00EB5D65">
      <w:pPr>
        <w:pStyle w:val="001TitoGra"/>
        <w:spacing w:after="120" w:line="240" w:lineRule="auto"/>
        <w:rPr>
          <w:b w:val="0"/>
          <w:sz w:val="20"/>
          <w:szCs w:val="20"/>
        </w:rPr>
      </w:pPr>
      <w:r>
        <w:rPr>
          <w:b w:val="0"/>
          <w:sz w:val="20"/>
          <w:szCs w:val="20"/>
        </w:rPr>
        <w:t>Gennaio 201</w:t>
      </w:r>
      <w:r w:rsidR="00306B10">
        <w:rPr>
          <w:b w:val="0"/>
          <w:sz w:val="20"/>
          <w:szCs w:val="20"/>
        </w:rPr>
        <w:t>9</w:t>
      </w:r>
      <w:r w:rsidR="00EB5D65">
        <w:rPr>
          <w:b w:val="0"/>
          <w:sz w:val="20"/>
          <w:szCs w:val="20"/>
        </w:rPr>
        <w:t xml:space="preserve"> </w:t>
      </w:r>
      <w:r w:rsidR="00EB5D65" w:rsidRPr="00920E3F">
        <w:rPr>
          <w:b w:val="0"/>
          <w:sz w:val="20"/>
          <w:szCs w:val="20"/>
        </w:rPr>
        <w:t>-</w:t>
      </w:r>
      <w:r w:rsidR="00EB5D65">
        <w:rPr>
          <w:b w:val="0"/>
          <w:sz w:val="20"/>
          <w:szCs w:val="20"/>
        </w:rPr>
        <w:t xml:space="preserve"> </w:t>
      </w:r>
      <w:r w:rsidR="00087335">
        <w:rPr>
          <w:b w:val="0"/>
          <w:sz w:val="20"/>
          <w:szCs w:val="20"/>
        </w:rPr>
        <w:t>lugli</w:t>
      </w:r>
      <w:r w:rsidR="00795B74">
        <w:rPr>
          <w:b w:val="0"/>
          <w:sz w:val="20"/>
          <w:szCs w:val="20"/>
        </w:rPr>
        <w:t>o</w:t>
      </w:r>
      <w:r w:rsidR="00EB5D65" w:rsidRPr="006F32EB">
        <w:rPr>
          <w:b w:val="0"/>
          <w:sz w:val="20"/>
          <w:szCs w:val="20"/>
        </w:rPr>
        <w:t xml:space="preserve"> </w:t>
      </w:r>
      <w:r w:rsidR="00192736">
        <w:rPr>
          <w:b w:val="0"/>
          <w:sz w:val="20"/>
          <w:szCs w:val="20"/>
        </w:rPr>
        <w:t>202</w:t>
      </w:r>
      <w:r w:rsidR="00306B10">
        <w:rPr>
          <w:b w:val="0"/>
          <w:sz w:val="20"/>
          <w:szCs w:val="20"/>
        </w:rPr>
        <w:t>4</w:t>
      </w:r>
      <w:r w:rsidR="00EB5D65">
        <w:rPr>
          <w:b w:val="0"/>
          <w:sz w:val="20"/>
          <w:szCs w:val="20"/>
        </w:rPr>
        <w:t xml:space="preserve">, </w:t>
      </w:r>
      <w:r w:rsidR="00EB5D65" w:rsidRPr="00B2699B">
        <w:rPr>
          <w:b w:val="0"/>
          <w:sz w:val="20"/>
          <w:szCs w:val="20"/>
        </w:rPr>
        <w:t>variazioni percentuali congiunturali e tendenziali</w:t>
      </w:r>
      <w:r w:rsidR="00EB5D65" w:rsidRPr="006C51CD">
        <w:rPr>
          <w:b w:val="0"/>
          <w:sz w:val="20"/>
          <w:szCs w:val="20"/>
        </w:rPr>
        <w:t xml:space="preserve"> (base 2015=100)</w:t>
      </w:r>
      <w:r w:rsidR="00EB5D65">
        <w:rPr>
          <w:b w:val="0"/>
          <w:sz w:val="20"/>
          <w:szCs w:val="20"/>
        </w:rPr>
        <w:t xml:space="preserve"> </w:t>
      </w:r>
    </w:p>
    <w:p w:rsidR="00EB5D65" w:rsidRDefault="00D656B5" w:rsidP="00EB5D65">
      <w:pPr>
        <w:pStyle w:val="001TitoGra"/>
        <w:spacing w:after="120" w:line="240" w:lineRule="auto"/>
      </w:pPr>
      <w:r>
        <w:rPr>
          <w:noProof/>
        </w:rPr>
        <w:drawing>
          <wp:inline distT="0" distB="0" distL="0" distR="0" wp14:anchorId="103394C7">
            <wp:extent cx="6486525" cy="3243580"/>
            <wp:effectExtent l="0" t="0" r="9525" b="0"/>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486525" cy="3243580"/>
                    </a:xfrm>
                    <a:prstGeom prst="rect">
                      <a:avLst/>
                    </a:prstGeom>
                    <a:noFill/>
                  </pic:spPr>
                </pic:pic>
              </a:graphicData>
            </a:graphic>
          </wp:inline>
        </w:drawing>
      </w:r>
    </w:p>
    <w:p w:rsidR="00EB5D65" w:rsidRDefault="00EB5D65" w:rsidP="00EB5D65">
      <w:pPr>
        <w:pStyle w:val="001TitoGra"/>
        <w:spacing w:after="120" w:line="240" w:lineRule="auto"/>
      </w:pPr>
    </w:p>
    <w:p w:rsidR="00EB5D65" w:rsidRPr="00820101" w:rsidRDefault="00EB5D65" w:rsidP="00EB5D65">
      <w:pPr>
        <w:pStyle w:val="001TitoGra"/>
        <w:spacing w:after="120" w:line="240" w:lineRule="auto"/>
      </w:pPr>
    </w:p>
    <w:p w:rsidR="00804335" w:rsidRPr="00820101" w:rsidRDefault="00804335" w:rsidP="00804335">
      <w:pPr>
        <w:pStyle w:val="001TitoGra"/>
        <w:spacing w:after="120" w:line="240" w:lineRule="auto"/>
      </w:pPr>
    </w:p>
    <w:p w:rsidR="00804335" w:rsidRPr="00820101" w:rsidRDefault="00804335" w:rsidP="00804335">
      <w:pPr>
        <w:pStyle w:val="001TitoGra"/>
        <w:spacing w:line="240" w:lineRule="auto"/>
      </w:pPr>
      <w:r w:rsidRPr="00820101">
        <w:rPr>
          <w:color w:val="E42618"/>
        </w:rPr>
        <w:t>PROSPETTO 1</w:t>
      </w:r>
      <w:r w:rsidRPr="00820101">
        <w:rPr>
          <w:color w:val="D90B13"/>
        </w:rPr>
        <w:t>.</w:t>
      </w:r>
      <w:r w:rsidRPr="00820101">
        <w:t xml:space="preserve"> INDICI DEI PREZZI AL CONSUMO NIC E IPCA</w:t>
      </w:r>
    </w:p>
    <w:p w:rsidR="000E42DF" w:rsidRDefault="00087335" w:rsidP="000E42DF">
      <w:pPr>
        <w:spacing w:before="0" w:after="120"/>
        <w:jc w:val="both"/>
        <w:rPr>
          <w:rFonts w:ascii="Arial Narrow" w:hAnsi="Arial Narrow" w:cs="Arial"/>
          <w:color w:val="5F5F5F"/>
        </w:rPr>
      </w:pPr>
      <w:r>
        <w:rPr>
          <w:rFonts w:ascii="Arial Narrow" w:hAnsi="Arial Narrow" w:cs="Arial"/>
          <w:color w:val="5F5F5F"/>
        </w:rPr>
        <w:t>Luglio</w:t>
      </w:r>
      <w:r w:rsidR="006E630A">
        <w:rPr>
          <w:rFonts w:ascii="Arial Narrow" w:hAnsi="Arial Narrow" w:cs="Arial"/>
          <w:color w:val="5F5F5F"/>
        </w:rPr>
        <w:t xml:space="preserve"> 2023</w:t>
      </w:r>
      <w:r w:rsidR="000E42DF">
        <w:rPr>
          <w:rFonts w:ascii="Arial Narrow" w:hAnsi="Arial Narrow" w:cs="Arial"/>
          <w:color w:val="5F5F5F"/>
        </w:rPr>
        <w:t xml:space="preserve"> </w:t>
      </w:r>
      <w:r w:rsidR="000E42DF" w:rsidRPr="008A1DA4">
        <w:rPr>
          <w:rFonts w:ascii="Arial Narrow" w:hAnsi="Arial Narrow" w:cs="Arial"/>
          <w:color w:val="5F5F5F"/>
        </w:rPr>
        <w:t>-</w:t>
      </w:r>
      <w:r>
        <w:rPr>
          <w:rFonts w:ascii="Arial Narrow" w:hAnsi="Arial Narrow" w:cs="Arial"/>
          <w:color w:val="5F5F5F"/>
        </w:rPr>
        <w:t xml:space="preserve"> lugli</w:t>
      </w:r>
      <w:r w:rsidR="00795B74">
        <w:rPr>
          <w:rFonts w:ascii="Arial Narrow" w:hAnsi="Arial Narrow" w:cs="Arial"/>
          <w:color w:val="5F5F5F"/>
        </w:rPr>
        <w:t>o</w:t>
      </w:r>
      <w:r w:rsidR="000E42DF" w:rsidRPr="00AB29D4">
        <w:rPr>
          <w:rFonts w:ascii="Arial Narrow" w:hAnsi="Arial Narrow" w:cs="Arial"/>
          <w:color w:val="5F5F5F"/>
        </w:rPr>
        <w:t xml:space="preserve"> </w:t>
      </w:r>
      <w:r w:rsidR="00915CE1">
        <w:rPr>
          <w:rFonts w:ascii="Arial Narrow" w:hAnsi="Arial Narrow" w:cs="Arial"/>
          <w:color w:val="5F5F5F"/>
        </w:rPr>
        <w:t>202</w:t>
      </w:r>
      <w:r w:rsidR="006E630A">
        <w:rPr>
          <w:rFonts w:ascii="Arial Narrow" w:hAnsi="Arial Narrow" w:cs="Arial"/>
          <w:color w:val="5F5F5F"/>
        </w:rPr>
        <w:t>4</w:t>
      </w:r>
      <w:r w:rsidR="000E42DF">
        <w:rPr>
          <w:rFonts w:ascii="Arial Narrow" w:hAnsi="Arial Narrow" w:cs="Arial"/>
          <w:color w:val="5F5F5F"/>
        </w:rPr>
        <w:t>, i</w:t>
      </w:r>
      <w:r w:rsidR="000E42DF" w:rsidRPr="008A1DA4">
        <w:rPr>
          <w:rFonts w:ascii="Arial Narrow" w:hAnsi="Arial Narrow" w:cs="Arial"/>
          <w:color w:val="5F5F5F"/>
        </w:rPr>
        <w:t>ndici e variazioni percentuali congiunturali e tendenziali (base 2015=100)</w:t>
      </w:r>
    </w:p>
    <w:tbl>
      <w:tblPr>
        <w:tblW w:w="10389" w:type="dxa"/>
        <w:jc w:val="center"/>
        <w:tblBorders>
          <w:top w:val="single" w:sz="4" w:space="0" w:color="auto"/>
          <w:bottom w:val="single" w:sz="4" w:space="0" w:color="auto"/>
          <w:insideH w:val="single" w:sz="4" w:space="0" w:color="auto"/>
        </w:tblBorders>
        <w:tblCellMar>
          <w:left w:w="70" w:type="dxa"/>
          <w:right w:w="70" w:type="dxa"/>
        </w:tblCellMar>
        <w:tblLook w:val="04A0" w:firstRow="1" w:lastRow="0" w:firstColumn="1" w:lastColumn="0" w:noHBand="0" w:noVBand="1"/>
      </w:tblPr>
      <w:tblGrid>
        <w:gridCol w:w="1701"/>
        <w:gridCol w:w="1448"/>
        <w:gridCol w:w="1448"/>
        <w:gridCol w:w="1448"/>
        <w:gridCol w:w="1448"/>
        <w:gridCol w:w="1448"/>
        <w:gridCol w:w="1448"/>
      </w:tblGrid>
      <w:tr w:rsidR="00915CE1" w:rsidRPr="009709E9" w:rsidTr="006117AD">
        <w:trPr>
          <w:trHeight w:val="255"/>
          <w:jc w:val="center"/>
        </w:trPr>
        <w:tc>
          <w:tcPr>
            <w:tcW w:w="1701" w:type="dxa"/>
            <w:vMerge w:val="restart"/>
            <w:vAlign w:val="center"/>
            <w:hideMark/>
          </w:tcPr>
          <w:p w:rsidR="00915CE1" w:rsidRPr="009709E9" w:rsidRDefault="00915CE1" w:rsidP="006117AD">
            <w:pPr>
              <w:spacing w:before="40" w:after="20"/>
              <w:rPr>
                <w:rFonts w:ascii="Arial Narrow" w:hAnsi="Arial Narrow" w:cs="Arial"/>
                <w:b/>
                <w:bCs/>
                <w:sz w:val="18"/>
                <w:szCs w:val="18"/>
              </w:rPr>
            </w:pPr>
            <w:r w:rsidRPr="009709E9">
              <w:rPr>
                <w:rFonts w:ascii="Arial Narrow" w:hAnsi="Arial Narrow" w:cs="Arial"/>
                <w:b/>
                <w:bCs/>
                <w:sz w:val="18"/>
                <w:szCs w:val="18"/>
              </w:rPr>
              <w:t>PERIODO</w:t>
            </w:r>
          </w:p>
        </w:tc>
        <w:tc>
          <w:tcPr>
            <w:tcW w:w="4344" w:type="dxa"/>
            <w:gridSpan w:val="3"/>
            <w:shd w:val="clear" w:color="auto" w:fill="D9D9D9" w:themeFill="background1" w:themeFillShade="D9"/>
            <w:vAlign w:val="center"/>
            <w:hideMark/>
          </w:tcPr>
          <w:p w:rsidR="00915CE1" w:rsidRPr="00783851" w:rsidRDefault="00915CE1" w:rsidP="006117AD">
            <w:pPr>
              <w:widowControl/>
              <w:overflowPunct/>
              <w:autoSpaceDE/>
              <w:autoSpaceDN/>
              <w:adjustRightInd/>
              <w:spacing w:before="0" w:after="0"/>
              <w:jc w:val="center"/>
              <w:rPr>
                <w:rFonts w:ascii="Arial Narrow" w:hAnsi="Arial Narrow" w:cs="Arial"/>
                <w:b/>
                <w:bCs/>
                <w:kern w:val="0"/>
                <w:sz w:val="18"/>
                <w:szCs w:val="18"/>
              </w:rPr>
            </w:pPr>
            <w:r w:rsidRPr="00783851">
              <w:rPr>
                <w:rFonts w:ascii="Arial Narrow" w:hAnsi="Arial Narrow" w:cs="Arial"/>
                <w:b/>
                <w:bCs/>
                <w:kern w:val="0"/>
                <w:sz w:val="18"/>
                <w:szCs w:val="18"/>
              </w:rPr>
              <w:t>Indice nazionale per l’intera collettività NIC</w:t>
            </w:r>
          </w:p>
        </w:tc>
        <w:tc>
          <w:tcPr>
            <w:tcW w:w="4344" w:type="dxa"/>
            <w:gridSpan w:val="3"/>
            <w:vAlign w:val="center"/>
            <w:hideMark/>
          </w:tcPr>
          <w:p w:rsidR="00915CE1" w:rsidRPr="009709E9" w:rsidRDefault="00915CE1" w:rsidP="006117AD">
            <w:pPr>
              <w:spacing w:before="40" w:after="20"/>
              <w:jc w:val="center"/>
              <w:rPr>
                <w:rFonts w:ascii="Arial Narrow" w:hAnsi="Arial Narrow" w:cs="Arial"/>
                <w:b/>
                <w:bCs/>
                <w:sz w:val="18"/>
                <w:szCs w:val="18"/>
              </w:rPr>
            </w:pPr>
            <w:r w:rsidRPr="00C10FF1">
              <w:rPr>
                <w:rFonts w:ascii="Arial Narrow" w:hAnsi="Arial Narrow" w:cs="Arial"/>
                <w:b/>
                <w:bCs/>
                <w:sz w:val="18"/>
                <w:szCs w:val="18"/>
              </w:rPr>
              <w:t>Indice armonizzato IPCA</w:t>
            </w:r>
          </w:p>
        </w:tc>
      </w:tr>
      <w:tr w:rsidR="00915CE1" w:rsidRPr="008A1DA4" w:rsidTr="006117AD">
        <w:trPr>
          <w:trHeight w:val="255"/>
          <w:jc w:val="center"/>
        </w:trPr>
        <w:tc>
          <w:tcPr>
            <w:tcW w:w="1701" w:type="dxa"/>
            <w:vMerge/>
            <w:vAlign w:val="center"/>
            <w:hideMark/>
          </w:tcPr>
          <w:p w:rsidR="00915CE1" w:rsidRPr="008A1DA4" w:rsidRDefault="00915CE1" w:rsidP="006117AD">
            <w:pPr>
              <w:spacing w:before="0" w:after="120"/>
              <w:jc w:val="both"/>
              <w:rPr>
                <w:rFonts w:ascii="Arial" w:hAnsi="Arial" w:cs="Arial"/>
                <w:b/>
                <w:bCs/>
              </w:rPr>
            </w:pPr>
          </w:p>
        </w:tc>
        <w:tc>
          <w:tcPr>
            <w:tcW w:w="1448" w:type="dxa"/>
            <w:vAlign w:val="center"/>
            <w:hideMark/>
          </w:tcPr>
          <w:p w:rsidR="00915CE1" w:rsidRPr="004C7AA6" w:rsidRDefault="00915CE1" w:rsidP="006117AD">
            <w:pPr>
              <w:tabs>
                <w:tab w:val="left" w:pos="5093"/>
              </w:tabs>
              <w:spacing w:before="40" w:after="20"/>
              <w:ind w:right="57"/>
              <w:jc w:val="center"/>
              <w:rPr>
                <w:rFonts w:ascii="Arial Narrow" w:hAnsi="Arial Narrow" w:cs="Arial"/>
                <w:bCs/>
                <w:sz w:val="18"/>
                <w:szCs w:val="18"/>
              </w:rPr>
            </w:pPr>
            <w:r w:rsidRPr="004C7AA6">
              <w:rPr>
                <w:rFonts w:ascii="Arial Narrow" w:hAnsi="Arial Narrow" w:cs="Arial"/>
                <w:bCs/>
                <w:sz w:val="18"/>
                <w:szCs w:val="18"/>
              </w:rPr>
              <w:t>Indici</w:t>
            </w:r>
          </w:p>
        </w:tc>
        <w:tc>
          <w:tcPr>
            <w:tcW w:w="1448" w:type="dxa"/>
            <w:vAlign w:val="center"/>
            <w:hideMark/>
          </w:tcPr>
          <w:p w:rsidR="00915CE1" w:rsidRPr="004C7AA6" w:rsidRDefault="00915CE1" w:rsidP="006117AD">
            <w:pPr>
              <w:tabs>
                <w:tab w:val="left" w:pos="5093"/>
              </w:tabs>
              <w:spacing w:before="40" w:after="20"/>
              <w:ind w:right="57"/>
              <w:jc w:val="center"/>
              <w:rPr>
                <w:rFonts w:ascii="Arial Narrow" w:hAnsi="Arial Narrow" w:cs="Arial"/>
                <w:bCs/>
                <w:sz w:val="18"/>
                <w:szCs w:val="18"/>
              </w:rPr>
            </w:pPr>
            <w:r w:rsidRPr="004C7AA6">
              <w:rPr>
                <w:rFonts w:ascii="Arial Narrow" w:hAnsi="Arial Narrow" w:cs="Arial"/>
                <w:bCs/>
                <w:sz w:val="18"/>
                <w:szCs w:val="18"/>
              </w:rPr>
              <w:t>Variazioni congiunturali</w:t>
            </w:r>
          </w:p>
        </w:tc>
        <w:tc>
          <w:tcPr>
            <w:tcW w:w="1448" w:type="dxa"/>
            <w:vAlign w:val="center"/>
            <w:hideMark/>
          </w:tcPr>
          <w:p w:rsidR="00915CE1" w:rsidRPr="004C7AA6" w:rsidRDefault="00915CE1" w:rsidP="006117AD">
            <w:pPr>
              <w:tabs>
                <w:tab w:val="left" w:pos="5093"/>
              </w:tabs>
              <w:spacing w:before="40" w:after="20"/>
              <w:ind w:right="57"/>
              <w:jc w:val="center"/>
              <w:rPr>
                <w:rFonts w:ascii="Arial Narrow" w:hAnsi="Arial Narrow" w:cs="Arial"/>
                <w:bCs/>
                <w:sz w:val="18"/>
                <w:szCs w:val="18"/>
              </w:rPr>
            </w:pPr>
            <w:r w:rsidRPr="004C7AA6">
              <w:rPr>
                <w:rFonts w:ascii="Arial Narrow" w:hAnsi="Arial Narrow" w:cs="Arial"/>
                <w:bCs/>
                <w:sz w:val="18"/>
                <w:szCs w:val="18"/>
              </w:rPr>
              <w:t>Variazioni tendenziali</w:t>
            </w:r>
          </w:p>
        </w:tc>
        <w:tc>
          <w:tcPr>
            <w:tcW w:w="1448" w:type="dxa"/>
            <w:vAlign w:val="center"/>
            <w:hideMark/>
          </w:tcPr>
          <w:p w:rsidR="00915CE1" w:rsidRPr="004C7AA6" w:rsidRDefault="00915CE1" w:rsidP="006117AD">
            <w:pPr>
              <w:tabs>
                <w:tab w:val="left" w:pos="5093"/>
              </w:tabs>
              <w:spacing w:before="40" w:after="20"/>
              <w:ind w:right="57"/>
              <w:jc w:val="center"/>
              <w:rPr>
                <w:rFonts w:ascii="Arial Narrow" w:hAnsi="Arial Narrow" w:cs="Arial"/>
                <w:bCs/>
                <w:sz w:val="18"/>
                <w:szCs w:val="18"/>
              </w:rPr>
            </w:pPr>
            <w:r w:rsidRPr="004C7AA6">
              <w:rPr>
                <w:rFonts w:ascii="Arial Narrow" w:hAnsi="Arial Narrow" w:cs="Arial"/>
                <w:bCs/>
                <w:sz w:val="18"/>
                <w:szCs w:val="18"/>
              </w:rPr>
              <w:t>Indici</w:t>
            </w:r>
          </w:p>
        </w:tc>
        <w:tc>
          <w:tcPr>
            <w:tcW w:w="1448" w:type="dxa"/>
            <w:vAlign w:val="center"/>
            <w:hideMark/>
          </w:tcPr>
          <w:p w:rsidR="00915CE1" w:rsidRPr="004C7AA6" w:rsidRDefault="00915CE1" w:rsidP="006117AD">
            <w:pPr>
              <w:tabs>
                <w:tab w:val="left" w:pos="5093"/>
              </w:tabs>
              <w:spacing w:before="40" w:after="20"/>
              <w:ind w:right="57"/>
              <w:jc w:val="center"/>
              <w:rPr>
                <w:rFonts w:ascii="Arial Narrow" w:hAnsi="Arial Narrow" w:cs="Arial"/>
                <w:bCs/>
                <w:sz w:val="18"/>
                <w:szCs w:val="18"/>
              </w:rPr>
            </w:pPr>
            <w:r w:rsidRPr="004C7AA6">
              <w:rPr>
                <w:rFonts w:ascii="Arial Narrow" w:hAnsi="Arial Narrow" w:cs="Arial"/>
                <w:bCs/>
                <w:sz w:val="18"/>
                <w:szCs w:val="18"/>
              </w:rPr>
              <w:t>Variazioni congiunturali</w:t>
            </w:r>
          </w:p>
        </w:tc>
        <w:tc>
          <w:tcPr>
            <w:tcW w:w="1448" w:type="dxa"/>
            <w:vAlign w:val="center"/>
            <w:hideMark/>
          </w:tcPr>
          <w:p w:rsidR="00915CE1" w:rsidRPr="004C7AA6" w:rsidRDefault="00915CE1" w:rsidP="006117AD">
            <w:pPr>
              <w:tabs>
                <w:tab w:val="left" w:pos="5093"/>
              </w:tabs>
              <w:spacing w:before="40" w:after="20"/>
              <w:ind w:right="57"/>
              <w:jc w:val="center"/>
              <w:rPr>
                <w:rFonts w:ascii="Arial Narrow" w:hAnsi="Arial Narrow" w:cs="Arial"/>
                <w:bCs/>
                <w:sz w:val="18"/>
                <w:szCs w:val="18"/>
              </w:rPr>
            </w:pPr>
            <w:r w:rsidRPr="004C7AA6">
              <w:rPr>
                <w:rFonts w:ascii="Arial Narrow" w:hAnsi="Arial Narrow" w:cs="Arial"/>
                <w:bCs/>
                <w:sz w:val="18"/>
                <w:szCs w:val="18"/>
              </w:rPr>
              <w:t>Variazioni tendenziali</w:t>
            </w:r>
          </w:p>
        </w:tc>
      </w:tr>
      <w:tr w:rsidR="00915CE1" w:rsidRPr="009709E9" w:rsidTr="006117AD">
        <w:trPr>
          <w:trHeight w:val="255"/>
          <w:jc w:val="center"/>
        </w:trPr>
        <w:tc>
          <w:tcPr>
            <w:tcW w:w="1701" w:type="dxa"/>
            <w:shd w:val="clear" w:color="auto" w:fill="FF0000"/>
            <w:vAlign w:val="center"/>
            <w:hideMark/>
          </w:tcPr>
          <w:p w:rsidR="00915CE1" w:rsidRPr="009709E9" w:rsidRDefault="00915CE1" w:rsidP="006117AD">
            <w:pPr>
              <w:spacing w:before="40" w:after="20"/>
              <w:rPr>
                <w:rFonts w:ascii="Arial Narrow" w:hAnsi="Arial Narrow" w:cs="Arial"/>
                <w:b/>
                <w:bCs/>
                <w:color w:val="FFFFFF"/>
                <w:sz w:val="18"/>
                <w:szCs w:val="18"/>
              </w:rPr>
            </w:pPr>
            <w:r w:rsidRPr="009709E9">
              <w:rPr>
                <w:rFonts w:ascii="Arial Narrow" w:hAnsi="Arial Narrow" w:cs="Arial"/>
                <w:b/>
                <w:bCs/>
                <w:color w:val="FFFFFF"/>
                <w:sz w:val="18"/>
                <w:szCs w:val="18"/>
              </w:rPr>
              <w:t>20</w:t>
            </w:r>
            <w:r>
              <w:rPr>
                <w:rFonts w:ascii="Arial Narrow" w:hAnsi="Arial Narrow" w:cs="Arial"/>
                <w:b/>
                <w:bCs/>
                <w:color w:val="FFFFFF"/>
                <w:sz w:val="18"/>
                <w:szCs w:val="18"/>
              </w:rPr>
              <w:t>2</w:t>
            </w:r>
            <w:r w:rsidR="00F214EA">
              <w:rPr>
                <w:rFonts w:ascii="Arial Narrow" w:hAnsi="Arial Narrow" w:cs="Arial"/>
                <w:b/>
                <w:bCs/>
                <w:color w:val="FFFFFF"/>
                <w:sz w:val="18"/>
                <w:szCs w:val="18"/>
              </w:rPr>
              <w:t>3</w:t>
            </w:r>
          </w:p>
        </w:tc>
        <w:tc>
          <w:tcPr>
            <w:tcW w:w="4344" w:type="dxa"/>
            <w:gridSpan w:val="3"/>
            <w:shd w:val="clear" w:color="auto" w:fill="FF0000"/>
            <w:vAlign w:val="center"/>
            <w:hideMark/>
          </w:tcPr>
          <w:p w:rsidR="00915CE1" w:rsidRPr="009709E9" w:rsidRDefault="00915CE1" w:rsidP="006117AD">
            <w:pPr>
              <w:spacing w:before="40" w:after="20"/>
              <w:jc w:val="center"/>
              <w:rPr>
                <w:rFonts w:ascii="Arial Narrow" w:hAnsi="Arial Narrow" w:cs="Arial"/>
                <w:b/>
                <w:bCs/>
                <w:color w:val="FFFFFF"/>
                <w:sz w:val="18"/>
                <w:szCs w:val="18"/>
              </w:rPr>
            </w:pPr>
            <w:r w:rsidRPr="009709E9">
              <w:rPr>
                <w:rFonts w:ascii="Arial Narrow" w:hAnsi="Arial Narrow" w:cs="Arial"/>
                <w:b/>
                <w:bCs/>
                <w:color w:val="FFFFFF"/>
                <w:sz w:val="18"/>
                <w:szCs w:val="18"/>
              </w:rPr>
              <w:t>Base 2015=100</w:t>
            </w:r>
          </w:p>
        </w:tc>
        <w:tc>
          <w:tcPr>
            <w:tcW w:w="4344" w:type="dxa"/>
            <w:gridSpan w:val="3"/>
            <w:shd w:val="clear" w:color="auto" w:fill="FF0000"/>
            <w:vAlign w:val="center"/>
            <w:hideMark/>
          </w:tcPr>
          <w:p w:rsidR="00915CE1" w:rsidRPr="009709E9" w:rsidRDefault="00915CE1" w:rsidP="006117AD">
            <w:pPr>
              <w:spacing w:before="40" w:after="20"/>
              <w:jc w:val="center"/>
              <w:rPr>
                <w:rFonts w:ascii="Arial Narrow" w:hAnsi="Arial Narrow" w:cs="Arial"/>
                <w:b/>
                <w:bCs/>
                <w:color w:val="FFFFFF"/>
                <w:sz w:val="18"/>
                <w:szCs w:val="18"/>
              </w:rPr>
            </w:pPr>
            <w:r w:rsidRPr="009709E9">
              <w:rPr>
                <w:rFonts w:ascii="Arial Narrow" w:hAnsi="Arial Narrow" w:cs="Arial"/>
                <w:b/>
                <w:bCs/>
                <w:color w:val="FFFFFF"/>
                <w:sz w:val="18"/>
                <w:szCs w:val="18"/>
              </w:rPr>
              <w:t>Base 2015=100</w:t>
            </w:r>
          </w:p>
        </w:tc>
      </w:tr>
      <w:tr w:rsidR="00F214EA" w:rsidRPr="001936CA" w:rsidTr="006117AD">
        <w:trPr>
          <w:trHeight w:val="255"/>
          <w:jc w:val="center"/>
        </w:trPr>
        <w:tc>
          <w:tcPr>
            <w:tcW w:w="1701" w:type="dxa"/>
          </w:tcPr>
          <w:p w:rsidR="00F214EA" w:rsidRDefault="00F214EA" w:rsidP="00F214EA">
            <w:pPr>
              <w:spacing w:before="40" w:after="20"/>
              <w:rPr>
                <w:rFonts w:ascii="Arial Narrow" w:hAnsi="Arial Narrow" w:cs="Arial"/>
                <w:bCs/>
                <w:sz w:val="18"/>
                <w:szCs w:val="18"/>
              </w:rPr>
            </w:pPr>
            <w:r>
              <w:rPr>
                <w:rFonts w:ascii="Arial Narrow" w:hAnsi="Arial Narrow" w:cs="Arial"/>
                <w:bCs/>
                <w:sz w:val="18"/>
                <w:szCs w:val="18"/>
              </w:rPr>
              <w:t>Luglio</w:t>
            </w:r>
          </w:p>
        </w:tc>
        <w:tc>
          <w:tcPr>
            <w:tcW w:w="1448" w:type="dxa"/>
            <w:shd w:val="clear" w:color="auto" w:fill="E6E6E6"/>
            <w:vAlign w:val="center"/>
          </w:tcPr>
          <w:p w:rsidR="00F214EA" w:rsidRDefault="00F214EA" w:rsidP="00F214EA">
            <w:pPr>
              <w:spacing w:before="40" w:after="20"/>
              <w:jc w:val="right"/>
              <w:rPr>
                <w:rFonts w:ascii="Arial Narrow" w:hAnsi="Arial Narrow" w:cs="Arial"/>
                <w:bCs/>
                <w:sz w:val="18"/>
                <w:szCs w:val="18"/>
              </w:rPr>
            </w:pPr>
            <w:r>
              <w:rPr>
                <w:rFonts w:ascii="Arial Narrow" w:hAnsi="Arial Narrow" w:cs="Arial"/>
                <w:bCs/>
                <w:sz w:val="18"/>
                <w:szCs w:val="18"/>
              </w:rPr>
              <w:t>119,7</w:t>
            </w:r>
          </w:p>
        </w:tc>
        <w:tc>
          <w:tcPr>
            <w:tcW w:w="1448" w:type="dxa"/>
            <w:vAlign w:val="center"/>
          </w:tcPr>
          <w:p w:rsidR="00F214EA" w:rsidRDefault="00F214EA" w:rsidP="00F214EA">
            <w:pPr>
              <w:spacing w:before="40" w:after="20"/>
              <w:jc w:val="right"/>
              <w:rPr>
                <w:rFonts w:ascii="Arial Narrow" w:hAnsi="Arial Narrow" w:cs="Arial"/>
                <w:bCs/>
                <w:sz w:val="18"/>
                <w:szCs w:val="18"/>
              </w:rPr>
            </w:pPr>
            <w:r>
              <w:rPr>
                <w:rFonts w:ascii="Arial Narrow" w:hAnsi="Arial Narrow" w:cs="Arial"/>
                <w:bCs/>
                <w:sz w:val="18"/>
                <w:szCs w:val="18"/>
              </w:rPr>
              <w:t>0,0</w:t>
            </w:r>
          </w:p>
        </w:tc>
        <w:tc>
          <w:tcPr>
            <w:tcW w:w="1448" w:type="dxa"/>
            <w:vAlign w:val="center"/>
          </w:tcPr>
          <w:p w:rsidR="00F214EA" w:rsidRDefault="00F214EA" w:rsidP="00F214EA">
            <w:pPr>
              <w:spacing w:before="40" w:after="20"/>
              <w:jc w:val="right"/>
              <w:rPr>
                <w:rFonts w:ascii="Arial Narrow" w:hAnsi="Arial Narrow" w:cs="Arial"/>
                <w:bCs/>
                <w:sz w:val="18"/>
                <w:szCs w:val="18"/>
              </w:rPr>
            </w:pPr>
            <w:r>
              <w:rPr>
                <w:rFonts w:ascii="Arial Narrow" w:hAnsi="Arial Narrow" w:cs="Arial"/>
                <w:bCs/>
                <w:sz w:val="18"/>
                <w:szCs w:val="18"/>
              </w:rPr>
              <w:t>+5,9</w:t>
            </w:r>
          </w:p>
        </w:tc>
        <w:tc>
          <w:tcPr>
            <w:tcW w:w="1448" w:type="dxa"/>
            <w:shd w:val="clear" w:color="auto" w:fill="E6E6E6"/>
            <w:vAlign w:val="center"/>
          </w:tcPr>
          <w:p w:rsidR="00F214EA" w:rsidRDefault="00F214EA" w:rsidP="00F214EA">
            <w:pPr>
              <w:spacing w:before="40" w:after="20"/>
              <w:jc w:val="right"/>
              <w:rPr>
                <w:rFonts w:ascii="Arial Narrow" w:hAnsi="Arial Narrow" w:cs="Arial"/>
                <w:bCs/>
                <w:sz w:val="18"/>
                <w:szCs w:val="18"/>
              </w:rPr>
            </w:pPr>
            <w:r>
              <w:rPr>
                <w:rFonts w:ascii="Arial Narrow" w:hAnsi="Arial Narrow" w:cs="Arial"/>
                <w:bCs/>
                <w:sz w:val="18"/>
                <w:szCs w:val="18"/>
              </w:rPr>
              <w:t>119,9</w:t>
            </w:r>
          </w:p>
        </w:tc>
        <w:tc>
          <w:tcPr>
            <w:tcW w:w="1448" w:type="dxa"/>
            <w:vAlign w:val="center"/>
          </w:tcPr>
          <w:p w:rsidR="00F214EA" w:rsidRDefault="00F214EA" w:rsidP="00F214EA">
            <w:pPr>
              <w:spacing w:before="40" w:after="20"/>
              <w:jc w:val="right"/>
              <w:rPr>
                <w:rFonts w:ascii="Arial Narrow" w:hAnsi="Arial Narrow" w:cs="Arial"/>
                <w:bCs/>
                <w:sz w:val="18"/>
                <w:szCs w:val="18"/>
              </w:rPr>
            </w:pPr>
            <w:r>
              <w:rPr>
                <w:rFonts w:ascii="Arial Narrow" w:hAnsi="Arial Narrow" w:cs="Arial"/>
                <w:bCs/>
                <w:sz w:val="18"/>
                <w:szCs w:val="18"/>
              </w:rPr>
              <w:t>-1,6</w:t>
            </w:r>
          </w:p>
        </w:tc>
        <w:tc>
          <w:tcPr>
            <w:tcW w:w="1448" w:type="dxa"/>
            <w:vAlign w:val="center"/>
          </w:tcPr>
          <w:p w:rsidR="00F214EA" w:rsidRDefault="00F214EA" w:rsidP="00F214EA">
            <w:pPr>
              <w:spacing w:before="40" w:after="20"/>
              <w:jc w:val="right"/>
              <w:rPr>
                <w:rFonts w:ascii="Arial Narrow" w:hAnsi="Arial Narrow" w:cs="Arial"/>
                <w:bCs/>
                <w:sz w:val="18"/>
                <w:szCs w:val="18"/>
              </w:rPr>
            </w:pPr>
            <w:r>
              <w:rPr>
                <w:rFonts w:ascii="Arial Narrow" w:hAnsi="Arial Narrow" w:cs="Arial"/>
                <w:bCs/>
                <w:sz w:val="18"/>
                <w:szCs w:val="18"/>
              </w:rPr>
              <w:t>+6,3</w:t>
            </w:r>
          </w:p>
        </w:tc>
      </w:tr>
      <w:tr w:rsidR="00F214EA" w:rsidRPr="001936CA" w:rsidTr="006117AD">
        <w:trPr>
          <w:trHeight w:val="255"/>
          <w:jc w:val="center"/>
        </w:trPr>
        <w:tc>
          <w:tcPr>
            <w:tcW w:w="1701" w:type="dxa"/>
          </w:tcPr>
          <w:p w:rsidR="00F214EA" w:rsidRDefault="00F214EA" w:rsidP="00F214EA">
            <w:pPr>
              <w:spacing w:before="40" w:after="20"/>
              <w:rPr>
                <w:rFonts w:ascii="Arial Narrow" w:hAnsi="Arial Narrow" w:cs="Arial"/>
                <w:bCs/>
                <w:sz w:val="18"/>
                <w:szCs w:val="18"/>
              </w:rPr>
            </w:pPr>
            <w:r>
              <w:rPr>
                <w:rFonts w:ascii="Arial Narrow" w:hAnsi="Arial Narrow" w:cs="Arial"/>
                <w:bCs/>
                <w:sz w:val="18"/>
                <w:szCs w:val="18"/>
              </w:rPr>
              <w:t>Agosto</w:t>
            </w:r>
          </w:p>
        </w:tc>
        <w:tc>
          <w:tcPr>
            <w:tcW w:w="1448" w:type="dxa"/>
            <w:shd w:val="clear" w:color="auto" w:fill="E6E6E6"/>
            <w:vAlign w:val="center"/>
          </w:tcPr>
          <w:p w:rsidR="00F214EA" w:rsidRDefault="00F214EA" w:rsidP="00F214EA">
            <w:pPr>
              <w:spacing w:before="40" w:after="20"/>
              <w:jc w:val="right"/>
              <w:rPr>
                <w:rFonts w:ascii="Arial Narrow" w:hAnsi="Arial Narrow" w:cs="Arial"/>
                <w:bCs/>
                <w:sz w:val="18"/>
                <w:szCs w:val="18"/>
              </w:rPr>
            </w:pPr>
            <w:r>
              <w:rPr>
                <w:rFonts w:ascii="Arial Narrow" w:hAnsi="Arial Narrow" w:cs="Arial"/>
                <w:bCs/>
                <w:sz w:val="18"/>
                <w:szCs w:val="18"/>
              </w:rPr>
              <w:t>120,1</w:t>
            </w:r>
          </w:p>
        </w:tc>
        <w:tc>
          <w:tcPr>
            <w:tcW w:w="1448" w:type="dxa"/>
            <w:vAlign w:val="center"/>
          </w:tcPr>
          <w:p w:rsidR="00F214EA" w:rsidRDefault="00F214EA" w:rsidP="00F214EA">
            <w:pPr>
              <w:spacing w:before="40" w:after="20"/>
              <w:jc w:val="right"/>
              <w:rPr>
                <w:rFonts w:ascii="Arial Narrow" w:hAnsi="Arial Narrow" w:cs="Arial"/>
                <w:bCs/>
                <w:sz w:val="18"/>
                <w:szCs w:val="18"/>
              </w:rPr>
            </w:pPr>
            <w:r>
              <w:rPr>
                <w:rFonts w:ascii="Arial Narrow" w:hAnsi="Arial Narrow" w:cs="Arial"/>
                <w:bCs/>
                <w:sz w:val="18"/>
                <w:szCs w:val="18"/>
              </w:rPr>
              <w:t>+0,3</w:t>
            </w:r>
          </w:p>
        </w:tc>
        <w:tc>
          <w:tcPr>
            <w:tcW w:w="1448" w:type="dxa"/>
            <w:vAlign w:val="center"/>
          </w:tcPr>
          <w:p w:rsidR="00F214EA" w:rsidRDefault="00F214EA" w:rsidP="00F214EA">
            <w:pPr>
              <w:spacing w:before="40" w:after="20"/>
              <w:jc w:val="right"/>
              <w:rPr>
                <w:rFonts w:ascii="Arial Narrow" w:hAnsi="Arial Narrow" w:cs="Arial"/>
                <w:bCs/>
                <w:sz w:val="18"/>
                <w:szCs w:val="18"/>
              </w:rPr>
            </w:pPr>
            <w:r>
              <w:rPr>
                <w:rFonts w:ascii="Arial Narrow" w:hAnsi="Arial Narrow" w:cs="Arial"/>
                <w:bCs/>
                <w:sz w:val="18"/>
                <w:szCs w:val="18"/>
              </w:rPr>
              <w:t>+5,4</w:t>
            </w:r>
          </w:p>
        </w:tc>
        <w:tc>
          <w:tcPr>
            <w:tcW w:w="1448" w:type="dxa"/>
            <w:shd w:val="clear" w:color="auto" w:fill="E6E6E6"/>
            <w:vAlign w:val="center"/>
          </w:tcPr>
          <w:p w:rsidR="00F214EA" w:rsidRDefault="00F214EA" w:rsidP="00F214EA">
            <w:pPr>
              <w:spacing w:before="40" w:after="20"/>
              <w:jc w:val="right"/>
              <w:rPr>
                <w:rFonts w:ascii="Arial Narrow" w:hAnsi="Arial Narrow" w:cs="Arial"/>
                <w:bCs/>
                <w:sz w:val="18"/>
                <w:szCs w:val="18"/>
              </w:rPr>
            </w:pPr>
            <w:r>
              <w:rPr>
                <w:rFonts w:ascii="Arial Narrow" w:hAnsi="Arial Narrow" w:cs="Arial"/>
                <w:bCs/>
                <w:sz w:val="18"/>
                <w:szCs w:val="18"/>
              </w:rPr>
              <w:t>120,1</w:t>
            </w:r>
          </w:p>
        </w:tc>
        <w:tc>
          <w:tcPr>
            <w:tcW w:w="1448" w:type="dxa"/>
            <w:vAlign w:val="center"/>
          </w:tcPr>
          <w:p w:rsidR="00F214EA" w:rsidRDefault="00F214EA" w:rsidP="00F214EA">
            <w:pPr>
              <w:spacing w:before="40" w:after="20"/>
              <w:jc w:val="right"/>
              <w:rPr>
                <w:rFonts w:ascii="Arial Narrow" w:hAnsi="Arial Narrow" w:cs="Arial"/>
                <w:bCs/>
                <w:sz w:val="18"/>
                <w:szCs w:val="18"/>
              </w:rPr>
            </w:pPr>
            <w:r>
              <w:rPr>
                <w:rFonts w:ascii="Arial Narrow" w:hAnsi="Arial Narrow" w:cs="Arial"/>
                <w:bCs/>
                <w:sz w:val="18"/>
                <w:szCs w:val="18"/>
              </w:rPr>
              <w:t>+0,2</w:t>
            </w:r>
          </w:p>
        </w:tc>
        <w:tc>
          <w:tcPr>
            <w:tcW w:w="1448" w:type="dxa"/>
            <w:vAlign w:val="center"/>
          </w:tcPr>
          <w:p w:rsidR="00F214EA" w:rsidRDefault="00F214EA" w:rsidP="00F214EA">
            <w:pPr>
              <w:spacing w:before="40" w:after="20"/>
              <w:jc w:val="right"/>
              <w:rPr>
                <w:rFonts w:ascii="Arial Narrow" w:hAnsi="Arial Narrow" w:cs="Arial"/>
                <w:bCs/>
                <w:sz w:val="18"/>
                <w:szCs w:val="18"/>
              </w:rPr>
            </w:pPr>
            <w:r>
              <w:rPr>
                <w:rFonts w:ascii="Arial Narrow" w:hAnsi="Arial Narrow" w:cs="Arial"/>
                <w:bCs/>
                <w:sz w:val="18"/>
                <w:szCs w:val="18"/>
              </w:rPr>
              <w:t>+5,5</w:t>
            </w:r>
          </w:p>
        </w:tc>
      </w:tr>
      <w:tr w:rsidR="00F214EA" w:rsidRPr="003B7DCF" w:rsidTr="006117AD">
        <w:trPr>
          <w:trHeight w:val="255"/>
          <w:jc w:val="center"/>
        </w:trPr>
        <w:tc>
          <w:tcPr>
            <w:tcW w:w="1701" w:type="dxa"/>
          </w:tcPr>
          <w:p w:rsidR="00F214EA" w:rsidRDefault="00F214EA" w:rsidP="00F214EA">
            <w:pPr>
              <w:spacing w:before="40" w:after="20"/>
              <w:rPr>
                <w:rFonts w:ascii="Arial Narrow" w:hAnsi="Arial Narrow" w:cs="Arial"/>
                <w:bCs/>
                <w:sz w:val="18"/>
                <w:szCs w:val="18"/>
              </w:rPr>
            </w:pPr>
            <w:r>
              <w:rPr>
                <w:rFonts w:ascii="Arial Narrow" w:hAnsi="Arial Narrow" w:cs="Arial"/>
                <w:bCs/>
                <w:sz w:val="18"/>
                <w:szCs w:val="18"/>
              </w:rPr>
              <w:t xml:space="preserve">Settembre </w:t>
            </w:r>
          </w:p>
        </w:tc>
        <w:tc>
          <w:tcPr>
            <w:tcW w:w="1448" w:type="dxa"/>
            <w:shd w:val="clear" w:color="auto" w:fill="E6E6E6"/>
            <w:vAlign w:val="center"/>
          </w:tcPr>
          <w:p w:rsidR="00F214EA" w:rsidRDefault="00F214EA" w:rsidP="00F214EA">
            <w:pPr>
              <w:spacing w:before="40" w:after="20"/>
              <w:jc w:val="right"/>
              <w:rPr>
                <w:rFonts w:ascii="Arial Narrow" w:hAnsi="Arial Narrow" w:cs="Arial"/>
                <w:bCs/>
                <w:sz w:val="18"/>
                <w:szCs w:val="18"/>
              </w:rPr>
            </w:pPr>
            <w:r>
              <w:rPr>
                <w:rFonts w:ascii="Arial Narrow" w:hAnsi="Arial Narrow" w:cs="Arial"/>
                <w:bCs/>
                <w:sz w:val="18"/>
                <w:szCs w:val="18"/>
              </w:rPr>
              <w:t>120,3</w:t>
            </w:r>
          </w:p>
        </w:tc>
        <w:tc>
          <w:tcPr>
            <w:tcW w:w="1448" w:type="dxa"/>
            <w:vAlign w:val="center"/>
          </w:tcPr>
          <w:p w:rsidR="00F214EA" w:rsidRDefault="00F214EA" w:rsidP="00F214EA">
            <w:pPr>
              <w:spacing w:before="40" w:after="20"/>
              <w:jc w:val="right"/>
              <w:rPr>
                <w:rFonts w:ascii="Arial Narrow" w:hAnsi="Arial Narrow" w:cs="Arial"/>
                <w:bCs/>
                <w:sz w:val="18"/>
                <w:szCs w:val="18"/>
              </w:rPr>
            </w:pPr>
            <w:r>
              <w:rPr>
                <w:rFonts w:ascii="Arial Narrow" w:hAnsi="Arial Narrow" w:cs="Arial"/>
                <w:bCs/>
                <w:sz w:val="18"/>
                <w:szCs w:val="18"/>
              </w:rPr>
              <w:t>+0,2</w:t>
            </w:r>
          </w:p>
        </w:tc>
        <w:tc>
          <w:tcPr>
            <w:tcW w:w="1448" w:type="dxa"/>
            <w:vAlign w:val="center"/>
          </w:tcPr>
          <w:p w:rsidR="00F214EA" w:rsidRDefault="00F214EA" w:rsidP="00F214EA">
            <w:pPr>
              <w:spacing w:before="40" w:after="20"/>
              <w:jc w:val="right"/>
              <w:rPr>
                <w:rFonts w:ascii="Arial Narrow" w:hAnsi="Arial Narrow" w:cs="Arial"/>
                <w:bCs/>
                <w:sz w:val="18"/>
                <w:szCs w:val="18"/>
              </w:rPr>
            </w:pPr>
            <w:r>
              <w:rPr>
                <w:rFonts w:ascii="Arial Narrow" w:hAnsi="Arial Narrow" w:cs="Arial"/>
                <w:bCs/>
                <w:sz w:val="18"/>
                <w:szCs w:val="18"/>
              </w:rPr>
              <w:t>+5,3</w:t>
            </w:r>
          </w:p>
        </w:tc>
        <w:tc>
          <w:tcPr>
            <w:tcW w:w="1448" w:type="dxa"/>
            <w:shd w:val="clear" w:color="auto" w:fill="E6E6E6"/>
            <w:vAlign w:val="center"/>
          </w:tcPr>
          <w:p w:rsidR="00F214EA" w:rsidRDefault="00F214EA" w:rsidP="00F214EA">
            <w:pPr>
              <w:spacing w:before="40" w:after="20"/>
              <w:jc w:val="right"/>
              <w:rPr>
                <w:rFonts w:ascii="Arial Narrow" w:hAnsi="Arial Narrow" w:cs="Arial"/>
                <w:bCs/>
                <w:sz w:val="18"/>
                <w:szCs w:val="18"/>
              </w:rPr>
            </w:pPr>
            <w:r>
              <w:rPr>
                <w:rFonts w:ascii="Arial Narrow" w:hAnsi="Arial Narrow" w:cs="Arial"/>
                <w:bCs/>
                <w:sz w:val="18"/>
                <w:szCs w:val="18"/>
              </w:rPr>
              <w:t>122,1</w:t>
            </w:r>
          </w:p>
        </w:tc>
        <w:tc>
          <w:tcPr>
            <w:tcW w:w="1448" w:type="dxa"/>
            <w:vAlign w:val="center"/>
          </w:tcPr>
          <w:p w:rsidR="00F214EA" w:rsidRDefault="00F214EA" w:rsidP="00F214EA">
            <w:pPr>
              <w:spacing w:before="40" w:after="20"/>
              <w:jc w:val="right"/>
              <w:rPr>
                <w:rFonts w:ascii="Arial Narrow" w:hAnsi="Arial Narrow" w:cs="Arial"/>
                <w:bCs/>
                <w:sz w:val="18"/>
                <w:szCs w:val="18"/>
              </w:rPr>
            </w:pPr>
            <w:r>
              <w:rPr>
                <w:rFonts w:ascii="Arial Narrow" w:hAnsi="Arial Narrow" w:cs="Arial"/>
                <w:bCs/>
                <w:sz w:val="18"/>
                <w:szCs w:val="18"/>
              </w:rPr>
              <w:t>+1,7</w:t>
            </w:r>
          </w:p>
        </w:tc>
        <w:tc>
          <w:tcPr>
            <w:tcW w:w="1448" w:type="dxa"/>
            <w:vAlign w:val="center"/>
          </w:tcPr>
          <w:p w:rsidR="00F214EA" w:rsidRDefault="00F214EA" w:rsidP="00F214EA">
            <w:pPr>
              <w:spacing w:before="40" w:after="20"/>
              <w:jc w:val="right"/>
              <w:rPr>
                <w:rFonts w:ascii="Arial Narrow" w:hAnsi="Arial Narrow" w:cs="Arial"/>
                <w:bCs/>
                <w:sz w:val="18"/>
                <w:szCs w:val="18"/>
              </w:rPr>
            </w:pPr>
            <w:r>
              <w:rPr>
                <w:rFonts w:ascii="Arial Narrow" w:hAnsi="Arial Narrow" w:cs="Arial"/>
                <w:bCs/>
                <w:sz w:val="18"/>
                <w:szCs w:val="18"/>
              </w:rPr>
              <w:t>+5,6</w:t>
            </w:r>
          </w:p>
        </w:tc>
      </w:tr>
      <w:tr w:rsidR="00F214EA" w:rsidRPr="00EE3BCC" w:rsidTr="002711A3">
        <w:trPr>
          <w:trHeight w:val="255"/>
          <w:jc w:val="center"/>
        </w:trPr>
        <w:tc>
          <w:tcPr>
            <w:tcW w:w="1701" w:type="dxa"/>
          </w:tcPr>
          <w:p w:rsidR="00F214EA" w:rsidRDefault="00F214EA" w:rsidP="00F214EA">
            <w:pPr>
              <w:spacing w:before="40" w:after="20"/>
              <w:rPr>
                <w:rFonts w:ascii="Arial Narrow" w:hAnsi="Arial Narrow" w:cs="Arial"/>
                <w:bCs/>
                <w:sz w:val="18"/>
                <w:szCs w:val="18"/>
              </w:rPr>
            </w:pPr>
            <w:r>
              <w:rPr>
                <w:rFonts w:ascii="Arial Narrow" w:hAnsi="Arial Narrow" w:cs="Arial"/>
                <w:bCs/>
                <w:sz w:val="18"/>
                <w:szCs w:val="18"/>
              </w:rPr>
              <w:t xml:space="preserve">Ottobre </w:t>
            </w:r>
          </w:p>
        </w:tc>
        <w:tc>
          <w:tcPr>
            <w:tcW w:w="1448" w:type="dxa"/>
            <w:shd w:val="clear" w:color="auto" w:fill="E6E6E6"/>
            <w:vAlign w:val="center"/>
          </w:tcPr>
          <w:p w:rsidR="00F214EA" w:rsidRDefault="00F214EA" w:rsidP="00F214EA">
            <w:pPr>
              <w:spacing w:before="40" w:after="20"/>
              <w:jc w:val="right"/>
              <w:rPr>
                <w:rFonts w:ascii="Arial Narrow" w:hAnsi="Arial Narrow" w:cs="Arial"/>
                <w:bCs/>
                <w:sz w:val="18"/>
                <w:szCs w:val="18"/>
              </w:rPr>
            </w:pPr>
            <w:r>
              <w:rPr>
                <w:rFonts w:ascii="Arial Narrow" w:hAnsi="Arial Narrow" w:cs="Arial"/>
                <w:bCs/>
                <w:sz w:val="18"/>
                <w:szCs w:val="18"/>
              </w:rPr>
              <w:t>120,1</w:t>
            </w:r>
          </w:p>
        </w:tc>
        <w:tc>
          <w:tcPr>
            <w:tcW w:w="1448" w:type="dxa"/>
            <w:vAlign w:val="center"/>
          </w:tcPr>
          <w:p w:rsidR="00F214EA" w:rsidRDefault="00F214EA" w:rsidP="00F214EA">
            <w:pPr>
              <w:spacing w:before="40" w:after="20"/>
              <w:jc w:val="right"/>
              <w:rPr>
                <w:rFonts w:ascii="Arial Narrow" w:hAnsi="Arial Narrow" w:cs="Arial"/>
                <w:bCs/>
                <w:sz w:val="18"/>
                <w:szCs w:val="18"/>
              </w:rPr>
            </w:pPr>
            <w:r>
              <w:rPr>
                <w:rFonts w:ascii="Arial Narrow" w:hAnsi="Arial Narrow" w:cs="Arial"/>
                <w:bCs/>
                <w:sz w:val="18"/>
                <w:szCs w:val="18"/>
              </w:rPr>
              <w:t>-0,2</w:t>
            </w:r>
          </w:p>
        </w:tc>
        <w:tc>
          <w:tcPr>
            <w:tcW w:w="1448" w:type="dxa"/>
            <w:vAlign w:val="center"/>
          </w:tcPr>
          <w:p w:rsidR="00F214EA" w:rsidRDefault="00F214EA" w:rsidP="00F214EA">
            <w:pPr>
              <w:spacing w:before="40" w:after="20"/>
              <w:jc w:val="right"/>
              <w:rPr>
                <w:rFonts w:ascii="Arial Narrow" w:hAnsi="Arial Narrow" w:cs="Arial"/>
                <w:bCs/>
                <w:sz w:val="18"/>
                <w:szCs w:val="18"/>
              </w:rPr>
            </w:pPr>
            <w:r>
              <w:rPr>
                <w:rFonts w:ascii="Arial Narrow" w:hAnsi="Arial Narrow" w:cs="Arial"/>
                <w:bCs/>
                <w:sz w:val="18"/>
                <w:szCs w:val="18"/>
              </w:rPr>
              <w:t>+1,7</w:t>
            </w:r>
          </w:p>
        </w:tc>
        <w:tc>
          <w:tcPr>
            <w:tcW w:w="1448" w:type="dxa"/>
            <w:shd w:val="clear" w:color="auto" w:fill="E6E6E6"/>
            <w:vAlign w:val="center"/>
          </w:tcPr>
          <w:p w:rsidR="00F214EA" w:rsidRDefault="00F214EA" w:rsidP="00F214EA">
            <w:pPr>
              <w:spacing w:before="40" w:after="20"/>
              <w:jc w:val="right"/>
              <w:rPr>
                <w:rFonts w:ascii="Arial Narrow" w:hAnsi="Arial Narrow" w:cs="Arial"/>
                <w:bCs/>
                <w:sz w:val="18"/>
                <w:szCs w:val="18"/>
              </w:rPr>
            </w:pPr>
            <w:r>
              <w:rPr>
                <w:rFonts w:ascii="Arial Narrow" w:hAnsi="Arial Narrow" w:cs="Arial"/>
                <w:bCs/>
                <w:sz w:val="18"/>
                <w:szCs w:val="18"/>
              </w:rPr>
              <w:t>122,2</w:t>
            </w:r>
          </w:p>
        </w:tc>
        <w:tc>
          <w:tcPr>
            <w:tcW w:w="1448" w:type="dxa"/>
            <w:vAlign w:val="center"/>
          </w:tcPr>
          <w:p w:rsidR="00F214EA" w:rsidRDefault="00F214EA" w:rsidP="00F214EA">
            <w:pPr>
              <w:spacing w:before="40" w:after="20"/>
              <w:jc w:val="right"/>
              <w:rPr>
                <w:rFonts w:ascii="Arial Narrow" w:hAnsi="Arial Narrow" w:cs="Arial"/>
                <w:bCs/>
                <w:sz w:val="18"/>
                <w:szCs w:val="18"/>
              </w:rPr>
            </w:pPr>
            <w:r>
              <w:rPr>
                <w:rFonts w:ascii="Arial Narrow" w:hAnsi="Arial Narrow" w:cs="Arial"/>
                <w:bCs/>
                <w:sz w:val="18"/>
                <w:szCs w:val="18"/>
              </w:rPr>
              <w:t>+0,1</w:t>
            </w:r>
          </w:p>
        </w:tc>
        <w:tc>
          <w:tcPr>
            <w:tcW w:w="1448" w:type="dxa"/>
            <w:vAlign w:val="center"/>
          </w:tcPr>
          <w:p w:rsidR="00F214EA" w:rsidRDefault="00F214EA" w:rsidP="00F214EA">
            <w:pPr>
              <w:spacing w:before="40" w:after="20"/>
              <w:jc w:val="right"/>
              <w:rPr>
                <w:rFonts w:ascii="Arial Narrow" w:hAnsi="Arial Narrow" w:cs="Arial"/>
                <w:bCs/>
                <w:sz w:val="18"/>
                <w:szCs w:val="18"/>
              </w:rPr>
            </w:pPr>
            <w:r>
              <w:rPr>
                <w:rFonts w:ascii="Arial Narrow" w:hAnsi="Arial Narrow" w:cs="Arial"/>
                <w:bCs/>
                <w:sz w:val="18"/>
                <w:szCs w:val="18"/>
              </w:rPr>
              <w:t>+1,8</w:t>
            </w:r>
          </w:p>
        </w:tc>
      </w:tr>
      <w:tr w:rsidR="003C3455" w:rsidRPr="00EE3BCC" w:rsidTr="006117AD">
        <w:trPr>
          <w:trHeight w:val="255"/>
          <w:jc w:val="center"/>
        </w:trPr>
        <w:tc>
          <w:tcPr>
            <w:tcW w:w="1701" w:type="dxa"/>
          </w:tcPr>
          <w:p w:rsidR="003C3455" w:rsidRDefault="003C3455" w:rsidP="003C3455">
            <w:pPr>
              <w:spacing w:before="40" w:after="20"/>
              <w:rPr>
                <w:rFonts w:ascii="Arial Narrow" w:hAnsi="Arial Narrow" w:cs="Arial"/>
                <w:bCs/>
                <w:sz w:val="18"/>
                <w:szCs w:val="18"/>
              </w:rPr>
            </w:pPr>
            <w:r>
              <w:rPr>
                <w:rFonts w:ascii="Arial Narrow" w:hAnsi="Arial Narrow" w:cs="Arial"/>
                <w:bCs/>
                <w:sz w:val="18"/>
                <w:szCs w:val="18"/>
              </w:rPr>
              <w:t>Novembre</w:t>
            </w:r>
          </w:p>
        </w:tc>
        <w:tc>
          <w:tcPr>
            <w:tcW w:w="1448" w:type="dxa"/>
            <w:shd w:val="clear" w:color="auto" w:fill="E6E6E6"/>
            <w:vAlign w:val="bottom"/>
          </w:tcPr>
          <w:p w:rsidR="003C3455" w:rsidRPr="003C3455" w:rsidRDefault="006709D5" w:rsidP="003C3455">
            <w:pPr>
              <w:tabs>
                <w:tab w:val="left" w:pos="5093"/>
              </w:tabs>
              <w:spacing w:before="40" w:after="20"/>
              <w:jc w:val="right"/>
              <w:rPr>
                <w:rFonts w:ascii="Arial Narrow" w:hAnsi="Arial Narrow" w:cs="Arial"/>
                <w:bCs/>
                <w:sz w:val="18"/>
                <w:szCs w:val="18"/>
              </w:rPr>
            </w:pPr>
            <w:r>
              <w:rPr>
                <w:rFonts w:ascii="Arial Narrow" w:hAnsi="Arial Narrow" w:cs="Arial"/>
                <w:bCs/>
                <w:sz w:val="18"/>
                <w:szCs w:val="18"/>
              </w:rPr>
              <w:t>119,5</w:t>
            </w:r>
          </w:p>
        </w:tc>
        <w:tc>
          <w:tcPr>
            <w:tcW w:w="1448" w:type="dxa"/>
            <w:vAlign w:val="center"/>
          </w:tcPr>
          <w:p w:rsidR="003C3455" w:rsidRPr="003C3455" w:rsidRDefault="006709D5" w:rsidP="003C3455">
            <w:pPr>
              <w:tabs>
                <w:tab w:val="left" w:pos="5093"/>
              </w:tabs>
              <w:spacing w:before="40" w:after="20"/>
              <w:jc w:val="right"/>
              <w:rPr>
                <w:rFonts w:ascii="Arial Narrow" w:hAnsi="Arial Narrow" w:cs="Arial"/>
                <w:bCs/>
                <w:sz w:val="18"/>
                <w:szCs w:val="18"/>
              </w:rPr>
            </w:pPr>
            <w:r>
              <w:rPr>
                <w:rFonts w:ascii="Arial Narrow" w:hAnsi="Arial Narrow" w:cs="Arial"/>
                <w:bCs/>
                <w:sz w:val="18"/>
                <w:szCs w:val="18"/>
              </w:rPr>
              <w:t>-0,5</w:t>
            </w:r>
          </w:p>
        </w:tc>
        <w:tc>
          <w:tcPr>
            <w:tcW w:w="1448" w:type="dxa"/>
            <w:vAlign w:val="center"/>
          </w:tcPr>
          <w:p w:rsidR="003C3455" w:rsidRPr="003C3455" w:rsidRDefault="006709D5" w:rsidP="003C3455">
            <w:pPr>
              <w:tabs>
                <w:tab w:val="left" w:pos="5093"/>
              </w:tabs>
              <w:spacing w:before="40" w:after="20"/>
              <w:jc w:val="right"/>
              <w:rPr>
                <w:rFonts w:ascii="Arial Narrow" w:hAnsi="Arial Narrow" w:cs="Arial"/>
                <w:bCs/>
                <w:sz w:val="18"/>
                <w:szCs w:val="18"/>
              </w:rPr>
            </w:pPr>
            <w:r>
              <w:rPr>
                <w:rFonts w:ascii="Arial Narrow" w:hAnsi="Arial Narrow" w:cs="Arial"/>
                <w:bCs/>
                <w:sz w:val="18"/>
                <w:szCs w:val="18"/>
              </w:rPr>
              <w:t>+0,7</w:t>
            </w:r>
          </w:p>
        </w:tc>
        <w:tc>
          <w:tcPr>
            <w:tcW w:w="1448" w:type="dxa"/>
            <w:shd w:val="clear" w:color="auto" w:fill="E6E6E6"/>
            <w:vAlign w:val="bottom"/>
          </w:tcPr>
          <w:p w:rsidR="003C3455" w:rsidRPr="003C3455" w:rsidRDefault="006709D5" w:rsidP="003C3455">
            <w:pPr>
              <w:tabs>
                <w:tab w:val="left" w:pos="5093"/>
              </w:tabs>
              <w:spacing w:before="40" w:after="20"/>
              <w:jc w:val="right"/>
              <w:rPr>
                <w:rFonts w:ascii="Arial Narrow" w:hAnsi="Arial Narrow" w:cs="Arial"/>
                <w:bCs/>
                <w:sz w:val="18"/>
                <w:szCs w:val="18"/>
              </w:rPr>
            </w:pPr>
            <w:r>
              <w:rPr>
                <w:rFonts w:ascii="Arial Narrow" w:hAnsi="Arial Narrow" w:cs="Arial"/>
                <w:bCs/>
                <w:sz w:val="18"/>
                <w:szCs w:val="18"/>
              </w:rPr>
              <w:t>121,5</w:t>
            </w:r>
          </w:p>
        </w:tc>
        <w:tc>
          <w:tcPr>
            <w:tcW w:w="1448" w:type="dxa"/>
            <w:vAlign w:val="center"/>
          </w:tcPr>
          <w:p w:rsidR="003C3455" w:rsidRPr="003C3455" w:rsidRDefault="006709D5" w:rsidP="003C3455">
            <w:pPr>
              <w:tabs>
                <w:tab w:val="left" w:pos="5093"/>
              </w:tabs>
              <w:spacing w:before="40" w:after="20"/>
              <w:jc w:val="right"/>
              <w:rPr>
                <w:rFonts w:ascii="Arial Narrow" w:hAnsi="Arial Narrow" w:cs="Arial"/>
                <w:bCs/>
                <w:sz w:val="18"/>
                <w:szCs w:val="18"/>
              </w:rPr>
            </w:pPr>
            <w:r>
              <w:rPr>
                <w:rFonts w:ascii="Arial Narrow" w:hAnsi="Arial Narrow" w:cs="Arial"/>
                <w:bCs/>
                <w:sz w:val="18"/>
                <w:szCs w:val="18"/>
              </w:rPr>
              <w:t>-0,6</w:t>
            </w:r>
          </w:p>
        </w:tc>
        <w:tc>
          <w:tcPr>
            <w:tcW w:w="1448" w:type="dxa"/>
            <w:vAlign w:val="center"/>
          </w:tcPr>
          <w:p w:rsidR="003C3455" w:rsidRPr="003C3455" w:rsidRDefault="006709D5" w:rsidP="003C3455">
            <w:pPr>
              <w:tabs>
                <w:tab w:val="left" w:pos="5093"/>
              </w:tabs>
              <w:spacing w:before="40" w:after="20"/>
              <w:jc w:val="right"/>
              <w:rPr>
                <w:rFonts w:ascii="Arial Narrow" w:hAnsi="Arial Narrow" w:cs="Arial"/>
                <w:bCs/>
                <w:sz w:val="18"/>
                <w:szCs w:val="18"/>
              </w:rPr>
            </w:pPr>
            <w:r>
              <w:rPr>
                <w:rFonts w:ascii="Arial Narrow" w:hAnsi="Arial Narrow" w:cs="Arial"/>
                <w:bCs/>
                <w:sz w:val="18"/>
                <w:szCs w:val="18"/>
              </w:rPr>
              <w:t>+0,6</w:t>
            </w:r>
          </w:p>
        </w:tc>
      </w:tr>
      <w:tr w:rsidR="006E630A" w:rsidRPr="00EE3BCC" w:rsidTr="004B3ACE">
        <w:trPr>
          <w:trHeight w:val="255"/>
          <w:jc w:val="center"/>
        </w:trPr>
        <w:tc>
          <w:tcPr>
            <w:tcW w:w="1701" w:type="dxa"/>
          </w:tcPr>
          <w:p w:rsidR="006E630A" w:rsidRDefault="006E630A" w:rsidP="006E630A">
            <w:pPr>
              <w:spacing w:before="40" w:after="20"/>
              <w:rPr>
                <w:rFonts w:ascii="Arial Narrow" w:hAnsi="Arial Narrow" w:cs="Arial"/>
                <w:bCs/>
                <w:sz w:val="18"/>
                <w:szCs w:val="18"/>
              </w:rPr>
            </w:pPr>
            <w:r>
              <w:rPr>
                <w:rFonts w:ascii="Arial Narrow" w:hAnsi="Arial Narrow" w:cs="Arial"/>
                <w:bCs/>
                <w:sz w:val="18"/>
                <w:szCs w:val="18"/>
              </w:rPr>
              <w:t>Dicembre</w:t>
            </w:r>
          </w:p>
        </w:tc>
        <w:tc>
          <w:tcPr>
            <w:tcW w:w="1448" w:type="dxa"/>
            <w:shd w:val="clear" w:color="auto" w:fill="E6E6E6"/>
          </w:tcPr>
          <w:p w:rsidR="006E630A" w:rsidRPr="006E630A" w:rsidRDefault="006E630A" w:rsidP="006E630A">
            <w:pPr>
              <w:spacing w:before="40" w:after="20"/>
              <w:jc w:val="right"/>
              <w:rPr>
                <w:rFonts w:ascii="Arial Narrow" w:hAnsi="Arial Narrow" w:cs="Arial"/>
                <w:bCs/>
                <w:sz w:val="18"/>
                <w:szCs w:val="18"/>
              </w:rPr>
            </w:pPr>
            <w:r w:rsidRPr="006E630A">
              <w:rPr>
                <w:rFonts w:ascii="Arial Narrow" w:hAnsi="Arial Narrow" w:cs="Arial"/>
                <w:bCs/>
                <w:sz w:val="18"/>
                <w:szCs w:val="18"/>
              </w:rPr>
              <w:t>119,7</w:t>
            </w:r>
          </w:p>
        </w:tc>
        <w:tc>
          <w:tcPr>
            <w:tcW w:w="1448" w:type="dxa"/>
          </w:tcPr>
          <w:p w:rsidR="006E630A" w:rsidRPr="006E630A" w:rsidRDefault="006E630A" w:rsidP="006E630A">
            <w:pPr>
              <w:spacing w:before="40" w:after="20"/>
              <w:jc w:val="right"/>
              <w:rPr>
                <w:rFonts w:ascii="Arial Narrow" w:hAnsi="Arial Narrow" w:cs="Arial"/>
                <w:bCs/>
                <w:sz w:val="18"/>
                <w:szCs w:val="18"/>
              </w:rPr>
            </w:pPr>
            <w:r w:rsidRPr="006E630A">
              <w:rPr>
                <w:rFonts w:ascii="Arial Narrow" w:hAnsi="Arial Narrow" w:cs="Arial"/>
                <w:bCs/>
                <w:sz w:val="18"/>
                <w:szCs w:val="18"/>
              </w:rPr>
              <w:t>+0,2</w:t>
            </w:r>
          </w:p>
        </w:tc>
        <w:tc>
          <w:tcPr>
            <w:tcW w:w="1448" w:type="dxa"/>
          </w:tcPr>
          <w:p w:rsidR="006E630A" w:rsidRPr="006E630A" w:rsidRDefault="006E630A" w:rsidP="006E630A">
            <w:pPr>
              <w:spacing w:before="40" w:after="20"/>
              <w:jc w:val="right"/>
              <w:rPr>
                <w:rFonts w:ascii="Arial Narrow" w:hAnsi="Arial Narrow" w:cs="Arial"/>
                <w:bCs/>
                <w:sz w:val="18"/>
                <w:szCs w:val="18"/>
              </w:rPr>
            </w:pPr>
            <w:r w:rsidRPr="006E630A">
              <w:rPr>
                <w:rFonts w:ascii="Arial Narrow" w:hAnsi="Arial Narrow" w:cs="Arial"/>
                <w:bCs/>
                <w:sz w:val="18"/>
                <w:szCs w:val="18"/>
              </w:rPr>
              <w:t>+0,6</w:t>
            </w:r>
          </w:p>
        </w:tc>
        <w:tc>
          <w:tcPr>
            <w:tcW w:w="1448" w:type="dxa"/>
            <w:shd w:val="clear" w:color="auto" w:fill="D9D9D9" w:themeFill="background1" w:themeFillShade="D9"/>
            <w:vAlign w:val="bottom"/>
          </w:tcPr>
          <w:p w:rsidR="006E630A" w:rsidRPr="00376D17" w:rsidRDefault="006E630A" w:rsidP="006E630A">
            <w:pPr>
              <w:tabs>
                <w:tab w:val="left" w:pos="5093"/>
              </w:tabs>
              <w:spacing w:before="40" w:after="20"/>
              <w:ind w:left="-57"/>
              <w:jc w:val="right"/>
              <w:rPr>
                <w:rFonts w:ascii="Arial Narrow" w:hAnsi="Arial Narrow" w:cs="Arial"/>
                <w:bCs/>
                <w:snapToGrid w:val="0"/>
                <w:sz w:val="18"/>
                <w:szCs w:val="18"/>
              </w:rPr>
            </w:pPr>
            <w:r>
              <w:rPr>
                <w:rFonts w:ascii="Arial Narrow" w:hAnsi="Arial Narrow" w:cs="Arial"/>
                <w:bCs/>
                <w:snapToGrid w:val="0"/>
                <w:sz w:val="18"/>
                <w:szCs w:val="18"/>
              </w:rPr>
              <w:t>121,7</w:t>
            </w:r>
          </w:p>
        </w:tc>
        <w:tc>
          <w:tcPr>
            <w:tcW w:w="1448" w:type="dxa"/>
            <w:vAlign w:val="center"/>
          </w:tcPr>
          <w:p w:rsidR="006E630A" w:rsidRPr="00376D17" w:rsidRDefault="006E630A" w:rsidP="006E630A">
            <w:pPr>
              <w:tabs>
                <w:tab w:val="left" w:pos="5093"/>
              </w:tabs>
              <w:spacing w:before="40" w:after="20"/>
              <w:ind w:left="-57"/>
              <w:jc w:val="right"/>
              <w:rPr>
                <w:rFonts w:ascii="Arial Narrow" w:hAnsi="Arial Narrow" w:cs="Arial"/>
                <w:bCs/>
                <w:snapToGrid w:val="0"/>
                <w:sz w:val="18"/>
                <w:szCs w:val="18"/>
              </w:rPr>
            </w:pPr>
            <w:r>
              <w:rPr>
                <w:rFonts w:ascii="Arial Narrow" w:hAnsi="Arial Narrow" w:cs="Arial"/>
                <w:bCs/>
                <w:snapToGrid w:val="0"/>
                <w:sz w:val="18"/>
                <w:szCs w:val="18"/>
              </w:rPr>
              <w:t>+0,2</w:t>
            </w:r>
          </w:p>
        </w:tc>
        <w:tc>
          <w:tcPr>
            <w:tcW w:w="1448" w:type="dxa"/>
            <w:shd w:val="clear" w:color="auto" w:fill="D9D9D9"/>
            <w:vAlign w:val="center"/>
          </w:tcPr>
          <w:p w:rsidR="006E630A" w:rsidRPr="00376D17" w:rsidRDefault="006E630A" w:rsidP="006E630A">
            <w:pPr>
              <w:tabs>
                <w:tab w:val="left" w:pos="5093"/>
              </w:tabs>
              <w:spacing w:before="40" w:after="20"/>
              <w:ind w:left="-57"/>
              <w:jc w:val="right"/>
              <w:rPr>
                <w:rFonts w:ascii="Arial Narrow" w:hAnsi="Arial Narrow" w:cs="Arial"/>
                <w:bCs/>
                <w:snapToGrid w:val="0"/>
                <w:sz w:val="18"/>
                <w:szCs w:val="18"/>
              </w:rPr>
            </w:pPr>
            <w:r>
              <w:rPr>
                <w:rFonts w:ascii="Arial Narrow" w:hAnsi="Arial Narrow" w:cs="Arial"/>
                <w:bCs/>
                <w:snapToGrid w:val="0"/>
                <w:sz w:val="18"/>
                <w:szCs w:val="18"/>
              </w:rPr>
              <w:t>+0,5</w:t>
            </w:r>
          </w:p>
        </w:tc>
      </w:tr>
      <w:tr w:rsidR="009D708C" w:rsidRPr="009709E9" w:rsidTr="009D708C">
        <w:trPr>
          <w:trHeight w:val="255"/>
          <w:jc w:val="center"/>
        </w:trPr>
        <w:tc>
          <w:tcPr>
            <w:tcW w:w="1701" w:type="dxa"/>
            <w:shd w:val="clear" w:color="auto" w:fill="FF0000"/>
            <w:vAlign w:val="center"/>
            <w:hideMark/>
          </w:tcPr>
          <w:p w:rsidR="009D708C" w:rsidRPr="009709E9" w:rsidRDefault="009D708C" w:rsidP="009D708C">
            <w:pPr>
              <w:spacing w:before="40" w:after="20"/>
              <w:rPr>
                <w:rFonts w:ascii="Arial Narrow" w:hAnsi="Arial Narrow" w:cs="Arial"/>
                <w:b/>
                <w:bCs/>
                <w:color w:val="FFFFFF"/>
                <w:sz w:val="18"/>
                <w:szCs w:val="18"/>
              </w:rPr>
            </w:pPr>
            <w:r w:rsidRPr="009709E9">
              <w:rPr>
                <w:rFonts w:ascii="Arial Narrow" w:hAnsi="Arial Narrow" w:cs="Arial"/>
                <w:b/>
                <w:bCs/>
                <w:color w:val="FFFFFF"/>
                <w:sz w:val="18"/>
                <w:szCs w:val="18"/>
              </w:rPr>
              <w:t>20</w:t>
            </w:r>
            <w:r>
              <w:rPr>
                <w:rFonts w:ascii="Arial Narrow" w:hAnsi="Arial Narrow" w:cs="Arial"/>
                <w:b/>
                <w:bCs/>
                <w:color w:val="FFFFFF"/>
                <w:sz w:val="18"/>
                <w:szCs w:val="18"/>
              </w:rPr>
              <w:t>24</w:t>
            </w:r>
          </w:p>
        </w:tc>
        <w:tc>
          <w:tcPr>
            <w:tcW w:w="4344" w:type="dxa"/>
            <w:gridSpan w:val="3"/>
            <w:shd w:val="clear" w:color="auto" w:fill="FF0000"/>
            <w:vAlign w:val="center"/>
            <w:hideMark/>
          </w:tcPr>
          <w:p w:rsidR="009D708C" w:rsidRPr="009709E9" w:rsidRDefault="009D708C" w:rsidP="009D708C">
            <w:pPr>
              <w:spacing w:before="40" w:after="20"/>
              <w:jc w:val="center"/>
              <w:rPr>
                <w:rFonts w:ascii="Arial Narrow" w:hAnsi="Arial Narrow" w:cs="Arial"/>
                <w:b/>
                <w:bCs/>
                <w:color w:val="FFFFFF"/>
                <w:sz w:val="18"/>
                <w:szCs w:val="18"/>
              </w:rPr>
            </w:pPr>
            <w:r w:rsidRPr="009709E9">
              <w:rPr>
                <w:rFonts w:ascii="Arial Narrow" w:hAnsi="Arial Narrow" w:cs="Arial"/>
                <w:b/>
                <w:bCs/>
                <w:color w:val="FFFFFF"/>
                <w:sz w:val="18"/>
                <w:szCs w:val="18"/>
              </w:rPr>
              <w:t>Base 2015=100</w:t>
            </w:r>
          </w:p>
        </w:tc>
        <w:tc>
          <w:tcPr>
            <w:tcW w:w="4344" w:type="dxa"/>
            <w:gridSpan w:val="3"/>
            <w:shd w:val="clear" w:color="auto" w:fill="FF0000"/>
            <w:vAlign w:val="center"/>
            <w:hideMark/>
          </w:tcPr>
          <w:p w:rsidR="009D708C" w:rsidRPr="009709E9" w:rsidRDefault="009D708C" w:rsidP="009D708C">
            <w:pPr>
              <w:spacing w:before="40" w:after="20"/>
              <w:jc w:val="center"/>
              <w:rPr>
                <w:rFonts w:ascii="Arial Narrow" w:hAnsi="Arial Narrow" w:cs="Arial"/>
                <w:b/>
                <w:bCs/>
                <w:color w:val="FFFFFF"/>
                <w:sz w:val="18"/>
                <w:szCs w:val="18"/>
              </w:rPr>
            </w:pPr>
            <w:r w:rsidRPr="009709E9">
              <w:rPr>
                <w:rFonts w:ascii="Arial Narrow" w:hAnsi="Arial Narrow" w:cs="Arial"/>
                <w:b/>
                <w:bCs/>
                <w:color w:val="FFFFFF"/>
                <w:sz w:val="18"/>
                <w:szCs w:val="18"/>
              </w:rPr>
              <w:t>Base 2015=100</w:t>
            </w:r>
          </w:p>
        </w:tc>
      </w:tr>
      <w:tr w:rsidR="006E630A" w:rsidRPr="005210AC" w:rsidTr="004B3ACE">
        <w:trPr>
          <w:trHeight w:val="255"/>
          <w:jc w:val="center"/>
        </w:trPr>
        <w:tc>
          <w:tcPr>
            <w:tcW w:w="1701" w:type="dxa"/>
          </w:tcPr>
          <w:p w:rsidR="006E630A" w:rsidRDefault="006E630A" w:rsidP="006E630A">
            <w:pPr>
              <w:spacing w:before="40" w:after="20"/>
              <w:rPr>
                <w:rFonts w:ascii="Arial Narrow" w:hAnsi="Arial Narrow" w:cs="Arial"/>
                <w:bCs/>
                <w:sz w:val="18"/>
                <w:szCs w:val="18"/>
              </w:rPr>
            </w:pPr>
            <w:r>
              <w:rPr>
                <w:rFonts w:ascii="Arial Narrow" w:hAnsi="Arial Narrow" w:cs="Arial"/>
                <w:bCs/>
                <w:sz w:val="18"/>
                <w:szCs w:val="18"/>
              </w:rPr>
              <w:t>Gennaio</w:t>
            </w:r>
          </w:p>
        </w:tc>
        <w:tc>
          <w:tcPr>
            <w:tcW w:w="1448" w:type="dxa"/>
            <w:shd w:val="clear" w:color="auto" w:fill="E6E6E6"/>
          </w:tcPr>
          <w:p w:rsidR="006E630A" w:rsidRPr="006E630A" w:rsidRDefault="006E630A" w:rsidP="00C11C28">
            <w:pPr>
              <w:spacing w:before="40" w:after="20"/>
              <w:jc w:val="right"/>
              <w:rPr>
                <w:rFonts w:ascii="Arial Narrow" w:hAnsi="Arial Narrow" w:cs="Arial"/>
                <w:bCs/>
                <w:sz w:val="18"/>
                <w:szCs w:val="18"/>
              </w:rPr>
            </w:pPr>
            <w:r w:rsidRPr="006E630A">
              <w:rPr>
                <w:rFonts w:ascii="Arial Narrow" w:hAnsi="Arial Narrow" w:cs="Arial"/>
                <w:bCs/>
                <w:sz w:val="18"/>
                <w:szCs w:val="18"/>
              </w:rPr>
              <w:t>120,</w:t>
            </w:r>
            <w:r w:rsidR="00C11C28">
              <w:rPr>
                <w:rFonts w:ascii="Arial Narrow" w:hAnsi="Arial Narrow" w:cs="Arial"/>
                <w:bCs/>
                <w:sz w:val="18"/>
                <w:szCs w:val="18"/>
              </w:rPr>
              <w:t>1</w:t>
            </w:r>
          </w:p>
        </w:tc>
        <w:tc>
          <w:tcPr>
            <w:tcW w:w="1448" w:type="dxa"/>
          </w:tcPr>
          <w:p w:rsidR="006E630A" w:rsidRPr="006E630A" w:rsidRDefault="006E630A" w:rsidP="006E630A">
            <w:pPr>
              <w:spacing w:before="40" w:after="20"/>
              <w:jc w:val="right"/>
              <w:rPr>
                <w:rFonts w:ascii="Arial Narrow" w:hAnsi="Arial Narrow" w:cs="Arial"/>
                <w:bCs/>
                <w:sz w:val="18"/>
                <w:szCs w:val="18"/>
              </w:rPr>
            </w:pPr>
            <w:r w:rsidRPr="006E630A">
              <w:rPr>
                <w:rFonts w:ascii="Arial Narrow" w:hAnsi="Arial Narrow" w:cs="Arial"/>
                <w:bCs/>
                <w:sz w:val="18"/>
                <w:szCs w:val="18"/>
              </w:rPr>
              <w:t>+0,3</w:t>
            </w:r>
          </w:p>
        </w:tc>
        <w:tc>
          <w:tcPr>
            <w:tcW w:w="1448" w:type="dxa"/>
          </w:tcPr>
          <w:p w:rsidR="006E630A" w:rsidRPr="006E630A" w:rsidRDefault="006E630A" w:rsidP="006E630A">
            <w:pPr>
              <w:spacing w:before="40" w:after="20"/>
              <w:jc w:val="right"/>
              <w:rPr>
                <w:rFonts w:ascii="Arial Narrow" w:hAnsi="Arial Narrow" w:cs="Arial"/>
                <w:bCs/>
                <w:sz w:val="18"/>
                <w:szCs w:val="18"/>
              </w:rPr>
            </w:pPr>
            <w:r w:rsidRPr="006E630A">
              <w:rPr>
                <w:rFonts w:ascii="Arial Narrow" w:hAnsi="Arial Narrow" w:cs="Arial"/>
                <w:bCs/>
                <w:sz w:val="18"/>
                <w:szCs w:val="18"/>
              </w:rPr>
              <w:t>+0,8</w:t>
            </w:r>
          </w:p>
        </w:tc>
        <w:tc>
          <w:tcPr>
            <w:tcW w:w="1448" w:type="dxa"/>
            <w:shd w:val="clear" w:color="auto" w:fill="E6E6E6"/>
            <w:vAlign w:val="bottom"/>
          </w:tcPr>
          <w:p w:rsidR="006E630A" w:rsidRPr="006E630A" w:rsidRDefault="006E630A" w:rsidP="00FE1BB4">
            <w:pPr>
              <w:widowControl/>
              <w:overflowPunct/>
              <w:autoSpaceDE/>
              <w:autoSpaceDN/>
              <w:adjustRightInd/>
              <w:spacing w:before="40" w:after="20"/>
              <w:jc w:val="right"/>
              <w:rPr>
                <w:rFonts w:ascii="Arial Narrow" w:hAnsi="Arial Narrow" w:cs="Arial"/>
                <w:bCs/>
                <w:sz w:val="18"/>
                <w:szCs w:val="18"/>
              </w:rPr>
            </w:pPr>
            <w:r w:rsidRPr="006E630A">
              <w:rPr>
                <w:rFonts w:ascii="Arial Narrow" w:hAnsi="Arial Narrow" w:cs="Arial"/>
                <w:bCs/>
                <w:sz w:val="18"/>
                <w:szCs w:val="18"/>
              </w:rPr>
              <w:t>120,</w:t>
            </w:r>
            <w:r w:rsidR="00FE1BB4">
              <w:rPr>
                <w:rFonts w:ascii="Arial Narrow" w:hAnsi="Arial Narrow" w:cs="Arial"/>
                <w:bCs/>
                <w:sz w:val="18"/>
                <w:szCs w:val="18"/>
              </w:rPr>
              <w:t>4</w:t>
            </w:r>
          </w:p>
        </w:tc>
        <w:tc>
          <w:tcPr>
            <w:tcW w:w="1448" w:type="dxa"/>
            <w:vAlign w:val="center"/>
          </w:tcPr>
          <w:p w:rsidR="006E630A" w:rsidRPr="006E630A" w:rsidRDefault="006E630A" w:rsidP="00FE1BB4">
            <w:pPr>
              <w:spacing w:before="40" w:after="20"/>
              <w:jc w:val="right"/>
              <w:rPr>
                <w:rFonts w:ascii="Arial Narrow" w:hAnsi="Arial Narrow" w:cs="Arial"/>
                <w:bCs/>
                <w:sz w:val="18"/>
                <w:szCs w:val="18"/>
              </w:rPr>
            </w:pPr>
            <w:r w:rsidRPr="006E630A">
              <w:rPr>
                <w:rFonts w:ascii="Arial Narrow" w:hAnsi="Arial Narrow" w:cs="Arial"/>
                <w:bCs/>
                <w:sz w:val="18"/>
                <w:szCs w:val="18"/>
              </w:rPr>
              <w:t>-1,</w:t>
            </w:r>
            <w:r w:rsidR="00FE1BB4">
              <w:rPr>
                <w:rFonts w:ascii="Arial Narrow" w:hAnsi="Arial Narrow" w:cs="Arial"/>
                <w:bCs/>
                <w:sz w:val="18"/>
                <w:szCs w:val="18"/>
              </w:rPr>
              <w:t>1</w:t>
            </w:r>
          </w:p>
        </w:tc>
        <w:tc>
          <w:tcPr>
            <w:tcW w:w="1448" w:type="dxa"/>
            <w:vAlign w:val="center"/>
          </w:tcPr>
          <w:p w:rsidR="006E630A" w:rsidRPr="006E630A" w:rsidRDefault="006E630A" w:rsidP="00FE1BB4">
            <w:pPr>
              <w:spacing w:before="40" w:after="20"/>
              <w:jc w:val="right"/>
              <w:rPr>
                <w:rFonts w:ascii="Arial Narrow" w:hAnsi="Arial Narrow" w:cs="Arial"/>
                <w:bCs/>
                <w:sz w:val="18"/>
                <w:szCs w:val="18"/>
              </w:rPr>
            </w:pPr>
            <w:r w:rsidRPr="006E630A">
              <w:rPr>
                <w:rFonts w:ascii="Arial Narrow" w:hAnsi="Arial Narrow" w:cs="Arial"/>
                <w:bCs/>
                <w:sz w:val="18"/>
                <w:szCs w:val="18"/>
              </w:rPr>
              <w:t>+</w:t>
            </w:r>
            <w:r w:rsidR="00FE1BB4">
              <w:rPr>
                <w:rFonts w:ascii="Arial Narrow" w:hAnsi="Arial Narrow" w:cs="Arial"/>
                <w:bCs/>
                <w:sz w:val="18"/>
                <w:szCs w:val="18"/>
              </w:rPr>
              <w:t>0,9</w:t>
            </w:r>
          </w:p>
        </w:tc>
      </w:tr>
      <w:tr w:rsidR="00A13F1F" w:rsidRPr="005210AC" w:rsidTr="004B3ACE">
        <w:trPr>
          <w:trHeight w:val="255"/>
          <w:jc w:val="center"/>
        </w:trPr>
        <w:tc>
          <w:tcPr>
            <w:tcW w:w="1701" w:type="dxa"/>
          </w:tcPr>
          <w:p w:rsidR="00A13F1F" w:rsidRDefault="00A13F1F" w:rsidP="000A0805">
            <w:pPr>
              <w:spacing w:before="40" w:after="20"/>
              <w:rPr>
                <w:rFonts w:ascii="Arial Narrow" w:hAnsi="Arial Narrow" w:cs="Arial"/>
                <w:bCs/>
                <w:sz w:val="18"/>
                <w:szCs w:val="18"/>
              </w:rPr>
            </w:pPr>
            <w:r>
              <w:rPr>
                <w:rFonts w:ascii="Arial Narrow" w:hAnsi="Arial Narrow" w:cs="Arial"/>
                <w:bCs/>
                <w:sz w:val="18"/>
                <w:szCs w:val="18"/>
              </w:rPr>
              <w:t xml:space="preserve">Febbraio </w:t>
            </w:r>
          </w:p>
        </w:tc>
        <w:tc>
          <w:tcPr>
            <w:tcW w:w="1448" w:type="dxa"/>
            <w:shd w:val="clear" w:color="auto" w:fill="E6E6E6"/>
          </w:tcPr>
          <w:p w:rsidR="00A13F1F" w:rsidRPr="006E630A" w:rsidRDefault="00417BC5" w:rsidP="006E630A">
            <w:pPr>
              <w:spacing w:before="40" w:after="20"/>
              <w:jc w:val="right"/>
              <w:rPr>
                <w:rFonts w:ascii="Arial Narrow" w:hAnsi="Arial Narrow" w:cs="Arial"/>
                <w:bCs/>
                <w:sz w:val="18"/>
                <w:szCs w:val="18"/>
              </w:rPr>
            </w:pPr>
            <w:r>
              <w:rPr>
                <w:rFonts w:ascii="Arial Narrow" w:hAnsi="Arial Narrow" w:cs="Arial"/>
                <w:bCs/>
                <w:sz w:val="18"/>
                <w:szCs w:val="18"/>
              </w:rPr>
              <w:t>120,2</w:t>
            </w:r>
          </w:p>
        </w:tc>
        <w:tc>
          <w:tcPr>
            <w:tcW w:w="1448" w:type="dxa"/>
          </w:tcPr>
          <w:p w:rsidR="00A13F1F" w:rsidRPr="006E630A" w:rsidRDefault="00417BC5" w:rsidP="006E630A">
            <w:pPr>
              <w:spacing w:before="40" w:after="20"/>
              <w:jc w:val="right"/>
              <w:rPr>
                <w:rFonts w:ascii="Arial Narrow" w:hAnsi="Arial Narrow" w:cs="Arial"/>
                <w:bCs/>
                <w:sz w:val="18"/>
                <w:szCs w:val="18"/>
              </w:rPr>
            </w:pPr>
            <w:r>
              <w:rPr>
                <w:rFonts w:ascii="Arial Narrow" w:hAnsi="Arial Narrow" w:cs="Arial"/>
                <w:bCs/>
                <w:sz w:val="18"/>
                <w:szCs w:val="18"/>
              </w:rPr>
              <w:t>+0,1</w:t>
            </w:r>
          </w:p>
        </w:tc>
        <w:tc>
          <w:tcPr>
            <w:tcW w:w="1448" w:type="dxa"/>
          </w:tcPr>
          <w:p w:rsidR="00A13F1F" w:rsidRPr="006E630A" w:rsidRDefault="00417BC5" w:rsidP="006E630A">
            <w:pPr>
              <w:spacing w:before="40" w:after="20"/>
              <w:jc w:val="right"/>
              <w:rPr>
                <w:rFonts w:ascii="Arial Narrow" w:hAnsi="Arial Narrow" w:cs="Arial"/>
                <w:bCs/>
                <w:sz w:val="18"/>
                <w:szCs w:val="18"/>
              </w:rPr>
            </w:pPr>
            <w:r>
              <w:rPr>
                <w:rFonts w:ascii="Arial Narrow" w:hAnsi="Arial Narrow" w:cs="Arial"/>
                <w:bCs/>
                <w:sz w:val="18"/>
                <w:szCs w:val="18"/>
              </w:rPr>
              <w:t>+0,8</w:t>
            </w:r>
          </w:p>
        </w:tc>
        <w:tc>
          <w:tcPr>
            <w:tcW w:w="1448" w:type="dxa"/>
            <w:shd w:val="clear" w:color="auto" w:fill="E6E6E6"/>
            <w:vAlign w:val="bottom"/>
          </w:tcPr>
          <w:p w:rsidR="00A13F1F" w:rsidRPr="006E630A" w:rsidRDefault="00417BC5" w:rsidP="00FE1BB4">
            <w:pPr>
              <w:widowControl/>
              <w:overflowPunct/>
              <w:autoSpaceDE/>
              <w:autoSpaceDN/>
              <w:adjustRightInd/>
              <w:spacing w:before="40" w:after="20"/>
              <w:jc w:val="right"/>
              <w:rPr>
                <w:rFonts w:ascii="Arial Narrow" w:hAnsi="Arial Narrow" w:cs="Arial"/>
                <w:bCs/>
                <w:sz w:val="18"/>
                <w:szCs w:val="18"/>
              </w:rPr>
            </w:pPr>
            <w:r>
              <w:rPr>
                <w:rFonts w:ascii="Arial Narrow" w:hAnsi="Arial Narrow" w:cs="Arial"/>
                <w:bCs/>
                <w:sz w:val="18"/>
                <w:szCs w:val="18"/>
              </w:rPr>
              <w:t>120,4</w:t>
            </w:r>
          </w:p>
        </w:tc>
        <w:tc>
          <w:tcPr>
            <w:tcW w:w="1448" w:type="dxa"/>
            <w:vAlign w:val="center"/>
          </w:tcPr>
          <w:p w:rsidR="00A13F1F" w:rsidRPr="006E630A" w:rsidRDefault="00417BC5" w:rsidP="00FE1BB4">
            <w:pPr>
              <w:spacing w:before="40" w:after="20"/>
              <w:jc w:val="right"/>
              <w:rPr>
                <w:rFonts w:ascii="Arial Narrow" w:hAnsi="Arial Narrow" w:cs="Arial"/>
                <w:bCs/>
                <w:sz w:val="18"/>
                <w:szCs w:val="18"/>
              </w:rPr>
            </w:pPr>
            <w:r>
              <w:rPr>
                <w:rFonts w:ascii="Arial Narrow" w:hAnsi="Arial Narrow" w:cs="Arial"/>
                <w:bCs/>
                <w:sz w:val="18"/>
                <w:szCs w:val="18"/>
              </w:rPr>
              <w:t>0,0</w:t>
            </w:r>
          </w:p>
        </w:tc>
        <w:tc>
          <w:tcPr>
            <w:tcW w:w="1448" w:type="dxa"/>
            <w:vAlign w:val="center"/>
          </w:tcPr>
          <w:p w:rsidR="00A13F1F" w:rsidRPr="006E630A" w:rsidRDefault="00417BC5" w:rsidP="00FE1BB4">
            <w:pPr>
              <w:spacing w:before="40" w:after="20"/>
              <w:jc w:val="right"/>
              <w:rPr>
                <w:rFonts w:ascii="Arial Narrow" w:hAnsi="Arial Narrow" w:cs="Arial"/>
                <w:bCs/>
                <w:sz w:val="18"/>
                <w:szCs w:val="18"/>
              </w:rPr>
            </w:pPr>
            <w:r>
              <w:rPr>
                <w:rFonts w:ascii="Arial Narrow" w:hAnsi="Arial Narrow" w:cs="Arial"/>
                <w:bCs/>
                <w:sz w:val="18"/>
                <w:szCs w:val="18"/>
              </w:rPr>
              <w:t>+0,8</w:t>
            </w:r>
          </w:p>
        </w:tc>
      </w:tr>
      <w:tr w:rsidR="000A0805" w:rsidRPr="005210AC" w:rsidTr="004B3ACE">
        <w:trPr>
          <w:trHeight w:val="255"/>
          <w:jc w:val="center"/>
        </w:trPr>
        <w:tc>
          <w:tcPr>
            <w:tcW w:w="1701" w:type="dxa"/>
          </w:tcPr>
          <w:p w:rsidR="000A0805" w:rsidRDefault="008D06BE" w:rsidP="006E630A">
            <w:pPr>
              <w:spacing w:before="40" w:after="20"/>
              <w:rPr>
                <w:rFonts w:ascii="Arial Narrow" w:hAnsi="Arial Narrow" w:cs="Arial"/>
                <w:bCs/>
                <w:sz w:val="18"/>
                <w:szCs w:val="18"/>
              </w:rPr>
            </w:pPr>
            <w:r>
              <w:rPr>
                <w:rFonts w:ascii="Arial Narrow" w:hAnsi="Arial Narrow" w:cs="Arial"/>
                <w:bCs/>
                <w:sz w:val="18"/>
                <w:szCs w:val="18"/>
              </w:rPr>
              <w:t>Marzo</w:t>
            </w:r>
          </w:p>
        </w:tc>
        <w:tc>
          <w:tcPr>
            <w:tcW w:w="1448" w:type="dxa"/>
            <w:shd w:val="clear" w:color="auto" w:fill="E6E6E6"/>
          </w:tcPr>
          <w:p w:rsidR="000A0805" w:rsidRDefault="0063228C" w:rsidP="006E630A">
            <w:pPr>
              <w:spacing w:before="40" w:after="20"/>
              <w:jc w:val="right"/>
              <w:rPr>
                <w:rFonts w:ascii="Arial Narrow" w:hAnsi="Arial Narrow" w:cs="Arial"/>
                <w:bCs/>
                <w:sz w:val="18"/>
                <w:szCs w:val="18"/>
              </w:rPr>
            </w:pPr>
            <w:r>
              <w:rPr>
                <w:rFonts w:ascii="Arial Narrow" w:hAnsi="Arial Narrow" w:cs="Arial"/>
                <w:bCs/>
                <w:sz w:val="18"/>
                <w:szCs w:val="18"/>
              </w:rPr>
              <w:t>120,</w:t>
            </w:r>
            <w:r w:rsidR="008D06BE">
              <w:rPr>
                <w:rFonts w:ascii="Arial Narrow" w:hAnsi="Arial Narrow" w:cs="Arial"/>
                <w:bCs/>
                <w:sz w:val="18"/>
                <w:szCs w:val="18"/>
              </w:rPr>
              <w:t>2</w:t>
            </w:r>
          </w:p>
        </w:tc>
        <w:tc>
          <w:tcPr>
            <w:tcW w:w="1448" w:type="dxa"/>
          </w:tcPr>
          <w:p w:rsidR="000A0805" w:rsidRDefault="0063228C" w:rsidP="006E630A">
            <w:pPr>
              <w:spacing w:before="40" w:after="20"/>
              <w:jc w:val="right"/>
              <w:rPr>
                <w:rFonts w:ascii="Arial Narrow" w:hAnsi="Arial Narrow" w:cs="Arial"/>
                <w:bCs/>
                <w:sz w:val="18"/>
                <w:szCs w:val="18"/>
              </w:rPr>
            </w:pPr>
            <w:r>
              <w:rPr>
                <w:rFonts w:ascii="Arial Narrow" w:hAnsi="Arial Narrow" w:cs="Arial"/>
                <w:bCs/>
                <w:sz w:val="18"/>
                <w:szCs w:val="18"/>
              </w:rPr>
              <w:t>0,</w:t>
            </w:r>
            <w:r w:rsidR="008D06BE">
              <w:rPr>
                <w:rFonts w:ascii="Arial Narrow" w:hAnsi="Arial Narrow" w:cs="Arial"/>
                <w:bCs/>
                <w:sz w:val="18"/>
                <w:szCs w:val="18"/>
              </w:rPr>
              <w:t>0</w:t>
            </w:r>
          </w:p>
        </w:tc>
        <w:tc>
          <w:tcPr>
            <w:tcW w:w="1448" w:type="dxa"/>
          </w:tcPr>
          <w:p w:rsidR="000A0805" w:rsidRDefault="0063228C" w:rsidP="008D06BE">
            <w:pPr>
              <w:spacing w:before="40" w:after="20"/>
              <w:jc w:val="right"/>
              <w:rPr>
                <w:rFonts w:ascii="Arial Narrow" w:hAnsi="Arial Narrow" w:cs="Arial"/>
                <w:bCs/>
                <w:sz w:val="18"/>
                <w:szCs w:val="18"/>
              </w:rPr>
            </w:pPr>
            <w:r>
              <w:rPr>
                <w:rFonts w:ascii="Arial Narrow" w:hAnsi="Arial Narrow" w:cs="Arial"/>
                <w:bCs/>
                <w:sz w:val="18"/>
                <w:szCs w:val="18"/>
              </w:rPr>
              <w:t>+1,</w:t>
            </w:r>
            <w:r w:rsidR="008D06BE">
              <w:rPr>
                <w:rFonts w:ascii="Arial Narrow" w:hAnsi="Arial Narrow" w:cs="Arial"/>
                <w:bCs/>
                <w:sz w:val="18"/>
                <w:szCs w:val="18"/>
              </w:rPr>
              <w:t>2</w:t>
            </w:r>
          </w:p>
        </w:tc>
        <w:tc>
          <w:tcPr>
            <w:tcW w:w="1448" w:type="dxa"/>
            <w:shd w:val="clear" w:color="auto" w:fill="E6E6E6"/>
            <w:vAlign w:val="bottom"/>
          </w:tcPr>
          <w:p w:rsidR="000A0805" w:rsidRDefault="0063228C" w:rsidP="008D06BE">
            <w:pPr>
              <w:widowControl/>
              <w:overflowPunct/>
              <w:autoSpaceDE/>
              <w:autoSpaceDN/>
              <w:adjustRightInd/>
              <w:spacing w:before="40" w:after="20"/>
              <w:jc w:val="right"/>
              <w:rPr>
                <w:rFonts w:ascii="Arial Narrow" w:hAnsi="Arial Narrow" w:cs="Arial"/>
                <w:bCs/>
                <w:sz w:val="18"/>
                <w:szCs w:val="18"/>
              </w:rPr>
            </w:pPr>
            <w:r>
              <w:rPr>
                <w:rFonts w:ascii="Arial Narrow" w:hAnsi="Arial Narrow" w:cs="Arial"/>
                <w:bCs/>
                <w:sz w:val="18"/>
                <w:szCs w:val="18"/>
              </w:rPr>
              <w:t>121,</w:t>
            </w:r>
            <w:r w:rsidR="008D06BE">
              <w:rPr>
                <w:rFonts w:ascii="Arial Narrow" w:hAnsi="Arial Narrow" w:cs="Arial"/>
                <w:bCs/>
                <w:sz w:val="18"/>
                <w:szCs w:val="18"/>
              </w:rPr>
              <w:t>8</w:t>
            </w:r>
          </w:p>
        </w:tc>
        <w:tc>
          <w:tcPr>
            <w:tcW w:w="1448" w:type="dxa"/>
            <w:vAlign w:val="center"/>
          </w:tcPr>
          <w:p w:rsidR="000A0805" w:rsidRDefault="0063228C" w:rsidP="00FE1BB4">
            <w:pPr>
              <w:spacing w:before="40" w:after="20"/>
              <w:jc w:val="right"/>
              <w:rPr>
                <w:rFonts w:ascii="Arial Narrow" w:hAnsi="Arial Narrow" w:cs="Arial"/>
                <w:bCs/>
                <w:sz w:val="18"/>
                <w:szCs w:val="18"/>
              </w:rPr>
            </w:pPr>
            <w:r>
              <w:rPr>
                <w:rFonts w:ascii="Arial Narrow" w:hAnsi="Arial Narrow" w:cs="Arial"/>
                <w:bCs/>
                <w:sz w:val="18"/>
                <w:szCs w:val="18"/>
              </w:rPr>
              <w:t>+1,2</w:t>
            </w:r>
          </w:p>
        </w:tc>
        <w:tc>
          <w:tcPr>
            <w:tcW w:w="1448" w:type="dxa"/>
            <w:vAlign w:val="center"/>
          </w:tcPr>
          <w:p w:rsidR="000A0805" w:rsidRDefault="0063228C" w:rsidP="00FE1BB4">
            <w:pPr>
              <w:spacing w:before="40" w:after="20"/>
              <w:jc w:val="right"/>
              <w:rPr>
                <w:rFonts w:ascii="Arial Narrow" w:hAnsi="Arial Narrow" w:cs="Arial"/>
                <w:bCs/>
                <w:sz w:val="18"/>
                <w:szCs w:val="18"/>
              </w:rPr>
            </w:pPr>
            <w:r>
              <w:rPr>
                <w:rFonts w:ascii="Arial Narrow" w:hAnsi="Arial Narrow" w:cs="Arial"/>
                <w:bCs/>
                <w:sz w:val="18"/>
                <w:szCs w:val="18"/>
              </w:rPr>
              <w:t>+1,</w:t>
            </w:r>
            <w:r w:rsidR="008D06BE">
              <w:rPr>
                <w:rFonts w:ascii="Arial Narrow" w:hAnsi="Arial Narrow" w:cs="Arial"/>
                <w:bCs/>
                <w:sz w:val="18"/>
                <w:szCs w:val="18"/>
              </w:rPr>
              <w:t>2</w:t>
            </w:r>
          </w:p>
        </w:tc>
      </w:tr>
      <w:tr w:rsidR="008D06BE" w:rsidRPr="005210AC" w:rsidTr="004B3ACE">
        <w:trPr>
          <w:trHeight w:val="255"/>
          <w:jc w:val="center"/>
        </w:trPr>
        <w:tc>
          <w:tcPr>
            <w:tcW w:w="1701" w:type="dxa"/>
          </w:tcPr>
          <w:p w:rsidR="008D06BE" w:rsidRDefault="00D21F10" w:rsidP="00D21F10">
            <w:pPr>
              <w:spacing w:before="40" w:after="20"/>
              <w:rPr>
                <w:rFonts w:ascii="Arial Narrow" w:hAnsi="Arial Narrow" w:cs="Arial"/>
                <w:bCs/>
                <w:sz w:val="18"/>
                <w:szCs w:val="18"/>
              </w:rPr>
            </w:pPr>
            <w:r>
              <w:rPr>
                <w:rFonts w:ascii="Arial Narrow" w:hAnsi="Arial Narrow" w:cs="Arial"/>
                <w:bCs/>
                <w:sz w:val="18"/>
                <w:szCs w:val="18"/>
              </w:rPr>
              <w:t>Aprile</w:t>
            </w:r>
          </w:p>
        </w:tc>
        <w:tc>
          <w:tcPr>
            <w:tcW w:w="1448" w:type="dxa"/>
            <w:shd w:val="clear" w:color="auto" w:fill="E6E6E6"/>
          </w:tcPr>
          <w:p w:rsidR="008D06BE" w:rsidRDefault="00D87E5E" w:rsidP="009C7F0C">
            <w:pPr>
              <w:spacing w:before="40" w:after="20"/>
              <w:jc w:val="right"/>
              <w:rPr>
                <w:rFonts w:ascii="Arial Narrow" w:hAnsi="Arial Narrow" w:cs="Arial"/>
                <w:bCs/>
                <w:sz w:val="18"/>
                <w:szCs w:val="18"/>
              </w:rPr>
            </w:pPr>
            <w:r>
              <w:rPr>
                <w:rFonts w:ascii="Arial Narrow" w:hAnsi="Arial Narrow" w:cs="Arial"/>
                <w:bCs/>
                <w:sz w:val="18"/>
                <w:szCs w:val="18"/>
              </w:rPr>
              <w:t>120,</w:t>
            </w:r>
            <w:r w:rsidR="009C7F0C">
              <w:rPr>
                <w:rFonts w:ascii="Arial Narrow" w:hAnsi="Arial Narrow" w:cs="Arial"/>
                <w:bCs/>
                <w:sz w:val="18"/>
                <w:szCs w:val="18"/>
              </w:rPr>
              <w:t>3</w:t>
            </w:r>
          </w:p>
        </w:tc>
        <w:tc>
          <w:tcPr>
            <w:tcW w:w="1448" w:type="dxa"/>
          </w:tcPr>
          <w:p w:rsidR="008D06BE" w:rsidRDefault="00D87E5E" w:rsidP="006E630A">
            <w:pPr>
              <w:spacing w:before="40" w:after="20"/>
              <w:jc w:val="right"/>
              <w:rPr>
                <w:rFonts w:ascii="Arial Narrow" w:hAnsi="Arial Narrow" w:cs="Arial"/>
                <w:bCs/>
                <w:sz w:val="18"/>
                <w:szCs w:val="18"/>
              </w:rPr>
            </w:pPr>
            <w:r>
              <w:rPr>
                <w:rFonts w:ascii="Arial Narrow" w:hAnsi="Arial Narrow" w:cs="Arial"/>
                <w:bCs/>
                <w:sz w:val="18"/>
                <w:szCs w:val="18"/>
              </w:rPr>
              <w:t>+0,</w:t>
            </w:r>
            <w:r w:rsidR="009C7F0C">
              <w:rPr>
                <w:rFonts w:ascii="Arial Narrow" w:hAnsi="Arial Narrow" w:cs="Arial"/>
                <w:bCs/>
                <w:sz w:val="18"/>
                <w:szCs w:val="18"/>
              </w:rPr>
              <w:t>1</w:t>
            </w:r>
          </w:p>
        </w:tc>
        <w:tc>
          <w:tcPr>
            <w:tcW w:w="1448" w:type="dxa"/>
          </w:tcPr>
          <w:p w:rsidR="008D06BE" w:rsidRDefault="00D87E5E" w:rsidP="009C7F0C">
            <w:pPr>
              <w:spacing w:before="40" w:after="20"/>
              <w:jc w:val="right"/>
              <w:rPr>
                <w:rFonts w:ascii="Arial Narrow" w:hAnsi="Arial Narrow" w:cs="Arial"/>
                <w:bCs/>
                <w:sz w:val="18"/>
                <w:szCs w:val="18"/>
              </w:rPr>
            </w:pPr>
            <w:r>
              <w:rPr>
                <w:rFonts w:ascii="Arial Narrow" w:hAnsi="Arial Narrow" w:cs="Arial"/>
                <w:bCs/>
                <w:sz w:val="18"/>
                <w:szCs w:val="18"/>
              </w:rPr>
              <w:t>+0,</w:t>
            </w:r>
            <w:r w:rsidR="009C7F0C">
              <w:rPr>
                <w:rFonts w:ascii="Arial Narrow" w:hAnsi="Arial Narrow" w:cs="Arial"/>
                <w:bCs/>
                <w:sz w:val="18"/>
                <w:szCs w:val="18"/>
              </w:rPr>
              <w:t>8</w:t>
            </w:r>
          </w:p>
        </w:tc>
        <w:tc>
          <w:tcPr>
            <w:tcW w:w="1448" w:type="dxa"/>
            <w:shd w:val="clear" w:color="auto" w:fill="E6E6E6"/>
            <w:vAlign w:val="bottom"/>
          </w:tcPr>
          <w:p w:rsidR="008D06BE" w:rsidRDefault="00D87E5E" w:rsidP="00FE1BB4">
            <w:pPr>
              <w:widowControl/>
              <w:overflowPunct/>
              <w:autoSpaceDE/>
              <w:autoSpaceDN/>
              <w:adjustRightInd/>
              <w:spacing w:before="40" w:after="20"/>
              <w:jc w:val="right"/>
              <w:rPr>
                <w:rFonts w:ascii="Arial Narrow" w:hAnsi="Arial Narrow" w:cs="Arial"/>
                <w:bCs/>
                <w:sz w:val="18"/>
                <w:szCs w:val="18"/>
              </w:rPr>
            </w:pPr>
            <w:r>
              <w:rPr>
                <w:rFonts w:ascii="Arial Narrow" w:hAnsi="Arial Narrow" w:cs="Arial"/>
                <w:bCs/>
                <w:sz w:val="18"/>
                <w:szCs w:val="18"/>
              </w:rPr>
              <w:t>122,</w:t>
            </w:r>
            <w:r w:rsidR="009C7F0C">
              <w:rPr>
                <w:rFonts w:ascii="Arial Narrow" w:hAnsi="Arial Narrow" w:cs="Arial"/>
                <w:bCs/>
                <w:sz w:val="18"/>
                <w:szCs w:val="18"/>
              </w:rPr>
              <w:t>4</w:t>
            </w:r>
          </w:p>
        </w:tc>
        <w:tc>
          <w:tcPr>
            <w:tcW w:w="1448" w:type="dxa"/>
            <w:vAlign w:val="center"/>
          </w:tcPr>
          <w:p w:rsidR="008D06BE" w:rsidRDefault="00D87E5E" w:rsidP="009C7F0C">
            <w:pPr>
              <w:spacing w:before="40" w:after="20"/>
              <w:jc w:val="right"/>
              <w:rPr>
                <w:rFonts w:ascii="Arial Narrow" w:hAnsi="Arial Narrow" w:cs="Arial"/>
                <w:bCs/>
                <w:sz w:val="18"/>
                <w:szCs w:val="18"/>
              </w:rPr>
            </w:pPr>
            <w:r>
              <w:rPr>
                <w:rFonts w:ascii="Arial Narrow" w:hAnsi="Arial Narrow" w:cs="Arial"/>
                <w:bCs/>
                <w:sz w:val="18"/>
                <w:szCs w:val="18"/>
              </w:rPr>
              <w:t>+0,</w:t>
            </w:r>
            <w:r w:rsidR="009C7F0C">
              <w:rPr>
                <w:rFonts w:ascii="Arial Narrow" w:hAnsi="Arial Narrow" w:cs="Arial"/>
                <w:bCs/>
                <w:sz w:val="18"/>
                <w:szCs w:val="18"/>
              </w:rPr>
              <w:t>5</w:t>
            </w:r>
          </w:p>
        </w:tc>
        <w:tc>
          <w:tcPr>
            <w:tcW w:w="1448" w:type="dxa"/>
            <w:vAlign w:val="center"/>
          </w:tcPr>
          <w:p w:rsidR="008D06BE" w:rsidRDefault="00D87E5E" w:rsidP="009C7F0C">
            <w:pPr>
              <w:spacing w:before="40" w:after="20"/>
              <w:jc w:val="right"/>
              <w:rPr>
                <w:rFonts w:ascii="Arial Narrow" w:hAnsi="Arial Narrow" w:cs="Arial"/>
                <w:bCs/>
                <w:sz w:val="18"/>
                <w:szCs w:val="18"/>
              </w:rPr>
            </w:pPr>
            <w:r>
              <w:rPr>
                <w:rFonts w:ascii="Arial Narrow" w:hAnsi="Arial Narrow" w:cs="Arial"/>
                <w:bCs/>
                <w:sz w:val="18"/>
                <w:szCs w:val="18"/>
              </w:rPr>
              <w:t>+</w:t>
            </w:r>
            <w:r w:rsidR="009C7F0C">
              <w:rPr>
                <w:rFonts w:ascii="Arial Narrow" w:hAnsi="Arial Narrow" w:cs="Arial"/>
                <w:bCs/>
                <w:sz w:val="18"/>
                <w:szCs w:val="18"/>
              </w:rPr>
              <w:t>0,9</w:t>
            </w:r>
          </w:p>
        </w:tc>
      </w:tr>
      <w:tr w:rsidR="00D21F10" w:rsidRPr="005210AC" w:rsidTr="004B3ACE">
        <w:trPr>
          <w:trHeight w:val="255"/>
          <w:jc w:val="center"/>
        </w:trPr>
        <w:tc>
          <w:tcPr>
            <w:tcW w:w="1701" w:type="dxa"/>
          </w:tcPr>
          <w:p w:rsidR="00D21F10" w:rsidRDefault="00D21F10" w:rsidP="00795B74">
            <w:pPr>
              <w:spacing w:before="40" w:after="20"/>
              <w:rPr>
                <w:rFonts w:ascii="Arial Narrow" w:hAnsi="Arial Narrow" w:cs="Arial"/>
                <w:bCs/>
                <w:sz w:val="18"/>
                <w:szCs w:val="18"/>
              </w:rPr>
            </w:pPr>
            <w:r>
              <w:rPr>
                <w:rFonts w:ascii="Arial Narrow" w:hAnsi="Arial Narrow" w:cs="Arial"/>
                <w:bCs/>
                <w:sz w:val="18"/>
                <w:szCs w:val="18"/>
              </w:rPr>
              <w:t xml:space="preserve">Maggio </w:t>
            </w:r>
          </w:p>
        </w:tc>
        <w:tc>
          <w:tcPr>
            <w:tcW w:w="1448" w:type="dxa"/>
            <w:shd w:val="clear" w:color="auto" w:fill="E6E6E6"/>
          </w:tcPr>
          <w:p w:rsidR="00D21F10" w:rsidRDefault="002A5C5A" w:rsidP="006E630A">
            <w:pPr>
              <w:spacing w:before="40" w:after="20"/>
              <w:jc w:val="right"/>
              <w:rPr>
                <w:rFonts w:ascii="Arial Narrow" w:hAnsi="Arial Narrow" w:cs="Arial"/>
                <w:bCs/>
                <w:sz w:val="18"/>
                <w:szCs w:val="18"/>
              </w:rPr>
            </w:pPr>
            <w:r>
              <w:rPr>
                <w:rFonts w:ascii="Arial Narrow" w:hAnsi="Arial Narrow" w:cs="Arial"/>
                <w:bCs/>
                <w:sz w:val="18"/>
                <w:szCs w:val="18"/>
              </w:rPr>
              <w:t>120,6</w:t>
            </w:r>
          </w:p>
        </w:tc>
        <w:tc>
          <w:tcPr>
            <w:tcW w:w="1448" w:type="dxa"/>
          </w:tcPr>
          <w:p w:rsidR="00D21F10" w:rsidRDefault="002A5C5A" w:rsidP="006E630A">
            <w:pPr>
              <w:spacing w:before="40" w:after="20"/>
              <w:jc w:val="right"/>
              <w:rPr>
                <w:rFonts w:ascii="Arial Narrow" w:hAnsi="Arial Narrow" w:cs="Arial"/>
                <w:bCs/>
                <w:sz w:val="18"/>
                <w:szCs w:val="18"/>
              </w:rPr>
            </w:pPr>
            <w:r>
              <w:rPr>
                <w:rFonts w:ascii="Arial Narrow" w:hAnsi="Arial Narrow" w:cs="Arial"/>
                <w:bCs/>
                <w:sz w:val="18"/>
                <w:szCs w:val="18"/>
              </w:rPr>
              <w:t>+0,2</w:t>
            </w:r>
          </w:p>
        </w:tc>
        <w:tc>
          <w:tcPr>
            <w:tcW w:w="1448" w:type="dxa"/>
          </w:tcPr>
          <w:p w:rsidR="00D21F10" w:rsidRDefault="002A5C5A" w:rsidP="006E630A">
            <w:pPr>
              <w:spacing w:before="40" w:after="20"/>
              <w:jc w:val="right"/>
              <w:rPr>
                <w:rFonts w:ascii="Arial Narrow" w:hAnsi="Arial Narrow" w:cs="Arial"/>
                <w:bCs/>
                <w:sz w:val="18"/>
                <w:szCs w:val="18"/>
              </w:rPr>
            </w:pPr>
            <w:r>
              <w:rPr>
                <w:rFonts w:ascii="Arial Narrow" w:hAnsi="Arial Narrow" w:cs="Arial"/>
                <w:bCs/>
                <w:sz w:val="18"/>
                <w:szCs w:val="18"/>
              </w:rPr>
              <w:t>+0,8</w:t>
            </w:r>
          </w:p>
        </w:tc>
        <w:tc>
          <w:tcPr>
            <w:tcW w:w="1448" w:type="dxa"/>
            <w:shd w:val="clear" w:color="auto" w:fill="E6E6E6"/>
            <w:vAlign w:val="bottom"/>
          </w:tcPr>
          <w:p w:rsidR="00D21F10" w:rsidRDefault="002A5C5A" w:rsidP="00FE1BB4">
            <w:pPr>
              <w:widowControl/>
              <w:overflowPunct/>
              <w:autoSpaceDE/>
              <w:autoSpaceDN/>
              <w:adjustRightInd/>
              <w:spacing w:before="40" w:after="20"/>
              <w:jc w:val="right"/>
              <w:rPr>
                <w:rFonts w:ascii="Arial Narrow" w:hAnsi="Arial Narrow" w:cs="Arial"/>
                <w:bCs/>
                <w:sz w:val="18"/>
                <w:szCs w:val="18"/>
              </w:rPr>
            </w:pPr>
            <w:r>
              <w:rPr>
                <w:rFonts w:ascii="Arial Narrow" w:hAnsi="Arial Narrow" w:cs="Arial"/>
                <w:bCs/>
                <w:sz w:val="18"/>
                <w:szCs w:val="18"/>
              </w:rPr>
              <w:t>122,7</w:t>
            </w:r>
          </w:p>
        </w:tc>
        <w:tc>
          <w:tcPr>
            <w:tcW w:w="1448" w:type="dxa"/>
            <w:vAlign w:val="center"/>
          </w:tcPr>
          <w:p w:rsidR="00D21F10" w:rsidRDefault="002A5C5A" w:rsidP="00FE1BB4">
            <w:pPr>
              <w:spacing w:before="40" w:after="20"/>
              <w:jc w:val="right"/>
              <w:rPr>
                <w:rFonts w:ascii="Arial Narrow" w:hAnsi="Arial Narrow" w:cs="Arial"/>
                <w:bCs/>
                <w:sz w:val="18"/>
                <w:szCs w:val="18"/>
              </w:rPr>
            </w:pPr>
            <w:r>
              <w:rPr>
                <w:rFonts w:ascii="Arial Narrow" w:hAnsi="Arial Narrow" w:cs="Arial"/>
                <w:bCs/>
                <w:sz w:val="18"/>
                <w:szCs w:val="18"/>
              </w:rPr>
              <w:t>+0,2</w:t>
            </w:r>
          </w:p>
        </w:tc>
        <w:tc>
          <w:tcPr>
            <w:tcW w:w="1448" w:type="dxa"/>
            <w:vAlign w:val="center"/>
          </w:tcPr>
          <w:p w:rsidR="00D21F10" w:rsidRDefault="002A5C5A" w:rsidP="00FE1BB4">
            <w:pPr>
              <w:spacing w:before="40" w:after="20"/>
              <w:jc w:val="right"/>
              <w:rPr>
                <w:rFonts w:ascii="Arial Narrow" w:hAnsi="Arial Narrow" w:cs="Arial"/>
                <w:bCs/>
                <w:sz w:val="18"/>
                <w:szCs w:val="18"/>
              </w:rPr>
            </w:pPr>
            <w:r>
              <w:rPr>
                <w:rFonts w:ascii="Arial Narrow" w:hAnsi="Arial Narrow" w:cs="Arial"/>
                <w:bCs/>
                <w:sz w:val="18"/>
                <w:szCs w:val="18"/>
              </w:rPr>
              <w:t>+0,8</w:t>
            </w:r>
          </w:p>
        </w:tc>
      </w:tr>
      <w:tr w:rsidR="00795B74" w:rsidRPr="005210AC" w:rsidTr="004B3ACE">
        <w:trPr>
          <w:trHeight w:val="255"/>
          <w:jc w:val="center"/>
        </w:trPr>
        <w:tc>
          <w:tcPr>
            <w:tcW w:w="1701" w:type="dxa"/>
          </w:tcPr>
          <w:p w:rsidR="00795B74" w:rsidRDefault="00795B74" w:rsidP="006E630A">
            <w:pPr>
              <w:spacing w:before="40" w:after="20"/>
              <w:rPr>
                <w:rFonts w:ascii="Arial Narrow" w:hAnsi="Arial Narrow" w:cs="Arial"/>
                <w:bCs/>
                <w:sz w:val="18"/>
                <w:szCs w:val="18"/>
              </w:rPr>
            </w:pPr>
            <w:r>
              <w:rPr>
                <w:rFonts w:ascii="Arial Narrow" w:hAnsi="Arial Narrow" w:cs="Arial"/>
                <w:bCs/>
                <w:sz w:val="18"/>
                <w:szCs w:val="18"/>
              </w:rPr>
              <w:t>Giugno</w:t>
            </w:r>
          </w:p>
        </w:tc>
        <w:tc>
          <w:tcPr>
            <w:tcW w:w="1448" w:type="dxa"/>
            <w:shd w:val="clear" w:color="auto" w:fill="E6E6E6"/>
          </w:tcPr>
          <w:p w:rsidR="00795B74" w:rsidRDefault="00C47A9E" w:rsidP="006E630A">
            <w:pPr>
              <w:spacing w:before="40" w:after="20"/>
              <w:jc w:val="right"/>
              <w:rPr>
                <w:rFonts w:ascii="Arial Narrow" w:hAnsi="Arial Narrow" w:cs="Arial"/>
                <w:bCs/>
                <w:sz w:val="18"/>
                <w:szCs w:val="18"/>
              </w:rPr>
            </w:pPr>
            <w:r>
              <w:rPr>
                <w:rFonts w:ascii="Arial Narrow" w:hAnsi="Arial Narrow" w:cs="Arial"/>
                <w:bCs/>
                <w:sz w:val="18"/>
                <w:szCs w:val="18"/>
              </w:rPr>
              <w:t>120,7</w:t>
            </w:r>
          </w:p>
        </w:tc>
        <w:tc>
          <w:tcPr>
            <w:tcW w:w="1448" w:type="dxa"/>
          </w:tcPr>
          <w:p w:rsidR="00795B74" w:rsidRDefault="00C47A9E" w:rsidP="006E630A">
            <w:pPr>
              <w:spacing w:before="40" w:after="20"/>
              <w:jc w:val="right"/>
              <w:rPr>
                <w:rFonts w:ascii="Arial Narrow" w:hAnsi="Arial Narrow" w:cs="Arial"/>
                <w:bCs/>
                <w:sz w:val="18"/>
                <w:szCs w:val="18"/>
              </w:rPr>
            </w:pPr>
            <w:r>
              <w:rPr>
                <w:rFonts w:ascii="Arial Narrow" w:hAnsi="Arial Narrow" w:cs="Arial"/>
                <w:bCs/>
                <w:sz w:val="18"/>
                <w:szCs w:val="18"/>
              </w:rPr>
              <w:t>+0,1</w:t>
            </w:r>
          </w:p>
        </w:tc>
        <w:tc>
          <w:tcPr>
            <w:tcW w:w="1448" w:type="dxa"/>
          </w:tcPr>
          <w:p w:rsidR="00795B74" w:rsidRDefault="00C47A9E" w:rsidP="006E630A">
            <w:pPr>
              <w:spacing w:before="40" w:after="20"/>
              <w:jc w:val="right"/>
              <w:rPr>
                <w:rFonts w:ascii="Arial Narrow" w:hAnsi="Arial Narrow" w:cs="Arial"/>
                <w:bCs/>
                <w:sz w:val="18"/>
                <w:szCs w:val="18"/>
              </w:rPr>
            </w:pPr>
            <w:r>
              <w:rPr>
                <w:rFonts w:ascii="Arial Narrow" w:hAnsi="Arial Narrow" w:cs="Arial"/>
                <w:bCs/>
                <w:sz w:val="18"/>
                <w:szCs w:val="18"/>
              </w:rPr>
              <w:t>+0,8</w:t>
            </w:r>
          </w:p>
        </w:tc>
        <w:tc>
          <w:tcPr>
            <w:tcW w:w="1448" w:type="dxa"/>
            <w:shd w:val="clear" w:color="auto" w:fill="E6E6E6"/>
            <w:vAlign w:val="bottom"/>
          </w:tcPr>
          <w:p w:rsidR="00795B74" w:rsidRDefault="00C47A9E" w:rsidP="00FE1BB4">
            <w:pPr>
              <w:widowControl/>
              <w:overflowPunct/>
              <w:autoSpaceDE/>
              <w:autoSpaceDN/>
              <w:adjustRightInd/>
              <w:spacing w:before="40" w:after="20"/>
              <w:jc w:val="right"/>
              <w:rPr>
                <w:rFonts w:ascii="Arial Narrow" w:hAnsi="Arial Narrow" w:cs="Arial"/>
                <w:bCs/>
                <w:sz w:val="18"/>
                <w:szCs w:val="18"/>
              </w:rPr>
            </w:pPr>
            <w:r>
              <w:rPr>
                <w:rFonts w:ascii="Arial Narrow" w:hAnsi="Arial Narrow" w:cs="Arial"/>
                <w:bCs/>
                <w:sz w:val="18"/>
                <w:szCs w:val="18"/>
              </w:rPr>
              <w:t>122,9</w:t>
            </w:r>
          </w:p>
        </w:tc>
        <w:tc>
          <w:tcPr>
            <w:tcW w:w="1448" w:type="dxa"/>
            <w:vAlign w:val="center"/>
          </w:tcPr>
          <w:p w:rsidR="00795B74" w:rsidRDefault="00C47A9E" w:rsidP="00FE1BB4">
            <w:pPr>
              <w:spacing w:before="40" w:after="20"/>
              <w:jc w:val="right"/>
              <w:rPr>
                <w:rFonts w:ascii="Arial Narrow" w:hAnsi="Arial Narrow" w:cs="Arial"/>
                <w:bCs/>
                <w:sz w:val="18"/>
                <w:szCs w:val="18"/>
              </w:rPr>
            </w:pPr>
            <w:r>
              <w:rPr>
                <w:rFonts w:ascii="Arial Narrow" w:hAnsi="Arial Narrow" w:cs="Arial"/>
                <w:bCs/>
                <w:sz w:val="18"/>
                <w:szCs w:val="18"/>
              </w:rPr>
              <w:t>+0,2</w:t>
            </w:r>
          </w:p>
        </w:tc>
        <w:tc>
          <w:tcPr>
            <w:tcW w:w="1448" w:type="dxa"/>
            <w:vAlign w:val="center"/>
          </w:tcPr>
          <w:p w:rsidR="00795B74" w:rsidRDefault="00C47A9E" w:rsidP="00FE1BB4">
            <w:pPr>
              <w:spacing w:before="40" w:after="20"/>
              <w:jc w:val="right"/>
              <w:rPr>
                <w:rFonts w:ascii="Arial Narrow" w:hAnsi="Arial Narrow" w:cs="Arial"/>
                <w:bCs/>
                <w:sz w:val="18"/>
                <w:szCs w:val="18"/>
              </w:rPr>
            </w:pPr>
            <w:r>
              <w:rPr>
                <w:rFonts w:ascii="Arial Narrow" w:hAnsi="Arial Narrow" w:cs="Arial"/>
                <w:bCs/>
                <w:sz w:val="18"/>
                <w:szCs w:val="18"/>
              </w:rPr>
              <w:t>+0,9</w:t>
            </w:r>
          </w:p>
        </w:tc>
      </w:tr>
      <w:tr w:rsidR="00087335" w:rsidRPr="005210AC" w:rsidTr="004B3ACE">
        <w:trPr>
          <w:trHeight w:val="255"/>
          <w:jc w:val="center"/>
        </w:trPr>
        <w:tc>
          <w:tcPr>
            <w:tcW w:w="1701" w:type="dxa"/>
          </w:tcPr>
          <w:p w:rsidR="00087335" w:rsidRDefault="00087335" w:rsidP="006E630A">
            <w:pPr>
              <w:spacing w:before="40" w:after="20"/>
              <w:rPr>
                <w:rFonts w:ascii="Arial Narrow" w:hAnsi="Arial Narrow" w:cs="Arial"/>
                <w:bCs/>
                <w:sz w:val="18"/>
                <w:szCs w:val="18"/>
              </w:rPr>
            </w:pPr>
            <w:r>
              <w:rPr>
                <w:rFonts w:ascii="Arial Narrow" w:hAnsi="Arial Narrow" w:cs="Arial"/>
                <w:bCs/>
                <w:sz w:val="18"/>
                <w:szCs w:val="18"/>
              </w:rPr>
              <w:t>Luglio (provvisorio)</w:t>
            </w:r>
          </w:p>
        </w:tc>
        <w:tc>
          <w:tcPr>
            <w:tcW w:w="1448" w:type="dxa"/>
            <w:shd w:val="clear" w:color="auto" w:fill="E6E6E6"/>
          </w:tcPr>
          <w:p w:rsidR="00087335" w:rsidRDefault="00735F51" w:rsidP="006E630A">
            <w:pPr>
              <w:spacing w:before="40" w:after="20"/>
              <w:jc w:val="right"/>
              <w:rPr>
                <w:rFonts w:ascii="Arial Narrow" w:hAnsi="Arial Narrow" w:cs="Arial"/>
                <w:bCs/>
                <w:sz w:val="18"/>
                <w:szCs w:val="18"/>
              </w:rPr>
            </w:pPr>
            <w:r>
              <w:rPr>
                <w:rFonts w:ascii="Arial Narrow" w:hAnsi="Arial Narrow" w:cs="Arial"/>
                <w:bCs/>
                <w:sz w:val="18"/>
                <w:szCs w:val="18"/>
              </w:rPr>
              <w:t>121,3</w:t>
            </w:r>
          </w:p>
        </w:tc>
        <w:tc>
          <w:tcPr>
            <w:tcW w:w="1448" w:type="dxa"/>
          </w:tcPr>
          <w:p w:rsidR="00087335" w:rsidRDefault="00735F51" w:rsidP="006E630A">
            <w:pPr>
              <w:spacing w:before="40" w:after="20"/>
              <w:jc w:val="right"/>
              <w:rPr>
                <w:rFonts w:ascii="Arial Narrow" w:hAnsi="Arial Narrow" w:cs="Arial"/>
                <w:bCs/>
                <w:sz w:val="18"/>
                <w:szCs w:val="18"/>
              </w:rPr>
            </w:pPr>
            <w:r>
              <w:rPr>
                <w:rFonts w:ascii="Arial Narrow" w:hAnsi="Arial Narrow" w:cs="Arial"/>
                <w:bCs/>
                <w:sz w:val="18"/>
                <w:szCs w:val="18"/>
              </w:rPr>
              <w:t>+0,5</w:t>
            </w:r>
          </w:p>
        </w:tc>
        <w:tc>
          <w:tcPr>
            <w:tcW w:w="1448" w:type="dxa"/>
          </w:tcPr>
          <w:p w:rsidR="00087335" w:rsidRDefault="00735F51" w:rsidP="006E630A">
            <w:pPr>
              <w:spacing w:before="40" w:after="20"/>
              <w:jc w:val="right"/>
              <w:rPr>
                <w:rFonts w:ascii="Arial Narrow" w:hAnsi="Arial Narrow" w:cs="Arial"/>
                <w:bCs/>
                <w:sz w:val="18"/>
                <w:szCs w:val="18"/>
              </w:rPr>
            </w:pPr>
            <w:r>
              <w:rPr>
                <w:rFonts w:ascii="Arial Narrow" w:hAnsi="Arial Narrow" w:cs="Arial"/>
                <w:bCs/>
                <w:sz w:val="18"/>
                <w:szCs w:val="18"/>
              </w:rPr>
              <w:t>+1,3</w:t>
            </w:r>
          </w:p>
        </w:tc>
        <w:tc>
          <w:tcPr>
            <w:tcW w:w="1448" w:type="dxa"/>
            <w:shd w:val="clear" w:color="auto" w:fill="E6E6E6"/>
            <w:vAlign w:val="bottom"/>
          </w:tcPr>
          <w:p w:rsidR="00087335" w:rsidRDefault="00735F51" w:rsidP="00FE1BB4">
            <w:pPr>
              <w:widowControl/>
              <w:overflowPunct/>
              <w:autoSpaceDE/>
              <w:autoSpaceDN/>
              <w:adjustRightInd/>
              <w:spacing w:before="40" w:after="20"/>
              <w:jc w:val="right"/>
              <w:rPr>
                <w:rFonts w:ascii="Arial Narrow" w:hAnsi="Arial Narrow" w:cs="Arial"/>
                <w:bCs/>
                <w:sz w:val="18"/>
                <w:szCs w:val="18"/>
              </w:rPr>
            </w:pPr>
            <w:r>
              <w:rPr>
                <w:rFonts w:ascii="Arial Narrow" w:hAnsi="Arial Narrow" w:cs="Arial"/>
                <w:bCs/>
                <w:sz w:val="18"/>
                <w:szCs w:val="18"/>
              </w:rPr>
              <w:t>121,9</w:t>
            </w:r>
          </w:p>
        </w:tc>
        <w:tc>
          <w:tcPr>
            <w:tcW w:w="1448" w:type="dxa"/>
            <w:vAlign w:val="center"/>
          </w:tcPr>
          <w:p w:rsidR="00087335" w:rsidRDefault="00735F51" w:rsidP="00FE1BB4">
            <w:pPr>
              <w:spacing w:before="40" w:after="20"/>
              <w:jc w:val="right"/>
              <w:rPr>
                <w:rFonts w:ascii="Arial Narrow" w:hAnsi="Arial Narrow" w:cs="Arial"/>
                <w:bCs/>
                <w:sz w:val="18"/>
                <w:szCs w:val="18"/>
              </w:rPr>
            </w:pPr>
            <w:r>
              <w:rPr>
                <w:rFonts w:ascii="Arial Narrow" w:hAnsi="Arial Narrow" w:cs="Arial"/>
                <w:bCs/>
                <w:sz w:val="18"/>
                <w:szCs w:val="18"/>
              </w:rPr>
              <w:t>-0,8</w:t>
            </w:r>
          </w:p>
        </w:tc>
        <w:tc>
          <w:tcPr>
            <w:tcW w:w="1448" w:type="dxa"/>
            <w:vAlign w:val="center"/>
          </w:tcPr>
          <w:p w:rsidR="00087335" w:rsidRDefault="00735F51" w:rsidP="00FE1BB4">
            <w:pPr>
              <w:spacing w:before="40" w:after="20"/>
              <w:jc w:val="right"/>
              <w:rPr>
                <w:rFonts w:ascii="Arial Narrow" w:hAnsi="Arial Narrow" w:cs="Arial"/>
                <w:bCs/>
                <w:sz w:val="18"/>
                <w:szCs w:val="18"/>
              </w:rPr>
            </w:pPr>
            <w:r>
              <w:rPr>
                <w:rFonts w:ascii="Arial Narrow" w:hAnsi="Arial Narrow" w:cs="Arial"/>
                <w:bCs/>
                <w:sz w:val="18"/>
                <w:szCs w:val="18"/>
              </w:rPr>
              <w:t>+1,7</w:t>
            </w:r>
          </w:p>
        </w:tc>
      </w:tr>
    </w:tbl>
    <w:p w:rsidR="00915CE1" w:rsidRPr="00820101" w:rsidRDefault="00915CE1" w:rsidP="00915CE1">
      <w:pPr>
        <w:widowControl/>
        <w:overflowPunct/>
        <w:autoSpaceDE/>
        <w:autoSpaceDN/>
        <w:adjustRightInd/>
        <w:spacing w:before="0" w:after="0" w:line="240" w:lineRule="exact"/>
        <w:rPr>
          <w:rFonts w:ascii="Arial Narrow" w:hAnsi="Arial Narrow" w:cs="Arial"/>
          <w:b/>
          <w:sz w:val="22"/>
          <w:szCs w:val="22"/>
        </w:rPr>
      </w:pPr>
      <w:r w:rsidRPr="00820101">
        <w:rPr>
          <w:rFonts w:ascii="Arial Narrow" w:hAnsi="Arial Narrow"/>
        </w:rPr>
        <w:br w:type="page"/>
      </w:r>
    </w:p>
    <w:p w:rsidR="00BF5F3D" w:rsidRPr="00521958" w:rsidRDefault="00BF5F3D" w:rsidP="00BA11A0">
      <w:pPr>
        <w:pStyle w:val="001TitoGra"/>
        <w:spacing w:after="120" w:line="240" w:lineRule="auto"/>
        <w:rPr>
          <w:color w:val="auto"/>
        </w:rPr>
      </w:pPr>
    </w:p>
    <w:p w:rsidR="00344F4E" w:rsidRPr="000C11ED" w:rsidRDefault="00344F4E" w:rsidP="00CD5355">
      <w:pPr>
        <w:pStyle w:val="00TitoGra1"/>
        <w:spacing w:after="120" w:line="240" w:lineRule="auto"/>
        <w:rPr>
          <w:color w:val="E42618"/>
          <w:sz w:val="36"/>
          <w:szCs w:val="36"/>
        </w:rPr>
      </w:pPr>
      <w:r w:rsidRPr="000C11ED">
        <w:rPr>
          <w:color w:val="E42618"/>
          <w:sz w:val="36"/>
          <w:szCs w:val="36"/>
        </w:rPr>
        <w:t>Indice nazionale dei prezzi al consumo per l’intera collettività (NIC)</w:t>
      </w:r>
    </w:p>
    <w:p w:rsidR="00344F4E" w:rsidRPr="00FA4447" w:rsidRDefault="00344F4E" w:rsidP="00CD5355">
      <w:pPr>
        <w:pStyle w:val="001TitoloBolocco"/>
        <w:spacing w:after="120" w:line="240" w:lineRule="auto"/>
      </w:pPr>
      <w:r w:rsidRPr="005335A3">
        <w:t>LE DIVISIONI DI SPESA</w:t>
      </w:r>
    </w:p>
    <w:p w:rsidR="00EB5D65" w:rsidRDefault="00EB5D65" w:rsidP="00EB5D65">
      <w:pPr>
        <w:pStyle w:val="001TitoGra"/>
        <w:spacing w:after="120" w:line="240" w:lineRule="auto"/>
        <w:rPr>
          <w:color w:val="E42618"/>
        </w:rPr>
      </w:pPr>
    </w:p>
    <w:p w:rsidR="00EB5D65" w:rsidRDefault="00EB5D65" w:rsidP="00EB5D65">
      <w:pPr>
        <w:pStyle w:val="001TitoGra"/>
      </w:pPr>
      <w:r w:rsidRPr="00FA4447">
        <w:rPr>
          <w:color w:val="E42618"/>
        </w:rPr>
        <w:t>PROSPETTO 2</w:t>
      </w:r>
      <w:r w:rsidRPr="00D6325B">
        <w:rPr>
          <w:color w:val="D90B13"/>
        </w:rPr>
        <w:t>.</w:t>
      </w:r>
      <w:r w:rsidRPr="00EA0885">
        <w:t xml:space="preserve"> INDICI DEI PREZZI AL CONSUMO NIC PER DIVISIONE</w:t>
      </w:r>
      <w:r>
        <w:t xml:space="preserve"> DI SPESA</w:t>
      </w:r>
    </w:p>
    <w:p w:rsidR="005031DD" w:rsidRPr="00EA0885" w:rsidRDefault="00663A9F" w:rsidP="005031DD">
      <w:pPr>
        <w:pStyle w:val="001SottotitoloGra"/>
        <w:spacing w:line="240" w:lineRule="auto"/>
      </w:pPr>
      <w:r>
        <w:t>Lugli</w:t>
      </w:r>
      <w:r w:rsidR="00C47A9E">
        <w:t>o</w:t>
      </w:r>
      <w:r w:rsidR="006E630A">
        <w:t xml:space="preserve"> 2024</w:t>
      </w:r>
      <w:r w:rsidR="005031DD" w:rsidRPr="008154D4">
        <w:t>, pesi e v</w:t>
      </w:r>
      <w:r w:rsidR="005031DD">
        <w:t>ariazioni percentuali congiunturali e tendenziali (base 2015</w:t>
      </w:r>
      <w:r w:rsidR="005031DD" w:rsidRPr="008154D4">
        <w:t>=100)</w:t>
      </w:r>
    </w:p>
    <w:tbl>
      <w:tblPr>
        <w:tblW w:w="10166" w:type="dxa"/>
        <w:jc w:val="center"/>
        <w:tblBorders>
          <w:top w:val="single" w:sz="4" w:space="0" w:color="auto"/>
          <w:bottom w:val="single" w:sz="4" w:space="0" w:color="auto"/>
          <w:insideH w:val="single" w:sz="4" w:space="0" w:color="auto"/>
        </w:tblBorders>
        <w:tblCellMar>
          <w:left w:w="70" w:type="dxa"/>
          <w:right w:w="70" w:type="dxa"/>
        </w:tblCellMar>
        <w:tblLook w:val="04A0" w:firstRow="1" w:lastRow="0" w:firstColumn="1" w:lastColumn="0" w:noHBand="0" w:noVBand="1"/>
      </w:tblPr>
      <w:tblGrid>
        <w:gridCol w:w="3571"/>
        <w:gridCol w:w="1164"/>
        <w:gridCol w:w="1074"/>
        <w:gridCol w:w="1053"/>
        <w:gridCol w:w="1074"/>
        <w:gridCol w:w="1074"/>
        <w:gridCol w:w="1156"/>
      </w:tblGrid>
      <w:tr w:rsidR="006E630A" w:rsidRPr="008814F3" w:rsidTr="004B3ACE">
        <w:trPr>
          <w:trHeight w:val="255"/>
          <w:jc w:val="center"/>
        </w:trPr>
        <w:tc>
          <w:tcPr>
            <w:tcW w:w="3571" w:type="dxa"/>
            <w:vMerge w:val="restart"/>
            <w:shd w:val="clear" w:color="auto" w:fill="auto"/>
            <w:vAlign w:val="center"/>
            <w:hideMark/>
          </w:tcPr>
          <w:p w:rsidR="006E630A" w:rsidRPr="008814F3" w:rsidRDefault="006E630A" w:rsidP="004B3ACE">
            <w:pPr>
              <w:widowControl/>
              <w:overflowPunct/>
              <w:autoSpaceDE/>
              <w:autoSpaceDN/>
              <w:adjustRightInd/>
              <w:spacing w:before="0" w:after="0"/>
              <w:rPr>
                <w:rFonts w:ascii="Arial Narrow" w:hAnsi="Arial Narrow" w:cs="Arial"/>
                <w:b/>
                <w:bCs/>
                <w:kern w:val="0"/>
                <w:sz w:val="18"/>
                <w:szCs w:val="18"/>
              </w:rPr>
            </w:pPr>
            <w:bookmarkStart w:id="1" w:name="RANGE!N3"/>
            <w:r w:rsidRPr="008814F3">
              <w:rPr>
                <w:rFonts w:ascii="Arial Narrow" w:hAnsi="Arial Narrow" w:cs="Arial"/>
                <w:b/>
                <w:bCs/>
                <w:kern w:val="0"/>
                <w:sz w:val="18"/>
                <w:szCs w:val="18"/>
              </w:rPr>
              <w:t>DIVISIONI DI SPESA</w:t>
            </w:r>
            <w:bookmarkEnd w:id="1"/>
          </w:p>
        </w:tc>
        <w:tc>
          <w:tcPr>
            <w:tcW w:w="1164" w:type="dxa"/>
            <w:vMerge w:val="restart"/>
            <w:shd w:val="clear" w:color="000000" w:fill="D9D9D9"/>
            <w:vAlign w:val="center"/>
            <w:hideMark/>
          </w:tcPr>
          <w:p w:rsidR="006E630A" w:rsidRPr="008814F3" w:rsidRDefault="006E630A" w:rsidP="004B3ACE">
            <w:pPr>
              <w:widowControl/>
              <w:overflowPunct/>
              <w:autoSpaceDE/>
              <w:autoSpaceDN/>
              <w:adjustRightInd/>
              <w:spacing w:before="0" w:after="0"/>
              <w:jc w:val="right"/>
              <w:rPr>
                <w:rFonts w:ascii="Arial Narrow" w:hAnsi="Arial Narrow" w:cs="Arial"/>
                <w:b/>
                <w:bCs/>
                <w:kern w:val="0"/>
                <w:sz w:val="18"/>
                <w:szCs w:val="18"/>
              </w:rPr>
            </w:pPr>
            <w:r w:rsidRPr="008814F3">
              <w:rPr>
                <w:rFonts w:ascii="Arial Narrow" w:hAnsi="Arial Narrow" w:cs="Arial"/>
                <w:b/>
                <w:bCs/>
                <w:kern w:val="0"/>
                <w:sz w:val="18"/>
                <w:szCs w:val="18"/>
              </w:rPr>
              <w:t>Pesi</w:t>
            </w:r>
          </w:p>
        </w:tc>
        <w:tc>
          <w:tcPr>
            <w:tcW w:w="2127" w:type="dxa"/>
            <w:gridSpan w:val="2"/>
            <w:shd w:val="clear" w:color="auto" w:fill="auto"/>
            <w:vAlign w:val="center"/>
            <w:hideMark/>
          </w:tcPr>
          <w:p w:rsidR="006E630A" w:rsidRPr="00DB5B05" w:rsidRDefault="006E630A" w:rsidP="004B3ACE">
            <w:pPr>
              <w:widowControl/>
              <w:overflowPunct/>
              <w:autoSpaceDE/>
              <w:autoSpaceDN/>
              <w:adjustRightInd/>
              <w:spacing w:before="0" w:after="0"/>
              <w:jc w:val="right"/>
              <w:rPr>
                <w:rFonts w:ascii="Arial Narrow" w:hAnsi="Arial Narrow" w:cs="Arial"/>
                <w:b/>
                <w:bCs/>
                <w:kern w:val="0"/>
                <w:sz w:val="18"/>
                <w:szCs w:val="18"/>
              </w:rPr>
            </w:pPr>
            <w:r w:rsidRPr="00DB5B05">
              <w:rPr>
                <w:rFonts w:ascii="Arial Narrow" w:hAnsi="Arial Narrow" w:cs="Arial"/>
                <w:b/>
                <w:bCs/>
                <w:kern w:val="0"/>
                <w:sz w:val="18"/>
                <w:szCs w:val="18"/>
              </w:rPr>
              <w:t>Variazioni congiunturali</w:t>
            </w:r>
          </w:p>
        </w:tc>
        <w:tc>
          <w:tcPr>
            <w:tcW w:w="2148" w:type="dxa"/>
            <w:gridSpan w:val="2"/>
            <w:shd w:val="clear" w:color="000000" w:fill="D9D9D9"/>
            <w:vAlign w:val="center"/>
            <w:hideMark/>
          </w:tcPr>
          <w:p w:rsidR="006E630A" w:rsidRPr="00DB5B05" w:rsidRDefault="006E630A" w:rsidP="004B3ACE">
            <w:pPr>
              <w:widowControl/>
              <w:overflowPunct/>
              <w:autoSpaceDE/>
              <w:autoSpaceDN/>
              <w:adjustRightInd/>
              <w:spacing w:before="0" w:after="0"/>
              <w:jc w:val="right"/>
              <w:rPr>
                <w:rFonts w:ascii="Arial Narrow" w:hAnsi="Arial Narrow" w:cs="Arial"/>
                <w:b/>
                <w:bCs/>
                <w:kern w:val="0"/>
                <w:sz w:val="18"/>
                <w:szCs w:val="18"/>
              </w:rPr>
            </w:pPr>
            <w:r w:rsidRPr="00DB5B05">
              <w:rPr>
                <w:rFonts w:ascii="Arial Narrow" w:hAnsi="Arial Narrow" w:cs="Arial"/>
                <w:b/>
                <w:bCs/>
                <w:kern w:val="0"/>
                <w:sz w:val="18"/>
                <w:szCs w:val="18"/>
              </w:rPr>
              <w:t>Variazioni tendenziali</w:t>
            </w:r>
          </w:p>
        </w:tc>
        <w:tc>
          <w:tcPr>
            <w:tcW w:w="1156" w:type="dxa"/>
            <w:vMerge w:val="restart"/>
            <w:shd w:val="clear" w:color="auto" w:fill="auto"/>
            <w:vAlign w:val="center"/>
            <w:hideMark/>
          </w:tcPr>
          <w:p w:rsidR="006E630A" w:rsidRPr="00DB5B05" w:rsidRDefault="006E630A" w:rsidP="00C32DBB">
            <w:pPr>
              <w:widowControl/>
              <w:overflowPunct/>
              <w:autoSpaceDE/>
              <w:autoSpaceDN/>
              <w:adjustRightInd/>
              <w:spacing w:before="40" w:after="20"/>
              <w:jc w:val="right"/>
              <w:rPr>
                <w:rFonts w:ascii="Arial Narrow" w:hAnsi="Arial Narrow" w:cs="Arial"/>
                <w:b/>
                <w:bCs/>
                <w:kern w:val="0"/>
                <w:sz w:val="18"/>
                <w:szCs w:val="18"/>
              </w:rPr>
            </w:pPr>
            <w:r w:rsidRPr="00DB5B05">
              <w:rPr>
                <w:rFonts w:ascii="Arial Narrow" w:hAnsi="Arial Narrow" w:cs="Arial"/>
                <w:b/>
                <w:bCs/>
                <w:kern w:val="0"/>
                <w:sz w:val="18"/>
                <w:szCs w:val="18"/>
              </w:rPr>
              <w:t>Inflazione acquisita</w:t>
            </w:r>
            <w:r w:rsidR="005654F4">
              <w:rPr>
                <w:rFonts w:ascii="Arial Narrow" w:hAnsi="Arial Narrow" w:cs="Arial"/>
                <w:b/>
                <w:bCs/>
                <w:kern w:val="0"/>
                <w:sz w:val="18"/>
                <w:szCs w:val="18"/>
              </w:rPr>
              <w:t xml:space="preserve">      </w:t>
            </w:r>
            <w:r w:rsidRPr="00DB5B05">
              <w:rPr>
                <w:rFonts w:ascii="Arial Narrow" w:hAnsi="Arial Narrow" w:cs="Arial"/>
                <w:b/>
                <w:bCs/>
                <w:kern w:val="0"/>
                <w:sz w:val="18"/>
                <w:szCs w:val="18"/>
              </w:rPr>
              <w:t xml:space="preserve">   a</w:t>
            </w:r>
            <w:r>
              <w:rPr>
                <w:rFonts w:ascii="Arial Narrow" w:hAnsi="Arial Narrow" w:cs="Arial"/>
                <w:b/>
                <w:bCs/>
                <w:kern w:val="0"/>
                <w:sz w:val="18"/>
                <w:szCs w:val="18"/>
              </w:rPr>
              <w:t xml:space="preserve"> </w:t>
            </w:r>
            <w:r w:rsidR="00663A9F">
              <w:rPr>
                <w:rFonts w:ascii="Arial Narrow" w:hAnsi="Arial Narrow" w:cs="Arial"/>
                <w:b/>
                <w:bCs/>
                <w:kern w:val="0"/>
                <w:sz w:val="18"/>
                <w:szCs w:val="18"/>
              </w:rPr>
              <w:t>luglio</w:t>
            </w:r>
          </w:p>
        </w:tc>
      </w:tr>
      <w:tr w:rsidR="006E630A" w:rsidRPr="008814F3" w:rsidTr="004B3ACE">
        <w:trPr>
          <w:trHeight w:val="431"/>
          <w:jc w:val="center"/>
        </w:trPr>
        <w:tc>
          <w:tcPr>
            <w:tcW w:w="3571" w:type="dxa"/>
            <w:vMerge/>
            <w:vAlign w:val="center"/>
            <w:hideMark/>
          </w:tcPr>
          <w:p w:rsidR="006E630A" w:rsidRPr="008814F3" w:rsidRDefault="006E630A" w:rsidP="004B3ACE">
            <w:pPr>
              <w:widowControl/>
              <w:overflowPunct/>
              <w:autoSpaceDE/>
              <w:autoSpaceDN/>
              <w:adjustRightInd/>
              <w:spacing w:before="0" w:after="0"/>
              <w:rPr>
                <w:rFonts w:ascii="Arial Narrow" w:hAnsi="Arial Narrow" w:cs="Arial"/>
                <w:b/>
                <w:bCs/>
                <w:kern w:val="0"/>
                <w:sz w:val="18"/>
                <w:szCs w:val="18"/>
              </w:rPr>
            </w:pPr>
          </w:p>
        </w:tc>
        <w:tc>
          <w:tcPr>
            <w:tcW w:w="1164" w:type="dxa"/>
            <w:vMerge/>
            <w:vAlign w:val="center"/>
            <w:hideMark/>
          </w:tcPr>
          <w:p w:rsidR="006E630A" w:rsidRPr="008814F3" w:rsidRDefault="006E630A" w:rsidP="004B3ACE">
            <w:pPr>
              <w:widowControl/>
              <w:overflowPunct/>
              <w:autoSpaceDE/>
              <w:autoSpaceDN/>
              <w:adjustRightInd/>
              <w:spacing w:before="0" w:after="0"/>
              <w:rPr>
                <w:rFonts w:ascii="Arial Narrow" w:hAnsi="Arial Narrow" w:cs="Arial"/>
                <w:b/>
                <w:bCs/>
                <w:kern w:val="0"/>
                <w:sz w:val="18"/>
                <w:szCs w:val="18"/>
              </w:rPr>
            </w:pPr>
          </w:p>
        </w:tc>
        <w:tc>
          <w:tcPr>
            <w:tcW w:w="1074" w:type="dxa"/>
            <w:shd w:val="clear" w:color="auto" w:fill="auto"/>
            <w:vAlign w:val="center"/>
            <w:hideMark/>
          </w:tcPr>
          <w:p w:rsidR="006E630A" w:rsidRPr="00DB5B05" w:rsidRDefault="00663A9F" w:rsidP="004B3ACE">
            <w:pPr>
              <w:widowControl/>
              <w:overflowPunct/>
              <w:autoSpaceDE/>
              <w:autoSpaceDN/>
              <w:adjustRightInd/>
              <w:spacing w:before="40" w:after="20"/>
              <w:jc w:val="right"/>
              <w:rPr>
                <w:rFonts w:ascii="Arial Narrow" w:hAnsi="Arial Narrow" w:cs="Arial"/>
                <w:kern w:val="0"/>
                <w:sz w:val="18"/>
                <w:szCs w:val="18"/>
                <w:u w:val="single"/>
              </w:rPr>
            </w:pPr>
            <w:r>
              <w:rPr>
                <w:rFonts w:ascii="Arial Narrow" w:hAnsi="Arial Narrow" w:cs="Arial"/>
                <w:kern w:val="0"/>
                <w:sz w:val="18"/>
                <w:szCs w:val="18"/>
                <w:u w:val="single"/>
              </w:rPr>
              <w:t>lug</w:t>
            </w:r>
            <w:r w:rsidR="006E630A" w:rsidRPr="00DB5B05">
              <w:rPr>
                <w:rFonts w:ascii="Arial Narrow" w:hAnsi="Arial Narrow" w:cs="Arial"/>
                <w:kern w:val="0"/>
                <w:sz w:val="18"/>
                <w:szCs w:val="18"/>
                <w:u w:val="single"/>
              </w:rPr>
              <w:t>-2</w:t>
            </w:r>
            <w:r w:rsidR="006E630A">
              <w:rPr>
                <w:rFonts w:ascii="Arial Narrow" w:hAnsi="Arial Narrow" w:cs="Arial"/>
                <w:kern w:val="0"/>
                <w:sz w:val="18"/>
                <w:szCs w:val="18"/>
                <w:u w:val="single"/>
              </w:rPr>
              <w:t>4</w:t>
            </w:r>
          </w:p>
          <w:p w:rsidR="006E630A" w:rsidRPr="00DB5B05" w:rsidRDefault="00663A9F" w:rsidP="00F62FE5">
            <w:pPr>
              <w:widowControl/>
              <w:overflowPunct/>
              <w:autoSpaceDE/>
              <w:autoSpaceDN/>
              <w:adjustRightInd/>
              <w:spacing w:before="40" w:after="20"/>
              <w:jc w:val="right"/>
              <w:rPr>
                <w:rFonts w:ascii="Arial Narrow" w:hAnsi="Arial Narrow" w:cs="Arial"/>
                <w:kern w:val="0"/>
                <w:sz w:val="18"/>
                <w:szCs w:val="18"/>
              </w:rPr>
            </w:pPr>
            <w:r>
              <w:rPr>
                <w:rFonts w:ascii="Arial Narrow" w:hAnsi="Arial Narrow" w:cs="Arial"/>
                <w:kern w:val="0"/>
                <w:sz w:val="18"/>
                <w:szCs w:val="18"/>
              </w:rPr>
              <w:t>giu</w:t>
            </w:r>
            <w:r w:rsidR="006E630A" w:rsidRPr="00DB5B05">
              <w:rPr>
                <w:rFonts w:ascii="Arial Narrow" w:hAnsi="Arial Narrow" w:cs="Arial"/>
                <w:kern w:val="0"/>
                <w:sz w:val="18"/>
                <w:szCs w:val="18"/>
              </w:rPr>
              <w:t>-2</w:t>
            </w:r>
            <w:r w:rsidR="00F62FE5">
              <w:rPr>
                <w:rFonts w:ascii="Arial Narrow" w:hAnsi="Arial Narrow" w:cs="Arial"/>
                <w:kern w:val="0"/>
                <w:sz w:val="18"/>
                <w:szCs w:val="18"/>
              </w:rPr>
              <w:t>4</w:t>
            </w:r>
          </w:p>
        </w:tc>
        <w:tc>
          <w:tcPr>
            <w:tcW w:w="1053" w:type="dxa"/>
            <w:shd w:val="clear" w:color="auto" w:fill="auto"/>
            <w:vAlign w:val="center"/>
            <w:hideMark/>
          </w:tcPr>
          <w:p w:rsidR="006E630A" w:rsidRPr="00DB5B05" w:rsidRDefault="00663A9F" w:rsidP="004B3ACE">
            <w:pPr>
              <w:widowControl/>
              <w:overflowPunct/>
              <w:autoSpaceDE/>
              <w:autoSpaceDN/>
              <w:adjustRightInd/>
              <w:spacing w:before="40" w:after="20"/>
              <w:jc w:val="right"/>
              <w:rPr>
                <w:rFonts w:ascii="Arial Narrow" w:hAnsi="Arial Narrow" w:cs="Arial"/>
                <w:kern w:val="0"/>
                <w:sz w:val="18"/>
                <w:szCs w:val="18"/>
                <w:u w:val="single"/>
              </w:rPr>
            </w:pPr>
            <w:r>
              <w:rPr>
                <w:rFonts w:ascii="Arial Narrow" w:hAnsi="Arial Narrow" w:cs="Arial"/>
                <w:kern w:val="0"/>
                <w:sz w:val="18"/>
                <w:szCs w:val="18"/>
                <w:u w:val="single"/>
              </w:rPr>
              <w:t>lug</w:t>
            </w:r>
            <w:r w:rsidR="006E630A" w:rsidRPr="00DB5B05">
              <w:rPr>
                <w:rFonts w:ascii="Arial Narrow" w:hAnsi="Arial Narrow" w:cs="Arial"/>
                <w:kern w:val="0"/>
                <w:sz w:val="18"/>
                <w:szCs w:val="18"/>
                <w:u w:val="single"/>
              </w:rPr>
              <w:t>-2</w:t>
            </w:r>
            <w:r w:rsidR="006E630A">
              <w:rPr>
                <w:rFonts w:ascii="Arial Narrow" w:hAnsi="Arial Narrow" w:cs="Arial"/>
                <w:kern w:val="0"/>
                <w:sz w:val="18"/>
                <w:szCs w:val="18"/>
                <w:u w:val="single"/>
              </w:rPr>
              <w:t>3</w:t>
            </w:r>
          </w:p>
          <w:p w:rsidR="006E630A" w:rsidRPr="00DB5B05" w:rsidRDefault="00663A9F" w:rsidP="00F62FE5">
            <w:pPr>
              <w:widowControl/>
              <w:overflowPunct/>
              <w:autoSpaceDE/>
              <w:autoSpaceDN/>
              <w:adjustRightInd/>
              <w:spacing w:before="40" w:after="20"/>
              <w:jc w:val="right"/>
              <w:rPr>
                <w:rFonts w:ascii="Arial Narrow" w:hAnsi="Arial Narrow" w:cs="Arial"/>
                <w:kern w:val="0"/>
                <w:sz w:val="18"/>
                <w:szCs w:val="18"/>
                <w:u w:val="single"/>
              </w:rPr>
            </w:pPr>
            <w:r>
              <w:rPr>
                <w:rFonts w:ascii="Arial Narrow" w:hAnsi="Arial Narrow" w:cs="Arial"/>
                <w:kern w:val="0"/>
                <w:sz w:val="18"/>
                <w:szCs w:val="18"/>
              </w:rPr>
              <w:t>giu</w:t>
            </w:r>
            <w:r w:rsidR="006E630A" w:rsidRPr="00DB5B05">
              <w:rPr>
                <w:rFonts w:ascii="Arial Narrow" w:hAnsi="Arial Narrow" w:cs="Arial"/>
                <w:kern w:val="0"/>
                <w:sz w:val="18"/>
                <w:szCs w:val="18"/>
              </w:rPr>
              <w:t>-2</w:t>
            </w:r>
            <w:r w:rsidR="00F62FE5">
              <w:rPr>
                <w:rFonts w:ascii="Arial Narrow" w:hAnsi="Arial Narrow" w:cs="Arial"/>
                <w:kern w:val="0"/>
                <w:sz w:val="18"/>
                <w:szCs w:val="18"/>
              </w:rPr>
              <w:t>3</w:t>
            </w:r>
          </w:p>
        </w:tc>
        <w:tc>
          <w:tcPr>
            <w:tcW w:w="1074" w:type="dxa"/>
            <w:shd w:val="clear" w:color="auto" w:fill="auto"/>
            <w:vAlign w:val="center"/>
            <w:hideMark/>
          </w:tcPr>
          <w:p w:rsidR="006E630A" w:rsidRPr="00DB5B05" w:rsidRDefault="00663A9F" w:rsidP="004B3ACE">
            <w:pPr>
              <w:widowControl/>
              <w:overflowPunct/>
              <w:autoSpaceDE/>
              <w:autoSpaceDN/>
              <w:adjustRightInd/>
              <w:spacing w:before="40" w:after="20"/>
              <w:jc w:val="right"/>
              <w:rPr>
                <w:rFonts w:ascii="Arial Narrow" w:hAnsi="Arial Narrow" w:cs="Arial"/>
                <w:kern w:val="0"/>
                <w:sz w:val="18"/>
                <w:szCs w:val="18"/>
                <w:u w:val="single"/>
              </w:rPr>
            </w:pPr>
            <w:r>
              <w:rPr>
                <w:rFonts w:ascii="Arial Narrow" w:hAnsi="Arial Narrow" w:cs="Arial"/>
                <w:kern w:val="0"/>
                <w:sz w:val="18"/>
                <w:szCs w:val="18"/>
                <w:u w:val="single"/>
              </w:rPr>
              <w:t>lug</w:t>
            </w:r>
            <w:r w:rsidR="006E630A" w:rsidRPr="00DB5B05">
              <w:rPr>
                <w:rFonts w:ascii="Arial Narrow" w:hAnsi="Arial Narrow" w:cs="Arial"/>
                <w:kern w:val="0"/>
                <w:sz w:val="18"/>
                <w:szCs w:val="18"/>
                <w:u w:val="single"/>
              </w:rPr>
              <w:t>-2</w:t>
            </w:r>
            <w:r w:rsidR="006E630A">
              <w:rPr>
                <w:rFonts w:ascii="Arial Narrow" w:hAnsi="Arial Narrow" w:cs="Arial"/>
                <w:kern w:val="0"/>
                <w:sz w:val="18"/>
                <w:szCs w:val="18"/>
                <w:u w:val="single"/>
              </w:rPr>
              <w:t>4</w:t>
            </w:r>
          </w:p>
          <w:p w:rsidR="006E630A" w:rsidRPr="00DB5B05" w:rsidRDefault="00663A9F" w:rsidP="006E630A">
            <w:pPr>
              <w:widowControl/>
              <w:overflowPunct/>
              <w:autoSpaceDE/>
              <w:autoSpaceDN/>
              <w:adjustRightInd/>
              <w:spacing w:before="40" w:after="20"/>
              <w:jc w:val="right"/>
              <w:rPr>
                <w:rFonts w:ascii="Arial Narrow" w:hAnsi="Arial Narrow" w:cs="Arial"/>
                <w:kern w:val="0"/>
                <w:sz w:val="18"/>
                <w:szCs w:val="18"/>
                <w:u w:val="single"/>
              </w:rPr>
            </w:pPr>
            <w:r>
              <w:rPr>
                <w:rFonts w:ascii="Arial Narrow" w:hAnsi="Arial Narrow" w:cs="Arial"/>
                <w:kern w:val="0"/>
                <w:sz w:val="18"/>
                <w:szCs w:val="18"/>
              </w:rPr>
              <w:t>lug</w:t>
            </w:r>
            <w:r w:rsidR="006E630A" w:rsidRPr="00DB5B05">
              <w:rPr>
                <w:rFonts w:ascii="Arial Narrow" w:hAnsi="Arial Narrow" w:cs="Arial"/>
                <w:kern w:val="0"/>
                <w:sz w:val="18"/>
                <w:szCs w:val="18"/>
              </w:rPr>
              <w:t>-2</w:t>
            </w:r>
            <w:r w:rsidR="006E630A">
              <w:rPr>
                <w:rFonts w:ascii="Arial Narrow" w:hAnsi="Arial Narrow" w:cs="Arial"/>
                <w:kern w:val="0"/>
                <w:sz w:val="18"/>
                <w:szCs w:val="18"/>
              </w:rPr>
              <w:t>3</w:t>
            </w:r>
          </w:p>
        </w:tc>
        <w:tc>
          <w:tcPr>
            <w:tcW w:w="1074" w:type="dxa"/>
            <w:shd w:val="clear" w:color="auto" w:fill="auto"/>
            <w:vAlign w:val="center"/>
            <w:hideMark/>
          </w:tcPr>
          <w:p w:rsidR="006E630A" w:rsidRPr="00DB5B05" w:rsidRDefault="00663A9F" w:rsidP="004B3ACE">
            <w:pPr>
              <w:widowControl/>
              <w:overflowPunct/>
              <w:autoSpaceDE/>
              <w:autoSpaceDN/>
              <w:adjustRightInd/>
              <w:spacing w:before="40" w:after="20"/>
              <w:jc w:val="right"/>
              <w:rPr>
                <w:rFonts w:ascii="Arial Narrow" w:hAnsi="Arial Narrow" w:cs="Arial"/>
                <w:kern w:val="0"/>
                <w:sz w:val="18"/>
                <w:szCs w:val="18"/>
                <w:u w:val="single"/>
              </w:rPr>
            </w:pPr>
            <w:r>
              <w:rPr>
                <w:rFonts w:ascii="Arial Narrow" w:hAnsi="Arial Narrow" w:cs="Arial"/>
                <w:kern w:val="0"/>
                <w:sz w:val="18"/>
                <w:szCs w:val="18"/>
                <w:u w:val="single"/>
              </w:rPr>
              <w:t>giu</w:t>
            </w:r>
            <w:r w:rsidR="006E630A" w:rsidRPr="00DB5B05">
              <w:rPr>
                <w:rFonts w:ascii="Arial Narrow" w:hAnsi="Arial Narrow" w:cs="Arial"/>
                <w:kern w:val="0"/>
                <w:sz w:val="18"/>
                <w:szCs w:val="18"/>
                <w:u w:val="single"/>
              </w:rPr>
              <w:t>-2</w:t>
            </w:r>
            <w:r w:rsidR="00F62FE5">
              <w:rPr>
                <w:rFonts w:ascii="Arial Narrow" w:hAnsi="Arial Narrow" w:cs="Arial"/>
                <w:kern w:val="0"/>
                <w:sz w:val="18"/>
                <w:szCs w:val="18"/>
                <w:u w:val="single"/>
              </w:rPr>
              <w:t>4</w:t>
            </w:r>
          </w:p>
          <w:p w:rsidR="006E630A" w:rsidRPr="00DB5B05" w:rsidRDefault="00663A9F" w:rsidP="00F62FE5">
            <w:pPr>
              <w:widowControl/>
              <w:overflowPunct/>
              <w:autoSpaceDE/>
              <w:autoSpaceDN/>
              <w:adjustRightInd/>
              <w:spacing w:before="40" w:after="20"/>
              <w:jc w:val="right"/>
              <w:rPr>
                <w:rFonts w:ascii="Arial Narrow" w:hAnsi="Arial Narrow" w:cs="Arial"/>
                <w:kern w:val="0"/>
                <w:sz w:val="18"/>
                <w:szCs w:val="18"/>
                <w:u w:val="single"/>
              </w:rPr>
            </w:pPr>
            <w:r>
              <w:rPr>
                <w:rFonts w:ascii="Arial Narrow" w:hAnsi="Arial Narrow" w:cs="Arial"/>
                <w:kern w:val="0"/>
                <w:sz w:val="18"/>
                <w:szCs w:val="18"/>
              </w:rPr>
              <w:t>giu</w:t>
            </w:r>
            <w:r w:rsidR="006E630A" w:rsidRPr="00DB5B05">
              <w:rPr>
                <w:rFonts w:ascii="Arial Narrow" w:hAnsi="Arial Narrow" w:cs="Arial"/>
                <w:kern w:val="0"/>
                <w:sz w:val="18"/>
                <w:szCs w:val="18"/>
              </w:rPr>
              <w:t>-2</w:t>
            </w:r>
            <w:r w:rsidR="00F62FE5">
              <w:rPr>
                <w:rFonts w:ascii="Arial Narrow" w:hAnsi="Arial Narrow" w:cs="Arial"/>
                <w:kern w:val="0"/>
                <w:sz w:val="18"/>
                <w:szCs w:val="18"/>
              </w:rPr>
              <w:t>3</w:t>
            </w:r>
          </w:p>
        </w:tc>
        <w:tc>
          <w:tcPr>
            <w:tcW w:w="1156" w:type="dxa"/>
            <w:vMerge/>
            <w:shd w:val="clear" w:color="auto" w:fill="auto"/>
            <w:vAlign w:val="center"/>
            <w:hideMark/>
          </w:tcPr>
          <w:p w:rsidR="006E630A" w:rsidRPr="00DB5B05" w:rsidRDefault="006E630A" w:rsidP="004B3ACE">
            <w:pPr>
              <w:widowControl/>
              <w:overflowPunct/>
              <w:autoSpaceDE/>
              <w:autoSpaceDN/>
              <w:adjustRightInd/>
              <w:spacing w:before="0" w:after="0"/>
              <w:jc w:val="right"/>
              <w:rPr>
                <w:rFonts w:ascii="Arial Narrow" w:hAnsi="Arial Narrow" w:cs="Arial"/>
                <w:b/>
                <w:bCs/>
                <w:kern w:val="0"/>
                <w:sz w:val="18"/>
                <w:szCs w:val="18"/>
              </w:rPr>
            </w:pPr>
          </w:p>
        </w:tc>
      </w:tr>
      <w:tr w:rsidR="00DC1058" w:rsidRPr="006E630A" w:rsidTr="000127DA">
        <w:trPr>
          <w:trHeight w:val="255"/>
          <w:jc w:val="center"/>
        </w:trPr>
        <w:tc>
          <w:tcPr>
            <w:tcW w:w="3571" w:type="dxa"/>
            <w:shd w:val="clear" w:color="auto" w:fill="auto"/>
            <w:vAlign w:val="center"/>
            <w:hideMark/>
          </w:tcPr>
          <w:p w:rsidR="00DC1058" w:rsidRPr="008814F3" w:rsidRDefault="00DC1058" w:rsidP="00DC1058">
            <w:pPr>
              <w:widowControl/>
              <w:overflowPunct/>
              <w:autoSpaceDE/>
              <w:autoSpaceDN/>
              <w:adjustRightInd/>
              <w:spacing w:before="0" w:after="0"/>
              <w:rPr>
                <w:rFonts w:ascii="Arial Narrow" w:hAnsi="Arial Narrow" w:cs="Arial"/>
                <w:kern w:val="0"/>
                <w:sz w:val="18"/>
                <w:szCs w:val="18"/>
              </w:rPr>
            </w:pPr>
            <w:r w:rsidRPr="008814F3">
              <w:rPr>
                <w:rFonts w:ascii="Arial Narrow" w:hAnsi="Arial Narrow" w:cs="Arial"/>
                <w:kern w:val="0"/>
                <w:sz w:val="18"/>
                <w:szCs w:val="18"/>
              </w:rPr>
              <w:t>Prodotti alimentari e bevande analcoliche</w:t>
            </w:r>
          </w:p>
        </w:tc>
        <w:tc>
          <w:tcPr>
            <w:tcW w:w="1164" w:type="dxa"/>
            <w:shd w:val="clear" w:color="000000" w:fill="D9D9D9"/>
            <w:vAlign w:val="center"/>
          </w:tcPr>
          <w:p w:rsidR="00DC1058" w:rsidRPr="00764E52" w:rsidRDefault="00DC1058" w:rsidP="00DC1058">
            <w:pPr>
              <w:spacing w:before="40" w:after="20"/>
              <w:ind w:right="57"/>
              <w:jc w:val="right"/>
              <w:rPr>
                <w:rFonts w:ascii="Arial Narrow" w:hAnsi="Arial Narrow" w:cs="Arial"/>
                <w:sz w:val="18"/>
                <w:szCs w:val="18"/>
              </w:rPr>
            </w:pPr>
            <w:r w:rsidRPr="00764E52">
              <w:rPr>
                <w:rFonts w:ascii="Arial Narrow" w:hAnsi="Arial Narrow" w:cs="Arial"/>
                <w:sz w:val="18"/>
                <w:szCs w:val="18"/>
              </w:rPr>
              <w:t>171.945</w:t>
            </w:r>
          </w:p>
        </w:tc>
        <w:tc>
          <w:tcPr>
            <w:tcW w:w="1074" w:type="dxa"/>
            <w:shd w:val="clear" w:color="auto" w:fill="auto"/>
            <w:vAlign w:val="center"/>
          </w:tcPr>
          <w:p w:rsidR="00DC1058" w:rsidRPr="00B81023" w:rsidRDefault="00DC1058" w:rsidP="00B81023">
            <w:pPr>
              <w:widowControl/>
              <w:overflowPunct/>
              <w:autoSpaceDE/>
              <w:autoSpaceDN/>
              <w:adjustRightInd/>
              <w:spacing w:before="0" w:after="0"/>
              <w:jc w:val="right"/>
              <w:rPr>
                <w:rFonts w:ascii="Arial Narrow" w:hAnsi="Arial Narrow" w:cs="Arial"/>
                <w:kern w:val="0"/>
                <w:sz w:val="18"/>
                <w:szCs w:val="18"/>
              </w:rPr>
            </w:pPr>
            <w:r w:rsidRPr="00B81023">
              <w:rPr>
                <w:rFonts w:ascii="Arial Narrow" w:hAnsi="Arial Narrow" w:cs="Arial"/>
                <w:kern w:val="0"/>
                <w:sz w:val="18"/>
                <w:szCs w:val="18"/>
              </w:rPr>
              <w:t>-0,3</w:t>
            </w:r>
          </w:p>
        </w:tc>
        <w:tc>
          <w:tcPr>
            <w:tcW w:w="1053" w:type="dxa"/>
            <w:shd w:val="clear" w:color="auto" w:fill="D9D9D9" w:themeFill="background1" w:themeFillShade="D9"/>
            <w:vAlign w:val="center"/>
          </w:tcPr>
          <w:p w:rsidR="00DC1058" w:rsidRPr="00B81023" w:rsidRDefault="00DC1058" w:rsidP="00B81023">
            <w:pPr>
              <w:widowControl/>
              <w:overflowPunct/>
              <w:autoSpaceDE/>
              <w:autoSpaceDN/>
              <w:adjustRightInd/>
              <w:spacing w:before="0" w:after="0"/>
              <w:jc w:val="right"/>
              <w:rPr>
                <w:rFonts w:ascii="Arial Narrow" w:hAnsi="Arial Narrow" w:cs="Arial"/>
                <w:kern w:val="0"/>
                <w:sz w:val="18"/>
                <w:szCs w:val="18"/>
              </w:rPr>
            </w:pPr>
            <w:r w:rsidRPr="00B81023">
              <w:rPr>
                <w:rFonts w:ascii="Arial Narrow" w:hAnsi="Arial Narrow" w:cs="Arial"/>
                <w:kern w:val="0"/>
                <w:sz w:val="18"/>
                <w:szCs w:val="18"/>
              </w:rPr>
              <w:t>0,0</w:t>
            </w:r>
          </w:p>
        </w:tc>
        <w:tc>
          <w:tcPr>
            <w:tcW w:w="1074" w:type="dxa"/>
            <w:shd w:val="clear" w:color="auto" w:fill="auto"/>
            <w:vAlign w:val="center"/>
          </w:tcPr>
          <w:p w:rsidR="00DC1058" w:rsidRPr="00B81023" w:rsidRDefault="00DC1058" w:rsidP="00B81023">
            <w:pPr>
              <w:widowControl/>
              <w:overflowPunct/>
              <w:autoSpaceDE/>
              <w:autoSpaceDN/>
              <w:adjustRightInd/>
              <w:spacing w:before="0" w:after="0"/>
              <w:jc w:val="right"/>
              <w:rPr>
                <w:rFonts w:ascii="Arial Narrow" w:hAnsi="Arial Narrow" w:cs="Arial"/>
                <w:kern w:val="0"/>
                <w:sz w:val="18"/>
                <w:szCs w:val="18"/>
              </w:rPr>
            </w:pPr>
            <w:r w:rsidRPr="00B81023">
              <w:rPr>
                <w:rFonts w:ascii="Arial Narrow" w:hAnsi="Arial Narrow" w:cs="Arial"/>
                <w:kern w:val="0"/>
                <w:sz w:val="18"/>
                <w:szCs w:val="18"/>
              </w:rPr>
              <w:t>+1,1</w:t>
            </w:r>
          </w:p>
        </w:tc>
        <w:tc>
          <w:tcPr>
            <w:tcW w:w="1074" w:type="dxa"/>
            <w:shd w:val="clear" w:color="000000" w:fill="D9D9D9"/>
            <w:vAlign w:val="center"/>
          </w:tcPr>
          <w:p w:rsidR="00DC1058" w:rsidRPr="00B81023" w:rsidRDefault="00DC1058" w:rsidP="00B81023">
            <w:pPr>
              <w:widowControl/>
              <w:overflowPunct/>
              <w:autoSpaceDE/>
              <w:autoSpaceDN/>
              <w:adjustRightInd/>
              <w:spacing w:before="0" w:after="0"/>
              <w:jc w:val="right"/>
              <w:rPr>
                <w:rFonts w:ascii="Arial Narrow" w:hAnsi="Arial Narrow" w:cs="Arial"/>
                <w:kern w:val="0"/>
                <w:sz w:val="18"/>
                <w:szCs w:val="18"/>
              </w:rPr>
            </w:pPr>
            <w:r w:rsidRPr="00B81023">
              <w:rPr>
                <w:rFonts w:ascii="Arial Narrow" w:hAnsi="Arial Narrow" w:cs="Arial"/>
                <w:kern w:val="0"/>
                <w:sz w:val="18"/>
                <w:szCs w:val="18"/>
              </w:rPr>
              <w:t>+1,4</w:t>
            </w:r>
          </w:p>
        </w:tc>
        <w:tc>
          <w:tcPr>
            <w:tcW w:w="1156" w:type="dxa"/>
            <w:shd w:val="clear" w:color="auto" w:fill="auto"/>
            <w:vAlign w:val="center"/>
          </w:tcPr>
          <w:p w:rsidR="00DC1058" w:rsidRPr="00B81023" w:rsidRDefault="00DC1058" w:rsidP="00B81023">
            <w:pPr>
              <w:widowControl/>
              <w:overflowPunct/>
              <w:autoSpaceDE/>
              <w:autoSpaceDN/>
              <w:adjustRightInd/>
              <w:spacing w:before="0" w:after="0"/>
              <w:jc w:val="right"/>
              <w:rPr>
                <w:rFonts w:ascii="Arial Narrow" w:hAnsi="Arial Narrow" w:cs="Arial"/>
                <w:kern w:val="0"/>
                <w:sz w:val="18"/>
                <w:szCs w:val="18"/>
              </w:rPr>
            </w:pPr>
            <w:r w:rsidRPr="00B81023">
              <w:rPr>
                <w:rFonts w:ascii="Arial Narrow" w:hAnsi="Arial Narrow" w:cs="Arial"/>
                <w:kern w:val="0"/>
                <w:sz w:val="18"/>
                <w:szCs w:val="18"/>
              </w:rPr>
              <w:t>+2,0</w:t>
            </w:r>
          </w:p>
        </w:tc>
      </w:tr>
      <w:tr w:rsidR="00DC1058" w:rsidRPr="00FB460C" w:rsidTr="000127DA">
        <w:trPr>
          <w:trHeight w:val="255"/>
          <w:jc w:val="center"/>
        </w:trPr>
        <w:tc>
          <w:tcPr>
            <w:tcW w:w="3571" w:type="dxa"/>
            <w:shd w:val="clear" w:color="auto" w:fill="auto"/>
            <w:vAlign w:val="center"/>
            <w:hideMark/>
          </w:tcPr>
          <w:p w:rsidR="00DC1058" w:rsidRPr="008814F3" w:rsidRDefault="00DC1058" w:rsidP="00DC1058">
            <w:pPr>
              <w:widowControl/>
              <w:overflowPunct/>
              <w:autoSpaceDE/>
              <w:autoSpaceDN/>
              <w:adjustRightInd/>
              <w:spacing w:before="0" w:after="0"/>
              <w:rPr>
                <w:rFonts w:ascii="Arial Narrow" w:hAnsi="Arial Narrow" w:cs="Arial"/>
                <w:kern w:val="0"/>
                <w:sz w:val="18"/>
                <w:szCs w:val="18"/>
              </w:rPr>
            </w:pPr>
            <w:r w:rsidRPr="008814F3">
              <w:rPr>
                <w:rFonts w:ascii="Arial Narrow" w:hAnsi="Arial Narrow" w:cs="Arial"/>
                <w:kern w:val="0"/>
                <w:sz w:val="18"/>
                <w:szCs w:val="18"/>
              </w:rPr>
              <w:t>Bevande alcoliche e tabacchi</w:t>
            </w:r>
          </w:p>
        </w:tc>
        <w:tc>
          <w:tcPr>
            <w:tcW w:w="1164" w:type="dxa"/>
            <w:shd w:val="clear" w:color="000000" w:fill="D9D9D9"/>
            <w:vAlign w:val="center"/>
          </w:tcPr>
          <w:p w:rsidR="00DC1058" w:rsidRPr="00764E52" w:rsidRDefault="00DC1058" w:rsidP="00DC1058">
            <w:pPr>
              <w:spacing w:before="40" w:after="20"/>
              <w:ind w:right="57"/>
              <w:jc w:val="right"/>
              <w:rPr>
                <w:rFonts w:ascii="Arial Narrow" w:hAnsi="Arial Narrow" w:cs="Arial"/>
                <w:sz w:val="18"/>
                <w:szCs w:val="18"/>
              </w:rPr>
            </w:pPr>
            <w:r w:rsidRPr="00764E52">
              <w:rPr>
                <w:rFonts w:ascii="Arial Narrow" w:hAnsi="Arial Narrow" w:cs="Arial"/>
                <w:sz w:val="18"/>
                <w:szCs w:val="18"/>
              </w:rPr>
              <w:t>29.033</w:t>
            </w:r>
          </w:p>
        </w:tc>
        <w:tc>
          <w:tcPr>
            <w:tcW w:w="1074" w:type="dxa"/>
            <w:shd w:val="clear" w:color="auto" w:fill="auto"/>
            <w:vAlign w:val="center"/>
          </w:tcPr>
          <w:p w:rsidR="00DC1058" w:rsidRPr="00B81023" w:rsidRDefault="00DC1058" w:rsidP="00B81023">
            <w:pPr>
              <w:widowControl/>
              <w:overflowPunct/>
              <w:autoSpaceDE/>
              <w:autoSpaceDN/>
              <w:adjustRightInd/>
              <w:spacing w:before="0" w:after="0"/>
              <w:jc w:val="right"/>
              <w:rPr>
                <w:rFonts w:ascii="Arial Narrow" w:hAnsi="Arial Narrow" w:cs="Arial"/>
                <w:kern w:val="0"/>
                <w:sz w:val="18"/>
                <w:szCs w:val="18"/>
              </w:rPr>
            </w:pPr>
            <w:r w:rsidRPr="00B81023">
              <w:rPr>
                <w:rFonts w:ascii="Arial Narrow" w:hAnsi="Arial Narrow" w:cs="Arial"/>
                <w:kern w:val="0"/>
                <w:sz w:val="18"/>
                <w:szCs w:val="18"/>
              </w:rPr>
              <w:t>+0,1</w:t>
            </w:r>
          </w:p>
        </w:tc>
        <w:tc>
          <w:tcPr>
            <w:tcW w:w="1053" w:type="dxa"/>
            <w:shd w:val="clear" w:color="auto" w:fill="D9D9D9" w:themeFill="background1" w:themeFillShade="D9"/>
            <w:vAlign w:val="center"/>
          </w:tcPr>
          <w:p w:rsidR="00DC1058" w:rsidRPr="00B81023" w:rsidRDefault="00DC1058" w:rsidP="00B81023">
            <w:pPr>
              <w:widowControl/>
              <w:overflowPunct/>
              <w:autoSpaceDE/>
              <w:autoSpaceDN/>
              <w:adjustRightInd/>
              <w:spacing w:before="0" w:after="0"/>
              <w:jc w:val="right"/>
              <w:rPr>
                <w:rFonts w:ascii="Arial Narrow" w:hAnsi="Arial Narrow" w:cs="Arial"/>
                <w:kern w:val="0"/>
                <w:sz w:val="18"/>
                <w:szCs w:val="18"/>
              </w:rPr>
            </w:pPr>
            <w:r w:rsidRPr="00B81023">
              <w:rPr>
                <w:rFonts w:ascii="Arial Narrow" w:hAnsi="Arial Narrow" w:cs="Arial"/>
                <w:kern w:val="0"/>
                <w:sz w:val="18"/>
                <w:szCs w:val="18"/>
              </w:rPr>
              <w:t>-0,3</w:t>
            </w:r>
          </w:p>
        </w:tc>
        <w:tc>
          <w:tcPr>
            <w:tcW w:w="1074" w:type="dxa"/>
            <w:shd w:val="clear" w:color="auto" w:fill="auto"/>
            <w:vAlign w:val="center"/>
          </w:tcPr>
          <w:p w:rsidR="00DC1058" w:rsidRPr="00B81023" w:rsidRDefault="00DC1058" w:rsidP="00B81023">
            <w:pPr>
              <w:widowControl/>
              <w:overflowPunct/>
              <w:autoSpaceDE/>
              <w:autoSpaceDN/>
              <w:adjustRightInd/>
              <w:spacing w:before="0" w:after="0"/>
              <w:jc w:val="right"/>
              <w:rPr>
                <w:rFonts w:ascii="Arial Narrow" w:hAnsi="Arial Narrow" w:cs="Arial"/>
                <w:kern w:val="0"/>
                <w:sz w:val="18"/>
                <w:szCs w:val="18"/>
              </w:rPr>
            </w:pPr>
            <w:r w:rsidRPr="00B81023">
              <w:rPr>
                <w:rFonts w:ascii="Arial Narrow" w:hAnsi="Arial Narrow" w:cs="Arial"/>
                <w:kern w:val="0"/>
                <w:sz w:val="18"/>
                <w:szCs w:val="18"/>
              </w:rPr>
              <w:t>+2,5</w:t>
            </w:r>
          </w:p>
        </w:tc>
        <w:tc>
          <w:tcPr>
            <w:tcW w:w="1074" w:type="dxa"/>
            <w:shd w:val="clear" w:color="000000" w:fill="D9D9D9"/>
            <w:vAlign w:val="center"/>
          </w:tcPr>
          <w:p w:rsidR="00DC1058" w:rsidRPr="00B81023" w:rsidRDefault="00DC1058" w:rsidP="00B81023">
            <w:pPr>
              <w:widowControl/>
              <w:overflowPunct/>
              <w:autoSpaceDE/>
              <w:autoSpaceDN/>
              <w:adjustRightInd/>
              <w:spacing w:before="0" w:after="0"/>
              <w:jc w:val="right"/>
              <w:rPr>
                <w:rFonts w:ascii="Arial Narrow" w:hAnsi="Arial Narrow" w:cs="Arial"/>
                <w:kern w:val="0"/>
                <w:sz w:val="18"/>
                <w:szCs w:val="18"/>
              </w:rPr>
            </w:pPr>
            <w:r w:rsidRPr="00B81023">
              <w:rPr>
                <w:rFonts w:ascii="Arial Narrow" w:hAnsi="Arial Narrow" w:cs="Arial"/>
                <w:kern w:val="0"/>
                <w:sz w:val="18"/>
                <w:szCs w:val="18"/>
              </w:rPr>
              <w:t>+2,2</w:t>
            </w:r>
          </w:p>
        </w:tc>
        <w:tc>
          <w:tcPr>
            <w:tcW w:w="1156" w:type="dxa"/>
            <w:shd w:val="clear" w:color="auto" w:fill="auto"/>
            <w:vAlign w:val="center"/>
          </w:tcPr>
          <w:p w:rsidR="00DC1058" w:rsidRPr="00B81023" w:rsidRDefault="00DC1058" w:rsidP="00B81023">
            <w:pPr>
              <w:widowControl/>
              <w:overflowPunct/>
              <w:autoSpaceDE/>
              <w:autoSpaceDN/>
              <w:adjustRightInd/>
              <w:spacing w:before="0" w:after="0"/>
              <w:jc w:val="right"/>
              <w:rPr>
                <w:rFonts w:ascii="Arial Narrow" w:hAnsi="Arial Narrow" w:cs="Arial"/>
                <w:kern w:val="0"/>
                <w:sz w:val="18"/>
                <w:szCs w:val="18"/>
              </w:rPr>
            </w:pPr>
            <w:r w:rsidRPr="00B81023">
              <w:rPr>
                <w:rFonts w:ascii="Arial Narrow" w:hAnsi="Arial Narrow" w:cs="Arial"/>
                <w:kern w:val="0"/>
                <w:sz w:val="18"/>
                <w:szCs w:val="18"/>
              </w:rPr>
              <w:t>+2,3</w:t>
            </w:r>
          </w:p>
        </w:tc>
      </w:tr>
      <w:tr w:rsidR="00DC1058" w:rsidRPr="00FB460C" w:rsidTr="000127DA">
        <w:trPr>
          <w:trHeight w:val="255"/>
          <w:jc w:val="center"/>
        </w:trPr>
        <w:tc>
          <w:tcPr>
            <w:tcW w:w="3571" w:type="dxa"/>
            <w:shd w:val="clear" w:color="auto" w:fill="auto"/>
            <w:vAlign w:val="center"/>
            <w:hideMark/>
          </w:tcPr>
          <w:p w:rsidR="00DC1058" w:rsidRPr="008814F3" w:rsidRDefault="00DC1058" w:rsidP="00DC1058">
            <w:pPr>
              <w:widowControl/>
              <w:overflowPunct/>
              <w:autoSpaceDE/>
              <w:autoSpaceDN/>
              <w:adjustRightInd/>
              <w:spacing w:before="0" w:after="0"/>
              <w:rPr>
                <w:rFonts w:ascii="Arial Narrow" w:hAnsi="Arial Narrow" w:cs="Arial"/>
                <w:kern w:val="0"/>
                <w:sz w:val="18"/>
                <w:szCs w:val="18"/>
              </w:rPr>
            </w:pPr>
            <w:r w:rsidRPr="008814F3">
              <w:rPr>
                <w:rFonts w:ascii="Arial Narrow" w:hAnsi="Arial Narrow" w:cs="Arial"/>
                <w:kern w:val="0"/>
                <w:sz w:val="18"/>
                <w:szCs w:val="18"/>
              </w:rPr>
              <w:t>Abbigliamento e calzature</w:t>
            </w:r>
          </w:p>
        </w:tc>
        <w:tc>
          <w:tcPr>
            <w:tcW w:w="1164" w:type="dxa"/>
            <w:shd w:val="clear" w:color="000000" w:fill="D9D9D9"/>
            <w:vAlign w:val="center"/>
          </w:tcPr>
          <w:p w:rsidR="00DC1058" w:rsidRPr="00764E52" w:rsidRDefault="00DC1058" w:rsidP="00DC1058">
            <w:pPr>
              <w:spacing w:before="40" w:after="20"/>
              <w:ind w:right="57"/>
              <w:jc w:val="right"/>
              <w:rPr>
                <w:rFonts w:ascii="Arial Narrow" w:hAnsi="Arial Narrow" w:cs="Arial"/>
                <w:sz w:val="18"/>
                <w:szCs w:val="18"/>
              </w:rPr>
            </w:pPr>
            <w:r w:rsidRPr="00764E52">
              <w:rPr>
                <w:rFonts w:ascii="Arial Narrow" w:hAnsi="Arial Narrow" w:cs="Arial"/>
                <w:sz w:val="18"/>
                <w:szCs w:val="18"/>
              </w:rPr>
              <w:t>59.553</w:t>
            </w:r>
          </w:p>
        </w:tc>
        <w:tc>
          <w:tcPr>
            <w:tcW w:w="1074" w:type="dxa"/>
            <w:shd w:val="clear" w:color="auto" w:fill="auto"/>
            <w:vAlign w:val="center"/>
          </w:tcPr>
          <w:p w:rsidR="00DC1058" w:rsidRPr="00B81023" w:rsidRDefault="00DC1058" w:rsidP="00B81023">
            <w:pPr>
              <w:widowControl/>
              <w:overflowPunct/>
              <w:autoSpaceDE/>
              <w:autoSpaceDN/>
              <w:adjustRightInd/>
              <w:spacing w:before="0" w:after="0"/>
              <w:jc w:val="right"/>
              <w:rPr>
                <w:rFonts w:ascii="Arial Narrow" w:hAnsi="Arial Narrow" w:cs="Arial"/>
                <w:kern w:val="0"/>
                <w:sz w:val="18"/>
                <w:szCs w:val="18"/>
              </w:rPr>
            </w:pPr>
            <w:r w:rsidRPr="00B81023">
              <w:rPr>
                <w:rFonts w:ascii="Arial Narrow" w:hAnsi="Arial Narrow" w:cs="Arial"/>
                <w:kern w:val="0"/>
                <w:sz w:val="18"/>
                <w:szCs w:val="18"/>
              </w:rPr>
              <w:t>-0,1</w:t>
            </w:r>
          </w:p>
        </w:tc>
        <w:tc>
          <w:tcPr>
            <w:tcW w:w="1053" w:type="dxa"/>
            <w:shd w:val="clear" w:color="000000" w:fill="D9D9D9"/>
            <w:vAlign w:val="center"/>
          </w:tcPr>
          <w:p w:rsidR="00DC1058" w:rsidRPr="00B81023" w:rsidRDefault="00DC1058" w:rsidP="00B81023">
            <w:pPr>
              <w:widowControl/>
              <w:overflowPunct/>
              <w:autoSpaceDE/>
              <w:autoSpaceDN/>
              <w:adjustRightInd/>
              <w:spacing w:before="0" w:after="0"/>
              <w:jc w:val="right"/>
              <w:rPr>
                <w:rFonts w:ascii="Arial Narrow" w:hAnsi="Arial Narrow" w:cs="Arial"/>
                <w:kern w:val="0"/>
                <w:sz w:val="18"/>
                <w:szCs w:val="18"/>
              </w:rPr>
            </w:pPr>
            <w:r w:rsidRPr="00B81023">
              <w:rPr>
                <w:rFonts w:ascii="Arial Narrow" w:hAnsi="Arial Narrow" w:cs="Arial"/>
                <w:kern w:val="0"/>
                <w:sz w:val="18"/>
                <w:szCs w:val="18"/>
              </w:rPr>
              <w:t>-0,1</w:t>
            </w:r>
          </w:p>
        </w:tc>
        <w:tc>
          <w:tcPr>
            <w:tcW w:w="1074" w:type="dxa"/>
            <w:shd w:val="clear" w:color="auto" w:fill="auto"/>
            <w:vAlign w:val="center"/>
          </w:tcPr>
          <w:p w:rsidR="00DC1058" w:rsidRPr="00B81023" w:rsidRDefault="00DC1058" w:rsidP="00B81023">
            <w:pPr>
              <w:widowControl/>
              <w:overflowPunct/>
              <w:autoSpaceDE/>
              <w:autoSpaceDN/>
              <w:adjustRightInd/>
              <w:spacing w:before="0" w:after="0"/>
              <w:jc w:val="right"/>
              <w:rPr>
                <w:rFonts w:ascii="Arial Narrow" w:hAnsi="Arial Narrow" w:cs="Arial"/>
                <w:kern w:val="0"/>
                <w:sz w:val="18"/>
                <w:szCs w:val="18"/>
              </w:rPr>
            </w:pPr>
            <w:r w:rsidRPr="00B81023">
              <w:rPr>
                <w:rFonts w:ascii="Arial Narrow" w:hAnsi="Arial Narrow" w:cs="Arial"/>
                <w:kern w:val="0"/>
                <w:sz w:val="18"/>
                <w:szCs w:val="18"/>
              </w:rPr>
              <w:t>+1,0</w:t>
            </w:r>
          </w:p>
        </w:tc>
        <w:tc>
          <w:tcPr>
            <w:tcW w:w="1074" w:type="dxa"/>
            <w:shd w:val="clear" w:color="000000" w:fill="D9D9D9"/>
            <w:vAlign w:val="center"/>
          </w:tcPr>
          <w:p w:rsidR="00DC1058" w:rsidRPr="00B81023" w:rsidRDefault="00DC1058" w:rsidP="00B81023">
            <w:pPr>
              <w:widowControl/>
              <w:overflowPunct/>
              <w:autoSpaceDE/>
              <w:autoSpaceDN/>
              <w:adjustRightInd/>
              <w:spacing w:before="0" w:after="0"/>
              <w:jc w:val="right"/>
              <w:rPr>
                <w:rFonts w:ascii="Arial Narrow" w:hAnsi="Arial Narrow" w:cs="Arial"/>
                <w:kern w:val="0"/>
                <w:sz w:val="18"/>
                <w:szCs w:val="18"/>
              </w:rPr>
            </w:pPr>
            <w:r w:rsidRPr="00B81023">
              <w:rPr>
                <w:rFonts w:ascii="Arial Narrow" w:hAnsi="Arial Narrow" w:cs="Arial"/>
                <w:kern w:val="0"/>
                <w:sz w:val="18"/>
                <w:szCs w:val="18"/>
              </w:rPr>
              <w:t>+1,0</w:t>
            </w:r>
          </w:p>
        </w:tc>
        <w:tc>
          <w:tcPr>
            <w:tcW w:w="1156" w:type="dxa"/>
            <w:shd w:val="clear" w:color="auto" w:fill="auto"/>
            <w:vAlign w:val="center"/>
          </w:tcPr>
          <w:p w:rsidR="00DC1058" w:rsidRPr="00B81023" w:rsidRDefault="00DC1058" w:rsidP="00B81023">
            <w:pPr>
              <w:widowControl/>
              <w:overflowPunct/>
              <w:autoSpaceDE/>
              <w:autoSpaceDN/>
              <w:adjustRightInd/>
              <w:spacing w:before="0" w:after="0"/>
              <w:jc w:val="right"/>
              <w:rPr>
                <w:rFonts w:ascii="Arial Narrow" w:hAnsi="Arial Narrow" w:cs="Arial"/>
                <w:kern w:val="0"/>
                <w:sz w:val="18"/>
                <w:szCs w:val="18"/>
              </w:rPr>
            </w:pPr>
            <w:r w:rsidRPr="00B81023">
              <w:rPr>
                <w:rFonts w:ascii="Arial Narrow" w:hAnsi="Arial Narrow" w:cs="Arial"/>
                <w:kern w:val="0"/>
                <w:sz w:val="18"/>
                <w:szCs w:val="18"/>
              </w:rPr>
              <w:t>+1,0</w:t>
            </w:r>
          </w:p>
        </w:tc>
      </w:tr>
      <w:tr w:rsidR="00DC1058" w:rsidRPr="00FB460C" w:rsidTr="000127DA">
        <w:trPr>
          <w:trHeight w:val="255"/>
          <w:jc w:val="center"/>
        </w:trPr>
        <w:tc>
          <w:tcPr>
            <w:tcW w:w="3571" w:type="dxa"/>
            <w:shd w:val="clear" w:color="auto" w:fill="auto"/>
            <w:vAlign w:val="center"/>
            <w:hideMark/>
          </w:tcPr>
          <w:p w:rsidR="00DC1058" w:rsidRPr="008814F3" w:rsidRDefault="00DC1058" w:rsidP="00DC1058">
            <w:pPr>
              <w:widowControl/>
              <w:overflowPunct/>
              <w:autoSpaceDE/>
              <w:autoSpaceDN/>
              <w:adjustRightInd/>
              <w:spacing w:before="0" w:after="0"/>
              <w:rPr>
                <w:rFonts w:ascii="Arial Narrow" w:hAnsi="Arial Narrow" w:cs="Arial"/>
                <w:kern w:val="0"/>
                <w:sz w:val="18"/>
                <w:szCs w:val="18"/>
              </w:rPr>
            </w:pPr>
            <w:r w:rsidRPr="008814F3">
              <w:rPr>
                <w:rFonts w:ascii="Arial Narrow" w:hAnsi="Arial Narrow" w:cs="Arial"/>
                <w:kern w:val="0"/>
                <w:sz w:val="18"/>
                <w:szCs w:val="18"/>
              </w:rPr>
              <w:t>Abitazione, acqua, elettricità e combustibili</w:t>
            </w:r>
          </w:p>
        </w:tc>
        <w:tc>
          <w:tcPr>
            <w:tcW w:w="1164" w:type="dxa"/>
            <w:shd w:val="clear" w:color="000000" w:fill="D9D9D9"/>
            <w:vAlign w:val="center"/>
          </w:tcPr>
          <w:p w:rsidR="00DC1058" w:rsidRPr="00764E52" w:rsidRDefault="00DC1058" w:rsidP="00DC1058">
            <w:pPr>
              <w:spacing w:before="40" w:after="20"/>
              <w:ind w:right="57"/>
              <w:jc w:val="right"/>
              <w:rPr>
                <w:rFonts w:ascii="Arial Narrow" w:hAnsi="Arial Narrow" w:cs="Arial"/>
                <w:sz w:val="18"/>
                <w:szCs w:val="18"/>
              </w:rPr>
            </w:pPr>
            <w:r w:rsidRPr="00764E52">
              <w:rPr>
                <w:rFonts w:ascii="Arial Narrow" w:hAnsi="Arial Narrow" w:cs="Arial"/>
                <w:sz w:val="18"/>
                <w:szCs w:val="18"/>
              </w:rPr>
              <w:t>112.550</w:t>
            </w:r>
          </w:p>
        </w:tc>
        <w:tc>
          <w:tcPr>
            <w:tcW w:w="1074" w:type="dxa"/>
            <w:shd w:val="clear" w:color="auto" w:fill="auto"/>
            <w:vAlign w:val="center"/>
          </w:tcPr>
          <w:p w:rsidR="00DC1058" w:rsidRPr="00B81023" w:rsidRDefault="00DC1058" w:rsidP="00B81023">
            <w:pPr>
              <w:widowControl/>
              <w:overflowPunct/>
              <w:autoSpaceDE/>
              <w:autoSpaceDN/>
              <w:adjustRightInd/>
              <w:spacing w:before="0" w:after="0"/>
              <w:jc w:val="right"/>
              <w:rPr>
                <w:rFonts w:ascii="Arial Narrow" w:hAnsi="Arial Narrow" w:cs="Arial"/>
                <w:kern w:val="0"/>
                <w:sz w:val="18"/>
                <w:szCs w:val="18"/>
              </w:rPr>
            </w:pPr>
            <w:r w:rsidRPr="00B81023">
              <w:rPr>
                <w:rFonts w:ascii="Arial Narrow" w:hAnsi="Arial Narrow" w:cs="Arial"/>
                <w:kern w:val="0"/>
                <w:sz w:val="18"/>
                <w:szCs w:val="18"/>
              </w:rPr>
              <w:t>+2,8</w:t>
            </w:r>
          </w:p>
        </w:tc>
        <w:tc>
          <w:tcPr>
            <w:tcW w:w="1053" w:type="dxa"/>
            <w:shd w:val="clear" w:color="000000" w:fill="D9D9D9"/>
            <w:vAlign w:val="center"/>
          </w:tcPr>
          <w:p w:rsidR="00DC1058" w:rsidRPr="00B81023" w:rsidRDefault="00DC1058" w:rsidP="00B81023">
            <w:pPr>
              <w:widowControl/>
              <w:overflowPunct/>
              <w:autoSpaceDE/>
              <w:autoSpaceDN/>
              <w:adjustRightInd/>
              <w:spacing w:before="0" w:after="0"/>
              <w:jc w:val="right"/>
              <w:rPr>
                <w:rFonts w:ascii="Arial Narrow" w:hAnsi="Arial Narrow" w:cs="Arial"/>
                <w:kern w:val="0"/>
                <w:sz w:val="18"/>
                <w:szCs w:val="18"/>
              </w:rPr>
            </w:pPr>
            <w:r w:rsidRPr="00B81023">
              <w:rPr>
                <w:rFonts w:ascii="Arial Narrow" w:hAnsi="Arial Narrow" w:cs="Arial"/>
                <w:kern w:val="0"/>
                <w:sz w:val="18"/>
                <w:szCs w:val="18"/>
              </w:rPr>
              <w:t>-1,4</w:t>
            </w:r>
          </w:p>
        </w:tc>
        <w:tc>
          <w:tcPr>
            <w:tcW w:w="1074" w:type="dxa"/>
            <w:shd w:val="clear" w:color="auto" w:fill="auto"/>
            <w:vAlign w:val="center"/>
          </w:tcPr>
          <w:p w:rsidR="00DC1058" w:rsidRPr="00B81023" w:rsidRDefault="00DC1058" w:rsidP="00B81023">
            <w:pPr>
              <w:widowControl/>
              <w:overflowPunct/>
              <w:autoSpaceDE/>
              <w:autoSpaceDN/>
              <w:adjustRightInd/>
              <w:spacing w:before="0" w:after="0"/>
              <w:jc w:val="right"/>
              <w:rPr>
                <w:rFonts w:ascii="Arial Narrow" w:hAnsi="Arial Narrow" w:cs="Arial"/>
                <w:kern w:val="0"/>
                <w:sz w:val="18"/>
                <w:szCs w:val="18"/>
              </w:rPr>
            </w:pPr>
            <w:r w:rsidRPr="00B81023">
              <w:rPr>
                <w:rFonts w:ascii="Arial Narrow" w:hAnsi="Arial Narrow" w:cs="Arial"/>
                <w:kern w:val="0"/>
                <w:sz w:val="18"/>
                <w:szCs w:val="18"/>
              </w:rPr>
              <w:t>-2,3</w:t>
            </w:r>
          </w:p>
        </w:tc>
        <w:tc>
          <w:tcPr>
            <w:tcW w:w="1074" w:type="dxa"/>
            <w:shd w:val="clear" w:color="000000" w:fill="D9D9D9"/>
            <w:vAlign w:val="center"/>
          </w:tcPr>
          <w:p w:rsidR="00DC1058" w:rsidRPr="00B81023" w:rsidRDefault="00DC1058" w:rsidP="00B81023">
            <w:pPr>
              <w:widowControl/>
              <w:overflowPunct/>
              <w:autoSpaceDE/>
              <w:autoSpaceDN/>
              <w:adjustRightInd/>
              <w:spacing w:before="0" w:after="0"/>
              <w:jc w:val="right"/>
              <w:rPr>
                <w:rFonts w:ascii="Arial Narrow" w:hAnsi="Arial Narrow" w:cs="Arial"/>
                <w:kern w:val="0"/>
                <w:sz w:val="18"/>
                <w:szCs w:val="18"/>
              </w:rPr>
            </w:pPr>
            <w:r w:rsidRPr="00B81023">
              <w:rPr>
                <w:rFonts w:ascii="Arial Narrow" w:hAnsi="Arial Narrow" w:cs="Arial"/>
                <w:kern w:val="0"/>
                <w:sz w:val="18"/>
                <w:szCs w:val="18"/>
              </w:rPr>
              <w:t>-6,2</w:t>
            </w:r>
          </w:p>
        </w:tc>
        <w:tc>
          <w:tcPr>
            <w:tcW w:w="1156" w:type="dxa"/>
            <w:shd w:val="clear" w:color="auto" w:fill="auto"/>
            <w:vAlign w:val="center"/>
          </w:tcPr>
          <w:p w:rsidR="00DC1058" w:rsidRPr="00B81023" w:rsidRDefault="00DC1058" w:rsidP="00B81023">
            <w:pPr>
              <w:widowControl/>
              <w:overflowPunct/>
              <w:autoSpaceDE/>
              <w:autoSpaceDN/>
              <w:adjustRightInd/>
              <w:spacing w:before="0" w:after="0"/>
              <w:jc w:val="right"/>
              <w:rPr>
                <w:rFonts w:ascii="Arial Narrow" w:hAnsi="Arial Narrow" w:cs="Arial"/>
                <w:kern w:val="0"/>
                <w:sz w:val="18"/>
                <w:szCs w:val="18"/>
              </w:rPr>
            </w:pPr>
            <w:r w:rsidRPr="00B81023">
              <w:rPr>
                <w:rFonts w:ascii="Arial Narrow" w:hAnsi="Arial Narrow" w:cs="Arial"/>
                <w:kern w:val="0"/>
                <w:sz w:val="18"/>
                <w:szCs w:val="18"/>
              </w:rPr>
              <w:t>-6,0</w:t>
            </w:r>
          </w:p>
        </w:tc>
      </w:tr>
      <w:tr w:rsidR="00DC1058" w:rsidRPr="00FB460C" w:rsidTr="000127DA">
        <w:trPr>
          <w:trHeight w:val="255"/>
          <w:jc w:val="center"/>
        </w:trPr>
        <w:tc>
          <w:tcPr>
            <w:tcW w:w="3571" w:type="dxa"/>
            <w:shd w:val="clear" w:color="auto" w:fill="auto"/>
            <w:vAlign w:val="center"/>
            <w:hideMark/>
          </w:tcPr>
          <w:p w:rsidR="00DC1058" w:rsidRPr="008814F3" w:rsidRDefault="00DC1058" w:rsidP="00DC1058">
            <w:pPr>
              <w:widowControl/>
              <w:overflowPunct/>
              <w:autoSpaceDE/>
              <w:autoSpaceDN/>
              <w:adjustRightInd/>
              <w:spacing w:before="0" w:after="0"/>
              <w:rPr>
                <w:rFonts w:ascii="Arial Narrow" w:hAnsi="Arial Narrow" w:cs="Arial"/>
                <w:kern w:val="0"/>
                <w:sz w:val="18"/>
                <w:szCs w:val="18"/>
              </w:rPr>
            </w:pPr>
            <w:r w:rsidRPr="008814F3">
              <w:rPr>
                <w:rFonts w:ascii="Arial Narrow" w:hAnsi="Arial Narrow" w:cs="Arial"/>
                <w:kern w:val="0"/>
                <w:sz w:val="18"/>
                <w:szCs w:val="18"/>
              </w:rPr>
              <w:t>Mobili, articoli e servizi per la casa</w:t>
            </w:r>
          </w:p>
        </w:tc>
        <w:tc>
          <w:tcPr>
            <w:tcW w:w="1164" w:type="dxa"/>
            <w:shd w:val="clear" w:color="000000" w:fill="D9D9D9"/>
            <w:vAlign w:val="center"/>
          </w:tcPr>
          <w:p w:rsidR="00DC1058" w:rsidRPr="00764E52" w:rsidRDefault="00DC1058" w:rsidP="00DC1058">
            <w:pPr>
              <w:spacing w:before="40" w:after="20"/>
              <w:ind w:right="57"/>
              <w:jc w:val="right"/>
              <w:rPr>
                <w:rFonts w:ascii="Arial Narrow" w:hAnsi="Arial Narrow" w:cs="Arial"/>
                <w:sz w:val="18"/>
                <w:szCs w:val="18"/>
              </w:rPr>
            </w:pPr>
            <w:r w:rsidRPr="00764E52">
              <w:rPr>
                <w:rFonts w:ascii="Arial Narrow" w:hAnsi="Arial Narrow" w:cs="Arial"/>
                <w:sz w:val="18"/>
                <w:szCs w:val="18"/>
              </w:rPr>
              <w:t>69.621</w:t>
            </w:r>
          </w:p>
        </w:tc>
        <w:tc>
          <w:tcPr>
            <w:tcW w:w="1074" w:type="dxa"/>
            <w:shd w:val="clear" w:color="auto" w:fill="auto"/>
            <w:vAlign w:val="center"/>
          </w:tcPr>
          <w:p w:rsidR="00DC1058" w:rsidRPr="00B81023" w:rsidRDefault="00DC1058" w:rsidP="00B81023">
            <w:pPr>
              <w:widowControl/>
              <w:overflowPunct/>
              <w:autoSpaceDE/>
              <w:autoSpaceDN/>
              <w:adjustRightInd/>
              <w:spacing w:before="0" w:after="0"/>
              <w:jc w:val="right"/>
              <w:rPr>
                <w:rFonts w:ascii="Arial Narrow" w:hAnsi="Arial Narrow" w:cs="Arial"/>
                <w:kern w:val="0"/>
                <w:sz w:val="18"/>
                <w:szCs w:val="18"/>
              </w:rPr>
            </w:pPr>
            <w:r w:rsidRPr="00B81023">
              <w:rPr>
                <w:rFonts w:ascii="Arial Narrow" w:hAnsi="Arial Narrow" w:cs="Arial"/>
                <w:kern w:val="0"/>
                <w:sz w:val="18"/>
                <w:szCs w:val="18"/>
              </w:rPr>
              <w:t>-0,1</w:t>
            </w:r>
          </w:p>
        </w:tc>
        <w:tc>
          <w:tcPr>
            <w:tcW w:w="1053" w:type="dxa"/>
            <w:shd w:val="clear" w:color="000000" w:fill="D9D9D9"/>
            <w:vAlign w:val="center"/>
          </w:tcPr>
          <w:p w:rsidR="00DC1058" w:rsidRPr="00B81023" w:rsidRDefault="00DC1058" w:rsidP="00B81023">
            <w:pPr>
              <w:widowControl/>
              <w:overflowPunct/>
              <w:autoSpaceDE/>
              <w:autoSpaceDN/>
              <w:adjustRightInd/>
              <w:spacing w:before="0" w:after="0"/>
              <w:jc w:val="right"/>
              <w:rPr>
                <w:rFonts w:ascii="Arial Narrow" w:hAnsi="Arial Narrow" w:cs="Arial"/>
                <w:kern w:val="0"/>
                <w:sz w:val="18"/>
                <w:szCs w:val="18"/>
              </w:rPr>
            </w:pPr>
            <w:r w:rsidRPr="00B81023">
              <w:rPr>
                <w:rFonts w:ascii="Arial Narrow" w:hAnsi="Arial Narrow" w:cs="Arial"/>
                <w:kern w:val="0"/>
                <w:sz w:val="18"/>
                <w:szCs w:val="18"/>
              </w:rPr>
              <w:t>+0,2</w:t>
            </w:r>
          </w:p>
        </w:tc>
        <w:tc>
          <w:tcPr>
            <w:tcW w:w="1074" w:type="dxa"/>
            <w:shd w:val="clear" w:color="auto" w:fill="auto"/>
            <w:vAlign w:val="center"/>
          </w:tcPr>
          <w:p w:rsidR="00DC1058" w:rsidRPr="00B81023" w:rsidRDefault="00DC1058" w:rsidP="00B81023">
            <w:pPr>
              <w:widowControl/>
              <w:overflowPunct/>
              <w:autoSpaceDE/>
              <w:autoSpaceDN/>
              <w:adjustRightInd/>
              <w:spacing w:before="0" w:after="0"/>
              <w:jc w:val="right"/>
              <w:rPr>
                <w:rFonts w:ascii="Arial Narrow" w:hAnsi="Arial Narrow" w:cs="Arial"/>
                <w:kern w:val="0"/>
                <w:sz w:val="18"/>
                <w:szCs w:val="18"/>
              </w:rPr>
            </w:pPr>
            <w:r w:rsidRPr="00B81023">
              <w:rPr>
                <w:rFonts w:ascii="Arial Narrow" w:hAnsi="Arial Narrow" w:cs="Arial"/>
                <w:kern w:val="0"/>
                <w:sz w:val="18"/>
                <w:szCs w:val="18"/>
              </w:rPr>
              <w:t>+0,3</w:t>
            </w:r>
          </w:p>
        </w:tc>
        <w:tc>
          <w:tcPr>
            <w:tcW w:w="1074" w:type="dxa"/>
            <w:shd w:val="clear" w:color="000000" w:fill="D9D9D9"/>
            <w:vAlign w:val="center"/>
          </w:tcPr>
          <w:p w:rsidR="00DC1058" w:rsidRPr="00B81023" w:rsidRDefault="00DC1058" w:rsidP="00B81023">
            <w:pPr>
              <w:widowControl/>
              <w:overflowPunct/>
              <w:autoSpaceDE/>
              <w:autoSpaceDN/>
              <w:adjustRightInd/>
              <w:spacing w:before="0" w:after="0"/>
              <w:jc w:val="right"/>
              <w:rPr>
                <w:rFonts w:ascii="Arial Narrow" w:hAnsi="Arial Narrow" w:cs="Arial"/>
                <w:kern w:val="0"/>
                <w:sz w:val="18"/>
                <w:szCs w:val="18"/>
              </w:rPr>
            </w:pPr>
            <w:r w:rsidRPr="00B81023">
              <w:rPr>
                <w:rFonts w:ascii="Arial Narrow" w:hAnsi="Arial Narrow" w:cs="Arial"/>
                <w:kern w:val="0"/>
                <w:sz w:val="18"/>
                <w:szCs w:val="18"/>
              </w:rPr>
              <w:t>+0,5</w:t>
            </w:r>
          </w:p>
        </w:tc>
        <w:tc>
          <w:tcPr>
            <w:tcW w:w="1156" w:type="dxa"/>
            <w:shd w:val="clear" w:color="auto" w:fill="auto"/>
            <w:vAlign w:val="center"/>
          </w:tcPr>
          <w:p w:rsidR="00DC1058" w:rsidRPr="00B81023" w:rsidRDefault="00DC1058" w:rsidP="00B81023">
            <w:pPr>
              <w:widowControl/>
              <w:overflowPunct/>
              <w:autoSpaceDE/>
              <w:autoSpaceDN/>
              <w:adjustRightInd/>
              <w:spacing w:before="0" w:after="0"/>
              <w:jc w:val="right"/>
              <w:rPr>
                <w:rFonts w:ascii="Arial Narrow" w:hAnsi="Arial Narrow" w:cs="Arial"/>
                <w:kern w:val="0"/>
                <w:sz w:val="18"/>
                <w:szCs w:val="18"/>
              </w:rPr>
            </w:pPr>
            <w:r w:rsidRPr="00B81023">
              <w:rPr>
                <w:rFonts w:ascii="Arial Narrow" w:hAnsi="Arial Narrow" w:cs="Arial"/>
                <w:kern w:val="0"/>
                <w:sz w:val="18"/>
                <w:szCs w:val="18"/>
              </w:rPr>
              <w:t>+0,8</w:t>
            </w:r>
          </w:p>
        </w:tc>
      </w:tr>
      <w:tr w:rsidR="00DC1058" w:rsidRPr="00FB460C" w:rsidTr="000127DA">
        <w:trPr>
          <w:trHeight w:val="255"/>
          <w:jc w:val="center"/>
        </w:trPr>
        <w:tc>
          <w:tcPr>
            <w:tcW w:w="3571" w:type="dxa"/>
            <w:shd w:val="clear" w:color="auto" w:fill="auto"/>
            <w:vAlign w:val="center"/>
            <w:hideMark/>
          </w:tcPr>
          <w:p w:rsidR="00DC1058" w:rsidRPr="008814F3" w:rsidRDefault="00DC1058" w:rsidP="00DC1058">
            <w:pPr>
              <w:widowControl/>
              <w:overflowPunct/>
              <w:autoSpaceDE/>
              <w:autoSpaceDN/>
              <w:adjustRightInd/>
              <w:spacing w:before="0" w:after="0"/>
              <w:rPr>
                <w:rFonts w:ascii="Arial Narrow" w:hAnsi="Arial Narrow" w:cs="Arial"/>
                <w:kern w:val="0"/>
                <w:sz w:val="18"/>
                <w:szCs w:val="18"/>
              </w:rPr>
            </w:pPr>
            <w:r w:rsidRPr="008814F3">
              <w:rPr>
                <w:rFonts w:ascii="Arial Narrow" w:hAnsi="Arial Narrow" w:cs="Arial"/>
                <w:kern w:val="0"/>
                <w:sz w:val="18"/>
                <w:szCs w:val="18"/>
              </w:rPr>
              <w:t>Servizi sanitari e spese per la salute</w:t>
            </w:r>
          </w:p>
        </w:tc>
        <w:tc>
          <w:tcPr>
            <w:tcW w:w="1164" w:type="dxa"/>
            <w:shd w:val="clear" w:color="000000" w:fill="D9D9D9"/>
            <w:vAlign w:val="center"/>
          </w:tcPr>
          <w:p w:rsidR="00DC1058" w:rsidRPr="00764E52" w:rsidRDefault="00DC1058" w:rsidP="00DC1058">
            <w:pPr>
              <w:spacing w:before="40" w:after="20"/>
              <w:ind w:right="57"/>
              <w:jc w:val="right"/>
              <w:rPr>
                <w:rFonts w:ascii="Arial Narrow" w:hAnsi="Arial Narrow" w:cs="Arial"/>
                <w:sz w:val="18"/>
                <w:szCs w:val="18"/>
              </w:rPr>
            </w:pPr>
            <w:r w:rsidRPr="00764E52">
              <w:rPr>
                <w:rFonts w:ascii="Arial Narrow" w:hAnsi="Arial Narrow" w:cs="Arial"/>
                <w:sz w:val="18"/>
                <w:szCs w:val="18"/>
              </w:rPr>
              <w:t>82.746</w:t>
            </w:r>
          </w:p>
        </w:tc>
        <w:tc>
          <w:tcPr>
            <w:tcW w:w="1074" w:type="dxa"/>
            <w:shd w:val="clear" w:color="auto" w:fill="auto"/>
            <w:vAlign w:val="center"/>
          </w:tcPr>
          <w:p w:rsidR="00DC1058" w:rsidRPr="00B81023" w:rsidRDefault="00DC1058" w:rsidP="00B81023">
            <w:pPr>
              <w:widowControl/>
              <w:overflowPunct/>
              <w:autoSpaceDE/>
              <w:autoSpaceDN/>
              <w:adjustRightInd/>
              <w:spacing w:before="0" w:after="0"/>
              <w:jc w:val="right"/>
              <w:rPr>
                <w:rFonts w:ascii="Arial Narrow" w:hAnsi="Arial Narrow" w:cs="Arial"/>
                <w:kern w:val="0"/>
                <w:sz w:val="18"/>
                <w:szCs w:val="18"/>
              </w:rPr>
            </w:pPr>
            <w:r w:rsidRPr="00B81023">
              <w:rPr>
                <w:rFonts w:ascii="Arial Narrow" w:hAnsi="Arial Narrow" w:cs="Arial"/>
                <w:kern w:val="0"/>
                <w:sz w:val="18"/>
                <w:szCs w:val="18"/>
              </w:rPr>
              <w:t>0,0</w:t>
            </w:r>
          </w:p>
        </w:tc>
        <w:tc>
          <w:tcPr>
            <w:tcW w:w="1053" w:type="dxa"/>
            <w:shd w:val="clear" w:color="000000" w:fill="D9D9D9"/>
            <w:vAlign w:val="center"/>
          </w:tcPr>
          <w:p w:rsidR="00DC1058" w:rsidRPr="00B81023" w:rsidRDefault="00DC1058" w:rsidP="00B81023">
            <w:pPr>
              <w:widowControl/>
              <w:overflowPunct/>
              <w:autoSpaceDE/>
              <w:autoSpaceDN/>
              <w:adjustRightInd/>
              <w:spacing w:before="0" w:after="0"/>
              <w:jc w:val="right"/>
              <w:rPr>
                <w:rFonts w:ascii="Arial Narrow" w:hAnsi="Arial Narrow" w:cs="Arial"/>
                <w:kern w:val="0"/>
                <w:sz w:val="18"/>
                <w:szCs w:val="18"/>
              </w:rPr>
            </w:pPr>
            <w:r w:rsidRPr="00B81023">
              <w:rPr>
                <w:rFonts w:ascii="Arial Narrow" w:hAnsi="Arial Narrow" w:cs="Arial"/>
                <w:kern w:val="0"/>
                <w:sz w:val="18"/>
                <w:szCs w:val="18"/>
              </w:rPr>
              <w:t>+0,1</w:t>
            </w:r>
          </w:p>
        </w:tc>
        <w:tc>
          <w:tcPr>
            <w:tcW w:w="1074" w:type="dxa"/>
            <w:shd w:val="clear" w:color="auto" w:fill="auto"/>
            <w:vAlign w:val="center"/>
          </w:tcPr>
          <w:p w:rsidR="00DC1058" w:rsidRPr="00B81023" w:rsidRDefault="00DC1058" w:rsidP="00B81023">
            <w:pPr>
              <w:widowControl/>
              <w:overflowPunct/>
              <w:autoSpaceDE/>
              <w:autoSpaceDN/>
              <w:adjustRightInd/>
              <w:spacing w:before="0" w:after="0"/>
              <w:jc w:val="right"/>
              <w:rPr>
                <w:rFonts w:ascii="Arial Narrow" w:hAnsi="Arial Narrow" w:cs="Arial"/>
                <w:kern w:val="0"/>
                <w:sz w:val="18"/>
                <w:szCs w:val="18"/>
              </w:rPr>
            </w:pPr>
            <w:r w:rsidRPr="00B81023">
              <w:rPr>
                <w:rFonts w:ascii="Arial Narrow" w:hAnsi="Arial Narrow" w:cs="Arial"/>
                <w:kern w:val="0"/>
                <w:sz w:val="18"/>
                <w:szCs w:val="18"/>
              </w:rPr>
              <w:t>+1,5</w:t>
            </w:r>
          </w:p>
        </w:tc>
        <w:tc>
          <w:tcPr>
            <w:tcW w:w="1074" w:type="dxa"/>
            <w:shd w:val="clear" w:color="000000" w:fill="D9D9D9"/>
            <w:vAlign w:val="center"/>
          </w:tcPr>
          <w:p w:rsidR="00DC1058" w:rsidRPr="00B81023" w:rsidRDefault="00DC1058" w:rsidP="00B81023">
            <w:pPr>
              <w:widowControl/>
              <w:overflowPunct/>
              <w:autoSpaceDE/>
              <w:autoSpaceDN/>
              <w:adjustRightInd/>
              <w:spacing w:before="0" w:after="0"/>
              <w:jc w:val="right"/>
              <w:rPr>
                <w:rFonts w:ascii="Arial Narrow" w:hAnsi="Arial Narrow" w:cs="Arial"/>
                <w:kern w:val="0"/>
                <w:sz w:val="18"/>
                <w:szCs w:val="18"/>
              </w:rPr>
            </w:pPr>
            <w:r w:rsidRPr="00B81023">
              <w:rPr>
                <w:rFonts w:ascii="Arial Narrow" w:hAnsi="Arial Narrow" w:cs="Arial"/>
                <w:kern w:val="0"/>
                <w:sz w:val="18"/>
                <w:szCs w:val="18"/>
              </w:rPr>
              <w:t>+1,6</w:t>
            </w:r>
          </w:p>
        </w:tc>
        <w:tc>
          <w:tcPr>
            <w:tcW w:w="1156" w:type="dxa"/>
            <w:shd w:val="clear" w:color="auto" w:fill="auto"/>
            <w:vAlign w:val="center"/>
          </w:tcPr>
          <w:p w:rsidR="00DC1058" w:rsidRPr="00B81023" w:rsidRDefault="00DC1058" w:rsidP="00B81023">
            <w:pPr>
              <w:widowControl/>
              <w:overflowPunct/>
              <w:autoSpaceDE/>
              <w:autoSpaceDN/>
              <w:adjustRightInd/>
              <w:spacing w:before="0" w:after="0"/>
              <w:jc w:val="right"/>
              <w:rPr>
                <w:rFonts w:ascii="Arial Narrow" w:hAnsi="Arial Narrow" w:cs="Arial"/>
                <w:kern w:val="0"/>
                <w:sz w:val="18"/>
                <w:szCs w:val="18"/>
              </w:rPr>
            </w:pPr>
            <w:r w:rsidRPr="00B81023">
              <w:rPr>
                <w:rFonts w:ascii="Arial Narrow" w:hAnsi="Arial Narrow" w:cs="Arial"/>
                <w:kern w:val="0"/>
                <w:sz w:val="18"/>
                <w:szCs w:val="18"/>
              </w:rPr>
              <w:t>+1,4</w:t>
            </w:r>
          </w:p>
        </w:tc>
      </w:tr>
      <w:tr w:rsidR="00DC1058" w:rsidRPr="00FB460C" w:rsidTr="000127DA">
        <w:trPr>
          <w:trHeight w:val="255"/>
          <w:jc w:val="center"/>
        </w:trPr>
        <w:tc>
          <w:tcPr>
            <w:tcW w:w="3571" w:type="dxa"/>
            <w:shd w:val="clear" w:color="auto" w:fill="auto"/>
            <w:vAlign w:val="center"/>
            <w:hideMark/>
          </w:tcPr>
          <w:p w:rsidR="00DC1058" w:rsidRPr="008814F3" w:rsidRDefault="00DC1058" w:rsidP="00DC1058">
            <w:pPr>
              <w:widowControl/>
              <w:overflowPunct/>
              <w:autoSpaceDE/>
              <w:autoSpaceDN/>
              <w:adjustRightInd/>
              <w:spacing w:before="0" w:after="0"/>
              <w:rPr>
                <w:rFonts w:ascii="Arial Narrow" w:hAnsi="Arial Narrow" w:cs="Arial"/>
                <w:kern w:val="0"/>
                <w:sz w:val="18"/>
                <w:szCs w:val="18"/>
              </w:rPr>
            </w:pPr>
            <w:r w:rsidRPr="008814F3">
              <w:rPr>
                <w:rFonts w:ascii="Arial Narrow" w:hAnsi="Arial Narrow" w:cs="Arial"/>
                <w:kern w:val="0"/>
                <w:sz w:val="18"/>
                <w:szCs w:val="18"/>
              </w:rPr>
              <w:t>Trasporti</w:t>
            </w:r>
          </w:p>
        </w:tc>
        <w:tc>
          <w:tcPr>
            <w:tcW w:w="1164" w:type="dxa"/>
            <w:shd w:val="clear" w:color="000000" w:fill="D9D9D9"/>
            <w:vAlign w:val="center"/>
          </w:tcPr>
          <w:p w:rsidR="00DC1058" w:rsidRPr="00764E52" w:rsidRDefault="00DC1058" w:rsidP="00DC1058">
            <w:pPr>
              <w:spacing w:before="40" w:after="20"/>
              <w:ind w:right="57"/>
              <w:jc w:val="right"/>
              <w:rPr>
                <w:rFonts w:ascii="Arial Narrow" w:hAnsi="Arial Narrow" w:cs="Arial"/>
                <w:sz w:val="18"/>
                <w:szCs w:val="18"/>
              </w:rPr>
            </w:pPr>
            <w:r w:rsidRPr="00764E52">
              <w:rPr>
                <w:rFonts w:ascii="Arial Narrow" w:hAnsi="Arial Narrow" w:cs="Arial"/>
                <w:sz w:val="18"/>
                <w:szCs w:val="18"/>
              </w:rPr>
              <w:t>147.401</w:t>
            </w:r>
          </w:p>
        </w:tc>
        <w:tc>
          <w:tcPr>
            <w:tcW w:w="1074" w:type="dxa"/>
            <w:shd w:val="clear" w:color="auto" w:fill="auto"/>
            <w:vAlign w:val="center"/>
          </w:tcPr>
          <w:p w:rsidR="00DC1058" w:rsidRPr="00B81023" w:rsidRDefault="00DC1058" w:rsidP="00B81023">
            <w:pPr>
              <w:widowControl/>
              <w:overflowPunct/>
              <w:autoSpaceDE/>
              <w:autoSpaceDN/>
              <w:adjustRightInd/>
              <w:spacing w:before="0" w:after="0"/>
              <w:jc w:val="right"/>
              <w:rPr>
                <w:rFonts w:ascii="Arial Narrow" w:hAnsi="Arial Narrow" w:cs="Arial"/>
                <w:kern w:val="0"/>
                <w:sz w:val="18"/>
                <w:szCs w:val="18"/>
              </w:rPr>
            </w:pPr>
            <w:r w:rsidRPr="00B81023">
              <w:rPr>
                <w:rFonts w:ascii="Arial Narrow" w:hAnsi="Arial Narrow" w:cs="Arial"/>
                <w:kern w:val="0"/>
                <w:sz w:val="18"/>
                <w:szCs w:val="18"/>
              </w:rPr>
              <w:t>+0,5</w:t>
            </w:r>
          </w:p>
        </w:tc>
        <w:tc>
          <w:tcPr>
            <w:tcW w:w="1053" w:type="dxa"/>
            <w:shd w:val="clear" w:color="000000" w:fill="D9D9D9"/>
            <w:vAlign w:val="center"/>
          </w:tcPr>
          <w:p w:rsidR="00DC1058" w:rsidRPr="00B81023" w:rsidRDefault="00DC1058" w:rsidP="00B81023">
            <w:pPr>
              <w:widowControl/>
              <w:overflowPunct/>
              <w:autoSpaceDE/>
              <w:autoSpaceDN/>
              <w:adjustRightInd/>
              <w:spacing w:before="0" w:after="0"/>
              <w:jc w:val="right"/>
              <w:rPr>
                <w:rFonts w:ascii="Arial Narrow" w:hAnsi="Arial Narrow" w:cs="Arial"/>
                <w:kern w:val="0"/>
                <w:sz w:val="18"/>
                <w:szCs w:val="18"/>
              </w:rPr>
            </w:pPr>
            <w:r w:rsidRPr="00B81023">
              <w:rPr>
                <w:rFonts w:ascii="Arial Narrow" w:hAnsi="Arial Narrow" w:cs="Arial"/>
                <w:kern w:val="0"/>
                <w:sz w:val="18"/>
                <w:szCs w:val="18"/>
              </w:rPr>
              <w:t>+0,5</w:t>
            </w:r>
          </w:p>
        </w:tc>
        <w:tc>
          <w:tcPr>
            <w:tcW w:w="1074" w:type="dxa"/>
            <w:shd w:val="clear" w:color="auto" w:fill="auto"/>
            <w:vAlign w:val="center"/>
          </w:tcPr>
          <w:p w:rsidR="00DC1058" w:rsidRPr="00B81023" w:rsidRDefault="00DC1058" w:rsidP="00B81023">
            <w:pPr>
              <w:widowControl/>
              <w:overflowPunct/>
              <w:autoSpaceDE/>
              <w:autoSpaceDN/>
              <w:adjustRightInd/>
              <w:spacing w:before="0" w:after="0"/>
              <w:jc w:val="right"/>
              <w:rPr>
                <w:rFonts w:ascii="Arial Narrow" w:hAnsi="Arial Narrow" w:cs="Arial"/>
                <w:kern w:val="0"/>
                <w:sz w:val="18"/>
                <w:szCs w:val="18"/>
              </w:rPr>
            </w:pPr>
            <w:r w:rsidRPr="00B81023">
              <w:rPr>
                <w:rFonts w:ascii="Arial Narrow" w:hAnsi="Arial Narrow" w:cs="Arial"/>
                <w:kern w:val="0"/>
                <w:sz w:val="18"/>
                <w:szCs w:val="18"/>
              </w:rPr>
              <w:t>+1,5</w:t>
            </w:r>
          </w:p>
        </w:tc>
        <w:tc>
          <w:tcPr>
            <w:tcW w:w="1074" w:type="dxa"/>
            <w:shd w:val="clear" w:color="000000" w:fill="D9D9D9"/>
            <w:vAlign w:val="center"/>
          </w:tcPr>
          <w:p w:rsidR="00DC1058" w:rsidRPr="00B81023" w:rsidRDefault="00DC1058" w:rsidP="00B81023">
            <w:pPr>
              <w:widowControl/>
              <w:overflowPunct/>
              <w:autoSpaceDE/>
              <w:autoSpaceDN/>
              <w:adjustRightInd/>
              <w:spacing w:before="0" w:after="0"/>
              <w:jc w:val="right"/>
              <w:rPr>
                <w:rFonts w:ascii="Arial Narrow" w:hAnsi="Arial Narrow" w:cs="Arial"/>
                <w:kern w:val="0"/>
                <w:sz w:val="18"/>
                <w:szCs w:val="18"/>
              </w:rPr>
            </w:pPr>
            <w:r w:rsidRPr="00B81023">
              <w:rPr>
                <w:rFonts w:ascii="Arial Narrow" w:hAnsi="Arial Narrow" w:cs="Arial"/>
                <w:kern w:val="0"/>
                <w:sz w:val="18"/>
                <w:szCs w:val="18"/>
              </w:rPr>
              <w:t>+1,6</w:t>
            </w:r>
          </w:p>
        </w:tc>
        <w:tc>
          <w:tcPr>
            <w:tcW w:w="1156" w:type="dxa"/>
            <w:shd w:val="clear" w:color="auto" w:fill="auto"/>
            <w:vAlign w:val="center"/>
          </w:tcPr>
          <w:p w:rsidR="00DC1058" w:rsidRPr="00B81023" w:rsidRDefault="00DC1058" w:rsidP="00B81023">
            <w:pPr>
              <w:widowControl/>
              <w:overflowPunct/>
              <w:autoSpaceDE/>
              <w:autoSpaceDN/>
              <w:adjustRightInd/>
              <w:spacing w:before="0" w:after="0"/>
              <w:jc w:val="right"/>
              <w:rPr>
                <w:rFonts w:ascii="Arial Narrow" w:hAnsi="Arial Narrow" w:cs="Arial"/>
                <w:kern w:val="0"/>
                <w:sz w:val="18"/>
                <w:szCs w:val="18"/>
              </w:rPr>
            </w:pPr>
            <w:r w:rsidRPr="00B81023">
              <w:rPr>
                <w:rFonts w:ascii="Arial Narrow" w:hAnsi="Arial Narrow" w:cs="Arial"/>
                <w:kern w:val="0"/>
                <w:sz w:val="18"/>
                <w:szCs w:val="18"/>
              </w:rPr>
              <w:t>+1,2</w:t>
            </w:r>
          </w:p>
        </w:tc>
      </w:tr>
      <w:tr w:rsidR="00DC1058" w:rsidRPr="00FB460C" w:rsidTr="000127DA">
        <w:trPr>
          <w:trHeight w:val="255"/>
          <w:jc w:val="center"/>
        </w:trPr>
        <w:tc>
          <w:tcPr>
            <w:tcW w:w="3571" w:type="dxa"/>
            <w:shd w:val="clear" w:color="auto" w:fill="auto"/>
            <w:vAlign w:val="center"/>
            <w:hideMark/>
          </w:tcPr>
          <w:p w:rsidR="00DC1058" w:rsidRPr="008814F3" w:rsidRDefault="00DC1058" w:rsidP="00DC1058">
            <w:pPr>
              <w:widowControl/>
              <w:overflowPunct/>
              <w:autoSpaceDE/>
              <w:autoSpaceDN/>
              <w:adjustRightInd/>
              <w:spacing w:before="0" w:after="0"/>
              <w:rPr>
                <w:rFonts w:ascii="Arial Narrow" w:hAnsi="Arial Narrow" w:cs="Arial"/>
                <w:kern w:val="0"/>
                <w:sz w:val="18"/>
                <w:szCs w:val="18"/>
              </w:rPr>
            </w:pPr>
            <w:r w:rsidRPr="008814F3">
              <w:rPr>
                <w:rFonts w:ascii="Arial Narrow" w:hAnsi="Arial Narrow" w:cs="Arial"/>
                <w:kern w:val="0"/>
                <w:sz w:val="18"/>
                <w:szCs w:val="18"/>
              </w:rPr>
              <w:t>Comunicazioni</w:t>
            </w:r>
          </w:p>
        </w:tc>
        <w:tc>
          <w:tcPr>
            <w:tcW w:w="1164" w:type="dxa"/>
            <w:shd w:val="clear" w:color="000000" w:fill="D9D9D9"/>
            <w:vAlign w:val="center"/>
          </w:tcPr>
          <w:p w:rsidR="00DC1058" w:rsidRPr="00764E52" w:rsidRDefault="00DC1058" w:rsidP="00DC1058">
            <w:pPr>
              <w:spacing w:before="40" w:after="20"/>
              <w:ind w:right="57"/>
              <w:jc w:val="right"/>
              <w:rPr>
                <w:rFonts w:ascii="Arial Narrow" w:hAnsi="Arial Narrow" w:cs="Arial"/>
                <w:sz w:val="18"/>
                <w:szCs w:val="18"/>
              </w:rPr>
            </w:pPr>
            <w:r w:rsidRPr="00764E52">
              <w:rPr>
                <w:rFonts w:ascii="Arial Narrow" w:hAnsi="Arial Narrow" w:cs="Arial"/>
                <w:sz w:val="18"/>
                <w:szCs w:val="18"/>
              </w:rPr>
              <w:t>21.835</w:t>
            </w:r>
          </w:p>
        </w:tc>
        <w:tc>
          <w:tcPr>
            <w:tcW w:w="1074" w:type="dxa"/>
            <w:shd w:val="clear" w:color="auto" w:fill="auto"/>
            <w:vAlign w:val="center"/>
          </w:tcPr>
          <w:p w:rsidR="00DC1058" w:rsidRPr="00B81023" w:rsidRDefault="00DC1058" w:rsidP="00B81023">
            <w:pPr>
              <w:widowControl/>
              <w:overflowPunct/>
              <w:autoSpaceDE/>
              <w:autoSpaceDN/>
              <w:adjustRightInd/>
              <w:spacing w:before="0" w:after="0"/>
              <w:jc w:val="right"/>
              <w:rPr>
                <w:rFonts w:ascii="Arial Narrow" w:hAnsi="Arial Narrow" w:cs="Arial"/>
                <w:kern w:val="0"/>
                <w:sz w:val="18"/>
                <w:szCs w:val="18"/>
              </w:rPr>
            </w:pPr>
            <w:r w:rsidRPr="00B81023">
              <w:rPr>
                <w:rFonts w:ascii="Arial Narrow" w:hAnsi="Arial Narrow" w:cs="Arial"/>
                <w:kern w:val="0"/>
                <w:sz w:val="18"/>
                <w:szCs w:val="18"/>
              </w:rPr>
              <w:t>-0,7</w:t>
            </w:r>
          </w:p>
        </w:tc>
        <w:tc>
          <w:tcPr>
            <w:tcW w:w="1053" w:type="dxa"/>
            <w:shd w:val="clear" w:color="000000" w:fill="D9D9D9"/>
            <w:vAlign w:val="center"/>
          </w:tcPr>
          <w:p w:rsidR="00DC1058" w:rsidRPr="00B81023" w:rsidRDefault="00DC1058" w:rsidP="00B81023">
            <w:pPr>
              <w:widowControl/>
              <w:overflowPunct/>
              <w:autoSpaceDE/>
              <w:autoSpaceDN/>
              <w:adjustRightInd/>
              <w:spacing w:before="0" w:after="0"/>
              <w:jc w:val="right"/>
              <w:rPr>
                <w:rFonts w:ascii="Arial Narrow" w:hAnsi="Arial Narrow" w:cs="Arial"/>
                <w:kern w:val="0"/>
                <w:sz w:val="18"/>
                <w:szCs w:val="18"/>
              </w:rPr>
            </w:pPr>
            <w:r w:rsidRPr="00B81023">
              <w:rPr>
                <w:rFonts w:ascii="Arial Narrow" w:hAnsi="Arial Narrow" w:cs="Arial"/>
                <w:kern w:val="0"/>
                <w:sz w:val="18"/>
                <w:szCs w:val="18"/>
              </w:rPr>
              <w:t>-0,9</w:t>
            </w:r>
          </w:p>
        </w:tc>
        <w:tc>
          <w:tcPr>
            <w:tcW w:w="1074" w:type="dxa"/>
            <w:shd w:val="clear" w:color="auto" w:fill="auto"/>
            <w:vAlign w:val="center"/>
          </w:tcPr>
          <w:p w:rsidR="00DC1058" w:rsidRPr="00B81023" w:rsidRDefault="00DC1058" w:rsidP="00B81023">
            <w:pPr>
              <w:widowControl/>
              <w:overflowPunct/>
              <w:autoSpaceDE/>
              <w:autoSpaceDN/>
              <w:adjustRightInd/>
              <w:spacing w:before="0" w:after="0"/>
              <w:jc w:val="right"/>
              <w:rPr>
                <w:rFonts w:ascii="Arial Narrow" w:hAnsi="Arial Narrow" w:cs="Arial"/>
                <w:kern w:val="0"/>
                <w:sz w:val="18"/>
                <w:szCs w:val="18"/>
              </w:rPr>
            </w:pPr>
            <w:r w:rsidRPr="00B81023">
              <w:rPr>
                <w:rFonts w:ascii="Arial Narrow" w:hAnsi="Arial Narrow" w:cs="Arial"/>
                <w:kern w:val="0"/>
                <w:sz w:val="18"/>
                <w:szCs w:val="18"/>
              </w:rPr>
              <w:t>-5,4</w:t>
            </w:r>
          </w:p>
        </w:tc>
        <w:tc>
          <w:tcPr>
            <w:tcW w:w="1074" w:type="dxa"/>
            <w:shd w:val="clear" w:color="000000" w:fill="D9D9D9"/>
            <w:vAlign w:val="center"/>
          </w:tcPr>
          <w:p w:rsidR="00DC1058" w:rsidRPr="00B81023" w:rsidRDefault="00DC1058" w:rsidP="00B81023">
            <w:pPr>
              <w:widowControl/>
              <w:overflowPunct/>
              <w:autoSpaceDE/>
              <w:autoSpaceDN/>
              <w:adjustRightInd/>
              <w:spacing w:before="0" w:after="0"/>
              <w:jc w:val="right"/>
              <w:rPr>
                <w:rFonts w:ascii="Arial Narrow" w:hAnsi="Arial Narrow" w:cs="Arial"/>
                <w:kern w:val="0"/>
                <w:sz w:val="18"/>
                <w:szCs w:val="18"/>
              </w:rPr>
            </w:pPr>
            <w:r w:rsidRPr="00B81023">
              <w:rPr>
                <w:rFonts w:ascii="Arial Narrow" w:hAnsi="Arial Narrow" w:cs="Arial"/>
                <w:kern w:val="0"/>
                <w:sz w:val="18"/>
                <w:szCs w:val="18"/>
              </w:rPr>
              <w:t>-5,6</w:t>
            </w:r>
          </w:p>
        </w:tc>
        <w:tc>
          <w:tcPr>
            <w:tcW w:w="1156" w:type="dxa"/>
            <w:shd w:val="clear" w:color="auto" w:fill="auto"/>
            <w:vAlign w:val="center"/>
          </w:tcPr>
          <w:p w:rsidR="00DC1058" w:rsidRPr="00B81023" w:rsidRDefault="00DC1058" w:rsidP="00B81023">
            <w:pPr>
              <w:widowControl/>
              <w:overflowPunct/>
              <w:autoSpaceDE/>
              <w:autoSpaceDN/>
              <w:adjustRightInd/>
              <w:spacing w:before="0" w:after="0"/>
              <w:jc w:val="right"/>
              <w:rPr>
                <w:rFonts w:ascii="Arial Narrow" w:hAnsi="Arial Narrow" w:cs="Arial"/>
                <w:kern w:val="0"/>
                <w:sz w:val="18"/>
                <w:szCs w:val="18"/>
              </w:rPr>
            </w:pPr>
            <w:r w:rsidRPr="00B81023">
              <w:rPr>
                <w:rFonts w:ascii="Arial Narrow" w:hAnsi="Arial Narrow" w:cs="Arial"/>
                <w:kern w:val="0"/>
                <w:sz w:val="18"/>
                <w:szCs w:val="18"/>
              </w:rPr>
              <w:t>-5,4</w:t>
            </w:r>
          </w:p>
        </w:tc>
      </w:tr>
      <w:tr w:rsidR="00DC1058" w:rsidRPr="00FB460C" w:rsidTr="000127DA">
        <w:trPr>
          <w:trHeight w:val="255"/>
          <w:jc w:val="center"/>
        </w:trPr>
        <w:tc>
          <w:tcPr>
            <w:tcW w:w="3571" w:type="dxa"/>
            <w:shd w:val="clear" w:color="auto" w:fill="auto"/>
            <w:vAlign w:val="center"/>
            <w:hideMark/>
          </w:tcPr>
          <w:p w:rsidR="00DC1058" w:rsidRPr="008814F3" w:rsidRDefault="00DC1058" w:rsidP="00DC1058">
            <w:pPr>
              <w:widowControl/>
              <w:overflowPunct/>
              <w:autoSpaceDE/>
              <w:autoSpaceDN/>
              <w:adjustRightInd/>
              <w:spacing w:before="0" w:after="0"/>
              <w:rPr>
                <w:rFonts w:ascii="Arial Narrow" w:hAnsi="Arial Narrow" w:cs="Arial"/>
                <w:kern w:val="0"/>
                <w:sz w:val="18"/>
                <w:szCs w:val="18"/>
              </w:rPr>
            </w:pPr>
            <w:r w:rsidRPr="008814F3">
              <w:rPr>
                <w:rFonts w:ascii="Arial Narrow" w:hAnsi="Arial Narrow" w:cs="Arial"/>
                <w:kern w:val="0"/>
                <w:sz w:val="18"/>
                <w:szCs w:val="18"/>
              </w:rPr>
              <w:t>Ricreazione, spettacoli e cultura</w:t>
            </w:r>
          </w:p>
        </w:tc>
        <w:tc>
          <w:tcPr>
            <w:tcW w:w="1164" w:type="dxa"/>
            <w:shd w:val="clear" w:color="000000" w:fill="D9D9D9"/>
            <w:vAlign w:val="center"/>
          </w:tcPr>
          <w:p w:rsidR="00DC1058" w:rsidRPr="00764E52" w:rsidRDefault="00DC1058" w:rsidP="00DC1058">
            <w:pPr>
              <w:spacing w:before="40" w:after="20"/>
              <w:ind w:right="57"/>
              <w:jc w:val="right"/>
              <w:rPr>
                <w:rFonts w:ascii="Arial Narrow" w:hAnsi="Arial Narrow" w:cs="Arial"/>
                <w:sz w:val="18"/>
                <w:szCs w:val="18"/>
              </w:rPr>
            </w:pPr>
            <w:r w:rsidRPr="00764E52">
              <w:rPr>
                <w:rFonts w:ascii="Arial Narrow" w:hAnsi="Arial Narrow" w:cs="Arial"/>
                <w:sz w:val="18"/>
                <w:szCs w:val="18"/>
              </w:rPr>
              <w:t>81.071</w:t>
            </w:r>
          </w:p>
        </w:tc>
        <w:tc>
          <w:tcPr>
            <w:tcW w:w="1074" w:type="dxa"/>
            <w:shd w:val="clear" w:color="auto" w:fill="auto"/>
            <w:vAlign w:val="center"/>
          </w:tcPr>
          <w:p w:rsidR="00DC1058" w:rsidRPr="00B81023" w:rsidRDefault="00DC1058" w:rsidP="00B81023">
            <w:pPr>
              <w:widowControl/>
              <w:overflowPunct/>
              <w:autoSpaceDE/>
              <w:autoSpaceDN/>
              <w:adjustRightInd/>
              <w:spacing w:before="0" w:after="0"/>
              <w:jc w:val="right"/>
              <w:rPr>
                <w:rFonts w:ascii="Arial Narrow" w:hAnsi="Arial Narrow" w:cs="Arial"/>
                <w:kern w:val="0"/>
                <w:sz w:val="18"/>
                <w:szCs w:val="18"/>
              </w:rPr>
            </w:pPr>
            <w:r w:rsidRPr="00B81023">
              <w:rPr>
                <w:rFonts w:ascii="Arial Narrow" w:hAnsi="Arial Narrow" w:cs="Arial"/>
                <w:kern w:val="0"/>
                <w:sz w:val="18"/>
                <w:szCs w:val="18"/>
              </w:rPr>
              <w:t>+1,1</w:t>
            </w:r>
          </w:p>
        </w:tc>
        <w:tc>
          <w:tcPr>
            <w:tcW w:w="1053" w:type="dxa"/>
            <w:shd w:val="clear" w:color="000000" w:fill="D9D9D9"/>
            <w:vAlign w:val="center"/>
          </w:tcPr>
          <w:p w:rsidR="00DC1058" w:rsidRPr="00B81023" w:rsidRDefault="00DC1058" w:rsidP="00B81023">
            <w:pPr>
              <w:widowControl/>
              <w:overflowPunct/>
              <w:autoSpaceDE/>
              <w:autoSpaceDN/>
              <w:adjustRightInd/>
              <w:spacing w:before="0" w:after="0"/>
              <w:jc w:val="right"/>
              <w:rPr>
                <w:rFonts w:ascii="Arial Narrow" w:hAnsi="Arial Narrow" w:cs="Arial"/>
                <w:kern w:val="0"/>
                <w:sz w:val="18"/>
                <w:szCs w:val="18"/>
              </w:rPr>
            </w:pPr>
            <w:r w:rsidRPr="00B81023">
              <w:rPr>
                <w:rFonts w:ascii="Arial Narrow" w:hAnsi="Arial Narrow" w:cs="Arial"/>
                <w:kern w:val="0"/>
                <w:sz w:val="18"/>
                <w:szCs w:val="18"/>
              </w:rPr>
              <w:t>+0,2</w:t>
            </w:r>
          </w:p>
        </w:tc>
        <w:tc>
          <w:tcPr>
            <w:tcW w:w="1074" w:type="dxa"/>
            <w:shd w:val="clear" w:color="auto" w:fill="auto"/>
            <w:vAlign w:val="center"/>
          </w:tcPr>
          <w:p w:rsidR="00DC1058" w:rsidRPr="00B81023" w:rsidRDefault="00DC1058" w:rsidP="00B81023">
            <w:pPr>
              <w:widowControl/>
              <w:overflowPunct/>
              <w:autoSpaceDE/>
              <w:autoSpaceDN/>
              <w:adjustRightInd/>
              <w:spacing w:before="0" w:after="0"/>
              <w:jc w:val="right"/>
              <w:rPr>
                <w:rFonts w:ascii="Arial Narrow" w:hAnsi="Arial Narrow" w:cs="Arial"/>
                <w:kern w:val="0"/>
                <w:sz w:val="18"/>
                <w:szCs w:val="18"/>
              </w:rPr>
            </w:pPr>
            <w:r w:rsidRPr="00B81023">
              <w:rPr>
                <w:rFonts w:ascii="Arial Narrow" w:hAnsi="Arial Narrow" w:cs="Arial"/>
                <w:kern w:val="0"/>
                <w:sz w:val="18"/>
                <w:szCs w:val="18"/>
              </w:rPr>
              <w:t>+2,2</w:t>
            </w:r>
          </w:p>
        </w:tc>
        <w:tc>
          <w:tcPr>
            <w:tcW w:w="1074" w:type="dxa"/>
            <w:shd w:val="clear" w:color="000000" w:fill="D9D9D9"/>
            <w:vAlign w:val="center"/>
          </w:tcPr>
          <w:p w:rsidR="00DC1058" w:rsidRPr="00B81023" w:rsidRDefault="00DC1058" w:rsidP="00B81023">
            <w:pPr>
              <w:widowControl/>
              <w:overflowPunct/>
              <w:autoSpaceDE/>
              <w:autoSpaceDN/>
              <w:adjustRightInd/>
              <w:spacing w:before="0" w:after="0"/>
              <w:jc w:val="right"/>
              <w:rPr>
                <w:rFonts w:ascii="Arial Narrow" w:hAnsi="Arial Narrow" w:cs="Arial"/>
                <w:kern w:val="0"/>
                <w:sz w:val="18"/>
                <w:szCs w:val="18"/>
              </w:rPr>
            </w:pPr>
            <w:r w:rsidRPr="00B81023">
              <w:rPr>
                <w:rFonts w:ascii="Arial Narrow" w:hAnsi="Arial Narrow" w:cs="Arial"/>
                <w:kern w:val="0"/>
                <w:sz w:val="18"/>
                <w:szCs w:val="18"/>
              </w:rPr>
              <w:t>+1,2</w:t>
            </w:r>
          </w:p>
        </w:tc>
        <w:tc>
          <w:tcPr>
            <w:tcW w:w="1156" w:type="dxa"/>
            <w:shd w:val="clear" w:color="auto" w:fill="auto"/>
            <w:vAlign w:val="center"/>
          </w:tcPr>
          <w:p w:rsidR="00DC1058" w:rsidRPr="00B81023" w:rsidRDefault="00DC1058" w:rsidP="00B81023">
            <w:pPr>
              <w:widowControl/>
              <w:overflowPunct/>
              <w:autoSpaceDE/>
              <w:autoSpaceDN/>
              <w:adjustRightInd/>
              <w:spacing w:before="0" w:after="0"/>
              <w:jc w:val="right"/>
              <w:rPr>
                <w:rFonts w:ascii="Arial Narrow" w:hAnsi="Arial Narrow" w:cs="Arial"/>
                <w:kern w:val="0"/>
                <w:sz w:val="18"/>
                <w:szCs w:val="18"/>
              </w:rPr>
            </w:pPr>
            <w:r w:rsidRPr="00B81023">
              <w:rPr>
                <w:rFonts w:ascii="Arial Narrow" w:hAnsi="Arial Narrow" w:cs="Arial"/>
                <w:kern w:val="0"/>
                <w:sz w:val="18"/>
                <w:szCs w:val="18"/>
              </w:rPr>
              <w:t>+1,7</w:t>
            </w:r>
          </w:p>
        </w:tc>
      </w:tr>
      <w:tr w:rsidR="00DC1058" w:rsidRPr="00FB460C" w:rsidTr="000127DA">
        <w:trPr>
          <w:trHeight w:val="255"/>
          <w:jc w:val="center"/>
        </w:trPr>
        <w:tc>
          <w:tcPr>
            <w:tcW w:w="3571" w:type="dxa"/>
            <w:shd w:val="clear" w:color="auto" w:fill="auto"/>
            <w:vAlign w:val="center"/>
            <w:hideMark/>
          </w:tcPr>
          <w:p w:rsidR="00DC1058" w:rsidRPr="008814F3" w:rsidRDefault="00DC1058" w:rsidP="00DC1058">
            <w:pPr>
              <w:widowControl/>
              <w:overflowPunct/>
              <w:autoSpaceDE/>
              <w:autoSpaceDN/>
              <w:adjustRightInd/>
              <w:spacing w:before="0" w:after="0"/>
              <w:rPr>
                <w:rFonts w:ascii="Arial Narrow" w:hAnsi="Arial Narrow" w:cs="Arial"/>
                <w:kern w:val="0"/>
                <w:sz w:val="18"/>
                <w:szCs w:val="18"/>
              </w:rPr>
            </w:pPr>
            <w:r w:rsidRPr="008814F3">
              <w:rPr>
                <w:rFonts w:ascii="Arial Narrow" w:hAnsi="Arial Narrow" w:cs="Arial"/>
                <w:kern w:val="0"/>
                <w:sz w:val="18"/>
                <w:szCs w:val="18"/>
              </w:rPr>
              <w:t>Istruzione</w:t>
            </w:r>
          </w:p>
        </w:tc>
        <w:tc>
          <w:tcPr>
            <w:tcW w:w="1164" w:type="dxa"/>
            <w:shd w:val="clear" w:color="000000" w:fill="D9D9D9"/>
            <w:vAlign w:val="center"/>
          </w:tcPr>
          <w:p w:rsidR="00DC1058" w:rsidRPr="00764E52" w:rsidRDefault="00DC1058" w:rsidP="00DC1058">
            <w:pPr>
              <w:spacing w:before="40" w:after="20"/>
              <w:ind w:right="57"/>
              <w:jc w:val="right"/>
              <w:rPr>
                <w:rFonts w:ascii="Arial Narrow" w:hAnsi="Arial Narrow" w:cs="Arial"/>
                <w:sz w:val="18"/>
                <w:szCs w:val="18"/>
              </w:rPr>
            </w:pPr>
            <w:r w:rsidRPr="00764E52">
              <w:rPr>
                <w:rFonts w:ascii="Arial Narrow" w:hAnsi="Arial Narrow" w:cs="Arial"/>
                <w:sz w:val="18"/>
                <w:szCs w:val="18"/>
              </w:rPr>
              <w:t>8.932</w:t>
            </w:r>
          </w:p>
        </w:tc>
        <w:tc>
          <w:tcPr>
            <w:tcW w:w="1074" w:type="dxa"/>
            <w:shd w:val="clear" w:color="auto" w:fill="auto"/>
            <w:vAlign w:val="center"/>
          </w:tcPr>
          <w:p w:rsidR="00DC1058" w:rsidRPr="00B81023" w:rsidRDefault="00DC1058" w:rsidP="00B81023">
            <w:pPr>
              <w:widowControl/>
              <w:overflowPunct/>
              <w:autoSpaceDE/>
              <w:autoSpaceDN/>
              <w:adjustRightInd/>
              <w:spacing w:before="0" w:after="0"/>
              <w:jc w:val="right"/>
              <w:rPr>
                <w:rFonts w:ascii="Arial Narrow" w:hAnsi="Arial Narrow" w:cs="Arial"/>
                <w:kern w:val="0"/>
                <w:sz w:val="18"/>
                <w:szCs w:val="18"/>
              </w:rPr>
            </w:pPr>
            <w:r w:rsidRPr="00B81023">
              <w:rPr>
                <w:rFonts w:ascii="Arial Narrow" w:hAnsi="Arial Narrow" w:cs="Arial"/>
                <w:kern w:val="0"/>
                <w:sz w:val="18"/>
                <w:szCs w:val="18"/>
              </w:rPr>
              <w:t>0,0</w:t>
            </w:r>
          </w:p>
        </w:tc>
        <w:tc>
          <w:tcPr>
            <w:tcW w:w="1053" w:type="dxa"/>
            <w:shd w:val="clear" w:color="000000" w:fill="D9D9D9"/>
            <w:vAlign w:val="center"/>
          </w:tcPr>
          <w:p w:rsidR="00DC1058" w:rsidRPr="00B81023" w:rsidRDefault="00DC1058" w:rsidP="00B81023">
            <w:pPr>
              <w:widowControl/>
              <w:overflowPunct/>
              <w:autoSpaceDE/>
              <w:autoSpaceDN/>
              <w:adjustRightInd/>
              <w:spacing w:before="0" w:after="0"/>
              <w:jc w:val="right"/>
              <w:rPr>
                <w:rFonts w:ascii="Arial Narrow" w:hAnsi="Arial Narrow" w:cs="Arial"/>
                <w:kern w:val="0"/>
                <w:sz w:val="18"/>
                <w:szCs w:val="18"/>
              </w:rPr>
            </w:pPr>
            <w:r w:rsidRPr="00B81023">
              <w:rPr>
                <w:rFonts w:ascii="Arial Narrow" w:hAnsi="Arial Narrow" w:cs="Arial"/>
                <w:kern w:val="0"/>
                <w:sz w:val="18"/>
                <w:szCs w:val="18"/>
              </w:rPr>
              <w:t>0,0</w:t>
            </w:r>
          </w:p>
        </w:tc>
        <w:tc>
          <w:tcPr>
            <w:tcW w:w="1074" w:type="dxa"/>
            <w:shd w:val="clear" w:color="auto" w:fill="auto"/>
            <w:vAlign w:val="center"/>
          </w:tcPr>
          <w:p w:rsidR="00DC1058" w:rsidRPr="00B81023" w:rsidRDefault="00DC1058" w:rsidP="00B81023">
            <w:pPr>
              <w:widowControl/>
              <w:overflowPunct/>
              <w:autoSpaceDE/>
              <w:autoSpaceDN/>
              <w:adjustRightInd/>
              <w:spacing w:before="0" w:after="0"/>
              <w:jc w:val="right"/>
              <w:rPr>
                <w:rFonts w:ascii="Arial Narrow" w:hAnsi="Arial Narrow" w:cs="Arial"/>
                <w:kern w:val="0"/>
                <w:sz w:val="18"/>
                <w:szCs w:val="18"/>
              </w:rPr>
            </w:pPr>
            <w:r w:rsidRPr="00B81023">
              <w:rPr>
                <w:rFonts w:ascii="Arial Narrow" w:hAnsi="Arial Narrow" w:cs="Arial"/>
                <w:kern w:val="0"/>
                <w:sz w:val="18"/>
                <w:szCs w:val="18"/>
              </w:rPr>
              <w:t>+1,8</w:t>
            </w:r>
          </w:p>
        </w:tc>
        <w:tc>
          <w:tcPr>
            <w:tcW w:w="1074" w:type="dxa"/>
            <w:shd w:val="clear" w:color="000000" w:fill="D9D9D9"/>
            <w:vAlign w:val="center"/>
          </w:tcPr>
          <w:p w:rsidR="00DC1058" w:rsidRPr="00B81023" w:rsidRDefault="00DC1058" w:rsidP="00B81023">
            <w:pPr>
              <w:widowControl/>
              <w:overflowPunct/>
              <w:autoSpaceDE/>
              <w:autoSpaceDN/>
              <w:adjustRightInd/>
              <w:spacing w:before="0" w:after="0"/>
              <w:jc w:val="right"/>
              <w:rPr>
                <w:rFonts w:ascii="Arial Narrow" w:hAnsi="Arial Narrow" w:cs="Arial"/>
                <w:kern w:val="0"/>
                <w:sz w:val="18"/>
                <w:szCs w:val="18"/>
              </w:rPr>
            </w:pPr>
            <w:r w:rsidRPr="00B81023">
              <w:rPr>
                <w:rFonts w:ascii="Arial Narrow" w:hAnsi="Arial Narrow" w:cs="Arial"/>
                <w:kern w:val="0"/>
                <w:sz w:val="18"/>
                <w:szCs w:val="18"/>
              </w:rPr>
              <w:t>+1,8</w:t>
            </w:r>
          </w:p>
        </w:tc>
        <w:tc>
          <w:tcPr>
            <w:tcW w:w="1156" w:type="dxa"/>
            <w:shd w:val="clear" w:color="auto" w:fill="auto"/>
            <w:vAlign w:val="center"/>
          </w:tcPr>
          <w:p w:rsidR="00DC1058" w:rsidRPr="00B81023" w:rsidRDefault="00DC1058" w:rsidP="00B81023">
            <w:pPr>
              <w:widowControl/>
              <w:overflowPunct/>
              <w:autoSpaceDE/>
              <w:autoSpaceDN/>
              <w:adjustRightInd/>
              <w:spacing w:before="0" w:after="0"/>
              <w:jc w:val="right"/>
              <w:rPr>
                <w:rFonts w:ascii="Arial Narrow" w:hAnsi="Arial Narrow" w:cs="Arial"/>
                <w:kern w:val="0"/>
                <w:sz w:val="18"/>
                <w:szCs w:val="18"/>
              </w:rPr>
            </w:pPr>
            <w:r w:rsidRPr="00B81023">
              <w:rPr>
                <w:rFonts w:ascii="Arial Narrow" w:hAnsi="Arial Narrow" w:cs="Arial"/>
                <w:kern w:val="0"/>
                <w:sz w:val="18"/>
                <w:szCs w:val="18"/>
              </w:rPr>
              <w:t>+1,3</w:t>
            </w:r>
          </w:p>
        </w:tc>
      </w:tr>
      <w:tr w:rsidR="00DC1058" w:rsidRPr="00FB460C" w:rsidTr="000127DA">
        <w:trPr>
          <w:trHeight w:val="255"/>
          <w:jc w:val="center"/>
        </w:trPr>
        <w:tc>
          <w:tcPr>
            <w:tcW w:w="3571" w:type="dxa"/>
            <w:shd w:val="clear" w:color="auto" w:fill="auto"/>
            <w:vAlign w:val="center"/>
            <w:hideMark/>
          </w:tcPr>
          <w:p w:rsidR="00DC1058" w:rsidRPr="008814F3" w:rsidRDefault="00DC1058" w:rsidP="00DC1058">
            <w:pPr>
              <w:widowControl/>
              <w:overflowPunct/>
              <w:autoSpaceDE/>
              <w:autoSpaceDN/>
              <w:adjustRightInd/>
              <w:spacing w:before="0" w:after="0"/>
              <w:rPr>
                <w:rFonts w:ascii="Arial Narrow" w:hAnsi="Arial Narrow" w:cs="Arial"/>
                <w:kern w:val="0"/>
                <w:sz w:val="18"/>
                <w:szCs w:val="18"/>
              </w:rPr>
            </w:pPr>
            <w:r w:rsidRPr="008814F3">
              <w:rPr>
                <w:rFonts w:ascii="Arial Narrow" w:hAnsi="Arial Narrow" w:cs="Arial"/>
                <w:kern w:val="0"/>
                <w:sz w:val="18"/>
                <w:szCs w:val="18"/>
              </w:rPr>
              <w:t>Servizi ricettivi e di ristorazione</w:t>
            </w:r>
          </w:p>
        </w:tc>
        <w:tc>
          <w:tcPr>
            <w:tcW w:w="1164" w:type="dxa"/>
            <w:shd w:val="clear" w:color="000000" w:fill="D9D9D9"/>
            <w:vAlign w:val="center"/>
          </w:tcPr>
          <w:p w:rsidR="00DC1058" w:rsidRPr="00764E52" w:rsidRDefault="00DC1058" w:rsidP="00DC1058">
            <w:pPr>
              <w:spacing w:before="40" w:after="20"/>
              <w:ind w:right="57"/>
              <w:jc w:val="right"/>
              <w:rPr>
                <w:rFonts w:ascii="Arial Narrow" w:hAnsi="Arial Narrow" w:cs="Arial"/>
                <w:sz w:val="18"/>
                <w:szCs w:val="18"/>
              </w:rPr>
            </w:pPr>
            <w:r w:rsidRPr="00764E52">
              <w:rPr>
                <w:rFonts w:ascii="Arial Narrow" w:hAnsi="Arial Narrow" w:cs="Arial"/>
                <w:sz w:val="18"/>
                <w:szCs w:val="18"/>
              </w:rPr>
              <w:t>117.950</w:t>
            </w:r>
          </w:p>
        </w:tc>
        <w:tc>
          <w:tcPr>
            <w:tcW w:w="1074" w:type="dxa"/>
            <w:shd w:val="clear" w:color="auto" w:fill="auto"/>
            <w:vAlign w:val="center"/>
          </w:tcPr>
          <w:p w:rsidR="00DC1058" w:rsidRPr="00B81023" w:rsidRDefault="00DC1058" w:rsidP="00B81023">
            <w:pPr>
              <w:widowControl/>
              <w:overflowPunct/>
              <w:autoSpaceDE/>
              <w:autoSpaceDN/>
              <w:adjustRightInd/>
              <w:spacing w:before="0" w:after="0"/>
              <w:jc w:val="right"/>
              <w:rPr>
                <w:rFonts w:ascii="Arial Narrow" w:hAnsi="Arial Narrow" w:cs="Arial"/>
                <w:kern w:val="0"/>
                <w:sz w:val="18"/>
                <w:szCs w:val="18"/>
              </w:rPr>
            </w:pPr>
            <w:r w:rsidRPr="00B81023">
              <w:rPr>
                <w:rFonts w:ascii="Arial Narrow" w:hAnsi="Arial Narrow" w:cs="Arial"/>
                <w:kern w:val="0"/>
                <w:sz w:val="18"/>
                <w:szCs w:val="18"/>
              </w:rPr>
              <w:t>+0,5</w:t>
            </w:r>
          </w:p>
        </w:tc>
        <w:tc>
          <w:tcPr>
            <w:tcW w:w="1053" w:type="dxa"/>
            <w:shd w:val="clear" w:color="000000" w:fill="D9D9D9"/>
            <w:vAlign w:val="center"/>
          </w:tcPr>
          <w:p w:rsidR="00DC1058" w:rsidRPr="00B81023" w:rsidRDefault="00DC1058" w:rsidP="00B81023">
            <w:pPr>
              <w:widowControl/>
              <w:overflowPunct/>
              <w:autoSpaceDE/>
              <w:autoSpaceDN/>
              <w:adjustRightInd/>
              <w:spacing w:before="0" w:after="0"/>
              <w:jc w:val="right"/>
              <w:rPr>
                <w:rFonts w:ascii="Arial Narrow" w:hAnsi="Arial Narrow" w:cs="Arial"/>
                <w:kern w:val="0"/>
                <w:sz w:val="18"/>
                <w:szCs w:val="18"/>
              </w:rPr>
            </w:pPr>
            <w:r w:rsidRPr="00B81023">
              <w:rPr>
                <w:rFonts w:ascii="Arial Narrow" w:hAnsi="Arial Narrow" w:cs="Arial"/>
                <w:kern w:val="0"/>
                <w:sz w:val="18"/>
                <w:szCs w:val="18"/>
              </w:rPr>
              <w:t>+0,4</w:t>
            </w:r>
          </w:p>
        </w:tc>
        <w:tc>
          <w:tcPr>
            <w:tcW w:w="1074" w:type="dxa"/>
            <w:shd w:val="clear" w:color="auto" w:fill="auto"/>
            <w:vAlign w:val="center"/>
          </w:tcPr>
          <w:p w:rsidR="00DC1058" w:rsidRPr="00B81023" w:rsidRDefault="00DC1058" w:rsidP="00B81023">
            <w:pPr>
              <w:widowControl/>
              <w:overflowPunct/>
              <w:autoSpaceDE/>
              <w:autoSpaceDN/>
              <w:adjustRightInd/>
              <w:spacing w:before="0" w:after="0"/>
              <w:jc w:val="right"/>
              <w:rPr>
                <w:rFonts w:ascii="Arial Narrow" w:hAnsi="Arial Narrow" w:cs="Arial"/>
                <w:kern w:val="0"/>
                <w:sz w:val="18"/>
                <w:szCs w:val="18"/>
              </w:rPr>
            </w:pPr>
            <w:r w:rsidRPr="00B81023">
              <w:rPr>
                <w:rFonts w:ascii="Arial Narrow" w:hAnsi="Arial Narrow" w:cs="Arial"/>
                <w:kern w:val="0"/>
                <w:sz w:val="18"/>
                <w:szCs w:val="18"/>
              </w:rPr>
              <w:t>+4,3</w:t>
            </w:r>
          </w:p>
        </w:tc>
        <w:tc>
          <w:tcPr>
            <w:tcW w:w="1074" w:type="dxa"/>
            <w:shd w:val="clear" w:color="000000" w:fill="D9D9D9"/>
            <w:vAlign w:val="center"/>
          </w:tcPr>
          <w:p w:rsidR="00DC1058" w:rsidRPr="00B81023" w:rsidRDefault="00DC1058" w:rsidP="00B81023">
            <w:pPr>
              <w:widowControl/>
              <w:overflowPunct/>
              <w:autoSpaceDE/>
              <w:autoSpaceDN/>
              <w:adjustRightInd/>
              <w:spacing w:before="0" w:after="0"/>
              <w:jc w:val="right"/>
              <w:rPr>
                <w:rFonts w:ascii="Arial Narrow" w:hAnsi="Arial Narrow" w:cs="Arial"/>
                <w:kern w:val="0"/>
                <w:sz w:val="18"/>
                <w:szCs w:val="18"/>
              </w:rPr>
            </w:pPr>
            <w:r w:rsidRPr="00B81023">
              <w:rPr>
                <w:rFonts w:ascii="Arial Narrow" w:hAnsi="Arial Narrow" w:cs="Arial"/>
                <w:kern w:val="0"/>
                <w:sz w:val="18"/>
                <w:szCs w:val="18"/>
              </w:rPr>
              <w:t>+4,2</w:t>
            </w:r>
          </w:p>
        </w:tc>
        <w:tc>
          <w:tcPr>
            <w:tcW w:w="1156" w:type="dxa"/>
            <w:shd w:val="clear" w:color="auto" w:fill="auto"/>
            <w:vAlign w:val="center"/>
          </w:tcPr>
          <w:p w:rsidR="00DC1058" w:rsidRPr="00B81023" w:rsidRDefault="00DC1058" w:rsidP="00B81023">
            <w:pPr>
              <w:widowControl/>
              <w:overflowPunct/>
              <w:autoSpaceDE/>
              <w:autoSpaceDN/>
              <w:adjustRightInd/>
              <w:spacing w:before="0" w:after="0"/>
              <w:jc w:val="right"/>
              <w:rPr>
                <w:rFonts w:ascii="Arial Narrow" w:hAnsi="Arial Narrow" w:cs="Arial"/>
                <w:kern w:val="0"/>
                <w:sz w:val="18"/>
                <w:szCs w:val="18"/>
              </w:rPr>
            </w:pPr>
            <w:r w:rsidRPr="00B81023">
              <w:rPr>
                <w:rFonts w:ascii="Arial Narrow" w:hAnsi="Arial Narrow" w:cs="Arial"/>
                <w:kern w:val="0"/>
                <w:sz w:val="18"/>
                <w:szCs w:val="18"/>
              </w:rPr>
              <w:t>+4,5</w:t>
            </w:r>
          </w:p>
        </w:tc>
      </w:tr>
      <w:tr w:rsidR="00DC1058" w:rsidRPr="00FB460C" w:rsidTr="000127DA">
        <w:trPr>
          <w:trHeight w:val="255"/>
          <w:jc w:val="center"/>
        </w:trPr>
        <w:tc>
          <w:tcPr>
            <w:tcW w:w="3571" w:type="dxa"/>
            <w:shd w:val="clear" w:color="auto" w:fill="auto"/>
            <w:vAlign w:val="center"/>
            <w:hideMark/>
          </w:tcPr>
          <w:p w:rsidR="00DC1058" w:rsidRPr="008814F3" w:rsidRDefault="00DC1058" w:rsidP="00DC1058">
            <w:pPr>
              <w:widowControl/>
              <w:overflowPunct/>
              <w:autoSpaceDE/>
              <w:autoSpaceDN/>
              <w:adjustRightInd/>
              <w:spacing w:before="0" w:after="0"/>
              <w:rPr>
                <w:rFonts w:ascii="Arial Narrow" w:hAnsi="Arial Narrow" w:cs="Arial"/>
                <w:kern w:val="0"/>
                <w:sz w:val="18"/>
                <w:szCs w:val="18"/>
              </w:rPr>
            </w:pPr>
            <w:r w:rsidRPr="008814F3">
              <w:rPr>
                <w:rFonts w:ascii="Arial Narrow" w:hAnsi="Arial Narrow" w:cs="Arial"/>
                <w:kern w:val="0"/>
                <w:sz w:val="18"/>
                <w:szCs w:val="18"/>
              </w:rPr>
              <w:t>Altri beni e servizi</w:t>
            </w:r>
          </w:p>
        </w:tc>
        <w:tc>
          <w:tcPr>
            <w:tcW w:w="1164" w:type="dxa"/>
            <w:shd w:val="clear" w:color="000000" w:fill="D9D9D9"/>
            <w:vAlign w:val="center"/>
          </w:tcPr>
          <w:p w:rsidR="00DC1058" w:rsidRPr="00764E52" w:rsidRDefault="00DC1058" w:rsidP="00DC1058">
            <w:pPr>
              <w:spacing w:before="40" w:after="20"/>
              <w:ind w:right="57"/>
              <w:jc w:val="right"/>
              <w:rPr>
                <w:rFonts w:ascii="Arial Narrow" w:hAnsi="Arial Narrow" w:cs="Arial"/>
                <w:sz w:val="18"/>
                <w:szCs w:val="18"/>
              </w:rPr>
            </w:pPr>
            <w:r w:rsidRPr="00764E52">
              <w:rPr>
                <w:rFonts w:ascii="Arial Narrow" w:hAnsi="Arial Narrow" w:cs="Arial"/>
                <w:sz w:val="18"/>
                <w:szCs w:val="18"/>
              </w:rPr>
              <w:t>97.363</w:t>
            </w:r>
          </w:p>
        </w:tc>
        <w:tc>
          <w:tcPr>
            <w:tcW w:w="1074" w:type="dxa"/>
            <w:shd w:val="clear" w:color="auto" w:fill="auto"/>
            <w:vAlign w:val="center"/>
          </w:tcPr>
          <w:p w:rsidR="00DC1058" w:rsidRPr="00B81023" w:rsidRDefault="00DC1058" w:rsidP="00B81023">
            <w:pPr>
              <w:widowControl/>
              <w:overflowPunct/>
              <w:autoSpaceDE/>
              <w:autoSpaceDN/>
              <w:adjustRightInd/>
              <w:spacing w:before="0" w:after="0"/>
              <w:jc w:val="right"/>
              <w:rPr>
                <w:rFonts w:ascii="Arial Narrow" w:hAnsi="Arial Narrow" w:cs="Arial"/>
                <w:kern w:val="0"/>
                <w:sz w:val="18"/>
                <w:szCs w:val="18"/>
              </w:rPr>
            </w:pPr>
            <w:r w:rsidRPr="00B81023">
              <w:rPr>
                <w:rFonts w:ascii="Arial Narrow" w:hAnsi="Arial Narrow" w:cs="Arial"/>
                <w:kern w:val="0"/>
                <w:sz w:val="18"/>
                <w:szCs w:val="18"/>
              </w:rPr>
              <w:t>+0,1</w:t>
            </w:r>
          </w:p>
        </w:tc>
        <w:tc>
          <w:tcPr>
            <w:tcW w:w="1053" w:type="dxa"/>
            <w:shd w:val="clear" w:color="000000" w:fill="D9D9D9"/>
            <w:vAlign w:val="center"/>
          </w:tcPr>
          <w:p w:rsidR="00DC1058" w:rsidRPr="00B81023" w:rsidRDefault="00DC1058" w:rsidP="00B81023">
            <w:pPr>
              <w:widowControl/>
              <w:overflowPunct/>
              <w:autoSpaceDE/>
              <w:autoSpaceDN/>
              <w:adjustRightInd/>
              <w:spacing w:before="0" w:after="0"/>
              <w:jc w:val="right"/>
              <w:rPr>
                <w:rFonts w:ascii="Arial Narrow" w:hAnsi="Arial Narrow" w:cs="Arial"/>
                <w:kern w:val="0"/>
                <w:sz w:val="18"/>
                <w:szCs w:val="18"/>
              </w:rPr>
            </w:pPr>
            <w:r w:rsidRPr="00B81023">
              <w:rPr>
                <w:rFonts w:ascii="Arial Narrow" w:hAnsi="Arial Narrow" w:cs="Arial"/>
                <w:kern w:val="0"/>
                <w:sz w:val="18"/>
                <w:szCs w:val="18"/>
              </w:rPr>
              <w:t>+0,3</w:t>
            </w:r>
          </w:p>
        </w:tc>
        <w:tc>
          <w:tcPr>
            <w:tcW w:w="1074" w:type="dxa"/>
            <w:shd w:val="clear" w:color="auto" w:fill="auto"/>
            <w:vAlign w:val="center"/>
          </w:tcPr>
          <w:p w:rsidR="00DC1058" w:rsidRPr="00B81023" w:rsidRDefault="00DC1058" w:rsidP="00B81023">
            <w:pPr>
              <w:widowControl/>
              <w:overflowPunct/>
              <w:autoSpaceDE/>
              <w:autoSpaceDN/>
              <w:adjustRightInd/>
              <w:spacing w:before="0" w:after="0"/>
              <w:jc w:val="right"/>
              <w:rPr>
                <w:rFonts w:ascii="Arial Narrow" w:hAnsi="Arial Narrow" w:cs="Arial"/>
                <w:kern w:val="0"/>
                <w:sz w:val="18"/>
                <w:szCs w:val="18"/>
              </w:rPr>
            </w:pPr>
            <w:r w:rsidRPr="00B81023">
              <w:rPr>
                <w:rFonts w:ascii="Arial Narrow" w:hAnsi="Arial Narrow" w:cs="Arial"/>
                <w:kern w:val="0"/>
                <w:sz w:val="18"/>
                <w:szCs w:val="18"/>
              </w:rPr>
              <w:t>+2,3</w:t>
            </w:r>
          </w:p>
        </w:tc>
        <w:tc>
          <w:tcPr>
            <w:tcW w:w="1074" w:type="dxa"/>
            <w:shd w:val="clear" w:color="000000" w:fill="D9D9D9"/>
            <w:vAlign w:val="center"/>
          </w:tcPr>
          <w:p w:rsidR="00DC1058" w:rsidRPr="00B81023" w:rsidRDefault="00DC1058" w:rsidP="00B81023">
            <w:pPr>
              <w:widowControl/>
              <w:overflowPunct/>
              <w:autoSpaceDE/>
              <w:autoSpaceDN/>
              <w:adjustRightInd/>
              <w:spacing w:before="0" w:after="0"/>
              <w:jc w:val="right"/>
              <w:rPr>
                <w:rFonts w:ascii="Arial Narrow" w:hAnsi="Arial Narrow" w:cs="Arial"/>
                <w:kern w:val="0"/>
                <w:sz w:val="18"/>
                <w:szCs w:val="18"/>
              </w:rPr>
            </w:pPr>
            <w:r w:rsidRPr="00B81023">
              <w:rPr>
                <w:rFonts w:ascii="Arial Narrow" w:hAnsi="Arial Narrow" w:cs="Arial"/>
                <w:kern w:val="0"/>
                <w:sz w:val="18"/>
                <w:szCs w:val="18"/>
              </w:rPr>
              <w:t>+2,6</w:t>
            </w:r>
          </w:p>
        </w:tc>
        <w:tc>
          <w:tcPr>
            <w:tcW w:w="1156" w:type="dxa"/>
            <w:shd w:val="clear" w:color="auto" w:fill="auto"/>
            <w:vAlign w:val="center"/>
          </w:tcPr>
          <w:p w:rsidR="00DC1058" w:rsidRPr="00B81023" w:rsidRDefault="00DC1058" w:rsidP="00B81023">
            <w:pPr>
              <w:widowControl/>
              <w:overflowPunct/>
              <w:autoSpaceDE/>
              <w:autoSpaceDN/>
              <w:adjustRightInd/>
              <w:spacing w:before="0" w:after="0"/>
              <w:jc w:val="right"/>
              <w:rPr>
                <w:rFonts w:ascii="Arial Narrow" w:hAnsi="Arial Narrow" w:cs="Arial"/>
                <w:kern w:val="0"/>
                <w:sz w:val="18"/>
                <w:szCs w:val="18"/>
              </w:rPr>
            </w:pPr>
            <w:r w:rsidRPr="00B81023">
              <w:rPr>
                <w:rFonts w:ascii="Arial Narrow" w:hAnsi="Arial Narrow" w:cs="Arial"/>
                <w:kern w:val="0"/>
                <w:sz w:val="18"/>
                <w:szCs w:val="18"/>
              </w:rPr>
              <w:t>+2,4</w:t>
            </w:r>
          </w:p>
        </w:tc>
      </w:tr>
      <w:tr w:rsidR="00DC1058" w:rsidRPr="00D179A1" w:rsidTr="000127DA">
        <w:trPr>
          <w:trHeight w:val="255"/>
          <w:jc w:val="center"/>
        </w:trPr>
        <w:tc>
          <w:tcPr>
            <w:tcW w:w="3571" w:type="dxa"/>
            <w:shd w:val="clear" w:color="000000" w:fill="E42618"/>
            <w:vAlign w:val="center"/>
            <w:hideMark/>
          </w:tcPr>
          <w:p w:rsidR="00DC1058" w:rsidRPr="00D179A1" w:rsidRDefault="00DC1058" w:rsidP="00DC1058">
            <w:pPr>
              <w:widowControl/>
              <w:overflowPunct/>
              <w:autoSpaceDE/>
              <w:autoSpaceDN/>
              <w:adjustRightInd/>
              <w:spacing w:before="0" w:after="0"/>
              <w:rPr>
                <w:rFonts w:ascii="Arial Narrow" w:hAnsi="Arial Narrow" w:cs="Arial"/>
                <w:b/>
                <w:color w:val="FFFFFF" w:themeColor="background1"/>
                <w:kern w:val="0"/>
                <w:sz w:val="18"/>
                <w:szCs w:val="18"/>
              </w:rPr>
            </w:pPr>
            <w:r w:rsidRPr="00D179A1">
              <w:rPr>
                <w:rFonts w:ascii="Arial Narrow" w:hAnsi="Arial Narrow" w:cs="Arial"/>
                <w:b/>
                <w:color w:val="FFFFFF" w:themeColor="background1"/>
                <w:kern w:val="0"/>
                <w:sz w:val="18"/>
                <w:szCs w:val="18"/>
              </w:rPr>
              <w:t>Indice generale</w:t>
            </w:r>
          </w:p>
        </w:tc>
        <w:tc>
          <w:tcPr>
            <w:tcW w:w="1164" w:type="dxa"/>
            <w:shd w:val="clear" w:color="000000" w:fill="E42618"/>
            <w:vAlign w:val="center"/>
          </w:tcPr>
          <w:p w:rsidR="00DC1058" w:rsidRPr="00FE1BB4" w:rsidRDefault="00DC1058" w:rsidP="00DC1058">
            <w:pPr>
              <w:widowControl/>
              <w:overflowPunct/>
              <w:autoSpaceDE/>
              <w:autoSpaceDN/>
              <w:adjustRightInd/>
              <w:spacing w:before="0" w:after="0"/>
              <w:jc w:val="right"/>
              <w:rPr>
                <w:rFonts w:ascii="Arial Narrow" w:hAnsi="Arial Narrow" w:cs="Arial"/>
                <w:b/>
                <w:color w:val="FFFFFF" w:themeColor="background1"/>
                <w:kern w:val="0"/>
                <w:sz w:val="18"/>
                <w:szCs w:val="18"/>
              </w:rPr>
            </w:pPr>
            <w:r w:rsidRPr="00FE1BB4">
              <w:rPr>
                <w:rFonts w:ascii="Arial Narrow" w:hAnsi="Arial Narrow" w:cs="Arial"/>
                <w:b/>
                <w:color w:val="FFFFFF" w:themeColor="background1"/>
                <w:kern w:val="0"/>
                <w:sz w:val="18"/>
                <w:szCs w:val="18"/>
              </w:rPr>
              <w:t>1.000.000</w:t>
            </w:r>
          </w:p>
        </w:tc>
        <w:tc>
          <w:tcPr>
            <w:tcW w:w="1074" w:type="dxa"/>
            <w:shd w:val="clear" w:color="000000" w:fill="E42618"/>
            <w:vAlign w:val="center"/>
          </w:tcPr>
          <w:p w:rsidR="00DC1058" w:rsidRPr="00B81023" w:rsidRDefault="00DC1058" w:rsidP="00B81023">
            <w:pPr>
              <w:widowControl/>
              <w:overflowPunct/>
              <w:autoSpaceDE/>
              <w:autoSpaceDN/>
              <w:adjustRightInd/>
              <w:spacing w:before="0" w:after="0"/>
              <w:jc w:val="right"/>
              <w:rPr>
                <w:rFonts w:ascii="Arial Narrow" w:hAnsi="Arial Narrow" w:cs="Arial"/>
                <w:b/>
                <w:color w:val="FFFFFF" w:themeColor="background1"/>
                <w:kern w:val="0"/>
                <w:sz w:val="18"/>
                <w:szCs w:val="18"/>
              </w:rPr>
            </w:pPr>
            <w:r w:rsidRPr="00B81023">
              <w:rPr>
                <w:rFonts w:ascii="Arial Narrow" w:hAnsi="Arial Narrow" w:cs="Arial"/>
                <w:b/>
                <w:color w:val="FFFFFF" w:themeColor="background1"/>
                <w:kern w:val="0"/>
                <w:sz w:val="18"/>
                <w:szCs w:val="18"/>
              </w:rPr>
              <w:t>+0,5</w:t>
            </w:r>
          </w:p>
        </w:tc>
        <w:tc>
          <w:tcPr>
            <w:tcW w:w="1053" w:type="dxa"/>
            <w:shd w:val="clear" w:color="000000" w:fill="E42618"/>
            <w:vAlign w:val="center"/>
          </w:tcPr>
          <w:p w:rsidR="00DC1058" w:rsidRPr="00B81023" w:rsidRDefault="00DC1058" w:rsidP="00B81023">
            <w:pPr>
              <w:widowControl/>
              <w:overflowPunct/>
              <w:autoSpaceDE/>
              <w:autoSpaceDN/>
              <w:adjustRightInd/>
              <w:spacing w:before="0" w:after="0"/>
              <w:jc w:val="right"/>
              <w:rPr>
                <w:rFonts w:ascii="Arial Narrow" w:hAnsi="Arial Narrow" w:cs="Arial"/>
                <w:b/>
                <w:color w:val="FFFFFF" w:themeColor="background1"/>
                <w:kern w:val="0"/>
                <w:sz w:val="18"/>
                <w:szCs w:val="18"/>
              </w:rPr>
            </w:pPr>
            <w:r w:rsidRPr="00B81023">
              <w:rPr>
                <w:rFonts w:ascii="Arial Narrow" w:hAnsi="Arial Narrow" w:cs="Arial"/>
                <w:b/>
                <w:color w:val="FFFFFF" w:themeColor="background1"/>
                <w:kern w:val="0"/>
                <w:sz w:val="18"/>
                <w:szCs w:val="18"/>
              </w:rPr>
              <w:t>0,0</w:t>
            </w:r>
          </w:p>
        </w:tc>
        <w:tc>
          <w:tcPr>
            <w:tcW w:w="1074" w:type="dxa"/>
            <w:shd w:val="clear" w:color="000000" w:fill="E42618"/>
            <w:vAlign w:val="center"/>
          </w:tcPr>
          <w:p w:rsidR="00DC1058" w:rsidRPr="00B81023" w:rsidRDefault="00DC1058" w:rsidP="00B81023">
            <w:pPr>
              <w:widowControl/>
              <w:overflowPunct/>
              <w:autoSpaceDE/>
              <w:autoSpaceDN/>
              <w:adjustRightInd/>
              <w:spacing w:before="0" w:after="0"/>
              <w:jc w:val="right"/>
              <w:rPr>
                <w:rFonts w:ascii="Arial Narrow" w:hAnsi="Arial Narrow" w:cs="Arial"/>
                <w:b/>
                <w:color w:val="FFFFFF" w:themeColor="background1"/>
                <w:kern w:val="0"/>
                <w:sz w:val="18"/>
                <w:szCs w:val="18"/>
              </w:rPr>
            </w:pPr>
            <w:r w:rsidRPr="00B81023">
              <w:rPr>
                <w:rFonts w:ascii="Arial Narrow" w:hAnsi="Arial Narrow" w:cs="Arial"/>
                <w:b/>
                <w:color w:val="FFFFFF" w:themeColor="background1"/>
                <w:kern w:val="0"/>
                <w:sz w:val="18"/>
                <w:szCs w:val="18"/>
              </w:rPr>
              <w:t>+1,3</w:t>
            </w:r>
          </w:p>
        </w:tc>
        <w:tc>
          <w:tcPr>
            <w:tcW w:w="1074" w:type="dxa"/>
            <w:shd w:val="clear" w:color="000000" w:fill="E42618"/>
            <w:vAlign w:val="center"/>
          </w:tcPr>
          <w:p w:rsidR="00DC1058" w:rsidRPr="00B81023" w:rsidRDefault="00DC1058" w:rsidP="00B81023">
            <w:pPr>
              <w:widowControl/>
              <w:overflowPunct/>
              <w:autoSpaceDE/>
              <w:autoSpaceDN/>
              <w:adjustRightInd/>
              <w:spacing w:before="0" w:after="0"/>
              <w:jc w:val="right"/>
              <w:rPr>
                <w:rFonts w:ascii="Arial Narrow" w:hAnsi="Arial Narrow" w:cs="Arial"/>
                <w:b/>
                <w:color w:val="FFFFFF" w:themeColor="background1"/>
                <w:kern w:val="0"/>
                <w:sz w:val="18"/>
                <w:szCs w:val="18"/>
              </w:rPr>
            </w:pPr>
            <w:r w:rsidRPr="00B81023">
              <w:rPr>
                <w:rFonts w:ascii="Arial Narrow" w:hAnsi="Arial Narrow" w:cs="Arial"/>
                <w:b/>
                <w:color w:val="FFFFFF" w:themeColor="background1"/>
                <w:kern w:val="0"/>
                <w:sz w:val="18"/>
                <w:szCs w:val="18"/>
              </w:rPr>
              <w:t>+0,8</w:t>
            </w:r>
          </w:p>
        </w:tc>
        <w:tc>
          <w:tcPr>
            <w:tcW w:w="1156" w:type="dxa"/>
            <w:shd w:val="clear" w:color="000000" w:fill="E42618"/>
            <w:vAlign w:val="center"/>
          </w:tcPr>
          <w:p w:rsidR="00DC1058" w:rsidRPr="00B81023" w:rsidRDefault="00DC1058" w:rsidP="00B81023">
            <w:pPr>
              <w:widowControl/>
              <w:overflowPunct/>
              <w:autoSpaceDE/>
              <w:autoSpaceDN/>
              <w:adjustRightInd/>
              <w:spacing w:before="0" w:after="0"/>
              <w:jc w:val="right"/>
              <w:rPr>
                <w:rFonts w:ascii="Arial Narrow" w:hAnsi="Arial Narrow" w:cs="Arial"/>
                <w:b/>
                <w:color w:val="FFFFFF" w:themeColor="background1"/>
                <w:kern w:val="0"/>
                <w:sz w:val="18"/>
                <w:szCs w:val="18"/>
              </w:rPr>
            </w:pPr>
            <w:r w:rsidRPr="00B81023">
              <w:rPr>
                <w:rFonts w:ascii="Arial Narrow" w:hAnsi="Arial Narrow" w:cs="Arial"/>
                <w:b/>
                <w:color w:val="FFFFFF" w:themeColor="background1"/>
                <w:kern w:val="0"/>
                <w:sz w:val="18"/>
                <w:szCs w:val="18"/>
              </w:rPr>
              <w:t>+1,0</w:t>
            </w:r>
          </w:p>
        </w:tc>
      </w:tr>
    </w:tbl>
    <w:p w:rsidR="005031DD" w:rsidRPr="00BC24A3" w:rsidRDefault="005031DD" w:rsidP="005031DD">
      <w:pPr>
        <w:pStyle w:val="001TitoGra"/>
        <w:spacing w:after="120" w:line="240" w:lineRule="auto"/>
        <w:rPr>
          <w:color w:val="FFFFFF" w:themeColor="background1"/>
        </w:rPr>
      </w:pPr>
    </w:p>
    <w:p w:rsidR="005031DD" w:rsidRPr="006C51CD" w:rsidRDefault="005031DD" w:rsidP="005031DD">
      <w:pPr>
        <w:pStyle w:val="001TitoGra"/>
        <w:spacing w:after="120" w:line="240" w:lineRule="auto"/>
        <w:rPr>
          <w:color w:val="E42618"/>
        </w:rPr>
      </w:pPr>
    </w:p>
    <w:p w:rsidR="00EB5D65" w:rsidRDefault="00EB5D65" w:rsidP="00EB5D65">
      <w:pPr>
        <w:pStyle w:val="001TitoGra"/>
        <w:spacing w:line="240" w:lineRule="auto"/>
      </w:pPr>
      <w:r>
        <w:rPr>
          <w:rFonts w:cs="Calibri"/>
          <w:bCs/>
          <w:color w:val="FF0000"/>
          <w:kern w:val="0"/>
        </w:rPr>
        <w:t>F</w:t>
      </w:r>
      <w:r w:rsidRPr="001033EA">
        <w:rPr>
          <w:rFonts w:cs="Calibri"/>
          <w:bCs/>
          <w:color w:val="FF0000"/>
          <w:kern w:val="0"/>
        </w:rPr>
        <w:t xml:space="preserve">IGURA </w:t>
      </w:r>
      <w:r>
        <w:rPr>
          <w:rFonts w:cs="Calibri"/>
          <w:bCs/>
          <w:color w:val="FF0000"/>
          <w:kern w:val="0"/>
        </w:rPr>
        <w:t xml:space="preserve">2. </w:t>
      </w:r>
      <w:r>
        <w:t>INDICI DEI PREZZI AL CONSUMO NIC PER DIVISIONE DI SPESA</w:t>
      </w:r>
    </w:p>
    <w:p w:rsidR="00EB5D65" w:rsidRDefault="00D2729C" w:rsidP="00EB5D65">
      <w:pPr>
        <w:pStyle w:val="001TitoGra"/>
        <w:spacing w:after="120" w:line="240" w:lineRule="auto"/>
        <w:rPr>
          <w:b w:val="0"/>
          <w:sz w:val="20"/>
          <w:szCs w:val="20"/>
        </w:rPr>
      </w:pPr>
      <w:r>
        <w:rPr>
          <w:b w:val="0"/>
          <w:sz w:val="20"/>
          <w:szCs w:val="20"/>
        </w:rPr>
        <w:t>Luglio</w:t>
      </w:r>
      <w:r w:rsidR="00306B10">
        <w:rPr>
          <w:b w:val="0"/>
          <w:sz w:val="20"/>
          <w:szCs w:val="20"/>
        </w:rPr>
        <w:t xml:space="preserve"> 2024</w:t>
      </w:r>
      <w:r w:rsidR="00EB5D65" w:rsidRPr="006C51CD">
        <w:rPr>
          <w:b w:val="0"/>
          <w:sz w:val="20"/>
          <w:szCs w:val="20"/>
        </w:rPr>
        <w:t>, variazioni percentuali tendenziali (base 2015=100)</w:t>
      </w:r>
    </w:p>
    <w:p w:rsidR="00EB5D65" w:rsidRDefault="00282110" w:rsidP="00EB5D65">
      <w:pPr>
        <w:pStyle w:val="001TitoGra"/>
        <w:spacing w:after="120" w:line="240" w:lineRule="auto"/>
        <w:rPr>
          <w:b w:val="0"/>
          <w:sz w:val="20"/>
          <w:szCs w:val="20"/>
        </w:rPr>
      </w:pPr>
      <w:r>
        <w:rPr>
          <w:b w:val="0"/>
          <w:noProof/>
          <w:sz w:val="20"/>
          <w:szCs w:val="20"/>
        </w:rPr>
        <w:drawing>
          <wp:inline distT="0" distB="0" distL="0" distR="0" wp14:anchorId="66280185">
            <wp:extent cx="6663690" cy="2170430"/>
            <wp:effectExtent l="0" t="0" r="3810" b="1270"/>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663690" cy="2170430"/>
                    </a:xfrm>
                    <a:prstGeom prst="rect">
                      <a:avLst/>
                    </a:prstGeom>
                    <a:noFill/>
                  </pic:spPr>
                </pic:pic>
              </a:graphicData>
            </a:graphic>
          </wp:inline>
        </w:drawing>
      </w:r>
    </w:p>
    <w:p w:rsidR="00EB5D65" w:rsidRDefault="00EB5D65" w:rsidP="00EB5D65">
      <w:pPr>
        <w:pStyle w:val="001TitoGra"/>
        <w:spacing w:after="120" w:line="240" w:lineRule="auto"/>
        <w:rPr>
          <w:b w:val="0"/>
          <w:sz w:val="20"/>
          <w:szCs w:val="20"/>
        </w:rPr>
      </w:pPr>
    </w:p>
    <w:p w:rsidR="00EB5D65" w:rsidRDefault="00EB5D65" w:rsidP="00EB5D65">
      <w:pPr>
        <w:pStyle w:val="001TitoGra"/>
        <w:spacing w:after="120" w:line="240" w:lineRule="auto"/>
        <w:rPr>
          <w:b w:val="0"/>
          <w:sz w:val="20"/>
          <w:szCs w:val="20"/>
        </w:rPr>
      </w:pPr>
    </w:p>
    <w:p w:rsidR="00C41557" w:rsidRDefault="00C41557" w:rsidP="00F23E5B">
      <w:pPr>
        <w:pStyle w:val="001TitoGra"/>
        <w:spacing w:after="120" w:line="240" w:lineRule="auto"/>
        <w:rPr>
          <w:b w:val="0"/>
          <w:sz w:val="20"/>
          <w:szCs w:val="20"/>
        </w:rPr>
      </w:pPr>
    </w:p>
    <w:p w:rsidR="00F23E5B" w:rsidRDefault="00F23E5B">
      <w:pPr>
        <w:widowControl/>
        <w:overflowPunct/>
        <w:autoSpaceDE/>
        <w:autoSpaceDN/>
        <w:adjustRightInd/>
        <w:spacing w:before="0" w:after="0"/>
        <w:rPr>
          <w:rFonts w:ascii="Arial Narrow" w:hAnsi="Arial Narrow" w:cs="Arial"/>
          <w:color w:val="5F5F5F"/>
        </w:rPr>
      </w:pPr>
      <w:r>
        <w:br w:type="page"/>
      </w:r>
    </w:p>
    <w:p w:rsidR="00F23E5B" w:rsidRPr="00521958" w:rsidRDefault="00F23E5B" w:rsidP="00521958">
      <w:pPr>
        <w:pStyle w:val="001TitoGra"/>
        <w:spacing w:after="120" w:line="240" w:lineRule="auto"/>
        <w:rPr>
          <w:color w:val="auto"/>
          <w:sz w:val="18"/>
        </w:rPr>
      </w:pPr>
    </w:p>
    <w:p w:rsidR="00344F4E" w:rsidRDefault="00344F4E" w:rsidP="00CD5355">
      <w:pPr>
        <w:pStyle w:val="001TitoloBolocco"/>
        <w:spacing w:after="120" w:line="240" w:lineRule="auto"/>
      </w:pPr>
      <w:r w:rsidRPr="0002181D">
        <w:t xml:space="preserve">Le tipologie di </w:t>
      </w:r>
      <w:r w:rsidRPr="00587B88">
        <w:t>prodotto</w:t>
      </w:r>
    </w:p>
    <w:p w:rsidR="00EB5D65" w:rsidRPr="00EF4A40" w:rsidRDefault="00EB5D65" w:rsidP="00EB5D65">
      <w:pPr>
        <w:pStyle w:val="001TitoGra"/>
        <w:spacing w:after="120" w:line="240" w:lineRule="auto"/>
        <w:rPr>
          <w:color w:val="E42618"/>
          <w:sz w:val="16"/>
        </w:rPr>
      </w:pPr>
    </w:p>
    <w:p w:rsidR="00EB5D65" w:rsidRDefault="00EB5D65" w:rsidP="00EB5D65">
      <w:pPr>
        <w:pStyle w:val="001TitoGra"/>
        <w:spacing w:line="240" w:lineRule="auto"/>
      </w:pPr>
      <w:r w:rsidRPr="00DF51C5">
        <w:rPr>
          <w:color w:val="E42618"/>
        </w:rPr>
        <w:t>PROSPETTO 3</w:t>
      </w:r>
      <w:r w:rsidRPr="00EF31E3">
        <w:rPr>
          <w:color w:val="D90B13"/>
        </w:rPr>
        <w:t>.</w:t>
      </w:r>
      <w:r>
        <w:t xml:space="preserve"> INDICI</w:t>
      </w:r>
      <w:r w:rsidRPr="00EA0885">
        <w:t xml:space="preserve"> DEI PREZZI AL CONSUMO NIC PER TIPOLOGIA DI PRODOTTO</w:t>
      </w:r>
    </w:p>
    <w:p w:rsidR="005031DD" w:rsidRDefault="00C43B00" w:rsidP="005031DD">
      <w:pPr>
        <w:pStyle w:val="001SottotitoloGra"/>
        <w:spacing w:line="240" w:lineRule="auto"/>
      </w:pPr>
      <w:r>
        <w:t>Lugli</w:t>
      </w:r>
      <w:r w:rsidR="00682889">
        <w:t>o</w:t>
      </w:r>
      <w:r w:rsidR="006E630A">
        <w:t xml:space="preserve"> 2024</w:t>
      </w:r>
      <w:r w:rsidR="005031DD" w:rsidRPr="00EA0885">
        <w:t>, pesi e variazioni</w:t>
      </w:r>
      <w:r w:rsidR="005031DD">
        <w:t xml:space="preserve"> percentuali congiunturali e tendenziali (base 2015=100)</w:t>
      </w:r>
    </w:p>
    <w:tbl>
      <w:tblPr>
        <w:tblW w:w="10174" w:type="dxa"/>
        <w:jc w:val="center"/>
        <w:tblBorders>
          <w:top w:val="single" w:sz="4" w:space="0" w:color="auto"/>
          <w:bottom w:val="single" w:sz="4" w:space="0" w:color="auto"/>
          <w:insideH w:val="single" w:sz="4" w:space="0" w:color="auto"/>
        </w:tblBorders>
        <w:tblCellMar>
          <w:left w:w="70" w:type="dxa"/>
          <w:right w:w="70" w:type="dxa"/>
        </w:tblCellMar>
        <w:tblLook w:val="04A0" w:firstRow="1" w:lastRow="0" w:firstColumn="1" w:lastColumn="0" w:noHBand="0" w:noVBand="1"/>
      </w:tblPr>
      <w:tblGrid>
        <w:gridCol w:w="4395"/>
        <w:gridCol w:w="1048"/>
        <w:gridCol w:w="909"/>
        <w:gridCol w:w="971"/>
        <w:gridCol w:w="967"/>
        <w:gridCol w:w="834"/>
        <w:gridCol w:w="1050"/>
      </w:tblGrid>
      <w:tr w:rsidR="006E630A" w:rsidRPr="004B2A9B" w:rsidTr="004B3ACE">
        <w:trPr>
          <w:trHeight w:val="255"/>
          <w:jc w:val="center"/>
        </w:trPr>
        <w:tc>
          <w:tcPr>
            <w:tcW w:w="4395" w:type="dxa"/>
            <w:vMerge w:val="restart"/>
            <w:shd w:val="clear" w:color="auto" w:fill="auto"/>
            <w:vAlign w:val="center"/>
            <w:hideMark/>
          </w:tcPr>
          <w:p w:rsidR="006E630A" w:rsidRPr="004B2A9B" w:rsidRDefault="006E630A" w:rsidP="004B3ACE">
            <w:pPr>
              <w:widowControl/>
              <w:overflowPunct/>
              <w:autoSpaceDE/>
              <w:autoSpaceDN/>
              <w:adjustRightInd/>
              <w:spacing w:before="0" w:after="0"/>
              <w:rPr>
                <w:rFonts w:ascii="Arial Narrow" w:hAnsi="Arial Narrow" w:cs="Arial"/>
                <w:b/>
                <w:bCs/>
                <w:kern w:val="0"/>
                <w:sz w:val="18"/>
                <w:szCs w:val="18"/>
              </w:rPr>
            </w:pPr>
            <w:r w:rsidRPr="004B2A9B">
              <w:rPr>
                <w:rFonts w:ascii="Arial Narrow" w:hAnsi="Arial Narrow" w:cs="Arial"/>
                <w:b/>
                <w:bCs/>
                <w:kern w:val="0"/>
                <w:sz w:val="18"/>
                <w:szCs w:val="18"/>
              </w:rPr>
              <w:t>TIPOLOGIE DI PRODOTTO</w:t>
            </w:r>
          </w:p>
        </w:tc>
        <w:tc>
          <w:tcPr>
            <w:tcW w:w="1048" w:type="dxa"/>
            <w:vMerge w:val="restart"/>
            <w:shd w:val="clear" w:color="000000" w:fill="D9D9D9"/>
            <w:vAlign w:val="center"/>
            <w:hideMark/>
          </w:tcPr>
          <w:p w:rsidR="006E630A" w:rsidRPr="004B2A9B" w:rsidRDefault="006E630A" w:rsidP="004B3ACE">
            <w:pPr>
              <w:widowControl/>
              <w:overflowPunct/>
              <w:autoSpaceDE/>
              <w:autoSpaceDN/>
              <w:adjustRightInd/>
              <w:spacing w:before="0" w:after="0"/>
              <w:jc w:val="right"/>
              <w:rPr>
                <w:rFonts w:ascii="Arial Narrow" w:hAnsi="Arial Narrow" w:cs="Arial"/>
                <w:b/>
                <w:bCs/>
                <w:kern w:val="0"/>
                <w:sz w:val="18"/>
                <w:szCs w:val="18"/>
              </w:rPr>
            </w:pPr>
            <w:r w:rsidRPr="004B2A9B">
              <w:rPr>
                <w:rFonts w:ascii="Arial Narrow" w:hAnsi="Arial Narrow" w:cs="Arial"/>
                <w:b/>
                <w:bCs/>
                <w:kern w:val="0"/>
                <w:sz w:val="18"/>
                <w:szCs w:val="18"/>
              </w:rPr>
              <w:t>Pesi</w:t>
            </w:r>
          </w:p>
        </w:tc>
        <w:tc>
          <w:tcPr>
            <w:tcW w:w="1880" w:type="dxa"/>
            <w:gridSpan w:val="2"/>
            <w:shd w:val="clear" w:color="auto" w:fill="auto"/>
            <w:vAlign w:val="center"/>
            <w:hideMark/>
          </w:tcPr>
          <w:p w:rsidR="006E630A" w:rsidRPr="004B2A9B" w:rsidRDefault="006E630A" w:rsidP="004B3ACE">
            <w:pPr>
              <w:widowControl/>
              <w:overflowPunct/>
              <w:autoSpaceDE/>
              <w:autoSpaceDN/>
              <w:adjustRightInd/>
              <w:spacing w:before="0" w:after="0"/>
              <w:jc w:val="right"/>
              <w:rPr>
                <w:rFonts w:ascii="Arial Narrow" w:hAnsi="Arial Narrow" w:cs="Arial"/>
                <w:b/>
                <w:bCs/>
                <w:kern w:val="0"/>
                <w:sz w:val="18"/>
                <w:szCs w:val="18"/>
              </w:rPr>
            </w:pPr>
            <w:r w:rsidRPr="004B2A9B">
              <w:rPr>
                <w:rFonts w:ascii="Arial Narrow" w:hAnsi="Arial Narrow" w:cs="Arial"/>
                <w:b/>
                <w:bCs/>
                <w:kern w:val="0"/>
                <w:sz w:val="18"/>
                <w:szCs w:val="18"/>
              </w:rPr>
              <w:t>Variazioni congiunturali</w:t>
            </w:r>
          </w:p>
        </w:tc>
        <w:tc>
          <w:tcPr>
            <w:tcW w:w="1801" w:type="dxa"/>
            <w:gridSpan w:val="2"/>
            <w:shd w:val="clear" w:color="000000" w:fill="D9D9D9"/>
            <w:vAlign w:val="center"/>
            <w:hideMark/>
          </w:tcPr>
          <w:p w:rsidR="006E630A" w:rsidRPr="004B2A9B" w:rsidRDefault="006E630A" w:rsidP="004B3ACE">
            <w:pPr>
              <w:widowControl/>
              <w:overflowPunct/>
              <w:autoSpaceDE/>
              <w:autoSpaceDN/>
              <w:adjustRightInd/>
              <w:spacing w:before="0" w:after="0"/>
              <w:jc w:val="right"/>
              <w:rPr>
                <w:rFonts w:ascii="Arial Narrow" w:hAnsi="Arial Narrow" w:cs="Arial"/>
                <w:b/>
                <w:bCs/>
                <w:kern w:val="0"/>
                <w:sz w:val="18"/>
                <w:szCs w:val="18"/>
              </w:rPr>
            </w:pPr>
            <w:r w:rsidRPr="004B2A9B">
              <w:rPr>
                <w:rFonts w:ascii="Arial Narrow" w:hAnsi="Arial Narrow" w:cs="Arial"/>
                <w:b/>
                <w:bCs/>
                <w:kern w:val="0"/>
                <w:sz w:val="18"/>
                <w:szCs w:val="18"/>
              </w:rPr>
              <w:t>Var</w:t>
            </w:r>
            <w:r>
              <w:rPr>
                <w:rFonts w:ascii="Arial Narrow" w:hAnsi="Arial Narrow" w:cs="Arial"/>
                <w:b/>
                <w:bCs/>
                <w:kern w:val="0"/>
                <w:sz w:val="18"/>
                <w:szCs w:val="18"/>
              </w:rPr>
              <w:t>i</w:t>
            </w:r>
            <w:r w:rsidRPr="004B2A9B">
              <w:rPr>
                <w:rFonts w:ascii="Arial Narrow" w:hAnsi="Arial Narrow" w:cs="Arial"/>
                <w:b/>
                <w:bCs/>
                <w:kern w:val="0"/>
                <w:sz w:val="18"/>
                <w:szCs w:val="18"/>
              </w:rPr>
              <w:t>azioni tendenziali</w:t>
            </w:r>
          </w:p>
        </w:tc>
        <w:tc>
          <w:tcPr>
            <w:tcW w:w="1050" w:type="dxa"/>
            <w:vMerge w:val="restart"/>
            <w:shd w:val="clear" w:color="auto" w:fill="auto"/>
            <w:vAlign w:val="center"/>
            <w:hideMark/>
          </w:tcPr>
          <w:p w:rsidR="006E630A" w:rsidRPr="008814F3" w:rsidRDefault="006E630A" w:rsidP="00682889">
            <w:pPr>
              <w:widowControl/>
              <w:overflowPunct/>
              <w:autoSpaceDE/>
              <w:autoSpaceDN/>
              <w:adjustRightInd/>
              <w:spacing w:before="40" w:after="20"/>
              <w:jc w:val="right"/>
              <w:rPr>
                <w:rFonts w:ascii="Arial Narrow" w:hAnsi="Arial Narrow" w:cs="Arial"/>
                <w:b/>
                <w:bCs/>
                <w:kern w:val="0"/>
                <w:sz w:val="18"/>
                <w:szCs w:val="18"/>
              </w:rPr>
            </w:pPr>
            <w:r w:rsidRPr="008814F3">
              <w:rPr>
                <w:rFonts w:ascii="Arial Narrow" w:hAnsi="Arial Narrow" w:cs="Arial"/>
                <w:b/>
                <w:bCs/>
                <w:kern w:val="0"/>
                <w:sz w:val="18"/>
                <w:szCs w:val="18"/>
              </w:rPr>
              <w:t>Inflazione</w:t>
            </w:r>
            <w:r>
              <w:rPr>
                <w:rFonts w:ascii="Arial Narrow" w:hAnsi="Arial Narrow" w:cs="Arial"/>
                <w:b/>
                <w:bCs/>
                <w:kern w:val="0"/>
                <w:sz w:val="18"/>
                <w:szCs w:val="18"/>
              </w:rPr>
              <w:t xml:space="preserve"> </w:t>
            </w:r>
            <w:r w:rsidRPr="008814F3">
              <w:rPr>
                <w:rFonts w:ascii="Arial Narrow" w:hAnsi="Arial Narrow" w:cs="Arial"/>
                <w:b/>
                <w:bCs/>
                <w:kern w:val="0"/>
                <w:sz w:val="18"/>
                <w:szCs w:val="18"/>
              </w:rPr>
              <w:t>acquisita</w:t>
            </w:r>
            <w:r>
              <w:rPr>
                <w:rFonts w:ascii="Arial Narrow" w:hAnsi="Arial Narrow" w:cs="Arial"/>
                <w:b/>
                <w:bCs/>
                <w:kern w:val="0"/>
                <w:sz w:val="18"/>
                <w:szCs w:val="18"/>
              </w:rPr>
              <w:t xml:space="preserve">               a </w:t>
            </w:r>
            <w:r w:rsidR="00C43B00">
              <w:rPr>
                <w:rFonts w:ascii="Arial Narrow" w:hAnsi="Arial Narrow" w:cs="Arial"/>
                <w:b/>
                <w:bCs/>
                <w:kern w:val="0"/>
                <w:sz w:val="18"/>
                <w:szCs w:val="18"/>
              </w:rPr>
              <w:t>luglio</w:t>
            </w:r>
          </w:p>
        </w:tc>
      </w:tr>
      <w:tr w:rsidR="00C43B00" w:rsidRPr="004B2A9B" w:rsidTr="004B3ACE">
        <w:trPr>
          <w:trHeight w:val="255"/>
          <w:jc w:val="center"/>
        </w:trPr>
        <w:tc>
          <w:tcPr>
            <w:tcW w:w="4395" w:type="dxa"/>
            <w:vMerge/>
            <w:vAlign w:val="center"/>
            <w:hideMark/>
          </w:tcPr>
          <w:p w:rsidR="00C43B00" w:rsidRPr="004B2A9B" w:rsidRDefault="00C43B00" w:rsidP="00C43B00">
            <w:pPr>
              <w:widowControl/>
              <w:overflowPunct/>
              <w:autoSpaceDE/>
              <w:autoSpaceDN/>
              <w:adjustRightInd/>
              <w:spacing w:before="0" w:after="0"/>
              <w:rPr>
                <w:rFonts w:ascii="Arial Narrow" w:hAnsi="Arial Narrow" w:cs="Arial"/>
                <w:b/>
                <w:bCs/>
                <w:kern w:val="0"/>
                <w:sz w:val="18"/>
                <w:szCs w:val="18"/>
              </w:rPr>
            </w:pPr>
          </w:p>
        </w:tc>
        <w:tc>
          <w:tcPr>
            <w:tcW w:w="1048" w:type="dxa"/>
            <w:vMerge/>
            <w:vAlign w:val="center"/>
            <w:hideMark/>
          </w:tcPr>
          <w:p w:rsidR="00C43B00" w:rsidRPr="004B2A9B" w:rsidRDefault="00C43B00" w:rsidP="00C43B00">
            <w:pPr>
              <w:widowControl/>
              <w:overflowPunct/>
              <w:autoSpaceDE/>
              <w:autoSpaceDN/>
              <w:adjustRightInd/>
              <w:spacing w:before="0" w:after="0"/>
              <w:rPr>
                <w:rFonts w:ascii="Arial Narrow" w:hAnsi="Arial Narrow" w:cs="Arial"/>
                <w:b/>
                <w:bCs/>
                <w:kern w:val="0"/>
                <w:sz w:val="18"/>
                <w:szCs w:val="18"/>
              </w:rPr>
            </w:pPr>
          </w:p>
        </w:tc>
        <w:tc>
          <w:tcPr>
            <w:tcW w:w="909" w:type="dxa"/>
            <w:shd w:val="clear" w:color="auto" w:fill="auto"/>
            <w:vAlign w:val="center"/>
            <w:hideMark/>
          </w:tcPr>
          <w:p w:rsidR="00C43B00" w:rsidRPr="00DB5B05" w:rsidRDefault="00C43B00" w:rsidP="00C43B00">
            <w:pPr>
              <w:widowControl/>
              <w:overflowPunct/>
              <w:autoSpaceDE/>
              <w:autoSpaceDN/>
              <w:adjustRightInd/>
              <w:spacing w:before="40" w:after="20"/>
              <w:jc w:val="right"/>
              <w:rPr>
                <w:rFonts w:ascii="Arial Narrow" w:hAnsi="Arial Narrow" w:cs="Arial"/>
                <w:kern w:val="0"/>
                <w:sz w:val="18"/>
                <w:szCs w:val="18"/>
                <w:u w:val="single"/>
              </w:rPr>
            </w:pPr>
            <w:r>
              <w:rPr>
                <w:rFonts w:ascii="Arial Narrow" w:hAnsi="Arial Narrow" w:cs="Arial"/>
                <w:kern w:val="0"/>
                <w:sz w:val="18"/>
                <w:szCs w:val="18"/>
                <w:u w:val="single"/>
              </w:rPr>
              <w:t>lug</w:t>
            </w:r>
            <w:r w:rsidRPr="00DB5B05">
              <w:rPr>
                <w:rFonts w:ascii="Arial Narrow" w:hAnsi="Arial Narrow" w:cs="Arial"/>
                <w:kern w:val="0"/>
                <w:sz w:val="18"/>
                <w:szCs w:val="18"/>
                <w:u w:val="single"/>
              </w:rPr>
              <w:t>-2</w:t>
            </w:r>
            <w:r>
              <w:rPr>
                <w:rFonts w:ascii="Arial Narrow" w:hAnsi="Arial Narrow" w:cs="Arial"/>
                <w:kern w:val="0"/>
                <w:sz w:val="18"/>
                <w:szCs w:val="18"/>
                <w:u w:val="single"/>
              </w:rPr>
              <w:t>4</w:t>
            </w:r>
          </w:p>
          <w:p w:rsidR="00C43B00" w:rsidRPr="00DB5B05" w:rsidRDefault="00C43B00" w:rsidP="00C43B00">
            <w:pPr>
              <w:widowControl/>
              <w:overflowPunct/>
              <w:autoSpaceDE/>
              <w:autoSpaceDN/>
              <w:adjustRightInd/>
              <w:spacing w:before="40" w:after="20"/>
              <w:jc w:val="right"/>
              <w:rPr>
                <w:rFonts w:ascii="Arial Narrow" w:hAnsi="Arial Narrow" w:cs="Arial"/>
                <w:kern w:val="0"/>
                <w:sz w:val="18"/>
                <w:szCs w:val="18"/>
              </w:rPr>
            </w:pPr>
            <w:r>
              <w:rPr>
                <w:rFonts w:ascii="Arial Narrow" w:hAnsi="Arial Narrow" w:cs="Arial"/>
                <w:kern w:val="0"/>
                <w:sz w:val="18"/>
                <w:szCs w:val="18"/>
              </w:rPr>
              <w:t>giu</w:t>
            </w:r>
            <w:r w:rsidRPr="00DB5B05">
              <w:rPr>
                <w:rFonts w:ascii="Arial Narrow" w:hAnsi="Arial Narrow" w:cs="Arial"/>
                <w:kern w:val="0"/>
                <w:sz w:val="18"/>
                <w:szCs w:val="18"/>
              </w:rPr>
              <w:t>-2</w:t>
            </w:r>
            <w:r>
              <w:rPr>
                <w:rFonts w:ascii="Arial Narrow" w:hAnsi="Arial Narrow" w:cs="Arial"/>
                <w:kern w:val="0"/>
                <w:sz w:val="18"/>
                <w:szCs w:val="18"/>
              </w:rPr>
              <w:t>4</w:t>
            </w:r>
          </w:p>
        </w:tc>
        <w:tc>
          <w:tcPr>
            <w:tcW w:w="971" w:type="dxa"/>
            <w:shd w:val="clear" w:color="auto" w:fill="auto"/>
            <w:vAlign w:val="center"/>
            <w:hideMark/>
          </w:tcPr>
          <w:p w:rsidR="00C43B00" w:rsidRPr="00DB5B05" w:rsidRDefault="00C43B00" w:rsidP="00C43B00">
            <w:pPr>
              <w:widowControl/>
              <w:overflowPunct/>
              <w:autoSpaceDE/>
              <w:autoSpaceDN/>
              <w:adjustRightInd/>
              <w:spacing w:before="40" w:after="20"/>
              <w:jc w:val="right"/>
              <w:rPr>
                <w:rFonts w:ascii="Arial Narrow" w:hAnsi="Arial Narrow" w:cs="Arial"/>
                <w:kern w:val="0"/>
                <w:sz w:val="18"/>
                <w:szCs w:val="18"/>
                <w:u w:val="single"/>
              </w:rPr>
            </w:pPr>
            <w:r>
              <w:rPr>
                <w:rFonts w:ascii="Arial Narrow" w:hAnsi="Arial Narrow" w:cs="Arial"/>
                <w:kern w:val="0"/>
                <w:sz w:val="18"/>
                <w:szCs w:val="18"/>
                <w:u w:val="single"/>
              </w:rPr>
              <w:t>lug</w:t>
            </w:r>
            <w:r w:rsidRPr="00DB5B05">
              <w:rPr>
                <w:rFonts w:ascii="Arial Narrow" w:hAnsi="Arial Narrow" w:cs="Arial"/>
                <w:kern w:val="0"/>
                <w:sz w:val="18"/>
                <w:szCs w:val="18"/>
                <w:u w:val="single"/>
              </w:rPr>
              <w:t>-2</w:t>
            </w:r>
            <w:r>
              <w:rPr>
                <w:rFonts w:ascii="Arial Narrow" w:hAnsi="Arial Narrow" w:cs="Arial"/>
                <w:kern w:val="0"/>
                <w:sz w:val="18"/>
                <w:szCs w:val="18"/>
                <w:u w:val="single"/>
              </w:rPr>
              <w:t>3</w:t>
            </w:r>
          </w:p>
          <w:p w:rsidR="00C43B00" w:rsidRPr="00DB5B05" w:rsidRDefault="00C43B00" w:rsidP="00C43B00">
            <w:pPr>
              <w:widowControl/>
              <w:overflowPunct/>
              <w:autoSpaceDE/>
              <w:autoSpaceDN/>
              <w:adjustRightInd/>
              <w:spacing w:before="40" w:after="20"/>
              <w:jc w:val="right"/>
              <w:rPr>
                <w:rFonts w:ascii="Arial Narrow" w:hAnsi="Arial Narrow" w:cs="Arial"/>
                <w:kern w:val="0"/>
                <w:sz w:val="18"/>
                <w:szCs w:val="18"/>
                <w:u w:val="single"/>
              </w:rPr>
            </w:pPr>
            <w:r>
              <w:rPr>
                <w:rFonts w:ascii="Arial Narrow" w:hAnsi="Arial Narrow" w:cs="Arial"/>
                <w:kern w:val="0"/>
                <w:sz w:val="18"/>
                <w:szCs w:val="18"/>
              </w:rPr>
              <w:t>giu</w:t>
            </w:r>
            <w:r w:rsidRPr="00DB5B05">
              <w:rPr>
                <w:rFonts w:ascii="Arial Narrow" w:hAnsi="Arial Narrow" w:cs="Arial"/>
                <w:kern w:val="0"/>
                <w:sz w:val="18"/>
                <w:szCs w:val="18"/>
              </w:rPr>
              <w:t>-2</w:t>
            </w:r>
            <w:r>
              <w:rPr>
                <w:rFonts w:ascii="Arial Narrow" w:hAnsi="Arial Narrow" w:cs="Arial"/>
                <w:kern w:val="0"/>
                <w:sz w:val="18"/>
                <w:szCs w:val="18"/>
              </w:rPr>
              <w:t>3</w:t>
            </w:r>
          </w:p>
        </w:tc>
        <w:tc>
          <w:tcPr>
            <w:tcW w:w="967" w:type="dxa"/>
            <w:shd w:val="clear" w:color="auto" w:fill="auto"/>
            <w:vAlign w:val="center"/>
            <w:hideMark/>
          </w:tcPr>
          <w:p w:rsidR="00C43B00" w:rsidRPr="00DB5B05" w:rsidRDefault="00C43B00" w:rsidP="00C43B00">
            <w:pPr>
              <w:widowControl/>
              <w:overflowPunct/>
              <w:autoSpaceDE/>
              <w:autoSpaceDN/>
              <w:adjustRightInd/>
              <w:spacing w:before="40" w:after="20"/>
              <w:jc w:val="right"/>
              <w:rPr>
                <w:rFonts w:ascii="Arial Narrow" w:hAnsi="Arial Narrow" w:cs="Arial"/>
                <w:kern w:val="0"/>
                <w:sz w:val="18"/>
                <w:szCs w:val="18"/>
                <w:u w:val="single"/>
              </w:rPr>
            </w:pPr>
            <w:r>
              <w:rPr>
                <w:rFonts w:ascii="Arial Narrow" w:hAnsi="Arial Narrow" w:cs="Arial"/>
                <w:kern w:val="0"/>
                <w:sz w:val="18"/>
                <w:szCs w:val="18"/>
                <w:u w:val="single"/>
              </w:rPr>
              <w:t>lug</w:t>
            </w:r>
            <w:r w:rsidRPr="00DB5B05">
              <w:rPr>
                <w:rFonts w:ascii="Arial Narrow" w:hAnsi="Arial Narrow" w:cs="Arial"/>
                <w:kern w:val="0"/>
                <w:sz w:val="18"/>
                <w:szCs w:val="18"/>
                <w:u w:val="single"/>
              </w:rPr>
              <w:t>-2</w:t>
            </w:r>
            <w:r>
              <w:rPr>
                <w:rFonts w:ascii="Arial Narrow" w:hAnsi="Arial Narrow" w:cs="Arial"/>
                <w:kern w:val="0"/>
                <w:sz w:val="18"/>
                <w:szCs w:val="18"/>
                <w:u w:val="single"/>
              </w:rPr>
              <w:t>4</w:t>
            </w:r>
          </w:p>
          <w:p w:rsidR="00C43B00" w:rsidRPr="00DB5B05" w:rsidRDefault="00C43B00" w:rsidP="00C43B00">
            <w:pPr>
              <w:widowControl/>
              <w:overflowPunct/>
              <w:autoSpaceDE/>
              <w:autoSpaceDN/>
              <w:adjustRightInd/>
              <w:spacing w:before="40" w:after="20"/>
              <w:jc w:val="right"/>
              <w:rPr>
                <w:rFonts w:ascii="Arial Narrow" w:hAnsi="Arial Narrow" w:cs="Arial"/>
                <w:kern w:val="0"/>
                <w:sz w:val="18"/>
                <w:szCs w:val="18"/>
                <w:u w:val="single"/>
              </w:rPr>
            </w:pPr>
            <w:r>
              <w:rPr>
                <w:rFonts w:ascii="Arial Narrow" w:hAnsi="Arial Narrow" w:cs="Arial"/>
                <w:kern w:val="0"/>
                <w:sz w:val="18"/>
                <w:szCs w:val="18"/>
              </w:rPr>
              <w:t>lug</w:t>
            </w:r>
            <w:r w:rsidRPr="00DB5B05">
              <w:rPr>
                <w:rFonts w:ascii="Arial Narrow" w:hAnsi="Arial Narrow" w:cs="Arial"/>
                <w:kern w:val="0"/>
                <w:sz w:val="18"/>
                <w:szCs w:val="18"/>
              </w:rPr>
              <w:t>-2</w:t>
            </w:r>
            <w:r>
              <w:rPr>
                <w:rFonts w:ascii="Arial Narrow" w:hAnsi="Arial Narrow" w:cs="Arial"/>
                <w:kern w:val="0"/>
                <w:sz w:val="18"/>
                <w:szCs w:val="18"/>
              </w:rPr>
              <w:t>3</w:t>
            </w:r>
          </w:p>
        </w:tc>
        <w:tc>
          <w:tcPr>
            <w:tcW w:w="834" w:type="dxa"/>
            <w:shd w:val="clear" w:color="auto" w:fill="auto"/>
            <w:vAlign w:val="center"/>
            <w:hideMark/>
          </w:tcPr>
          <w:p w:rsidR="00C43B00" w:rsidRPr="00DB5B05" w:rsidRDefault="00C43B00" w:rsidP="00C43B00">
            <w:pPr>
              <w:widowControl/>
              <w:overflowPunct/>
              <w:autoSpaceDE/>
              <w:autoSpaceDN/>
              <w:adjustRightInd/>
              <w:spacing w:before="40" w:after="20"/>
              <w:jc w:val="right"/>
              <w:rPr>
                <w:rFonts w:ascii="Arial Narrow" w:hAnsi="Arial Narrow" w:cs="Arial"/>
                <w:kern w:val="0"/>
                <w:sz w:val="18"/>
                <w:szCs w:val="18"/>
                <w:u w:val="single"/>
              </w:rPr>
            </w:pPr>
            <w:r>
              <w:rPr>
                <w:rFonts w:ascii="Arial Narrow" w:hAnsi="Arial Narrow" w:cs="Arial"/>
                <w:kern w:val="0"/>
                <w:sz w:val="18"/>
                <w:szCs w:val="18"/>
                <w:u w:val="single"/>
              </w:rPr>
              <w:t>giu</w:t>
            </w:r>
            <w:r w:rsidRPr="00DB5B05">
              <w:rPr>
                <w:rFonts w:ascii="Arial Narrow" w:hAnsi="Arial Narrow" w:cs="Arial"/>
                <w:kern w:val="0"/>
                <w:sz w:val="18"/>
                <w:szCs w:val="18"/>
                <w:u w:val="single"/>
              </w:rPr>
              <w:t>-2</w:t>
            </w:r>
            <w:r>
              <w:rPr>
                <w:rFonts w:ascii="Arial Narrow" w:hAnsi="Arial Narrow" w:cs="Arial"/>
                <w:kern w:val="0"/>
                <w:sz w:val="18"/>
                <w:szCs w:val="18"/>
                <w:u w:val="single"/>
              </w:rPr>
              <w:t>4</w:t>
            </w:r>
          </w:p>
          <w:p w:rsidR="00C43B00" w:rsidRPr="00DB5B05" w:rsidRDefault="00C43B00" w:rsidP="00C43B00">
            <w:pPr>
              <w:widowControl/>
              <w:overflowPunct/>
              <w:autoSpaceDE/>
              <w:autoSpaceDN/>
              <w:adjustRightInd/>
              <w:spacing w:before="40" w:after="20"/>
              <w:jc w:val="right"/>
              <w:rPr>
                <w:rFonts w:ascii="Arial Narrow" w:hAnsi="Arial Narrow" w:cs="Arial"/>
                <w:kern w:val="0"/>
                <w:sz w:val="18"/>
                <w:szCs w:val="18"/>
                <w:u w:val="single"/>
              </w:rPr>
            </w:pPr>
            <w:r>
              <w:rPr>
                <w:rFonts w:ascii="Arial Narrow" w:hAnsi="Arial Narrow" w:cs="Arial"/>
                <w:kern w:val="0"/>
                <w:sz w:val="18"/>
                <w:szCs w:val="18"/>
              </w:rPr>
              <w:t>giu</w:t>
            </w:r>
            <w:r w:rsidRPr="00DB5B05">
              <w:rPr>
                <w:rFonts w:ascii="Arial Narrow" w:hAnsi="Arial Narrow" w:cs="Arial"/>
                <w:kern w:val="0"/>
                <w:sz w:val="18"/>
                <w:szCs w:val="18"/>
              </w:rPr>
              <w:t>-2</w:t>
            </w:r>
            <w:r>
              <w:rPr>
                <w:rFonts w:ascii="Arial Narrow" w:hAnsi="Arial Narrow" w:cs="Arial"/>
                <w:kern w:val="0"/>
                <w:sz w:val="18"/>
                <w:szCs w:val="18"/>
              </w:rPr>
              <w:t>3</w:t>
            </w:r>
          </w:p>
        </w:tc>
        <w:tc>
          <w:tcPr>
            <w:tcW w:w="1050" w:type="dxa"/>
            <w:vMerge/>
            <w:shd w:val="clear" w:color="auto" w:fill="auto"/>
            <w:vAlign w:val="center"/>
            <w:hideMark/>
          </w:tcPr>
          <w:p w:rsidR="00C43B00" w:rsidRPr="004B2A9B" w:rsidRDefault="00C43B00" w:rsidP="00C43B00">
            <w:pPr>
              <w:widowControl/>
              <w:overflowPunct/>
              <w:autoSpaceDE/>
              <w:autoSpaceDN/>
              <w:adjustRightInd/>
              <w:spacing w:before="0" w:after="0"/>
              <w:jc w:val="right"/>
              <w:rPr>
                <w:rFonts w:ascii="Arial Narrow" w:hAnsi="Arial Narrow" w:cs="Arial"/>
                <w:b/>
                <w:bCs/>
                <w:kern w:val="0"/>
                <w:sz w:val="18"/>
                <w:szCs w:val="18"/>
              </w:rPr>
            </w:pPr>
          </w:p>
        </w:tc>
      </w:tr>
      <w:tr w:rsidR="0047685C" w:rsidRPr="00BC3950" w:rsidTr="000127DA">
        <w:trPr>
          <w:trHeight w:val="287"/>
          <w:jc w:val="center"/>
        </w:trPr>
        <w:tc>
          <w:tcPr>
            <w:tcW w:w="4395" w:type="dxa"/>
            <w:shd w:val="clear" w:color="auto" w:fill="auto"/>
            <w:noWrap/>
            <w:vAlign w:val="center"/>
            <w:hideMark/>
          </w:tcPr>
          <w:p w:rsidR="0047685C" w:rsidRPr="004B2A9B" w:rsidRDefault="0047685C" w:rsidP="0047685C">
            <w:pPr>
              <w:widowControl/>
              <w:overflowPunct/>
              <w:autoSpaceDE/>
              <w:autoSpaceDN/>
              <w:adjustRightInd/>
              <w:spacing w:before="0" w:after="0"/>
              <w:rPr>
                <w:rFonts w:ascii="Arial Narrow" w:hAnsi="Arial Narrow" w:cs="Arial"/>
                <w:kern w:val="0"/>
                <w:sz w:val="18"/>
                <w:szCs w:val="18"/>
              </w:rPr>
            </w:pPr>
            <w:r w:rsidRPr="004B2A9B">
              <w:rPr>
                <w:rFonts w:ascii="Arial Narrow" w:hAnsi="Arial Narrow" w:cs="Arial"/>
                <w:kern w:val="0"/>
                <w:sz w:val="18"/>
                <w:szCs w:val="18"/>
              </w:rPr>
              <w:t>Beni alimentari, di cui:</w:t>
            </w:r>
          </w:p>
        </w:tc>
        <w:tc>
          <w:tcPr>
            <w:tcW w:w="1048" w:type="dxa"/>
            <w:shd w:val="clear" w:color="000000" w:fill="D9D9D9"/>
            <w:vAlign w:val="center"/>
          </w:tcPr>
          <w:p w:rsidR="0047685C" w:rsidRPr="000148F1" w:rsidRDefault="0047685C" w:rsidP="0047685C">
            <w:pPr>
              <w:widowControl/>
              <w:overflowPunct/>
              <w:autoSpaceDE/>
              <w:autoSpaceDN/>
              <w:adjustRightInd/>
              <w:spacing w:before="0" w:after="0"/>
              <w:ind w:right="57"/>
              <w:jc w:val="right"/>
              <w:rPr>
                <w:rFonts w:ascii="Arial Narrow" w:hAnsi="Arial Narrow" w:cs="Arial"/>
                <w:kern w:val="0"/>
                <w:sz w:val="18"/>
                <w:szCs w:val="18"/>
              </w:rPr>
            </w:pPr>
            <w:r w:rsidRPr="000148F1">
              <w:rPr>
                <w:rFonts w:ascii="Arial Narrow" w:hAnsi="Arial Narrow" w:cs="Arial"/>
                <w:kern w:val="0"/>
                <w:sz w:val="18"/>
                <w:szCs w:val="18"/>
              </w:rPr>
              <w:t>181.373</w:t>
            </w:r>
          </w:p>
        </w:tc>
        <w:tc>
          <w:tcPr>
            <w:tcW w:w="909" w:type="dxa"/>
            <w:shd w:val="clear" w:color="auto" w:fill="auto"/>
            <w:vAlign w:val="center"/>
          </w:tcPr>
          <w:p w:rsidR="0047685C" w:rsidRPr="0047685C" w:rsidRDefault="0047685C" w:rsidP="0047685C">
            <w:pPr>
              <w:widowControl/>
              <w:overflowPunct/>
              <w:autoSpaceDE/>
              <w:autoSpaceDN/>
              <w:adjustRightInd/>
              <w:spacing w:before="0" w:after="0"/>
              <w:jc w:val="right"/>
              <w:rPr>
                <w:rFonts w:ascii="Arial Narrow" w:hAnsi="Arial Narrow" w:cs="Arial"/>
                <w:kern w:val="0"/>
                <w:sz w:val="18"/>
                <w:szCs w:val="18"/>
              </w:rPr>
            </w:pPr>
            <w:r w:rsidRPr="0047685C">
              <w:rPr>
                <w:rFonts w:ascii="Arial Narrow" w:hAnsi="Arial Narrow" w:cs="Arial"/>
                <w:kern w:val="0"/>
                <w:sz w:val="18"/>
                <w:szCs w:val="18"/>
              </w:rPr>
              <w:t>-0,3</w:t>
            </w:r>
          </w:p>
        </w:tc>
        <w:tc>
          <w:tcPr>
            <w:tcW w:w="971" w:type="dxa"/>
            <w:shd w:val="clear" w:color="000000" w:fill="D9D9D9"/>
            <w:vAlign w:val="center"/>
          </w:tcPr>
          <w:p w:rsidR="0047685C" w:rsidRPr="0047685C" w:rsidRDefault="0047685C" w:rsidP="0047685C">
            <w:pPr>
              <w:widowControl/>
              <w:overflowPunct/>
              <w:autoSpaceDE/>
              <w:autoSpaceDN/>
              <w:adjustRightInd/>
              <w:spacing w:before="0" w:after="0"/>
              <w:jc w:val="right"/>
              <w:rPr>
                <w:rFonts w:ascii="Arial Narrow" w:hAnsi="Arial Narrow" w:cs="Arial"/>
                <w:kern w:val="0"/>
                <w:sz w:val="18"/>
                <w:szCs w:val="18"/>
              </w:rPr>
            </w:pPr>
            <w:r w:rsidRPr="0047685C">
              <w:rPr>
                <w:rFonts w:ascii="Arial Narrow" w:hAnsi="Arial Narrow" w:cs="Arial"/>
                <w:kern w:val="0"/>
                <w:sz w:val="18"/>
                <w:szCs w:val="18"/>
              </w:rPr>
              <w:t>+0,1</w:t>
            </w:r>
          </w:p>
        </w:tc>
        <w:tc>
          <w:tcPr>
            <w:tcW w:w="967" w:type="dxa"/>
            <w:shd w:val="clear" w:color="auto" w:fill="auto"/>
            <w:vAlign w:val="center"/>
          </w:tcPr>
          <w:p w:rsidR="0047685C" w:rsidRPr="0047685C" w:rsidRDefault="0047685C" w:rsidP="0047685C">
            <w:pPr>
              <w:widowControl/>
              <w:overflowPunct/>
              <w:autoSpaceDE/>
              <w:autoSpaceDN/>
              <w:adjustRightInd/>
              <w:spacing w:before="0" w:after="0"/>
              <w:jc w:val="right"/>
              <w:rPr>
                <w:rFonts w:ascii="Arial Narrow" w:hAnsi="Arial Narrow" w:cs="Arial"/>
                <w:kern w:val="0"/>
                <w:sz w:val="18"/>
                <w:szCs w:val="18"/>
              </w:rPr>
            </w:pPr>
            <w:r w:rsidRPr="0047685C">
              <w:rPr>
                <w:rFonts w:ascii="Arial Narrow" w:hAnsi="Arial Narrow" w:cs="Arial"/>
                <w:kern w:val="0"/>
                <w:sz w:val="18"/>
                <w:szCs w:val="18"/>
              </w:rPr>
              <w:t>+0,9</w:t>
            </w:r>
          </w:p>
        </w:tc>
        <w:tc>
          <w:tcPr>
            <w:tcW w:w="834" w:type="dxa"/>
            <w:shd w:val="clear" w:color="000000" w:fill="D9D9D9"/>
            <w:vAlign w:val="center"/>
          </w:tcPr>
          <w:p w:rsidR="0047685C" w:rsidRPr="0047685C" w:rsidRDefault="0047685C" w:rsidP="0047685C">
            <w:pPr>
              <w:widowControl/>
              <w:overflowPunct/>
              <w:autoSpaceDE/>
              <w:autoSpaceDN/>
              <w:adjustRightInd/>
              <w:spacing w:before="0" w:after="0"/>
              <w:jc w:val="right"/>
              <w:rPr>
                <w:rFonts w:ascii="Arial Narrow" w:hAnsi="Arial Narrow" w:cs="Arial"/>
                <w:kern w:val="0"/>
                <w:sz w:val="18"/>
                <w:szCs w:val="18"/>
              </w:rPr>
            </w:pPr>
            <w:r w:rsidRPr="0047685C">
              <w:rPr>
                <w:rFonts w:ascii="Arial Narrow" w:hAnsi="Arial Narrow" w:cs="Arial"/>
                <w:kern w:val="0"/>
                <w:sz w:val="18"/>
                <w:szCs w:val="18"/>
              </w:rPr>
              <w:t>+1,3</w:t>
            </w:r>
          </w:p>
        </w:tc>
        <w:tc>
          <w:tcPr>
            <w:tcW w:w="1050" w:type="dxa"/>
            <w:shd w:val="clear" w:color="auto" w:fill="auto"/>
            <w:vAlign w:val="center"/>
          </w:tcPr>
          <w:p w:rsidR="0047685C" w:rsidRPr="0047685C" w:rsidRDefault="0047685C" w:rsidP="0047685C">
            <w:pPr>
              <w:widowControl/>
              <w:overflowPunct/>
              <w:autoSpaceDE/>
              <w:autoSpaceDN/>
              <w:adjustRightInd/>
              <w:spacing w:before="0" w:after="0"/>
              <w:jc w:val="right"/>
              <w:rPr>
                <w:rFonts w:ascii="Arial Narrow" w:hAnsi="Arial Narrow" w:cs="Arial"/>
                <w:kern w:val="0"/>
                <w:sz w:val="18"/>
                <w:szCs w:val="18"/>
              </w:rPr>
            </w:pPr>
            <w:r w:rsidRPr="0047685C">
              <w:rPr>
                <w:rFonts w:ascii="Arial Narrow" w:hAnsi="Arial Narrow" w:cs="Arial"/>
                <w:kern w:val="0"/>
                <w:sz w:val="18"/>
                <w:szCs w:val="18"/>
              </w:rPr>
              <w:t>+1,8</w:t>
            </w:r>
          </w:p>
        </w:tc>
      </w:tr>
      <w:tr w:rsidR="0047685C" w:rsidRPr="004B2A9B" w:rsidTr="000127DA">
        <w:trPr>
          <w:trHeight w:val="255"/>
          <w:jc w:val="center"/>
        </w:trPr>
        <w:tc>
          <w:tcPr>
            <w:tcW w:w="4395" w:type="dxa"/>
            <w:shd w:val="clear" w:color="auto" w:fill="auto"/>
            <w:noWrap/>
            <w:vAlign w:val="center"/>
            <w:hideMark/>
          </w:tcPr>
          <w:p w:rsidR="0047685C" w:rsidRPr="004B2A9B" w:rsidRDefault="0047685C" w:rsidP="0047685C">
            <w:pPr>
              <w:widowControl/>
              <w:overflowPunct/>
              <w:autoSpaceDE/>
              <w:autoSpaceDN/>
              <w:adjustRightInd/>
              <w:spacing w:before="0" w:after="0"/>
              <w:ind w:left="284"/>
              <w:rPr>
                <w:rFonts w:ascii="Arial Narrow" w:hAnsi="Arial Narrow" w:cs="Arial"/>
                <w:kern w:val="0"/>
                <w:sz w:val="18"/>
                <w:szCs w:val="18"/>
              </w:rPr>
            </w:pPr>
            <w:r w:rsidRPr="004B2A9B">
              <w:rPr>
                <w:rFonts w:ascii="Arial Narrow" w:hAnsi="Arial Narrow" w:cs="Arial"/>
                <w:kern w:val="0"/>
                <w:sz w:val="18"/>
                <w:szCs w:val="18"/>
              </w:rPr>
              <w:t>Alimentari lavorati</w:t>
            </w:r>
          </w:p>
        </w:tc>
        <w:tc>
          <w:tcPr>
            <w:tcW w:w="1048" w:type="dxa"/>
            <w:shd w:val="clear" w:color="000000" w:fill="D9D9D9"/>
            <w:vAlign w:val="center"/>
          </w:tcPr>
          <w:p w:rsidR="0047685C" w:rsidRPr="000148F1" w:rsidRDefault="0047685C" w:rsidP="0047685C">
            <w:pPr>
              <w:widowControl/>
              <w:overflowPunct/>
              <w:autoSpaceDE/>
              <w:autoSpaceDN/>
              <w:adjustRightInd/>
              <w:spacing w:before="0" w:after="0"/>
              <w:ind w:right="57"/>
              <w:jc w:val="right"/>
              <w:rPr>
                <w:rFonts w:ascii="Arial Narrow" w:hAnsi="Arial Narrow" w:cs="Arial"/>
                <w:kern w:val="0"/>
                <w:sz w:val="18"/>
                <w:szCs w:val="18"/>
              </w:rPr>
            </w:pPr>
            <w:r w:rsidRPr="000148F1">
              <w:rPr>
                <w:rFonts w:ascii="Arial Narrow" w:hAnsi="Arial Narrow" w:cs="Arial"/>
                <w:kern w:val="0"/>
                <w:sz w:val="18"/>
                <w:szCs w:val="18"/>
              </w:rPr>
              <w:t>113.744</w:t>
            </w:r>
          </w:p>
        </w:tc>
        <w:tc>
          <w:tcPr>
            <w:tcW w:w="909" w:type="dxa"/>
            <w:shd w:val="clear" w:color="auto" w:fill="auto"/>
            <w:vAlign w:val="center"/>
          </w:tcPr>
          <w:p w:rsidR="0047685C" w:rsidRPr="0047685C" w:rsidRDefault="0047685C" w:rsidP="0047685C">
            <w:pPr>
              <w:widowControl/>
              <w:overflowPunct/>
              <w:autoSpaceDE/>
              <w:autoSpaceDN/>
              <w:adjustRightInd/>
              <w:spacing w:before="0" w:after="0"/>
              <w:jc w:val="right"/>
              <w:rPr>
                <w:rFonts w:ascii="Arial Narrow" w:hAnsi="Arial Narrow" w:cs="Arial"/>
                <w:kern w:val="0"/>
                <w:sz w:val="18"/>
                <w:szCs w:val="18"/>
              </w:rPr>
            </w:pPr>
            <w:r w:rsidRPr="0047685C">
              <w:rPr>
                <w:rFonts w:ascii="Arial Narrow" w:hAnsi="Arial Narrow" w:cs="Arial"/>
                <w:kern w:val="0"/>
                <w:sz w:val="18"/>
                <w:szCs w:val="18"/>
              </w:rPr>
              <w:t>+0,3</w:t>
            </w:r>
          </w:p>
        </w:tc>
        <w:tc>
          <w:tcPr>
            <w:tcW w:w="971" w:type="dxa"/>
            <w:shd w:val="clear" w:color="000000" w:fill="D9D9D9"/>
            <w:vAlign w:val="center"/>
          </w:tcPr>
          <w:p w:rsidR="0047685C" w:rsidRPr="0047685C" w:rsidRDefault="0047685C" w:rsidP="0047685C">
            <w:pPr>
              <w:widowControl/>
              <w:overflowPunct/>
              <w:autoSpaceDE/>
              <w:autoSpaceDN/>
              <w:adjustRightInd/>
              <w:spacing w:before="0" w:after="0"/>
              <w:jc w:val="right"/>
              <w:rPr>
                <w:rFonts w:ascii="Arial Narrow" w:hAnsi="Arial Narrow" w:cs="Arial"/>
                <w:kern w:val="0"/>
                <w:sz w:val="18"/>
                <w:szCs w:val="18"/>
              </w:rPr>
            </w:pPr>
            <w:r w:rsidRPr="0047685C">
              <w:rPr>
                <w:rFonts w:ascii="Arial Narrow" w:hAnsi="Arial Narrow" w:cs="Arial"/>
                <w:kern w:val="0"/>
                <w:sz w:val="18"/>
                <w:szCs w:val="18"/>
              </w:rPr>
              <w:t>+0,6</w:t>
            </w:r>
          </w:p>
        </w:tc>
        <w:tc>
          <w:tcPr>
            <w:tcW w:w="967" w:type="dxa"/>
            <w:shd w:val="clear" w:color="auto" w:fill="auto"/>
            <w:vAlign w:val="center"/>
          </w:tcPr>
          <w:p w:rsidR="0047685C" w:rsidRPr="0047685C" w:rsidRDefault="0047685C" w:rsidP="0047685C">
            <w:pPr>
              <w:widowControl/>
              <w:overflowPunct/>
              <w:autoSpaceDE/>
              <w:autoSpaceDN/>
              <w:adjustRightInd/>
              <w:spacing w:before="0" w:after="0"/>
              <w:jc w:val="right"/>
              <w:rPr>
                <w:rFonts w:ascii="Arial Narrow" w:hAnsi="Arial Narrow" w:cs="Arial"/>
                <w:kern w:val="0"/>
                <w:sz w:val="18"/>
                <w:szCs w:val="18"/>
              </w:rPr>
            </w:pPr>
            <w:r w:rsidRPr="0047685C">
              <w:rPr>
                <w:rFonts w:ascii="Arial Narrow" w:hAnsi="Arial Narrow" w:cs="Arial"/>
                <w:kern w:val="0"/>
                <w:sz w:val="18"/>
                <w:szCs w:val="18"/>
              </w:rPr>
              <w:t>+1,8</w:t>
            </w:r>
          </w:p>
        </w:tc>
        <w:tc>
          <w:tcPr>
            <w:tcW w:w="834" w:type="dxa"/>
            <w:shd w:val="clear" w:color="000000" w:fill="D9D9D9"/>
            <w:vAlign w:val="center"/>
          </w:tcPr>
          <w:p w:rsidR="0047685C" w:rsidRPr="0047685C" w:rsidRDefault="0047685C" w:rsidP="0047685C">
            <w:pPr>
              <w:widowControl/>
              <w:overflowPunct/>
              <w:autoSpaceDE/>
              <w:autoSpaceDN/>
              <w:adjustRightInd/>
              <w:spacing w:before="0" w:after="0"/>
              <w:jc w:val="right"/>
              <w:rPr>
                <w:rFonts w:ascii="Arial Narrow" w:hAnsi="Arial Narrow" w:cs="Arial"/>
                <w:kern w:val="0"/>
                <w:sz w:val="18"/>
                <w:szCs w:val="18"/>
              </w:rPr>
            </w:pPr>
            <w:r w:rsidRPr="0047685C">
              <w:rPr>
                <w:rFonts w:ascii="Arial Narrow" w:hAnsi="Arial Narrow" w:cs="Arial"/>
                <w:kern w:val="0"/>
                <w:sz w:val="18"/>
                <w:szCs w:val="18"/>
              </w:rPr>
              <w:t>+2,0</w:t>
            </w:r>
          </w:p>
        </w:tc>
        <w:tc>
          <w:tcPr>
            <w:tcW w:w="1050" w:type="dxa"/>
            <w:shd w:val="clear" w:color="auto" w:fill="auto"/>
            <w:vAlign w:val="center"/>
          </w:tcPr>
          <w:p w:rsidR="0047685C" w:rsidRPr="0047685C" w:rsidRDefault="0047685C" w:rsidP="0047685C">
            <w:pPr>
              <w:widowControl/>
              <w:overflowPunct/>
              <w:autoSpaceDE/>
              <w:autoSpaceDN/>
              <w:adjustRightInd/>
              <w:spacing w:before="0" w:after="0"/>
              <w:jc w:val="right"/>
              <w:rPr>
                <w:rFonts w:ascii="Arial Narrow" w:hAnsi="Arial Narrow" w:cs="Arial"/>
                <w:kern w:val="0"/>
                <w:sz w:val="18"/>
                <w:szCs w:val="18"/>
              </w:rPr>
            </w:pPr>
            <w:r w:rsidRPr="0047685C">
              <w:rPr>
                <w:rFonts w:ascii="Arial Narrow" w:hAnsi="Arial Narrow" w:cs="Arial"/>
                <w:kern w:val="0"/>
                <w:sz w:val="18"/>
                <w:szCs w:val="18"/>
              </w:rPr>
              <w:t>+2,1</w:t>
            </w:r>
          </w:p>
        </w:tc>
      </w:tr>
      <w:tr w:rsidR="0047685C" w:rsidRPr="004B2A9B" w:rsidTr="000127DA">
        <w:trPr>
          <w:trHeight w:val="255"/>
          <w:jc w:val="center"/>
        </w:trPr>
        <w:tc>
          <w:tcPr>
            <w:tcW w:w="4395" w:type="dxa"/>
            <w:shd w:val="clear" w:color="auto" w:fill="auto"/>
            <w:noWrap/>
            <w:vAlign w:val="center"/>
            <w:hideMark/>
          </w:tcPr>
          <w:p w:rsidR="0047685C" w:rsidRPr="004B2A9B" w:rsidRDefault="0047685C" w:rsidP="0047685C">
            <w:pPr>
              <w:widowControl/>
              <w:overflowPunct/>
              <w:autoSpaceDE/>
              <w:autoSpaceDN/>
              <w:adjustRightInd/>
              <w:spacing w:before="0" w:after="0"/>
              <w:ind w:left="284"/>
              <w:rPr>
                <w:rFonts w:ascii="Arial Narrow" w:hAnsi="Arial Narrow" w:cs="Arial"/>
                <w:kern w:val="0"/>
                <w:sz w:val="18"/>
                <w:szCs w:val="18"/>
              </w:rPr>
            </w:pPr>
            <w:r w:rsidRPr="004B2A9B">
              <w:rPr>
                <w:rFonts w:ascii="Arial Narrow" w:hAnsi="Arial Narrow" w:cs="Arial"/>
                <w:kern w:val="0"/>
                <w:sz w:val="18"/>
                <w:szCs w:val="18"/>
              </w:rPr>
              <w:t>Alimentari non lavorati</w:t>
            </w:r>
          </w:p>
        </w:tc>
        <w:tc>
          <w:tcPr>
            <w:tcW w:w="1048" w:type="dxa"/>
            <w:shd w:val="clear" w:color="000000" w:fill="D9D9D9"/>
            <w:vAlign w:val="center"/>
          </w:tcPr>
          <w:p w:rsidR="0047685C" w:rsidRPr="000148F1" w:rsidRDefault="0047685C" w:rsidP="0047685C">
            <w:pPr>
              <w:widowControl/>
              <w:overflowPunct/>
              <w:autoSpaceDE/>
              <w:autoSpaceDN/>
              <w:adjustRightInd/>
              <w:spacing w:before="0" w:after="0"/>
              <w:ind w:right="57"/>
              <w:jc w:val="right"/>
              <w:rPr>
                <w:rFonts w:ascii="Arial Narrow" w:hAnsi="Arial Narrow" w:cs="Arial"/>
                <w:kern w:val="0"/>
                <w:sz w:val="18"/>
                <w:szCs w:val="18"/>
              </w:rPr>
            </w:pPr>
            <w:r w:rsidRPr="000148F1">
              <w:rPr>
                <w:rFonts w:ascii="Arial Narrow" w:hAnsi="Arial Narrow" w:cs="Arial"/>
                <w:kern w:val="0"/>
                <w:sz w:val="18"/>
                <w:szCs w:val="18"/>
              </w:rPr>
              <w:t>67.629</w:t>
            </w:r>
          </w:p>
        </w:tc>
        <w:tc>
          <w:tcPr>
            <w:tcW w:w="909" w:type="dxa"/>
            <w:shd w:val="clear" w:color="auto" w:fill="auto"/>
            <w:vAlign w:val="center"/>
          </w:tcPr>
          <w:p w:rsidR="0047685C" w:rsidRPr="0047685C" w:rsidRDefault="0047685C" w:rsidP="0047685C">
            <w:pPr>
              <w:widowControl/>
              <w:overflowPunct/>
              <w:autoSpaceDE/>
              <w:autoSpaceDN/>
              <w:adjustRightInd/>
              <w:spacing w:before="0" w:after="0"/>
              <w:jc w:val="right"/>
              <w:rPr>
                <w:rFonts w:ascii="Arial Narrow" w:hAnsi="Arial Narrow" w:cs="Arial"/>
                <w:kern w:val="0"/>
                <w:sz w:val="18"/>
                <w:szCs w:val="18"/>
              </w:rPr>
            </w:pPr>
            <w:r w:rsidRPr="0047685C">
              <w:rPr>
                <w:rFonts w:ascii="Arial Narrow" w:hAnsi="Arial Narrow" w:cs="Arial"/>
                <w:kern w:val="0"/>
                <w:sz w:val="18"/>
                <w:szCs w:val="18"/>
              </w:rPr>
              <w:t>-1,4</w:t>
            </w:r>
          </w:p>
        </w:tc>
        <w:tc>
          <w:tcPr>
            <w:tcW w:w="971" w:type="dxa"/>
            <w:shd w:val="clear" w:color="000000" w:fill="D9D9D9"/>
            <w:vAlign w:val="center"/>
          </w:tcPr>
          <w:p w:rsidR="0047685C" w:rsidRPr="0047685C" w:rsidRDefault="0047685C" w:rsidP="0047685C">
            <w:pPr>
              <w:widowControl/>
              <w:overflowPunct/>
              <w:autoSpaceDE/>
              <w:autoSpaceDN/>
              <w:adjustRightInd/>
              <w:spacing w:before="0" w:after="0"/>
              <w:jc w:val="right"/>
              <w:rPr>
                <w:rFonts w:ascii="Arial Narrow" w:hAnsi="Arial Narrow" w:cs="Arial"/>
                <w:kern w:val="0"/>
                <w:sz w:val="18"/>
                <w:szCs w:val="18"/>
              </w:rPr>
            </w:pPr>
            <w:r w:rsidRPr="0047685C">
              <w:rPr>
                <w:rFonts w:ascii="Arial Narrow" w:hAnsi="Arial Narrow" w:cs="Arial"/>
                <w:kern w:val="0"/>
                <w:sz w:val="18"/>
                <w:szCs w:val="18"/>
              </w:rPr>
              <w:t>-0,8</w:t>
            </w:r>
          </w:p>
        </w:tc>
        <w:tc>
          <w:tcPr>
            <w:tcW w:w="967" w:type="dxa"/>
            <w:shd w:val="clear" w:color="auto" w:fill="auto"/>
            <w:vAlign w:val="center"/>
          </w:tcPr>
          <w:p w:rsidR="0047685C" w:rsidRPr="0047685C" w:rsidRDefault="0047685C" w:rsidP="0047685C">
            <w:pPr>
              <w:widowControl/>
              <w:overflowPunct/>
              <w:autoSpaceDE/>
              <w:autoSpaceDN/>
              <w:adjustRightInd/>
              <w:spacing w:before="0" w:after="0"/>
              <w:jc w:val="right"/>
              <w:rPr>
                <w:rFonts w:ascii="Arial Narrow" w:hAnsi="Arial Narrow" w:cs="Arial"/>
                <w:kern w:val="0"/>
                <w:sz w:val="18"/>
                <w:szCs w:val="18"/>
              </w:rPr>
            </w:pPr>
            <w:r w:rsidRPr="0047685C">
              <w:rPr>
                <w:rFonts w:ascii="Arial Narrow" w:hAnsi="Arial Narrow" w:cs="Arial"/>
                <w:kern w:val="0"/>
                <w:sz w:val="18"/>
                <w:szCs w:val="18"/>
              </w:rPr>
              <w:t>-0,3</w:t>
            </w:r>
          </w:p>
        </w:tc>
        <w:tc>
          <w:tcPr>
            <w:tcW w:w="834" w:type="dxa"/>
            <w:shd w:val="clear" w:color="000000" w:fill="D9D9D9"/>
            <w:vAlign w:val="center"/>
          </w:tcPr>
          <w:p w:rsidR="0047685C" w:rsidRPr="0047685C" w:rsidRDefault="0047685C" w:rsidP="0047685C">
            <w:pPr>
              <w:widowControl/>
              <w:overflowPunct/>
              <w:autoSpaceDE/>
              <w:autoSpaceDN/>
              <w:adjustRightInd/>
              <w:spacing w:before="0" w:after="0"/>
              <w:jc w:val="right"/>
              <w:rPr>
                <w:rFonts w:ascii="Arial Narrow" w:hAnsi="Arial Narrow" w:cs="Arial"/>
                <w:kern w:val="0"/>
                <w:sz w:val="18"/>
                <w:szCs w:val="18"/>
              </w:rPr>
            </w:pPr>
            <w:r w:rsidRPr="0047685C">
              <w:rPr>
                <w:rFonts w:ascii="Arial Narrow" w:hAnsi="Arial Narrow" w:cs="Arial"/>
                <w:kern w:val="0"/>
                <w:sz w:val="18"/>
                <w:szCs w:val="18"/>
              </w:rPr>
              <w:t>+0,3</w:t>
            </w:r>
          </w:p>
        </w:tc>
        <w:tc>
          <w:tcPr>
            <w:tcW w:w="1050" w:type="dxa"/>
            <w:shd w:val="clear" w:color="auto" w:fill="auto"/>
            <w:vAlign w:val="center"/>
          </w:tcPr>
          <w:p w:rsidR="0047685C" w:rsidRPr="0047685C" w:rsidRDefault="0047685C" w:rsidP="0047685C">
            <w:pPr>
              <w:widowControl/>
              <w:overflowPunct/>
              <w:autoSpaceDE/>
              <w:autoSpaceDN/>
              <w:adjustRightInd/>
              <w:spacing w:before="0" w:after="0"/>
              <w:jc w:val="right"/>
              <w:rPr>
                <w:rFonts w:ascii="Arial Narrow" w:hAnsi="Arial Narrow" w:cs="Arial"/>
                <w:kern w:val="0"/>
                <w:sz w:val="18"/>
                <w:szCs w:val="18"/>
              </w:rPr>
            </w:pPr>
            <w:r w:rsidRPr="0047685C">
              <w:rPr>
                <w:rFonts w:ascii="Arial Narrow" w:hAnsi="Arial Narrow" w:cs="Arial"/>
                <w:kern w:val="0"/>
                <w:sz w:val="18"/>
                <w:szCs w:val="18"/>
              </w:rPr>
              <w:t>+1,3</w:t>
            </w:r>
          </w:p>
        </w:tc>
      </w:tr>
      <w:tr w:rsidR="0047685C" w:rsidRPr="004B2A9B" w:rsidTr="000127DA">
        <w:trPr>
          <w:trHeight w:val="255"/>
          <w:jc w:val="center"/>
        </w:trPr>
        <w:tc>
          <w:tcPr>
            <w:tcW w:w="4395" w:type="dxa"/>
            <w:shd w:val="clear" w:color="auto" w:fill="auto"/>
            <w:noWrap/>
            <w:vAlign w:val="center"/>
            <w:hideMark/>
          </w:tcPr>
          <w:p w:rsidR="0047685C" w:rsidRPr="004B2A9B" w:rsidRDefault="0047685C" w:rsidP="0047685C">
            <w:pPr>
              <w:widowControl/>
              <w:overflowPunct/>
              <w:autoSpaceDE/>
              <w:autoSpaceDN/>
              <w:adjustRightInd/>
              <w:spacing w:before="0" w:after="0"/>
              <w:rPr>
                <w:rFonts w:ascii="Arial Narrow" w:hAnsi="Arial Narrow" w:cs="Arial"/>
                <w:kern w:val="0"/>
                <w:sz w:val="18"/>
                <w:szCs w:val="18"/>
              </w:rPr>
            </w:pPr>
            <w:r w:rsidRPr="004B2A9B">
              <w:rPr>
                <w:rFonts w:ascii="Arial Narrow" w:hAnsi="Arial Narrow" w:cs="Arial"/>
                <w:kern w:val="0"/>
                <w:sz w:val="18"/>
                <w:szCs w:val="18"/>
              </w:rPr>
              <w:t>Beni energetici, di cui:</w:t>
            </w:r>
          </w:p>
        </w:tc>
        <w:tc>
          <w:tcPr>
            <w:tcW w:w="1048" w:type="dxa"/>
            <w:shd w:val="clear" w:color="000000" w:fill="D9D9D9"/>
            <w:vAlign w:val="center"/>
          </w:tcPr>
          <w:p w:rsidR="0047685C" w:rsidRPr="000148F1" w:rsidRDefault="0047685C" w:rsidP="0047685C">
            <w:pPr>
              <w:widowControl/>
              <w:overflowPunct/>
              <w:autoSpaceDE/>
              <w:autoSpaceDN/>
              <w:adjustRightInd/>
              <w:spacing w:before="0" w:after="0"/>
              <w:ind w:right="57"/>
              <w:jc w:val="right"/>
              <w:rPr>
                <w:rFonts w:ascii="Arial Narrow" w:hAnsi="Arial Narrow" w:cs="Arial"/>
                <w:kern w:val="0"/>
                <w:sz w:val="18"/>
                <w:szCs w:val="18"/>
              </w:rPr>
            </w:pPr>
            <w:r w:rsidRPr="000148F1">
              <w:rPr>
                <w:rFonts w:ascii="Arial Narrow" w:hAnsi="Arial Narrow" w:cs="Arial"/>
                <w:kern w:val="0"/>
                <w:sz w:val="18"/>
                <w:szCs w:val="18"/>
              </w:rPr>
              <w:t>103.568</w:t>
            </w:r>
          </w:p>
        </w:tc>
        <w:tc>
          <w:tcPr>
            <w:tcW w:w="909" w:type="dxa"/>
            <w:shd w:val="clear" w:color="auto" w:fill="auto"/>
            <w:vAlign w:val="center"/>
          </w:tcPr>
          <w:p w:rsidR="0047685C" w:rsidRPr="0047685C" w:rsidRDefault="0047685C" w:rsidP="0047685C">
            <w:pPr>
              <w:widowControl/>
              <w:overflowPunct/>
              <w:autoSpaceDE/>
              <w:autoSpaceDN/>
              <w:adjustRightInd/>
              <w:spacing w:before="0" w:after="0"/>
              <w:jc w:val="right"/>
              <w:rPr>
                <w:rFonts w:ascii="Arial Narrow" w:hAnsi="Arial Narrow" w:cs="Arial"/>
                <w:kern w:val="0"/>
                <w:sz w:val="18"/>
                <w:szCs w:val="18"/>
              </w:rPr>
            </w:pPr>
            <w:r w:rsidRPr="0047685C">
              <w:rPr>
                <w:rFonts w:ascii="Arial Narrow" w:hAnsi="Arial Narrow" w:cs="Arial"/>
                <w:kern w:val="0"/>
                <w:sz w:val="18"/>
                <w:szCs w:val="18"/>
              </w:rPr>
              <w:t>+3,5</w:t>
            </w:r>
          </w:p>
        </w:tc>
        <w:tc>
          <w:tcPr>
            <w:tcW w:w="971" w:type="dxa"/>
            <w:shd w:val="clear" w:color="000000" w:fill="D9D9D9"/>
            <w:vAlign w:val="center"/>
          </w:tcPr>
          <w:p w:rsidR="0047685C" w:rsidRPr="0047685C" w:rsidRDefault="0047685C" w:rsidP="0047685C">
            <w:pPr>
              <w:widowControl/>
              <w:overflowPunct/>
              <w:autoSpaceDE/>
              <w:autoSpaceDN/>
              <w:adjustRightInd/>
              <w:spacing w:before="0" w:after="0"/>
              <w:jc w:val="right"/>
              <w:rPr>
                <w:rFonts w:ascii="Arial Narrow" w:hAnsi="Arial Narrow" w:cs="Arial"/>
                <w:kern w:val="0"/>
                <w:sz w:val="18"/>
                <w:szCs w:val="18"/>
              </w:rPr>
            </w:pPr>
            <w:r w:rsidRPr="0047685C">
              <w:rPr>
                <w:rFonts w:ascii="Arial Narrow" w:hAnsi="Arial Narrow" w:cs="Arial"/>
                <w:kern w:val="0"/>
                <w:sz w:val="18"/>
                <w:szCs w:val="18"/>
              </w:rPr>
              <w:t>-1,4</w:t>
            </w:r>
          </w:p>
        </w:tc>
        <w:tc>
          <w:tcPr>
            <w:tcW w:w="967" w:type="dxa"/>
            <w:shd w:val="clear" w:color="auto" w:fill="auto"/>
            <w:vAlign w:val="center"/>
          </w:tcPr>
          <w:p w:rsidR="0047685C" w:rsidRPr="0047685C" w:rsidRDefault="0047685C" w:rsidP="0047685C">
            <w:pPr>
              <w:widowControl/>
              <w:overflowPunct/>
              <w:autoSpaceDE/>
              <w:autoSpaceDN/>
              <w:adjustRightInd/>
              <w:spacing w:before="0" w:after="0"/>
              <w:jc w:val="right"/>
              <w:rPr>
                <w:rFonts w:ascii="Arial Narrow" w:hAnsi="Arial Narrow" w:cs="Arial"/>
                <w:kern w:val="0"/>
                <w:sz w:val="18"/>
                <w:szCs w:val="18"/>
              </w:rPr>
            </w:pPr>
            <w:r w:rsidRPr="0047685C">
              <w:rPr>
                <w:rFonts w:ascii="Arial Narrow" w:hAnsi="Arial Narrow" w:cs="Arial"/>
                <w:kern w:val="0"/>
                <w:sz w:val="18"/>
                <w:szCs w:val="18"/>
              </w:rPr>
              <w:t>-4,1</w:t>
            </w:r>
          </w:p>
        </w:tc>
        <w:tc>
          <w:tcPr>
            <w:tcW w:w="834" w:type="dxa"/>
            <w:shd w:val="clear" w:color="000000" w:fill="D9D9D9"/>
            <w:vAlign w:val="center"/>
          </w:tcPr>
          <w:p w:rsidR="0047685C" w:rsidRPr="0047685C" w:rsidRDefault="0047685C" w:rsidP="0047685C">
            <w:pPr>
              <w:widowControl/>
              <w:overflowPunct/>
              <w:autoSpaceDE/>
              <w:autoSpaceDN/>
              <w:adjustRightInd/>
              <w:spacing w:before="0" w:after="0"/>
              <w:jc w:val="right"/>
              <w:rPr>
                <w:rFonts w:ascii="Arial Narrow" w:hAnsi="Arial Narrow" w:cs="Arial"/>
                <w:kern w:val="0"/>
                <w:sz w:val="18"/>
                <w:szCs w:val="18"/>
              </w:rPr>
            </w:pPr>
            <w:r w:rsidRPr="0047685C">
              <w:rPr>
                <w:rFonts w:ascii="Arial Narrow" w:hAnsi="Arial Narrow" w:cs="Arial"/>
                <w:kern w:val="0"/>
                <w:sz w:val="18"/>
                <w:szCs w:val="18"/>
              </w:rPr>
              <w:t>-8,6</w:t>
            </w:r>
          </w:p>
        </w:tc>
        <w:tc>
          <w:tcPr>
            <w:tcW w:w="1050" w:type="dxa"/>
            <w:shd w:val="clear" w:color="auto" w:fill="auto"/>
            <w:vAlign w:val="center"/>
          </w:tcPr>
          <w:p w:rsidR="0047685C" w:rsidRPr="0047685C" w:rsidRDefault="0047685C" w:rsidP="0047685C">
            <w:pPr>
              <w:widowControl/>
              <w:overflowPunct/>
              <w:autoSpaceDE/>
              <w:autoSpaceDN/>
              <w:adjustRightInd/>
              <w:spacing w:before="0" w:after="0"/>
              <w:jc w:val="right"/>
              <w:rPr>
                <w:rFonts w:ascii="Arial Narrow" w:hAnsi="Arial Narrow" w:cs="Arial"/>
                <w:kern w:val="0"/>
                <w:sz w:val="18"/>
                <w:szCs w:val="18"/>
              </w:rPr>
            </w:pPr>
            <w:r w:rsidRPr="0047685C">
              <w:rPr>
                <w:rFonts w:ascii="Arial Narrow" w:hAnsi="Arial Narrow" w:cs="Arial"/>
                <w:kern w:val="0"/>
                <w:sz w:val="18"/>
                <w:szCs w:val="18"/>
              </w:rPr>
              <w:t>-9,6</w:t>
            </w:r>
          </w:p>
        </w:tc>
      </w:tr>
      <w:tr w:rsidR="0047685C" w:rsidRPr="004B2A9B" w:rsidTr="000127DA">
        <w:trPr>
          <w:trHeight w:val="255"/>
          <w:jc w:val="center"/>
        </w:trPr>
        <w:tc>
          <w:tcPr>
            <w:tcW w:w="4395" w:type="dxa"/>
            <w:shd w:val="clear" w:color="auto" w:fill="auto"/>
            <w:noWrap/>
            <w:vAlign w:val="center"/>
            <w:hideMark/>
          </w:tcPr>
          <w:p w:rsidR="0047685C" w:rsidRPr="004B2A9B" w:rsidRDefault="0047685C" w:rsidP="0047685C">
            <w:pPr>
              <w:widowControl/>
              <w:overflowPunct/>
              <w:autoSpaceDE/>
              <w:autoSpaceDN/>
              <w:adjustRightInd/>
              <w:spacing w:before="0" w:after="0"/>
              <w:ind w:left="284"/>
              <w:rPr>
                <w:rFonts w:ascii="Arial Narrow" w:hAnsi="Arial Narrow" w:cs="Arial"/>
                <w:kern w:val="0"/>
                <w:sz w:val="18"/>
                <w:szCs w:val="18"/>
              </w:rPr>
            </w:pPr>
            <w:r w:rsidRPr="004B2A9B">
              <w:rPr>
                <w:rFonts w:ascii="Arial Narrow" w:hAnsi="Arial Narrow" w:cs="Arial"/>
                <w:kern w:val="0"/>
                <w:sz w:val="18"/>
                <w:szCs w:val="18"/>
              </w:rPr>
              <w:t>Energetici regolamentati</w:t>
            </w:r>
          </w:p>
        </w:tc>
        <w:tc>
          <w:tcPr>
            <w:tcW w:w="1048" w:type="dxa"/>
            <w:shd w:val="clear" w:color="000000" w:fill="D9D9D9"/>
            <w:vAlign w:val="center"/>
          </w:tcPr>
          <w:p w:rsidR="0047685C" w:rsidRPr="000148F1" w:rsidRDefault="0047685C" w:rsidP="0047685C">
            <w:pPr>
              <w:widowControl/>
              <w:overflowPunct/>
              <w:autoSpaceDE/>
              <w:autoSpaceDN/>
              <w:adjustRightInd/>
              <w:spacing w:before="0" w:after="0"/>
              <w:ind w:right="57"/>
              <w:jc w:val="right"/>
              <w:rPr>
                <w:rFonts w:ascii="Arial Narrow" w:hAnsi="Arial Narrow" w:cs="Arial"/>
                <w:kern w:val="0"/>
                <w:sz w:val="18"/>
                <w:szCs w:val="18"/>
              </w:rPr>
            </w:pPr>
            <w:r w:rsidRPr="000148F1">
              <w:rPr>
                <w:rFonts w:ascii="Arial Narrow" w:hAnsi="Arial Narrow" w:cs="Arial"/>
                <w:kern w:val="0"/>
                <w:sz w:val="18"/>
                <w:szCs w:val="18"/>
              </w:rPr>
              <w:t>8.816</w:t>
            </w:r>
          </w:p>
        </w:tc>
        <w:tc>
          <w:tcPr>
            <w:tcW w:w="909" w:type="dxa"/>
            <w:shd w:val="clear" w:color="auto" w:fill="auto"/>
            <w:vAlign w:val="center"/>
          </w:tcPr>
          <w:p w:rsidR="0047685C" w:rsidRPr="0047685C" w:rsidRDefault="0047685C" w:rsidP="0047685C">
            <w:pPr>
              <w:widowControl/>
              <w:overflowPunct/>
              <w:autoSpaceDE/>
              <w:autoSpaceDN/>
              <w:adjustRightInd/>
              <w:spacing w:before="0" w:after="0"/>
              <w:jc w:val="right"/>
              <w:rPr>
                <w:rFonts w:ascii="Arial Narrow" w:hAnsi="Arial Narrow" w:cs="Arial"/>
                <w:kern w:val="0"/>
                <w:sz w:val="18"/>
                <w:szCs w:val="18"/>
              </w:rPr>
            </w:pPr>
            <w:r w:rsidRPr="0047685C">
              <w:rPr>
                <w:rFonts w:ascii="Arial Narrow" w:hAnsi="Arial Narrow" w:cs="Arial"/>
                <w:kern w:val="0"/>
                <w:sz w:val="18"/>
                <w:szCs w:val="18"/>
              </w:rPr>
              <w:t>+5,5</w:t>
            </w:r>
          </w:p>
        </w:tc>
        <w:tc>
          <w:tcPr>
            <w:tcW w:w="971" w:type="dxa"/>
            <w:shd w:val="clear" w:color="000000" w:fill="D9D9D9"/>
            <w:vAlign w:val="center"/>
          </w:tcPr>
          <w:p w:rsidR="0047685C" w:rsidRPr="0047685C" w:rsidRDefault="0047685C" w:rsidP="0047685C">
            <w:pPr>
              <w:widowControl/>
              <w:overflowPunct/>
              <w:autoSpaceDE/>
              <w:autoSpaceDN/>
              <w:adjustRightInd/>
              <w:spacing w:before="0" w:after="0"/>
              <w:jc w:val="right"/>
              <w:rPr>
                <w:rFonts w:ascii="Arial Narrow" w:hAnsi="Arial Narrow" w:cs="Arial"/>
                <w:kern w:val="0"/>
                <w:sz w:val="18"/>
                <w:szCs w:val="18"/>
              </w:rPr>
            </w:pPr>
            <w:r w:rsidRPr="0047685C">
              <w:rPr>
                <w:rFonts w:ascii="Arial Narrow" w:hAnsi="Arial Narrow" w:cs="Arial"/>
                <w:kern w:val="0"/>
                <w:sz w:val="18"/>
                <w:szCs w:val="18"/>
              </w:rPr>
              <w:t>-1,8</w:t>
            </w:r>
          </w:p>
        </w:tc>
        <w:tc>
          <w:tcPr>
            <w:tcW w:w="967" w:type="dxa"/>
            <w:shd w:val="clear" w:color="auto" w:fill="auto"/>
            <w:vAlign w:val="center"/>
          </w:tcPr>
          <w:p w:rsidR="0047685C" w:rsidRPr="0047685C" w:rsidRDefault="0047685C" w:rsidP="0047685C">
            <w:pPr>
              <w:widowControl/>
              <w:overflowPunct/>
              <w:autoSpaceDE/>
              <w:autoSpaceDN/>
              <w:adjustRightInd/>
              <w:spacing w:before="0" w:after="0"/>
              <w:jc w:val="right"/>
              <w:rPr>
                <w:rFonts w:ascii="Arial Narrow" w:hAnsi="Arial Narrow" w:cs="Arial"/>
                <w:kern w:val="0"/>
                <w:sz w:val="18"/>
                <w:szCs w:val="18"/>
              </w:rPr>
            </w:pPr>
            <w:r w:rsidRPr="0047685C">
              <w:rPr>
                <w:rFonts w:ascii="Arial Narrow" w:hAnsi="Arial Narrow" w:cs="Arial"/>
                <w:kern w:val="0"/>
                <w:sz w:val="18"/>
                <w:szCs w:val="18"/>
              </w:rPr>
              <w:t>+11,3</w:t>
            </w:r>
          </w:p>
        </w:tc>
        <w:tc>
          <w:tcPr>
            <w:tcW w:w="834" w:type="dxa"/>
            <w:shd w:val="clear" w:color="000000" w:fill="D9D9D9"/>
            <w:vAlign w:val="center"/>
          </w:tcPr>
          <w:p w:rsidR="0047685C" w:rsidRPr="0047685C" w:rsidRDefault="0047685C" w:rsidP="0047685C">
            <w:pPr>
              <w:widowControl/>
              <w:overflowPunct/>
              <w:autoSpaceDE/>
              <w:autoSpaceDN/>
              <w:adjustRightInd/>
              <w:spacing w:before="0" w:after="0"/>
              <w:jc w:val="right"/>
              <w:rPr>
                <w:rFonts w:ascii="Arial Narrow" w:hAnsi="Arial Narrow" w:cs="Arial"/>
                <w:kern w:val="0"/>
                <w:sz w:val="18"/>
                <w:szCs w:val="18"/>
              </w:rPr>
            </w:pPr>
            <w:r w:rsidRPr="0047685C">
              <w:rPr>
                <w:rFonts w:ascii="Arial Narrow" w:hAnsi="Arial Narrow" w:cs="Arial"/>
                <w:kern w:val="0"/>
                <w:sz w:val="18"/>
                <w:szCs w:val="18"/>
              </w:rPr>
              <w:t>+3,5</w:t>
            </w:r>
          </w:p>
        </w:tc>
        <w:tc>
          <w:tcPr>
            <w:tcW w:w="1050" w:type="dxa"/>
            <w:shd w:val="clear" w:color="auto" w:fill="auto"/>
            <w:vAlign w:val="center"/>
          </w:tcPr>
          <w:p w:rsidR="0047685C" w:rsidRPr="0047685C" w:rsidRDefault="0047685C" w:rsidP="0047685C">
            <w:pPr>
              <w:widowControl/>
              <w:overflowPunct/>
              <w:autoSpaceDE/>
              <w:autoSpaceDN/>
              <w:adjustRightInd/>
              <w:spacing w:before="0" w:after="0"/>
              <w:jc w:val="right"/>
              <w:rPr>
                <w:rFonts w:ascii="Arial Narrow" w:hAnsi="Arial Narrow" w:cs="Arial"/>
                <w:kern w:val="0"/>
                <w:sz w:val="18"/>
                <w:szCs w:val="18"/>
              </w:rPr>
            </w:pPr>
            <w:r w:rsidRPr="0047685C">
              <w:rPr>
                <w:rFonts w:ascii="Arial Narrow" w:hAnsi="Arial Narrow" w:cs="Arial"/>
                <w:kern w:val="0"/>
                <w:sz w:val="18"/>
                <w:szCs w:val="18"/>
              </w:rPr>
              <w:t>-4,1</w:t>
            </w:r>
          </w:p>
        </w:tc>
      </w:tr>
      <w:tr w:rsidR="0047685C" w:rsidRPr="004B2A9B" w:rsidTr="000127DA">
        <w:trPr>
          <w:trHeight w:val="255"/>
          <w:jc w:val="center"/>
        </w:trPr>
        <w:tc>
          <w:tcPr>
            <w:tcW w:w="4395" w:type="dxa"/>
            <w:shd w:val="clear" w:color="auto" w:fill="auto"/>
            <w:noWrap/>
            <w:vAlign w:val="center"/>
            <w:hideMark/>
          </w:tcPr>
          <w:p w:rsidR="0047685C" w:rsidRPr="004B2A9B" w:rsidRDefault="0047685C" w:rsidP="0047685C">
            <w:pPr>
              <w:widowControl/>
              <w:overflowPunct/>
              <w:autoSpaceDE/>
              <w:autoSpaceDN/>
              <w:adjustRightInd/>
              <w:spacing w:before="0" w:after="0"/>
              <w:ind w:left="284"/>
              <w:rPr>
                <w:rFonts w:ascii="Arial Narrow" w:hAnsi="Arial Narrow" w:cs="Arial"/>
                <w:kern w:val="0"/>
                <w:sz w:val="18"/>
                <w:szCs w:val="18"/>
              </w:rPr>
            </w:pPr>
            <w:r w:rsidRPr="004B2A9B">
              <w:rPr>
                <w:rFonts w:ascii="Arial Narrow" w:hAnsi="Arial Narrow" w:cs="Arial"/>
                <w:kern w:val="0"/>
                <w:sz w:val="18"/>
                <w:szCs w:val="18"/>
              </w:rPr>
              <w:t>Energetici non regolamentati</w:t>
            </w:r>
          </w:p>
        </w:tc>
        <w:tc>
          <w:tcPr>
            <w:tcW w:w="1048" w:type="dxa"/>
            <w:shd w:val="clear" w:color="000000" w:fill="D9D9D9"/>
            <w:vAlign w:val="center"/>
          </w:tcPr>
          <w:p w:rsidR="0047685C" w:rsidRPr="000148F1" w:rsidRDefault="0047685C" w:rsidP="0047685C">
            <w:pPr>
              <w:widowControl/>
              <w:overflowPunct/>
              <w:autoSpaceDE/>
              <w:autoSpaceDN/>
              <w:adjustRightInd/>
              <w:spacing w:before="0" w:after="0"/>
              <w:ind w:right="57"/>
              <w:jc w:val="right"/>
              <w:rPr>
                <w:rFonts w:ascii="Arial Narrow" w:hAnsi="Arial Narrow" w:cs="Arial"/>
                <w:kern w:val="0"/>
                <w:sz w:val="18"/>
                <w:szCs w:val="18"/>
              </w:rPr>
            </w:pPr>
            <w:r w:rsidRPr="000148F1">
              <w:rPr>
                <w:rFonts w:ascii="Arial Narrow" w:hAnsi="Arial Narrow" w:cs="Arial"/>
                <w:kern w:val="0"/>
                <w:sz w:val="18"/>
                <w:szCs w:val="18"/>
              </w:rPr>
              <w:t>94.752</w:t>
            </w:r>
          </w:p>
        </w:tc>
        <w:tc>
          <w:tcPr>
            <w:tcW w:w="909" w:type="dxa"/>
            <w:shd w:val="clear" w:color="auto" w:fill="auto"/>
            <w:vAlign w:val="center"/>
          </w:tcPr>
          <w:p w:rsidR="0047685C" w:rsidRPr="0047685C" w:rsidRDefault="0047685C" w:rsidP="0047685C">
            <w:pPr>
              <w:widowControl/>
              <w:overflowPunct/>
              <w:autoSpaceDE/>
              <w:autoSpaceDN/>
              <w:adjustRightInd/>
              <w:spacing w:before="0" w:after="0"/>
              <w:jc w:val="right"/>
              <w:rPr>
                <w:rFonts w:ascii="Arial Narrow" w:hAnsi="Arial Narrow" w:cs="Arial"/>
                <w:kern w:val="0"/>
                <w:sz w:val="18"/>
                <w:szCs w:val="18"/>
              </w:rPr>
            </w:pPr>
            <w:r w:rsidRPr="0047685C">
              <w:rPr>
                <w:rFonts w:ascii="Arial Narrow" w:hAnsi="Arial Narrow" w:cs="Arial"/>
                <w:kern w:val="0"/>
                <w:sz w:val="18"/>
                <w:szCs w:val="18"/>
              </w:rPr>
              <w:t>+3,3</w:t>
            </w:r>
          </w:p>
        </w:tc>
        <w:tc>
          <w:tcPr>
            <w:tcW w:w="971" w:type="dxa"/>
            <w:shd w:val="clear" w:color="000000" w:fill="D9D9D9"/>
            <w:vAlign w:val="center"/>
          </w:tcPr>
          <w:p w:rsidR="0047685C" w:rsidRPr="0047685C" w:rsidRDefault="0047685C" w:rsidP="0047685C">
            <w:pPr>
              <w:widowControl/>
              <w:overflowPunct/>
              <w:autoSpaceDE/>
              <w:autoSpaceDN/>
              <w:adjustRightInd/>
              <w:spacing w:before="0" w:after="0"/>
              <w:jc w:val="right"/>
              <w:rPr>
                <w:rFonts w:ascii="Arial Narrow" w:hAnsi="Arial Narrow" w:cs="Arial"/>
                <w:kern w:val="0"/>
                <w:sz w:val="18"/>
                <w:szCs w:val="18"/>
              </w:rPr>
            </w:pPr>
            <w:r w:rsidRPr="0047685C">
              <w:rPr>
                <w:rFonts w:ascii="Arial Narrow" w:hAnsi="Arial Narrow" w:cs="Arial"/>
                <w:kern w:val="0"/>
                <w:sz w:val="18"/>
                <w:szCs w:val="18"/>
              </w:rPr>
              <w:t>-1,3</w:t>
            </w:r>
          </w:p>
        </w:tc>
        <w:tc>
          <w:tcPr>
            <w:tcW w:w="967" w:type="dxa"/>
            <w:shd w:val="clear" w:color="auto" w:fill="auto"/>
            <w:vAlign w:val="center"/>
          </w:tcPr>
          <w:p w:rsidR="0047685C" w:rsidRPr="0047685C" w:rsidRDefault="0047685C" w:rsidP="0047685C">
            <w:pPr>
              <w:widowControl/>
              <w:overflowPunct/>
              <w:autoSpaceDE/>
              <w:autoSpaceDN/>
              <w:adjustRightInd/>
              <w:spacing w:before="0" w:after="0"/>
              <w:jc w:val="right"/>
              <w:rPr>
                <w:rFonts w:ascii="Arial Narrow" w:hAnsi="Arial Narrow" w:cs="Arial"/>
                <w:kern w:val="0"/>
                <w:sz w:val="18"/>
                <w:szCs w:val="18"/>
              </w:rPr>
            </w:pPr>
            <w:r w:rsidRPr="0047685C">
              <w:rPr>
                <w:rFonts w:ascii="Arial Narrow" w:hAnsi="Arial Narrow" w:cs="Arial"/>
                <w:kern w:val="0"/>
                <w:sz w:val="18"/>
                <w:szCs w:val="18"/>
              </w:rPr>
              <w:t>-6,1</w:t>
            </w:r>
          </w:p>
        </w:tc>
        <w:tc>
          <w:tcPr>
            <w:tcW w:w="834" w:type="dxa"/>
            <w:shd w:val="clear" w:color="000000" w:fill="D9D9D9"/>
            <w:vAlign w:val="center"/>
          </w:tcPr>
          <w:p w:rsidR="0047685C" w:rsidRPr="0047685C" w:rsidRDefault="0047685C" w:rsidP="0047685C">
            <w:pPr>
              <w:widowControl/>
              <w:overflowPunct/>
              <w:autoSpaceDE/>
              <w:autoSpaceDN/>
              <w:adjustRightInd/>
              <w:spacing w:before="0" w:after="0"/>
              <w:jc w:val="right"/>
              <w:rPr>
                <w:rFonts w:ascii="Arial Narrow" w:hAnsi="Arial Narrow" w:cs="Arial"/>
                <w:kern w:val="0"/>
                <w:sz w:val="18"/>
                <w:szCs w:val="18"/>
              </w:rPr>
            </w:pPr>
            <w:r w:rsidRPr="0047685C">
              <w:rPr>
                <w:rFonts w:ascii="Arial Narrow" w:hAnsi="Arial Narrow" w:cs="Arial"/>
                <w:kern w:val="0"/>
                <w:sz w:val="18"/>
                <w:szCs w:val="18"/>
              </w:rPr>
              <w:t>-10,3</w:t>
            </w:r>
          </w:p>
        </w:tc>
        <w:tc>
          <w:tcPr>
            <w:tcW w:w="1050" w:type="dxa"/>
            <w:shd w:val="clear" w:color="auto" w:fill="auto"/>
            <w:vAlign w:val="center"/>
          </w:tcPr>
          <w:p w:rsidR="0047685C" w:rsidRPr="0047685C" w:rsidRDefault="0047685C" w:rsidP="0047685C">
            <w:pPr>
              <w:widowControl/>
              <w:overflowPunct/>
              <w:autoSpaceDE/>
              <w:autoSpaceDN/>
              <w:adjustRightInd/>
              <w:spacing w:before="0" w:after="0"/>
              <w:jc w:val="right"/>
              <w:rPr>
                <w:rFonts w:ascii="Arial Narrow" w:hAnsi="Arial Narrow" w:cs="Arial"/>
                <w:kern w:val="0"/>
                <w:sz w:val="18"/>
                <w:szCs w:val="18"/>
              </w:rPr>
            </w:pPr>
            <w:r w:rsidRPr="0047685C">
              <w:rPr>
                <w:rFonts w:ascii="Arial Narrow" w:hAnsi="Arial Narrow" w:cs="Arial"/>
                <w:kern w:val="0"/>
                <w:sz w:val="18"/>
                <w:szCs w:val="18"/>
              </w:rPr>
              <w:t>-10,4</w:t>
            </w:r>
          </w:p>
        </w:tc>
      </w:tr>
      <w:tr w:rsidR="0047685C" w:rsidRPr="004B2A9B" w:rsidTr="000127DA">
        <w:trPr>
          <w:trHeight w:val="255"/>
          <w:jc w:val="center"/>
        </w:trPr>
        <w:tc>
          <w:tcPr>
            <w:tcW w:w="4395" w:type="dxa"/>
            <w:shd w:val="clear" w:color="auto" w:fill="auto"/>
            <w:noWrap/>
            <w:vAlign w:val="center"/>
            <w:hideMark/>
          </w:tcPr>
          <w:p w:rsidR="0047685C" w:rsidRPr="004B2A9B" w:rsidRDefault="0047685C" w:rsidP="0047685C">
            <w:pPr>
              <w:widowControl/>
              <w:overflowPunct/>
              <w:autoSpaceDE/>
              <w:autoSpaceDN/>
              <w:adjustRightInd/>
              <w:spacing w:before="0" w:after="0"/>
              <w:rPr>
                <w:rFonts w:ascii="Arial Narrow" w:hAnsi="Arial Narrow" w:cs="Arial"/>
                <w:kern w:val="0"/>
                <w:sz w:val="18"/>
                <w:szCs w:val="18"/>
              </w:rPr>
            </w:pPr>
            <w:r w:rsidRPr="004B2A9B">
              <w:rPr>
                <w:rFonts w:ascii="Arial Narrow" w:hAnsi="Arial Narrow" w:cs="Arial"/>
                <w:kern w:val="0"/>
                <w:sz w:val="18"/>
                <w:szCs w:val="18"/>
              </w:rPr>
              <w:t>Tabacchi</w:t>
            </w:r>
          </w:p>
        </w:tc>
        <w:tc>
          <w:tcPr>
            <w:tcW w:w="1048" w:type="dxa"/>
            <w:shd w:val="clear" w:color="000000" w:fill="D9D9D9"/>
            <w:vAlign w:val="center"/>
          </w:tcPr>
          <w:p w:rsidR="0047685C" w:rsidRPr="000148F1" w:rsidRDefault="0047685C" w:rsidP="0047685C">
            <w:pPr>
              <w:widowControl/>
              <w:overflowPunct/>
              <w:autoSpaceDE/>
              <w:autoSpaceDN/>
              <w:adjustRightInd/>
              <w:spacing w:before="0" w:after="0"/>
              <w:ind w:right="57"/>
              <w:jc w:val="right"/>
              <w:rPr>
                <w:rFonts w:ascii="Arial Narrow" w:hAnsi="Arial Narrow" w:cs="Arial"/>
                <w:kern w:val="0"/>
                <w:sz w:val="18"/>
                <w:szCs w:val="18"/>
              </w:rPr>
            </w:pPr>
            <w:r w:rsidRPr="000148F1">
              <w:rPr>
                <w:rFonts w:ascii="Arial Narrow" w:hAnsi="Arial Narrow" w:cs="Arial"/>
                <w:kern w:val="0"/>
                <w:sz w:val="18"/>
                <w:szCs w:val="18"/>
              </w:rPr>
              <w:t>19.605</w:t>
            </w:r>
          </w:p>
        </w:tc>
        <w:tc>
          <w:tcPr>
            <w:tcW w:w="909" w:type="dxa"/>
            <w:shd w:val="clear" w:color="auto" w:fill="auto"/>
            <w:vAlign w:val="center"/>
          </w:tcPr>
          <w:p w:rsidR="0047685C" w:rsidRPr="0047685C" w:rsidRDefault="0047685C" w:rsidP="0047685C">
            <w:pPr>
              <w:widowControl/>
              <w:overflowPunct/>
              <w:autoSpaceDE/>
              <w:autoSpaceDN/>
              <w:adjustRightInd/>
              <w:spacing w:before="0" w:after="0"/>
              <w:jc w:val="right"/>
              <w:rPr>
                <w:rFonts w:ascii="Arial Narrow" w:hAnsi="Arial Narrow" w:cs="Arial"/>
                <w:kern w:val="0"/>
                <w:sz w:val="18"/>
                <w:szCs w:val="18"/>
              </w:rPr>
            </w:pPr>
            <w:r w:rsidRPr="0047685C">
              <w:rPr>
                <w:rFonts w:ascii="Arial Narrow" w:hAnsi="Arial Narrow" w:cs="Arial"/>
                <w:kern w:val="0"/>
                <w:sz w:val="18"/>
                <w:szCs w:val="18"/>
              </w:rPr>
              <w:t>0,0</w:t>
            </w:r>
          </w:p>
        </w:tc>
        <w:tc>
          <w:tcPr>
            <w:tcW w:w="971" w:type="dxa"/>
            <w:shd w:val="clear" w:color="000000" w:fill="D9D9D9"/>
            <w:vAlign w:val="center"/>
          </w:tcPr>
          <w:p w:rsidR="0047685C" w:rsidRPr="0047685C" w:rsidRDefault="0047685C" w:rsidP="0047685C">
            <w:pPr>
              <w:widowControl/>
              <w:overflowPunct/>
              <w:autoSpaceDE/>
              <w:autoSpaceDN/>
              <w:adjustRightInd/>
              <w:spacing w:before="0" w:after="0"/>
              <w:jc w:val="right"/>
              <w:rPr>
                <w:rFonts w:ascii="Arial Narrow" w:hAnsi="Arial Narrow" w:cs="Arial"/>
                <w:kern w:val="0"/>
                <w:sz w:val="18"/>
                <w:szCs w:val="18"/>
              </w:rPr>
            </w:pPr>
            <w:r w:rsidRPr="0047685C">
              <w:rPr>
                <w:rFonts w:ascii="Arial Narrow" w:hAnsi="Arial Narrow" w:cs="Arial"/>
                <w:kern w:val="0"/>
                <w:sz w:val="18"/>
                <w:szCs w:val="18"/>
              </w:rPr>
              <w:t>-0,6</w:t>
            </w:r>
          </w:p>
        </w:tc>
        <w:tc>
          <w:tcPr>
            <w:tcW w:w="967" w:type="dxa"/>
            <w:shd w:val="clear" w:color="auto" w:fill="auto"/>
            <w:vAlign w:val="center"/>
          </w:tcPr>
          <w:p w:rsidR="0047685C" w:rsidRPr="0047685C" w:rsidRDefault="0047685C" w:rsidP="0047685C">
            <w:pPr>
              <w:widowControl/>
              <w:overflowPunct/>
              <w:autoSpaceDE/>
              <w:autoSpaceDN/>
              <w:adjustRightInd/>
              <w:spacing w:before="0" w:after="0"/>
              <w:jc w:val="right"/>
              <w:rPr>
                <w:rFonts w:ascii="Arial Narrow" w:hAnsi="Arial Narrow" w:cs="Arial"/>
                <w:kern w:val="0"/>
                <w:sz w:val="18"/>
                <w:szCs w:val="18"/>
              </w:rPr>
            </w:pPr>
            <w:r w:rsidRPr="0047685C">
              <w:rPr>
                <w:rFonts w:ascii="Arial Narrow" w:hAnsi="Arial Narrow" w:cs="Arial"/>
                <w:kern w:val="0"/>
                <w:sz w:val="18"/>
                <w:szCs w:val="18"/>
              </w:rPr>
              <w:t>+4,1</w:t>
            </w:r>
          </w:p>
        </w:tc>
        <w:tc>
          <w:tcPr>
            <w:tcW w:w="834" w:type="dxa"/>
            <w:shd w:val="clear" w:color="000000" w:fill="D9D9D9"/>
            <w:vAlign w:val="center"/>
          </w:tcPr>
          <w:p w:rsidR="0047685C" w:rsidRPr="0047685C" w:rsidRDefault="0047685C" w:rsidP="0047685C">
            <w:pPr>
              <w:widowControl/>
              <w:overflowPunct/>
              <w:autoSpaceDE/>
              <w:autoSpaceDN/>
              <w:adjustRightInd/>
              <w:spacing w:before="0" w:after="0"/>
              <w:jc w:val="right"/>
              <w:rPr>
                <w:rFonts w:ascii="Arial Narrow" w:hAnsi="Arial Narrow" w:cs="Arial"/>
                <w:kern w:val="0"/>
                <w:sz w:val="18"/>
                <w:szCs w:val="18"/>
              </w:rPr>
            </w:pPr>
            <w:r w:rsidRPr="0047685C">
              <w:rPr>
                <w:rFonts w:ascii="Arial Narrow" w:hAnsi="Arial Narrow" w:cs="Arial"/>
                <w:kern w:val="0"/>
                <w:sz w:val="18"/>
                <w:szCs w:val="18"/>
              </w:rPr>
              <w:t>+3,4</w:t>
            </w:r>
          </w:p>
        </w:tc>
        <w:tc>
          <w:tcPr>
            <w:tcW w:w="1050" w:type="dxa"/>
            <w:shd w:val="clear" w:color="auto" w:fill="auto"/>
            <w:vAlign w:val="center"/>
          </w:tcPr>
          <w:p w:rsidR="0047685C" w:rsidRPr="0047685C" w:rsidRDefault="0047685C" w:rsidP="0047685C">
            <w:pPr>
              <w:widowControl/>
              <w:overflowPunct/>
              <w:autoSpaceDE/>
              <w:autoSpaceDN/>
              <w:adjustRightInd/>
              <w:spacing w:before="0" w:after="0"/>
              <w:jc w:val="right"/>
              <w:rPr>
                <w:rFonts w:ascii="Arial Narrow" w:hAnsi="Arial Narrow" w:cs="Arial"/>
                <w:kern w:val="0"/>
                <w:sz w:val="18"/>
                <w:szCs w:val="18"/>
              </w:rPr>
            </w:pPr>
            <w:r w:rsidRPr="0047685C">
              <w:rPr>
                <w:rFonts w:ascii="Arial Narrow" w:hAnsi="Arial Narrow" w:cs="Arial"/>
                <w:kern w:val="0"/>
                <w:sz w:val="18"/>
                <w:szCs w:val="18"/>
              </w:rPr>
              <w:t>+3,4</w:t>
            </w:r>
          </w:p>
        </w:tc>
      </w:tr>
      <w:tr w:rsidR="0047685C" w:rsidRPr="004B2A9B" w:rsidTr="000127DA">
        <w:trPr>
          <w:trHeight w:val="255"/>
          <w:jc w:val="center"/>
        </w:trPr>
        <w:tc>
          <w:tcPr>
            <w:tcW w:w="4395" w:type="dxa"/>
            <w:shd w:val="clear" w:color="auto" w:fill="auto"/>
            <w:noWrap/>
            <w:vAlign w:val="center"/>
            <w:hideMark/>
          </w:tcPr>
          <w:p w:rsidR="0047685C" w:rsidRPr="004B2A9B" w:rsidRDefault="0047685C" w:rsidP="0047685C">
            <w:pPr>
              <w:widowControl/>
              <w:overflowPunct/>
              <w:autoSpaceDE/>
              <w:autoSpaceDN/>
              <w:adjustRightInd/>
              <w:spacing w:before="0" w:after="0"/>
              <w:rPr>
                <w:rFonts w:ascii="Arial Narrow" w:hAnsi="Arial Narrow" w:cs="Arial"/>
                <w:kern w:val="0"/>
                <w:sz w:val="18"/>
                <w:szCs w:val="18"/>
              </w:rPr>
            </w:pPr>
            <w:r w:rsidRPr="004B2A9B">
              <w:rPr>
                <w:rFonts w:ascii="Arial Narrow" w:hAnsi="Arial Narrow" w:cs="Arial"/>
                <w:kern w:val="0"/>
                <w:sz w:val="18"/>
                <w:szCs w:val="18"/>
              </w:rPr>
              <w:t>Altri beni, di cui:</w:t>
            </w:r>
          </w:p>
        </w:tc>
        <w:tc>
          <w:tcPr>
            <w:tcW w:w="1048" w:type="dxa"/>
            <w:shd w:val="clear" w:color="000000" w:fill="D9D9D9"/>
            <w:vAlign w:val="center"/>
          </w:tcPr>
          <w:p w:rsidR="0047685C" w:rsidRPr="000148F1" w:rsidRDefault="0047685C" w:rsidP="0047685C">
            <w:pPr>
              <w:widowControl/>
              <w:overflowPunct/>
              <w:autoSpaceDE/>
              <w:autoSpaceDN/>
              <w:adjustRightInd/>
              <w:spacing w:before="0" w:after="0"/>
              <w:ind w:right="57"/>
              <w:jc w:val="right"/>
              <w:rPr>
                <w:rFonts w:ascii="Arial Narrow" w:hAnsi="Arial Narrow" w:cs="Arial"/>
                <w:kern w:val="0"/>
                <w:sz w:val="18"/>
                <w:szCs w:val="18"/>
              </w:rPr>
            </w:pPr>
            <w:r w:rsidRPr="000148F1">
              <w:rPr>
                <w:rFonts w:ascii="Arial Narrow" w:hAnsi="Arial Narrow" w:cs="Arial"/>
                <w:kern w:val="0"/>
                <w:sz w:val="18"/>
                <w:szCs w:val="18"/>
              </w:rPr>
              <w:t>261.476</w:t>
            </w:r>
          </w:p>
        </w:tc>
        <w:tc>
          <w:tcPr>
            <w:tcW w:w="909" w:type="dxa"/>
            <w:shd w:val="clear" w:color="auto" w:fill="auto"/>
            <w:vAlign w:val="center"/>
          </w:tcPr>
          <w:p w:rsidR="0047685C" w:rsidRPr="0047685C" w:rsidRDefault="0047685C" w:rsidP="0047685C">
            <w:pPr>
              <w:widowControl/>
              <w:overflowPunct/>
              <w:autoSpaceDE/>
              <w:autoSpaceDN/>
              <w:adjustRightInd/>
              <w:spacing w:before="0" w:after="0"/>
              <w:jc w:val="right"/>
              <w:rPr>
                <w:rFonts w:ascii="Arial Narrow" w:hAnsi="Arial Narrow" w:cs="Arial"/>
                <w:kern w:val="0"/>
                <w:sz w:val="18"/>
                <w:szCs w:val="18"/>
              </w:rPr>
            </w:pPr>
            <w:r w:rsidRPr="0047685C">
              <w:rPr>
                <w:rFonts w:ascii="Arial Narrow" w:hAnsi="Arial Narrow" w:cs="Arial"/>
                <w:kern w:val="0"/>
                <w:sz w:val="18"/>
                <w:szCs w:val="18"/>
              </w:rPr>
              <w:t>-0,1</w:t>
            </w:r>
          </w:p>
        </w:tc>
        <w:tc>
          <w:tcPr>
            <w:tcW w:w="971" w:type="dxa"/>
            <w:shd w:val="clear" w:color="000000" w:fill="D9D9D9"/>
            <w:vAlign w:val="center"/>
          </w:tcPr>
          <w:p w:rsidR="0047685C" w:rsidRPr="0047685C" w:rsidRDefault="0047685C" w:rsidP="0047685C">
            <w:pPr>
              <w:widowControl/>
              <w:overflowPunct/>
              <w:autoSpaceDE/>
              <w:autoSpaceDN/>
              <w:adjustRightInd/>
              <w:spacing w:before="0" w:after="0"/>
              <w:jc w:val="right"/>
              <w:rPr>
                <w:rFonts w:ascii="Arial Narrow" w:hAnsi="Arial Narrow" w:cs="Arial"/>
                <w:kern w:val="0"/>
                <w:sz w:val="18"/>
                <w:szCs w:val="18"/>
              </w:rPr>
            </w:pPr>
            <w:r w:rsidRPr="0047685C">
              <w:rPr>
                <w:rFonts w:ascii="Arial Narrow" w:hAnsi="Arial Narrow" w:cs="Arial"/>
                <w:kern w:val="0"/>
                <w:sz w:val="18"/>
                <w:szCs w:val="18"/>
              </w:rPr>
              <w:t>0,0</w:t>
            </w:r>
          </w:p>
        </w:tc>
        <w:tc>
          <w:tcPr>
            <w:tcW w:w="967" w:type="dxa"/>
            <w:shd w:val="clear" w:color="auto" w:fill="auto"/>
            <w:vAlign w:val="center"/>
          </w:tcPr>
          <w:p w:rsidR="0047685C" w:rsidRPr="0047685C" w:rsidRDefault="0047685C" w:rsidP="0047685C">
            <w:pPr>
              <w:widowControl/>
              <w:overflowPunct/>
              <w:autoSpaceDE/>
              <w:autoSpaceDN/>
              <w:adjustRightInd/>
              <w:spacing w:before="0" w:after="0"/>
              <w:jc w:val="right"/>
              <w:rPr>
                <w:rFonts w:ascii="Arial Narrow" w:hAnsi="Arial Narrow" w:cs="Arial"/>
                <w:kern w:val="0"/>
                <w:sz w:val="18"/>
                <w:szCs w:val="18"/>
              </w:rPr>
            </w:pPr>
            <w:r w:rsidRPr="0047685C">
              <w:rPr>
                <w:rFonts w:ascii="Arial Narrow" w:hAnsi="Arial Narrow" w:cs="Arial"/>
                <w:kern w:val="0"/>
                <w:sz w:val="18"/>
                <w:szCs w:val="18"/>
              </w:rPr>
              <w:t>+0,3</w:t>
            </w:r>
          </w:p>
        </w:tc>
        <w:tc>
          <w:tcPr>
            <w:tcW w:w="834" w:type="dxa"/>
            <w:shd w:val="clear" w:color="000000" w:fill="D9D9D9"/>
            <w:vAlign w:val="center"/>
          </w:tcPr>
          <w:p w:rsidR="0047685C" w:rsidRPr="0047685C" w:rsidRDefault="0047685C" w:rsidP="0047685C">
            <w:pPr>
              <w:widowControl/>
              <w:overflowPunct/>
              <w:autoSpaceDE/>
              <w:autoSpaceDN/>
              <w:adjustRightInd/>
              <w:spacing w:before="0" w:after="0"/>
              <w:jc w:val="right"/>
              <w:rPr>
                <w:rFonts w:ascii="Arial Narrow" w:hAnsi="Arial Narrow" w:cs="Arial"/>
                <w:kern w:val="0"/>
                <w:sz w:val="18"/>
                <w:szCs w:val="18"/>
              </w:rPr>
            </w:pPr>
            <w:r w:rsidRPr="0047685C">
              <w:rPr>
                <w:rFonts w:ascii="Arial Narrow" w:hAnsi="Arial Narrow" w:cs="Arial"/>
                <w:kern w:val="0"/>
                <w:sz w:val="18"/>
                <w:szCs w:val="18"/>
              </w:rPr>
              <w:t>+0,4</w:t>
            </w:r>
          </w:p>
        </w:tc>
        <w:tc>
          <w:tcPr>
            <w:tcW w:w="1050" w:type="dxa"/>
            <w:shd w:val="clear" w:color="auto" w:fill="auto"/>
            <w:vAlign w:val="center"/>
          </w:tcPr>
          <w:p w:rsidR="0047685C" w:rsidRPr="0047685C" w:rsidRDefault="0047685C" w:rsidP="0047685C">
            <w:pPr>
              <w:widowControl/>
              <w:overflowPunct/>
              <w:autoSpaceDE/>
              <w:autoSpaceDN/>
              <w:adjustRightInd/>
              <w:spacing w:before="0" w:after="0"/>
              <w:jc w:val="right"/>
              <w:rPr>
                <w:rFonts w:ascii="Arial Narrow" w:hAnsi="Arial Narrow" w:cs="Arial"/>
                <w:kern w:val="0"/>
                <w:sz w:val="18"/>
                <w:szCs w:val="18"/>
              </w:rPr>
            </w:pPr>
            <w:r w:rsidRPr="0047685C">
              <w:rPr>
                <w:rFonts w:ascii="Arial Narrow" w:hAnsi="Arial Narrow" w:cs="Arial"/>
                <w:kern w:val="0"/>
                <w:sz w:val="18"/>
                <w:szCs w:val="18"/>
              </w:rPr>
              <w:t>+0,5</w:t>
            </w:r>
          </w:p>
        </w:tc>
      </w:tr>
      <w:tr w:rsidR="0047685C" w:rsidRPr="004B2A9B" w:rsidTr="000127DA">
        <w:trPr>
          <w:trHeight w:val="255"/>
          <w:jc w:val="center"/>
        </w:trPr>
        <w:tc>
          <w:tcPr>
            <w:tcW w:w="4395" w:type="dxa"/>
            <w:shd w:val="clear" w:color="auto" w:fill="auto"/>
            <w:noWrap/>
            <w:vAlign w:val="center"/>
            <w:hideMark/>
          </w:tcPr>
          <w:p w:rsidR="0047685C" w:rsidRPr="004B2A9B" w:rsidRDefault="0047685C" w:rsidP="0047685C">
            <w:pPr>
              <w:widowControl/>
              <w:overflowPunct/>
              <w:autoSpaceDE/>
              <w:autoSpaceDN/>
              <w:adjustRightInd/>
              <w:spacing w:before="0" w:after="0"/>
              <w:ind w:left="284"/>
              <w:rPr>
                <w:rFonts w:ascii="Arial Narrow" w:hAnsi="Arial Narrow" w:cs="Arial"/>
                <w:kern w:val="0"/>
                <w:sz w:val="18"/>
                <w:szCs w:val="18"/>
              </w:rPr>
            </w:pPr>
            <w:r w:rsidRPr="004B2A9B">
              <w:rPr>
                <w:rFonts w:ascii="Arial Narrow" w:hAnsi="Arial Narrow" w:cs="Arial"/>
                <w:kern w:val="0"/>
                <w:sz w:val="18"/>
                <w:szCs w:val="18"/>
              </w:rPr>
              <w:t>Beni durevoli</w:t>
            </w:r>
          </w:p>
        </w:tc>
        <w:tc>
          <w:tcPr>
            <w:tcW w:w="1048" w:type="dxa"/>
            <w:shd w:val="clear" w:color="000000" w:fill="D9D9D9"/>
            <w:vAlign w:val="center"/>
          </w:tcPr>
          <w:p w:rsidR="0047685C" w:rsidRPr="000148F1" w:rsidRDefault="0047685C" w:rsidP="0047685C">
            <w:pPr>
              <w:widowControl/>
              <w:overflowPunct/>
              <w:autoSpaceDE/>
              <w:autoSpaceDN/>
              <w:adjustRightInd/>
              <w:spacing w:before="0" w:after="0"/>
              <w:ind w:right="57"/>
              <w:jc w:val="right"/>
              <w:rPr>
                <w:rFonts w:ascii="Arial Narrow" w:hAnsi="Arial Narrow" w:cs="Arial"/>
                <w:kern w:val="0"/>
                <w:sz w:val="18"/>
                <w:szCs w:val="18"/>
              </w:rPr>
            </w:pPr>
            <w:r w:rsidRPr="000148F1">
              <w:rPr>
                <w:rFonts w:ascii="Arial Narrow" w:hAnsi="Arial Narrow" w:cs="Arial"/>
                <w:kern w:val="0"/>
                <w:sz w:val="18"/>
                <w:szCs w:val="18"/>
              </w:rPr>
              <w:t>93.983</w:t>
            </w:r>
          </w:p>
        </w:tc>
        <w:tc>
          <w:tcPr>
            <w:tcW w:w="909" w:type="dxa"/>
            <w:shd w:val="clear" w:color="auto" w:fill="auto"/>
            <w:vAlign w:val="center"/>
          </w:tcPr>
          <w:p w:rsidR="0047685C" w:rsidRPr="0047685C" w:rsidRDefault="0047685C" w:rsidP="0047685C">
            <w:pPr>
              <w:widowControl/>
              <w:overflowPunct/>
              <w:autoSpaceDE/>
              <w:autoSpaceDN/>
              <w:adjustRightInd/>
              <w:spacing w:before="0" w:after="0"/>
              <w:jc w:val="right"/>
              <w:rPr>
                <w:rFonts w:ascii="Arial Narrow" w:hAnsi="Arial Narrow" w:cs="Arial"/>
                <w:kern w:val="0"/>
                <w:sz w:val="18"/>
                <w:szCs w:val="18"/>
              </w:rPr>
            </w:pPr>
            <w:r w:rsidRPr="0047685C">
              <w:rPr>
                <w:rFonts w:ascii="Arial Narrow" w:hAnsi="Arial Narrow" w:cs="Arial"/>
                <w:kern w:val="0"/>
                <w:sz w:val="18"/>
                <w:szCs w:val="18"/>
              </w:rPr>
              <w:t>-0,2</w:t>
            </w:r>
          </w:p>
        </w:tc>
        <w:tc>
          <w:tcPr>
            <w:tcW w:w="971" w:type="dxa"/>
            <w:shd w:val="clear" w:color="000000" w:fill="D9D9D9"/>
            <w:vAlign w:val="center"/>
          </w:tcPr>
          <w:p w:rsidR="0047685C" w:rsidRPr="0047685C" w:rsidRDefault="0047685C" w:rsidP="0047685C">
            <w:pPr>
              <w:widowControl/>
              <w:overflowPunct/>
              <w:autoSpaceDE/>
              <w:autoSpaceDN/>
              <w:adjustRightInd/>
              <w:spacing w:before="0" w:after="0"/>
              <w:jc w:val="right"/>
              <w:rPr>
                <w:rFonts w:ascii="Arial Narrow" w:hAnsi="Arial Narrow" w:cs="Arial"/>
                <w:kern w:val="0"/>
                <w:sz w:val="18"/>
                <w:szCs w:val="18"/>
              </w:rPr>
            </w:pPr>
            <w:r w:rsidRPr="0047685C">
              <w:rPr>
                <w:rFonts w:ascii="Arial Narrow" w:hAnsi="Arial Narrow" w:cs="Arial"/>
                <w:kern w:val="0"/>
                <w:sz w:val="18"/>
                <w:szCs w:val="18"/>
              </w:rPr>
              <w:t>0,0</w:t>
            </w:r>
          </w:p>
        </w:tc>
        <w:tc>
          <w:tcPr>
            <w:tcW w:w="967" w:type="dxa"/>
            <w:shd w:val="clear" w:color="auto" w:fill="auto"/>
            <w:vAlign w:val="center"/>
          </w:tcPr>
          <w:p w:rsidR="0047685C" w:rsidRPr="0047685C" w:rsidRDefault="0047685C" w:rsidP="0047685C">
            <w:pPr>
              <w:widowControl/>
              <w:overflowPunct/>
              <w:autoSpaceDE/>
              <w:autoSpaceDN/>
              <w:adjustRightInd/>
              <w:spacing w:before="0" w:after="0"/>
              <w:jc w:val="right"/>
              <w:rPr>
                <w:rFonts w:ascii="Arial Narrow" w:hAnsi="Arial Narrow" w:cs="Arial"/>
                <w:kern w:val="0"/>
                <w:sz w:val="18"/>
                <w:szCs w:val="18"/>
              </w:rPr>
            </w:pPr>
            <w:r w:rsidRPr="0047685C">
              <w:rPr>
                <w:rFonts w:ascii="Arial Narrow" w:hAnsi="Arial Narrow" w:cs="Arial"/>
                <w:kern w:val="0"/>
                <w:sz w:val="18"/>
                <w:szCs w:val="18"/>
              </w:rPr>
              <w:t>-1,2</w:t>
            </w:r>
          </w:p>
        </w:tc>
        <w:tc>
          <w:tcPr>
            <w:tcW w:w="834" w:type="dxa"/>
            <w:shd w:val="clear" w:color="000000" w:fill="D9D9D9"/>
            <w:vAlign w:val="center"/>
          </w:tcPr>
          <w:p w:rsidR="0047685C" w:rsidRPr="0047685C" w:rsidRDefault="0047685C" w:rsidP="0047685C">
            <w:pPr>
              <w:widowControl/>
              <w:overflowPunct/>
              <w:autoSpaceDE/>
              <w:autoSpaceDN/>
              <w:adjustRightInd/>
              <w:spacing w:before="0" w:after="0"/>
              <w:jc w:val="right"/>
              <w:rPr>
                <w:rFonts w:ascii="Arial Narrow" w:hAnsi="Arial Narrow" w:cs="Arial"/>
                <w:kern w:val="0"/>
                <w:sz w:val="18"/>
                <w:szCs w:val="18"/>
              </w:rPr>
            </w:pPr>
            <w:r w:rsidRPr="0047685C">
              <w:rPr>
                <w:rFonts w:ascii="Arial Narrow" w:hAnsi="Arial Narrow" w:cs="Arial"/>
                <w:kern w:val="0"/>
                <w:sz w:val="18"/>
                <w:szCs w:val="18"/>
              </w:rPr>
              <w:t>-1,0</w:t>
            </w:r>
          </w:p>
        </w:tc>
        <w:tc>
          <w:tcPr>
            <w:tcW w:w="1050" w:type="dxa"/>
            <w:shd w:val="clear" w:color="auto" w:fill="auto"/>
            <w:vAlign w:val="center"/>
          </w:tcPr>
          <w:p w:rsidR="0047685C" w:rsidRPr="0047685C" w:rsidRDefault="0047685C" w:rsidP="0047685C">
            <w:pPr>
              <w:widowControl/>
              <w:overflowPunct/>
              <w:autoSpaceDE/>
              <w:autoSpaceDN/>
              <w:adjustRightInd/>
              <w:spacing w:before="0" w:after="0"/>
              <w:jc w:val="right"/>
              <w:rPr>
                <w:rFonts w:ascii="Arial Narrow" w:hAnsi="Arial Narrow" w:cs="Arial"/>
                <w:kern w:val="0"/>
                <w:sz w:val="18"/>
                <w:szCs w:val="18"/>
              </w:rPr>
            </w:pPr>
            <w:r w:rsidRPr="0047685C">
              <w:rPr>
                <w:rFonts w:ascii="Arial Narrow" w:hAnsi="Arial Narrow" w:cs="Arial"/>
                <w:kern w:val="0"/>
                <w:sz w:val="18"/>
                <w:szCs w:val="18"/>
              </w:rPr>
              <w:t>-0,7</w:t>
            </w:r>
          </w:p>
        </w:tc>
      </w:tr>
      <w:tr w:rsidR="0047685C" w:rsidRPr="004B2A9B" w:rsidTr="000127DA">
        <w:trPr>
          <w:trHeight w:val="255"/>
          <w:jc w:val="center"/>
        </w:trPr>
        <w:tc>
          <w:tcPr>
            <w:tcW w:w="4395" w:type="dxa"/>
            <w:shd w:val="clear" w:color="auto" w:fill="auto"/>
            <w:noWrap/>
            <w:vAlign w:val="center"/>
            <w:hideMark/>
          </w:tcPr>
          <w:p w:rsidR="0047685C" w:rsidRPr="004B2A9B" w:rsidRDefault="0047685C" w:rsidP="0047685C">
            <w:pPr>
              <w:widowControl/>
              <w:overflowPunct/>
              <w:autoSpaceDE/>
              <w:autoSpaceDN/>
              <w:adjustRightInd/>
              <w:spacing w:before="0" w:after="0"/>
              <w:ind w:left="284"/>
              <w:rPr>
                <w:rFonts w:ascii="Arial Narrow" w:hAnsi="Arial Narrow" w:cs="Arial"/>
                <w:kern w:val="0"/>
                <w:sz w:val="18"/>
                <w:szCs w:val="18"/>
              </w:rPr>
            </w:pPr>
            <w:r w:rsidRPr="004B2A9B">
              <w:rPr>
                <w:rFonts w:ascii="Arial Narrow" w:hAnsi="Arial Narrow" w:cs="Arial"/>
                <w:kern w:val="0"/>
                <w:sz w:val="18"/>
                <w:szCs w:val="18"/>
              </w:rPr>
              <w:t>Beni non durevoli</w:t>
            </w:r>
          </w:p>
        </w:tc>
        <w:tc>
          <w:tcPr>
            <w:tcW w:w="1048" w:type="dxa"/>
            <w:shd w:val="clear" w:color="000000" w:fill="D9D9D9"/>
            <w:vAlign w:val="center"/>
          </w:tcPr>
          <w:p w:rsidR="0047685C" w:rsidRPr="000148F1" w:rsidRDefault="0047685C" w:rsidP="0047685C">
            <w:pPr>
              <w:widowControl/>
              <w:overflowPunct/>
              <w:autoSpaceDE/>
              <w:autoSpaceDN/>
              <w:adjustRightInd/>
              <w:spacing w:before="0" w:after="0"/>
              <w:ind w:right="57"/>
              <w:jc w:val="right"/>
              <w:rPr>
                <w:rFonts w:ascii="Arial Narrow" w:hAnsi="Arial Narrow" w:cs="Arial"/>
                <w:kern w:val="0"/>
                <w:sz w:val="18"/>
                <w:szCs w:val="18"/>
              </w:rPr>
            </w:pPr>
            <w:r w:rsidRPr="000148F1">
              <w:rPr>
                <w:rFonts w:ascii="Arial Narrow" w:hAnsi="Arial Narrow" w:cs="Arial"/>
                <w:kern w:val="0"/>
                <w:sz w:val="18"/>
                <w:szCs w:val="18"/>
              </w:rPr>
              <w:t>68.770</w:t>
            </w:r>
          </w:p>
        </w:tc>
        <w:tc>
          <w:tcPr>
            <w:tcW w:w="909" w:type="dxa"/>
            <w:shd w:val="clear" w:color="auto" w:fill="auto"/>
            <w:vAlign w:val="center"/>
          </w:tcPr>
          <w:p w:rsidR="0047685C" w:rsidRPr="0047685C" w:rsidRDefault="0047685C" w:rsidP="0047685C">
            <w:pPr>
              <w:widowControl/>
              <w:overflowPunct/>
              <w:autoSpaceDE/>
              <w:autoSpaceDN/>
              <w:adjustRightInd/>
              <w:spacing w:before="0" w:after="0"/>
              <w:jc w:val="right"/>
              <w:rPr>
                <w:rFonts w:ascii="Arial Narrow" w:hAnsi="Arial Narrow" w:cs="Arial"/>
                <w:kern w:val="0"/>
                <w:sz w:val="18"/>
                <w:szCs w:val="18"/>
              </w:rPr>
            </w:pPr>
            <w:r w:rsidRPr="0047685C">
              <w:rPr>
                <w:rFonts w:ascii="Arial Narrow" w:hAnsi="Arial Narrow" w:cs="Arial"/>
                <w:kern w:val="0"/>
                <w:sz w:val="18"/>
                <w:szCs w:val="18"/>
              </w:rPr>
              <w:t>0,0</w:t>
            </w:r>
          </w:p>
        </w:tc>
        <w:tc>
          <w:tcPr>
            <w:tcW w:w="971" w:type="dxa"/>
            <w:shd w:val="clear" w:color="000000" w:fill="D9D9D9"/>
            <w:vAlign w:val="center"/>
          </w:tcPr>
          <w:p w:rsidR="0047685C" w:rsidRPr="0047685C" w:rsidRDefault="0047685C" w:rsidP="0047685C">
            <w:pPr>
              <w:widowControl/>
              <w:overflowPunct/>
              <w:autoSpaceDE/>
              <w:autoSpaceDN/>
              <w:adjustRightInd/>
              <w:spacing w:before="0" w:after="0"/>
              <w:jc w:val="right"/>
              <w:rPr>
                <w:rFonts w:ascii="Arial Narrow" w:hAnsi="Arial Narrow" w:cs="Arial"/>
                <w:kern w:val="0"/>
                <w:sz w:val="18"/>
                <w:szCs w:val="18"/>
              </w:rPr>
            </w:pPr>
            <w:r w:rsidRPr="0047685C">
              <w:rPr>
                <w:rFonts w:ascii="Arial Narrow" w:hAnsi="Arial Narrow" w:cs="Arial"/>
                <w:kern w:val="0"/>
                <w:sz w:val="18"/>
                <w:szCs w:val="18"/>
              </w:rPr>
              <w:t>+0,3</w:t>
            </w:r>
          </w:p>
        </w:tc>
        <w:tc>
          <w:tcPr>
            <w:tcW w:w="967" w:type="dxa"/>
            <w:shd w:val="clear" w:color="auto" w:fill="auto"/>
            <w:vAlign w:val="center"/>
          </w:tcPr>
          <w:p w:rsidR="0047685C" w:rsidRPr="0047685C" w:rsidRDefault="0047685C" w:rsidP="0047685C">
            <w:pPr>
              <w:widowControl/>
              <w:overflowPunct/>
              <w:autoSpaceDE/>
              <w:autoSpaceDN/>
              <w:adjustRightInd/>
              <w:spacing w:before="0" w:after="0"/>
              <w:jc w:val="right"/>
              <w:rPr>
                <w:rFonts w:ascii="Arial Narrow" w:hAnsi="Arial Narrow" w:cs="Arial"/>
                <w:kern w:val="0"/>
                <w:sz w:val="18"/>
                <w:szCs w:val="18"/>
              </w:rPr>
            </w:pPr>
            <w:r w:rsidRPr="0047685C">
              <w:rPr>
                <w:rFonts w:ascii="Arial Narrow" w:hAnsi="Arial Narrow" w:cs="Arial"/>
                <w:kern w:val="0"/>
                <w:sz w:val="18"/>
                <w:szCs w:val="18"/>
              </w:rPr>
              <w:t>+1,0</w:t>
            </w:r>
          </w:p>
        </w:tc>
        <w:tc>
          <w:tcPr>
            <w:tcW w:w="834" w:type="dxa"/>
            <w:shd w:val="clear" w:color="000000" w:fill="D9D9D9"/>
            <w:vAlign w:val="center"/>
          </w:tcPr>
          <w:p w:rsidR="0047685C" w:rsidRPr="0047685C" w:rsidRDefault="0047685C" w:rsidP="0047685C">
            <w:pPr>
              <w:widowControl/>
              <w:overflowPunct/>
              <w:autoSpaceDE/>
              <w:autoSpaceDN/>
              <w:adjustRightInd/>
              <w:spacing w:before="0" w:after="0"/>
              <w:jc w:val="right"/>
              <w:rPr>
                <w:rFonts w:ascii="Arial Narrow" w:hAnsi="Arial Narrow" w:cs="Arial"/>
                <w:kern w:val="0"/>
                <w:sz w:val="18"/>
                <w:szCs w:val="18"/>
              </w:rPr>
            </w:pPr>
            <w:r w:rsidRPr="0047685C">
              <w:rPr>
                <w:rFonts w:ascii="Arial Narrow" w:hAnsi="Arial Narrow" w:cs="Arial"/>
                <w:kern w:val="0"/>
                <w:sz w:val="18"/>
                <w:szCs w:val="18"/>
              </w:rPr>
              <w:t>+1,3</w:t>
            </w:r>
          </w:p>
        </w:tc>
        <w:tc>
          <w:tcPr>
            <w:tcW w:w="1050" w:type="dxa"/>
            <w:shd w:val="clear" w:color="auto" w:fill="auto"/>
            <w:vAlign w:val="center"/>
          </w:tcPr>
          <w:p w:rsidR="0047685C" w:rsidRPr="0047685C" w:rsidRDefault="0047685C" w:rsidP="0047685C">
            <w:pPr>
              <w:widowControl/>
              <w:overflowPunct/>
              <w:autoSpaceDE/>
              <w:autoSpaceDN/>
              <w:adjustRightInd/>
              <w:spacing w:before="0" w:after="0"/>
              <w:jc w:val="right"/>
              <w:rPr>
                <w:rFonts w:ascii="Arial Narrow" w:hAnsi="Arial Narrow" w:cs="Arial"/>
                <w:kern w:val="0"/>
                <w:sz w:val="18"/>
                <w:szCs w:val="18"/>
              </w:rPr>
            </w:pPr>
            <w:r w:rsidRPr="0047685C">
              <w:rPr>
                <w:rFonts w:ascii="Arial Narrow" w:hAnsi="Arial Narrow" w:cs="Arial"/>
                <w:kern w:val="0"/>
                <w:sz w:val="18"/>
                <w:szCs w:val="18"/>
              </w:rPr>
              <w:t>+1,5</w:t>
            </w:r>
          </w:p>
        </w:tc>
      </w:tr>
      <w:tr w:rsidR="0047685C" w:rsidRPr="004B2A9B" w:rsidTr="000127DA">
        <w:trPr>
          <w:trHeight w:val="255"/>
          <w:jc w:val="center"/>
        </w:trPr>
        <w:tc>
          <w:tcPr>
            <w:tcW w:w="4395" w:type="dxa"/>
            <w:shd w:val="clear" w:color="auto" w:fill="auto"/>
            <w:noWrap/>
            <w:vAlign w:val="center"/>
            <w:hideMark/>
          </w:tcPr>
          <w:p w:rsidR="0047685C" w:rsidRPr="004B2A9B" w:rsidRDefault="0047685C" w:rsidP="0047685C">
            <w:pPr>
              <w:widowControl/>
              <w:overflowPunct/>
              <w:autoSpaceDE/>
              <w:autoSpaceDN/>
              <w:adjustRightInd/>
              <w:spacing w:before="0" w:after="0"/>
              <w:ind w:left="284"/>
              <w:rPr>
                <w:rFonts w:ascii="Arial Narrow" w:hAnsi="Arial Narrow" w:cs="Arial"/>
                <w:kern w:val="0"/>
                <w:sz w:val="18"/>
                <w:szCs w:val="18"/>
              </w:rPr>
            </w:pPr>
            <w:r w:rsidRPr="004B2A9B">
              <w:rPr>
                <w:rFonts w:ascii="Arial Narrow" w:hAnsi="Arial Narrow" w:cs="Arial"/>
                <w:kern w:val="0"/>
                <w:sz w:val="18"/>
                <w:szCs w:val="18"/>
              </w:rPr>
              <w:t>Beni semidurevoli</w:t>
            </w:r>
          </w:p>
        </w:tc>
        <w:tc>
          <w:tcPr>
            <w:tcW w:w="1048" w:type="dxa"/>
            <w:shd w:val="clear" w:color="000000" w:fill="D9D9D9"/>
            <w:vAlign w:val="center"/>
          </w:tcPr>
          <w:p w:rsidR="0047685C" w:rsidRPr="000148F1" w:rsidRDefault="0047685C" w:rsidP="0047685C">
            <w:pPr>
              <w:widowControl/>
              <w:overflowPunct/>
              <w:autoSpaceDE/>
              <w:autoSpaceDN/>
              <w:adjustRightInd/>
              <w:spacing w:before="0" w:after="0"/>
              <w:ind w:right="57"/>
              <w:jc w:val="right"/>
              <w:rPr>
                <w:rFonts w:ascii="Arial Narrow" w:hAnsi="Arial Narrow" w:cs="Arial"/>
                <w:kern w:val="0"/>
                <w:sz w:val="18"/>
                <w:szCs w:val="18"/>
              </w:rPr>
            </w:pPr>
            <w:r w:rsidRPr="000148F1">
              <w:rPr>
                <w:rFonts w:ascii="Arial Narrow" w:hAnsi="Arial Narrow" w:cs="Arial"/>
                <w:kern w:val="0"/>
                <w:sz w:val="18"/>
                <w:szCs w:val="18"/>
              </w:rPr>
              <w:t>98.723</w:t>
            </w:r>
          </w:p>
        </w:tc>
        <w:tc>
          <w:tcPr>
            <w:tcW w:w="909" w:type="dxa"/>
            <w:shd w:val="clear" w:color="auto" w:fill="auto"/>
            <w:vAlign w:val="center"/>
          </w:tcPr>
          <w:p w:rsidR="0047685C" w:rsidRPr="0047685C" w:rsidRDefault="0047685C" w:rsidP="0047685C">
            <w:pPr>
              <w:widowControl/>
              <w:overflowPunct/>
              <w:autoSpaceDE/>
              <w:autoSpaceDN/>
              <w:adjustRightInd/>
              <w:spacing w:before="0" w:after="0"/>
              <w:jc w:val="right"/>
              <w:rPr>
                <w:rFonts w:ascii="Arial Narrow" w:hAnsi="Arial Narrow" w:cs="Arial"/>
                <w:kern w:val="0"/>
                <w:sz w:val="18"/>
                <w:szCs w:val="18"/>
              </w:rPr>
            </w:pPr>
            <w:r w:rsidRPr="0047685C">
              <w:rPr>
                <w:rFonts w:ascii="Arial Narrow" w:hAnsi="Arial Narrow" w:cs="Arial"/>
                <w:kern w:val="0"/>
                <w:sz w:val="18"/>
                <w:szCs w:val="18"/>
              </w:rPr>
              <w:t>-0,1</w:t>
            </w:r>
          </w:p>
        </w:tc>
        <w:tc>
          <w:tcPr>
            <w:tcW w:w="971" w:type="dxa"/>
            <w:shd w:val="clear" w:color="000000" w:fill="D9D9D9"/>
            <w:vAlign w:val="center"/>
          </w:tcPr>
          <w:p w:rsidR="0047685C" w:rsidRPr="0047685C" w:rsidRDefault="0047685C" w:rsidP="0047685C">
            <w:pPr>
              <w:widowControl/>
              <w:overflowPunct/>
              <w:autoSpaceDE/>
              <w:autoSpaceDN/>
              <w:adjustRightInd/>
              <w:spacing w:before="0" w:after="0"/>
              <w:jc w:val="right"/>
              <w:rPr>
                <w:rFonts w:ascii="Arial Narrow" w:hAnsi="Arial Narrow" w:cs="Arial"/>
                <w:kern w:val="0"/>
                <w:sz w:val="18"/>
                <w:szCs w:val="18"/>
              </w:rPr>
            </w:pPr>
            <w:r w:rsidRPr="0047685C">
              <w:rPr>
                <w:rFonts w:ascii="Arial Narrow" w:hAnsi="Arial Narrow" w:cs="Arial"/>
                <w:kern w:val="0"/>
                <w:sz w:val="18"/>
                <w:szCs w:val="18"/>
              </w:rPr>
              <w:t>0,0</w:t>
            </w:r>
          </w:p>
        </w:tc>
        <w:tc>
          <w:tcPr>
            <w:tcW w:w="967" w:type="dxa"/>
            <w:shd w:val="clear" w:color="auto" w:fill="auto"/>
            <w:vAlign w:val="center"/>
          </w:tcPr>
          <w:p w:rsidR="0047685C" w:rsidRPr="0047685C" w:rsidRDefault="0047685C" w:rsidP="0047685C">
            <w:pPr>
              <w:widowControl/>
              <w:overflowPunct/>
              <w:autoSpaceDE/>
              <w:autoSpaceDN/>
              <w:adjustRightInd/>
              <w:spacing w:before="0" w:after="0"/>
              <w:jc w:val="right"/>
              <w:rPr>
                <w:rFonts w:ascii="Arial Narrow" w:hAnsi="Arial Narrow" w:cs="Arial"/>
                <w:kern w:val="0"/>
                <w:sz w:val="18"/>
                <w:szCs w:val="18"/>
              </w:rPr>
            </w:pPr>
            <w:r w:rsidRPr="0047685C">
              <w:rPr>
                <w:rFonts w:ascii="Arial Narrow" w:hAnsi="Arial Narrow" w:cs="Arial"/>
                <w:kern w:val="0"/>
                <w:sz w:val="18"/>
                <w:szCs w:val="18"/>
              </w:rPr>
              <w:t>+1,1</w:t>
            </w:r>
          </w:p>
        </w:tc>
        <w:tc>
          <w:tcPr>
            <w:tcW w:w="834" w:type="dxa"/>
            <w:shd w:val="clear" w:color="000000" w:fill="D9D9D9"/>
            <w:vAlign w:val="center"/>
          </w:tcPr>
          <w:p w:rsidR="0047685C" w:rsidRPr="0047685C" w:rsidRDefault="0047685C" w:rsidP="0047685C">
            <w:pPr>
              <w:widowControl/>
              <w:overflowPunct/>
              <w:autoSpaceDE/>
              <w:autoSpaceDN/>
              <w:adjustRightInd/>
              <w:spacing w:before="0" w:after="0"/>
              <w:jc w:val="right"/>
              <w:rPr>
                <w:rFonts w:ascii="Arial Narrow" w:hAnsi="Arial Narrow" w:cs="Arial"/>
                <w:kern w:val="0"/>
                <w:sz w:val="18"/>
                <w:szCs w:val="18"/>
              </w:rPr>
            </w:pPr>
            <w:r w:rsidRPr="0047685C">
              <w:rPr>
                <w:rFonts w:ascii="Arial Narrow" w:hAnsi="Arial Narrow" w:cs="Arial"/>
                <w:kern w:val="0"/>
                <w:sz w:val="18"/>
                <w:szCs w:val="18"/>
              </w:rPr>
              <w:t>+1,2</w:t>
            </w:r>
          </w:p>
        </w:tc>
        <w:tc>
          <w:tcPr>
            <w:tcW w:w="1050" w:type="dxa"/>
            <w:shd w:val="clear" w:color="auto" w:fill="auto"/>
            <w:vAlign w:val="center"/>
          </w:tcPr>
          <w:p w:rsidR="0047685C" w:rsidRPr="0047685C" w:rsidRDefault="0047685C" w:rsidP="0047685C">
            <w:pPr>
              <w:widowControl/>
              <w:overflowPunct/>
              <w:autoSpaceDE/>
              <w:autoSpaceDN/>
              <w:adjustRightInd/>
              <w:spacing w:before="0" w:after="0"/>
              <w:jc w:val="right"/>
              <w:rPr>
                <w:rFonts w:ascii="Arial Narrow" w:hAnsi="Arial Narrow" w:cs="Arial"/>
                <w:kern w:val="0"/>
                <w:sz w:val="18"/>
                <w:szCs w:val="18"/>
              </w:rPr>
            </w:pPr>
            <w:r w:rsidRPr="0047685C">
              <w:rPr>
                <w:rFonts w:ascii="Arial Narrow" w:hAnsi="Arial Narrow" w:cs="Arial"/>
                <w:kern w:val="0"/>
                <w:sz w:val="18"/>
                <w:szCs w:val="18"/>
              </w:rPr>
              <w:t>+1,2</w:t>
            </w:r>
          </w:p>
        </w:tc>
      </w:tr>
      <w:tr w:rsidR="0047685C" w:rsidRPr="00354AFC" w:rsidTr="000127DA">
        <w:trPr>
          <w:trHeight w:val="255"/>
          <w:jc w:val="center"/>
        </w:trPr>
        <w:tc>
          <w:tcPr>
            <w:tcW w:w="4395" w:type="dxa"/>
            <w:shd w:val="clear" w:color="000000" w:fill="808080"/>
            <w:noWrap/>
            <w:vAlign w:val="center"/>
            <w:hideMark/>
          </w:tcPr>
          <w:p w:rsidR="0047685C" w:rsidRPr="004B2A9B" w:rsidRDefault="0047685C" w:rsidP="0047685C">
            <w:pPr>
              <w:widowControl/>
              <w:overflowPunct/>
              <w:autoSpaceDE/>
              <w:autoSpaceDN/>
              <w:adjustRightInd/>
              <w:spacing w:before="0" w:after="0"/>
              <w:rPr>
                <w:rFonts w:ascii="Arial Narrow" w:hAnsi="Arial Narrow" w:cs="Arial"/>
                <w:b/>
                <w:bCs/>
                <w:color w:val="FFFFFF"/>
                <w:kern w:val="0"/>
                <w:sz w:val="18"/>
                <w:szCs w:val="18"/>
              </w:rPr>
            </w:pPr>
            <w:r w:rsidRPr="004B2A9B">
              <w:rPr>
                <w:rFonts w:ascii="Arial Narrow" w:hAnsi="Arial Narrow" w:cs="Arial"/>
                <w:b/>
                <w:bCs/>
                <w:color w:val="FFFFFF"/>
                <w:kern w:val="0"/>
                <w:sz w:val="18"/>
                <w:szCs w:val="18"/>
              </w:rPr>
              <w:t>Beni</w:t>
            </w:r>
          </w:p>
        </w:tc>
        <w:tc>
          <w:tcPr>
            <w:tcW w:w="1048" w:type="dxa"/>
            <w:shd w:val="clear" w:color="000000" w:fill="808080"/>
            <w:vAlign w:val="center"/>
          </w:tcPr>
          <w:p w:rsidR="0047685C" w:rsidRPr="000148F1" w:rsidRDefault="0047685C" w:rsidP="0047685C">
            <w:pPr>
              <w:widowControl/>
              <w:overflowPunct/>
              <w:autoSpaceDE/>
              <w:autoSpaceDN/>
              <w:adjustRightInd/>
              <w:spacing w:before="0" w:after="0"/>
              <w:ind w:right="57"/>
              <w:jc w:val="right"/>
              <w:rPr>
                <w:rFonts w:ascii="Arial Narrow" w:hAnsi="Arial Narrow" w:cs="Arial"/>
                <w:b/>
                <w:color w:val="FFFFFF" w:themeColor="background1"/>
                <w:kern w:val="0"/>
                <w:sz w:val="18"/>
                <w:szCs w:val="18"/>
              </w:rPr>
            </w:pPr>
            <w:r w:rsidRPr="000148F1">
              <w:rPr>
                <w:rFonts w:ascii="Arial Narrow" w:hAnsi="Arial Narrow" w:cs="Arial"/>
                <w:b/>
                <w:color w:val="FFFFFF" w:themeColor="background1"/>
                <w:kern w:val="0"/>
                <w:sz w:val="18"/>
                <w:szCs w:val="18"/>
              </w:rPr>
              <w:t>566.022</w:t>
            </w:r>
          </w:p>
        </w:tc>
        <w:tc>
          <w:tcPr>
            <w:tcW w:w="909" w:type="dxa"/>
            <w:shd w:val="clear" w:color="000000" w:fill="808080"/>
            <w:vAlign w:val="center"/>
          </w:tcPr>
          <w:p w:rsidR="0047685C" w:rsidRPr="0047685C" w:rsidRDefault="0047685C" w:rsidP="0047685C">
            <w:pPr>
              <w:widowControl/>
              <w:overflowPunct/>
              <w:autoSpaceDE/>
              <w:autoSpaceDN/>
              <w:adjustRightInd/>
              <w:spacing w:before="0" w:after="0"/>
              <w:jc w:val="right"/>
              <w:rPr>
                <w:rFonts w:ascii="Arial Narrow" w:hAnsi="Arial Narrow" w:cs="Arial"/>
                <w:b/>
                <w:color w:val="FFFFFF" w:themeColor="background1"/>
                <w:kern w:val="0"/>
                <w:sz w:val="18"/>
                <w:szCs w:val="18"/>
              </w:rPr>
            </w:pPr>
            <w:r w:rsidRPr="0047685C">
              <w:rPr>
                <w:rFonts w:ascii="Arial Narrow" w:hAnsi="Arial Narrow" w:cs="Arial"/>
                <w:b/>
                <w:color w:val="FFFFFF" w:themeColor="background1"/>
                <w:kern w:val="0"/>
                <w:sz w:val="18"/>
                <w:szCs w:val="18"/>
              </w:rPr>
              <w:t>+0,5</w:t>
            </w:r>
          </w:p>
        </w:tc>
        <w:tc>
          <w:tcPr>
            <w:tcW w:w="971" w:type="dxa"/>
            <w:shd w:val="clear" w:color="000000" w:fill="808080"/>
            <w:vAlign w:val="center"/>
          </w:tcPr>
          <w:p w:rsidR="0047685C" w:rsidRPr="0047685C" w:rsidRDefault="0047685C" w:rsidP="0047685C">
            <w:pPr>
              <w:widowControl/>
              <w:overflowPunct/>
              <w:autoSpaceDE/>
              <w:autoSpaceDN/>
              <w:adjustRightInd/>
              <w:spacing w:before="0" w:after="0"/>
              <w:jc w:val="right"/>
              <w:rPr>
                <w:rFonts w:ascii="Arial Narrow" w:hAnsi="Arial Narrow" w:cs="Arial"/>
                <w:b/>
                <w:color w:val="FFFFFF" w:themeColor="background1"/>
                <w:kern w:val="0"/>
                <w:sz w:val="18"/>
                <w:szCs w:val="18"/>
              </w:rPr>
            </w:pPr>
            <w:r w:rsidRPr="0047685C">
              <w:rPr>
                <w:rFonts w:ascii="Arial Narrow" w:hAnsi="Arial Narrow" w:cs="Arial"/>
                <w:b/>
                <w:color w:val="FFFFFF" w:themeColor="background1"/>
                <w:kern w:val="0"/>
                <w:sz w:val="18"/>
                <w:szCs w:val="18"/>
              </w:rPr>
              <w:t>-0,2</w:t>
            </w:r>
          </w:p>
        </w:tc>
        <w:tc>
          <w:tcPr>
            <w:tcW w:w="967" w:type="dxa"/>
            <w:shd w:val="clear" w:color="000000" w:fill="808080"/>
            <w:vAlign w:val="center"/>
          </w:tcPr>
          <w:p w:rsidR="0047685C" w:rsidRPr="0047685C" w:rsidRDefault="0047685C" w:rsidP="0047685C">
            <w:pPr>
              <w:widowControl/>
              <w:overflowPunct/>
              <w:autoSpaceDE/>
              <w:autoSpaceDN/>
              <w:adjustRightInd/>
              <w:spacing w:before="0" w:after="0"/>
              <w:jc w:val="right"/>
              <w:rPr>
                <w:rFonts w:ascii="Arial Narrow" w:hAnsi="Arial Narrow" w:cs="Arial"/>
                <w:b/>
                <w:color w:val="FFFFFF" w:themeColor="background1"/>
                <w:kern w:val="0"/>
                <w:sz w:val="18"/>
                <w:szCs w:val="18"/>
              </w:rPr>
            </w:pPr>
            <w:r w:rsidRPr="0047685C">
              <w:rPr>
                <w:rFonts w:ascii="Arial Narrow" w:hAnsi="Arial Narrow" w:cs="Arial"/>
                <w:b/>
                <w:color w:val="FFFFFF" w:themeColor="background1"/>
                <w:kern w:val="0"/>
                <w:sz w:val="18"/>
                <w:szCs w:val="18"/>
              </w:rPr>
              <w:t>-0,1</w:t>
            </w:r>
          </w:p>
        </w:tc>
        <w:tc>
          <w:tcPr>
            <w:tcW w:w="834" w:type="dxa"/>
            <w:shd w:val="clear" w:color="000000" w:fill="808080"/>
            <w:vAlign w:val="center"/>
          </w:tcPr>
          <w:p w:rsidR="0047685C" w:rsidRPr="0047685C" w:rsidRDefault="0047685C" w:rsidP="0047685C">
            <w:pPr>
              <w:widowControl/>
              <w:overflowPunct/>
              <w:autoSpaceDE/>
              <w:autoSpaceDN/>
              <w:adjustRightInd/>
              <w:spacing w:before="0" w:after="0"/>
              <w:jc w:val="right"/>
              <w:rPr>
                <w:rFonts w:ascii="Arial Narrow" w:hAnsi="Arial Narrow" w:cs="Arial"/>
                <w:b/>
                <w:color w:val="FFFFFF" w:themeColor="background1"/>
                <w:kern w:val="0"/>
                <w:sz w:val="18"/>
                <w:szCs w:val="18"/>
              </w:rPr>
            </w:pPr>
            <w:r w:rsidRPr="0047685C">
              <w:rPr>
                <w:rFonts w:ascii="Arial Narrow" w:hAnsi="Arial Narrow" w:cs="Arial"/>
                <w:b/>
                <w:color w:val="FFFFFF" w:themeColor="background1"/>
                <w:kern w:val="0"/>
                <w:sz w:val="18"/>
                <w:szCs w:val="18"/>
              </w:rPr>
              <w:t>-0,7</w:t>
            </w:r>
          </w:p>
        </w:tc>
        <w:tc>
          <w:tcPr>
            <w:tcW w:w="1050" w:type="dxa"/>
            <w:shd w:val="clear" w:color="000000" w:fill="808080"/>
            <w:vAlign w:val="center"/>
          </w:tcPr>
          <w:p w:rsidR="0047685C" w:rsidRPr="0047685C" w:rsidRDefault="0047685C" w:rsidP="0047685C">
            <w:pPr>
              <w:widowControl/>
              <w:overflowPunct/>
              <w:autoSpaceDE/>
              <w:autoSpaceDN/>
              <w:adjustRightInd/>
              <w:spacing w:before="0" w:after="0"/>
              <w:jc w:val="right"/>
              <w:rPr>
                <w:rFonts w:ascii="Arial Narrow" w:hAnsi="Arial Narrow" w:cs="Arial"/>
                <w:b/>
                <w:color w:val="FFFFFF" w:themeColor="background1"/>
                <w:kern w:val="0"/>
                <w:sz w:val="18"/>
                <w:szCs w:val="18"/>
              </w:rPr>
            </w:pPr>
            <w:r w:rsidRPr="0047685C">
              <w:rPr>
                <w:rFonts w:ascii="Arial Narrow" w:hAnsi="Arial Narrow" w:cs="Arial"/>
                <w:b/>
                <w:color w:val="FFFFFF" w:themeColor="background1"/>
                <w:kern w:val="0"/>
                <w:sz w:val="18"/>
                <w:szCs w:val="18"/>
              </w:rPr>
              <w:t>-0,5</w:t>
            </w:r>
          </w:p>
        </w:tc>
      </w:tr>
      <w:tr w:rsidR="0047685C" w:rsidRPr="004B2A9B" w:rsidTr="000127DA">
        <w:trPr>
          <w:trHeight w:val="255"/>
          <w:jc w:val="center"/>
        </w:trPr>
        <w:tc>
          <w:tcPr>
            <w:tcW w:w="4395" w:type="dxa"/>
            <w:shd w:val="clear" w:color="auto" w:fill="auto"/>
            <w:noWrap/>
            <w:vAlign w:val="center"/>
            <w:hideMark/>
          </w:tcPr>
          <w:p w:rsidR="0047685C" w:rsidRPr="004B2A9B" w:rsidRDefault="0047685C" w:rsidP="0047685C">
            <w:pPr>
              <w:widowControl/>
              <w:overflowPunct/>
              <w:autoSpaceDE/>
              <w:autoSpaceDN/>
              <w:adjustRightInd/>
              <w:spacing w:before="0" w:after="0"/>
              <w:rPr>
                <w:rFonts w:ascii="Arial Narrow" w:hAnsi="Arial Narrow" w:cs="Arial"/>
                <w:kern w:val="0"/>
                <w:sz w:val="18"/>
                <w:szCs w:val="18"/>
              </w:rPr>
            </w:pPr>
            <w:r w:rsidRPr="004B2A9B">
              <w:rPr>
                <w:rFonts w:ascii="Arial Narrow" w:hAnsi="Arial Narrow" w:cs="Arial"/>
                <w:kern w:val="0"/>
                <w:sz w:val="18"/>
                <w:szCs w:val="18"/>
              </w:rPr>
              <w:t>Servizi relativi all'abitazione</w:t>
            </w:r>
          </w:p>
        </w:tc>
        <w:tc>
          <w:tcPr>
            <w:tcW w:w="1048" w:type="dxa"/>
            <w:shd w:val="clear" w:color="000000" w:fill="D9D9D9"/>
            <w:vAlign w:val="center"/>
          </w:tcPr>
          <w:p w:rsidR="0047685C" w:rsidRPr="000148F1" w:rsidRDefault="0047685C" w:rsidP="0047685C">
            <w:pPr>
              <w:widowControl/>
              <w:overflowPunct/>
              <w:autoSpaceDE/>
              <w:autoSpaceDN/>
              <w:adjustRightInd/>
              <w:spacing w:before="0" w:after="0"/>
              <w:ind w:right="57"/>
              <w:jc w:val="right"/>
              <w:rPr>
                <w:rFonts w:ascii="Arial Narrow" w:hAnsi="Arial Narrow" w:cs="Arial"/>
                <w:kern w:val="0"/>
                <w:sz w:val="18"/>
                <w:szCs w:val="18"/>
              </w:rPr>
            </w:pPr>
            <w:r w:rsidRPr="000148F1">
              <w:rPr>
                <w:rFonts w:ascii="Arial Narrow" w:hAnsi="Arial Narrow" w:cs="Arial"/>
                <w:kern w:val="0"/>
                <w:sz w:val="18"/>
                <w:szCs w:val="18"/>
              </w:rPr>
              <w:t>66.067</w:t>
            </w:r>
          </w:p>
        </w:tc>
        <w:tc>
          <w:tcPr>
            <w:tcW w:w="909" w:type="dxa"/>
            <w:shd w:val="clear" w:color="auto" w:fill="auto"/>
            <w:vAlign w:val="center"/>
          </w:tcPr>
          <w:p w:rsidR="0047685C" w:rsidRPr="0047685C" w:rsidRDefault="0047685C" w:rsidP="0047685C">
            <w:pPr>
              <w:widowControl/>
              <w:overflowPunct/>
              <w:autoSpaceDE/>
              <w:autoSpaceDN/>
              <w:adjustRightInd/>
              <w:spacing w:before="0" w:after="0"/>
              <w:jc w:val="right"/>
              <w:rPr>
                <w:rFonts w:ascii="Arial Narrow" w:hAnsi="Arial Narrow" w:cs="Arial"/>
                <w:kern w:val="0"/>
                <w:sz w:val="18"/>
                <w:szCs w:val="18"/>
              </w:rPr>
            </w:pPr>
            <w:r w:rsidRPr="0047685C">
              <w:rPr>
                <w:rFonts w:ascii="Arial Narrow" w:hAnsi="Arial Narrow" w:cs="Arial"/>
                <w:kern w:val="0"/>
                <w:sz w:val="18"/>
                <w:szCs w:val="18"/>
              </w:rPr>
              <w:t>+0,2</w:t>
            </w:r>
          </w:p>
        </w:tc>
        <w:tc>
          <w:tcPr>
            <w:tcW w:w="971" w:type="dxa"/>
            <w:shd w:val="clear" w:color="000000" w:fill="D9D9D9"/>
            <w:vAlign w:val="center"/>
          </w:tcPr>
          <w:p w:rsidR="0047685C" w:rsidRPr="0047685C" w:rsidRDefault="0047685C" w:rsidP="0047685C">
            <w:pPr>
              <w:widowControl/>
              <w:overflowPunct/>
              <w:autoSpaceDE/>
              <w:autoSpaceDN/>
              <w:adjustRightInd/>
              <w:spacing w:before="0" w:after="0"/>
              <w:jc w:val="right"/>
              <w:rPr>
                <w:rFonts w:ascii="Arial Narrow" w:hAnsi="Arial Narrow" w:cs="Arial"/>
                <w:kern w:val="0"/>
                <w:sz w:val="18"/>
                <w:szCs w:val="18"/>
              </w:rPr>
            </w:pPr>
            <w:r w:rsidRPr="0047685C">
              <w:rPr>
                <w:rFonts w:ascii="Arial Narrow" w:hAnsi="Arial Narrow" w:cs="Arial"/>
                <w:kern w:val="0"/>
                <w:sz w:val="18"/>
                <w:szCs w:val="18"/>
              </w:rPr>
              <w:t>+0,2</w:t>
            </w:r>
          </w:p>
        </w:tc>
        <w:tc>
          <w:tcPr>
            <w:tcW w:w="967" w:type="dxa"/>
            <w:shd w:val="clear" w:color="auto" w:fill="auto"/>
            <w:vAlign w:val="center"/>
          </w:tcPr>
          <w:p w:rsidR="0047685C" w:rsidRPr="0047685C" w:rsidRDefault="0047685C" w:rsidP="0047685C">
            <w:pPr>
              <w:widowControl/>
              <w:overflowPunct/>
              <w:autoSpaceDE/>
              <w:autoSpaceDN/>
              <w:adjustRightInd/>
              <w:spacing w:before="0" w:after="0"/>
              <w:jc w:val="right"/>
              <w:rPr>
                <w:rFonts w:ascii="Arial Narrow" w:hAnsi="Arial Narrow" w:cs="Arial"/>
                <w:kern w:val="0"/>
                <w:sz w:val="18"/>
                <w:szCs w:val="18"/>
              </w:rPr>
            </w:pPr>
            <w:r w:rsidRPr="0047685C">
              <w:rPr>
                <w:rFonts w:ascii="Arial Narrow" w:hAnsi="Arial Narrow" w:cs="Arial"/>
                <w:kern w:val="0"/>
                <w:sz w:val="18"/>
                <w:szCs w:val="18"/>
              </w:rPr>
              <w:t>+2,7</w:t>
            </w:r>
          </w:p>
        </w:tc>
        <w:tc>
          <w:tcPr>
            <w:tcW w:w="834" w:type="dxa"/>
            <w:shd w:val="clear" w:color="000000" w:fill="D9D9D9"/>
            <w:vAlign w:val="center"/>
          </w:tcPr>
          <w:p w:rsidR="0047685C" w:rsidRPr="0047685C" w:rsidRDefault="0047685C" w:rsidP="0047685C">
            <w:pPr>
              <w:widowControl/>
              <w:overflowPunct/>
              <w:autoSpaceDE/>
              <w:autoSpaceDN/>
              <w:adjustRightInd/>
              <w:spacing w:before="0" w:after="0"/>
              <w:jc w:val="right"/>
              <w:rPr>
                <w:rFonts w:ascii="Arial Narrow" w:hAnsi="Arial Narrow" w:cs="Arial"/>
                <w:kern w:val="0"/>
                <w:sz w:val="18"/>
                <w:szCs w:val="18"/>
              </w:rPr>
            </w:pPr>
            <w:r w:rsidRPr="0047685C">
              <w:rPr>
                <w:rFonts w:ascii="Arial Narrow" w:hAnsi="Arial Narrow" w:cs="Arial"/>
                <w:kern w:val="0"/>
                <w:sz w:val="18"/>
                <w:szCs w:val="18"/>
              </w:rPr>
              <w:t>+2,7</w:t>
            </w:r>
          </w:p>
        </w:tc>
        <w:tc>
          <w:tcPr>
            <w:tcW w:w="1050" w:type="dxa"/>
            <w:shd w:val="clear" w:color="auto" w:fill="auto"/>
            <w:vAlign w:val="center"/>
          </w:tcPr>
          <w:p w:rsidR="0047685C" w:rsidRPr="0047685C" w:rsidRDefault="0047685C" w:rsidP="0047685C">
            <w:pPr>
              <w:widowControl/>
              <w:overflowPunct/>
              <w:autoSpaceDE/>
              <w:autoSpaceDN/>
              <w:adjustRightInd/>
              <w:spacing w:before="0" w:after="0"/>
              <w:jc w:val="right"/>
              <w:rPr>
                <w:rFonts w:ascii="Arial Narrow" w:hAnsi="Arial Narrow" w:cs="Arial"/>
                <w:kern w:val="0"/>
                <w:sz w:val="18"/>
                <w:szCs w:val="18"/>
              </w:rPr>
            </w:pPr>
            <w:r w:rsidRPr="0047685C">
              <w:rPr>
                <w:rFonts w:ascii="Arial Narrow" w:hAnsi="Arial Narrow" w:cs="Arial"/>
                <w:kern w:val="0"/>
                <w:sz w:val="18"/>
                <w:szCs w:val="18"/>
              </w:rPr>
              <w:t>+2,3</w:t>
            </w:r>
          </w:p>
        </w:tc>
      </w:tr>
      <w:tr w:rsidR="0047685C" w:rsidRPr="004B2A9B" w:rsidTr="000127DA">
        <w:trPr>
          <w:trHeight w:val="255"/>
          <w:jc w:val="center"/>
        </w:trPr>
        <w:tc>
          <w:tcPr>
            <w:tcW w:w="4395" w:type="dxa"/>
            <w:shd w:val="clear" w:color="auto" w:fill="auto"/>
            <w:noWrap/>
            <w:vAlign w:val="center"/>
            <w:hideMark/>
          </w:tcPr>
          <w:p w:rsidR="0047685C" w:rsidRPr="004B2A9B" w:rsidRDefault="0047685C" w:rsidP="0047685C">
            <w:pPr>
              <w:widowControl/>
              <w:overflowPunct/>
              <w:autoSpaceDE/>
              <w:autoSpaceDN/>
              <w:adjustRightInd/>
              <w:spacing w:before="0" w:after="0"/>
              <w:rPr>
                <w:rFonts w:ascii="Arial Narrow" w:hAnsi="Arial Narrow" w:cs="Arial"/>
                <w:kern w:val="0"/>
                <w:sz w:val="18"/>
                <w:szCs w:val="18"/>
              </w:rPr>
            </w:pPr>
            <w:r w:rsidRPr="004B2A9B">
              <w:rPr>
                <w:rFonts w:ascii="Arial Narrow" w:hAnsi="Arial Narrow" w:cs="Arial"/>
                <w:kern w:val="0"/>
                <w:sz w:val="18"/>
                <w:szCs w:val="18"/>
              </w:rPr>
              <w:t>Servizi relativi alle comunicazioni</w:t>
            </w:r>
          </w:p>
        </w:tc>
        <w:tc>
          <w:tcPr>
            <w:tcW w:w="1048" w:type="dxa"/>
            <w:shd w:val="clear" w:color="000000" w:fill="D9D9D9"/>
            <w:vAlign w:val="center"/>
          </w:tcPr>
          <w:p w:rsidR="0047685C" w:rsidRPr="000148F1" w:rsidRDefault="0047685C" w:rsidP="0047685C">
            <w:pPr>
              <w:widowControl/>
              <w:overflowPunct/>
              <w:autoSpaceDE/>
              <w:autoSpaceDN/>
              <w:adjustRightInd/>
              <w:spacing w:before="0" w:after="0"/>
              <w:ind w:right="57"/>
              <w:jc w:val="right"/>
              <w:rPr>
                <w:rFonts w:ascii="Arial Narrow" w:hAnsi="Arial Narrow" w:cs="Arial"/>
                <w:kern w:val="0"/>
                <w:sz w:val="18"/>
                <w:szCs w:val="18"/>
              </w:rPr>
            </w:pPr>
            <w:r w:rsidRPr="000148F1">
              <w:rPr>
                <w:rFonts w:ascii="Arial Narrow" w:hAnsi="Arial Narrow" w:cs="Arial"/>
                <w:kern w:val="0"/>
                <w:sz w:val="18"/>
                <w:szCs w:val="18"/>
              </w:rPr>
              <w:t>14.300</w:t>
            </w:r>
          </w:p>
        </w:tc>
        <w:tc>
          <w:tcPr>
            <w:tcW w:w="909" w:type="dxa"/>
            <w:shd w:val="clear" w:color="auto" w:fill="auto"/>
            <w:vAlign w:val="center"/>
          </w:tcPr>
          <w:p w:rsidR="0047685C" w:rsidRPr="0047685C" w:rsidRDefault="0047685C" w:rsidP="0047685C">
            <w:pPr>
              <w:widowControl/>
              <w:overflowPunct/>
              <w:autoSpaceDE/>
              <w:autoSpaceDN/>
              <w:adjustRightInd/>
              <w:spacing w:before="0" w:after="0"/>
              <w:jc w:val="right"/>
              <w:rPr>
                <w:rFonts w:ascii="Arial Narrow" w:hAnsi="Arial Narrow" w:cs="Arial"/>
                <w:kern w:val="0"/>
                <w:sz w:val="18"/>
                <w:szCs w:val="18"/>
              </w:rPr>
            </w:pPr>
            <w:r w:rsidRPr="0047685C">
              <w:rPr>
                <w:rFonts w:ascii="Arial Narrow" w:hAnsi="Arial Narrow" w:cs="Arial"/>
                <w:kern w:val="0"/>
                <w:sz w:val="18"/>
                <w:szCs w:val="18"/>
              </w:rPr>
              <w:t>0,0</w:t>
            </w:r>
          </w:p>
        </w:tc>
        <w:tc>
          <w:tcPr>
            <w:tcW w:w="971" w:type="dxa"/>
            <w:shd w:val="clear" w:color="000000" w:fill="D9D9D9"/>
            <w:vAlign w:val="center"/>
          </w:tcPr>
          <w:p w:rsidR="0047685C" w:rsidRPr="0047685C" w:rsidRDefault="0047685C" w:rsidP="0047685C">
            <w:pPr>
              <w:widowControl/>
              <w:overflowPunct/>
              <w:autoSpaceDE/>
              <w:autoSpaceDN/>
              <w:adjustRightInd/>
              <w:spacing w:before="0" w:after="0"/>
              <w:jc w:val="right"/>
              <w:rPr>
                <w:rFonts w:ascii="Arial Narrow" w:hAnsi="Arial Narrow" w:cs="Arial"/>
                <w:kern w:val="0"/>
                <w:sz w:val="18"/>
                <w:szCs w:val="18"/>
              </w:rPr>
            </w:pPr>
            <w:r w:rsidRPr="0047685C">
              <w:rPr>
                <w:rFonts w:ascii="Arial Narrow" w:hAnsi="Arial Narrow" w:cs="Arial"/>
                <w:kern w:val="0"/>
                <w:sz w:val="18"/>
                <w:szCs w:val="18"/>
              </w:rPr>
              <w:t>-0,2</w:t>
            </w:r>
          </w:p>
        </w:tc>
        <w:tc>
          <w:tcPr>
            <w:tcW w:w="967" w:type="dxa"/>
            <w:shd w:val="clear" w:color="auto" w:fill="auto"/>
            <w:vAlign w:val="center"/>
          </w:tcPr>
          <w:p w:rsidR="0047685C" w:rsidRPr="0047685C" w:rsidRDefault="0047685C" w:rsidP="0047685C">
            <w:pPr>
              <w:widowControl/>
              <w:overflowPunct/>
              <w:autoSpaceDE/>
              <w:autoSpaceDN/>
              <w:adjustRightInd/>
              <w:spacing w:before="0" w:after="0"/>
              <w:jc w:val="right"/>
              <w:rPr>
                <w:rFonts w:ascii="Arial Narrow" w:hAnsi="Arial Narrow" w:cs="Arial"/>
                <w:kern w:val="0"/>
                <w:sz w:val="18"/>
                <w:szCs w:val="18"/>
              </w:rPr>
            </w:pPr>
            <w:r w:rsidRPr="0047685C">
              <w:rPr>
                <w:rFonts w:ascii="Arial Narrow" w:hAnsi="Arial Narrow" w:cs="Arial"/>
                <w:kern w:val="0"/>
                <w:sz w:val="18"/>
                <w:szCs w:val="18"/>
              </w:rPr>
              <w:t>+0,9</w:t>
            </w:r>
          </w:p>
        </w:tc>
        <w:tc>
          <w:tcPr>
            <w:tcW w:w="834" w:type="dxa"/>
            <w:shd w:val="clear" w:color="000000" w:fill="D9D9D9"/>
            <w:vAlign w:val="center"/>
          </w:tcPr>
          <w:p w:rsidR="0047685C" w:rsidRPr="0047685C" w:rsidRDefault="0047685C" w:rsidP="0047685C">
            <w:pPr>
              <w:widowControl/>
              <w:overflowPunct/>
              <w:autoSpaceDE/>
              <w:autoSpaceDN/>
              <w:adjustRightInd/>
              <w:spacing w:before="0" w:after="0"/>
              <w:jc w:val="right"/>
              <w:rPr>
                <w:rFonts w:ascii="Arial Narrow" w:hAnsi="Arial Narrow" w:cs="Arial"/>
                <w:kern w:val="0"/>
                <w:sz w:val="18"/>
                <w:szCs w:val="18"/>
              </w:rPr>
            </w:pPr>
            <w:r w:rsidRPr="0047685C">
              <w:rPr>
                <w:rFonts w:ascii="Arial Narrow" w:hAnsi="Arial Narrow" w:cs="Arial"/>
                <w:kern w:val="0"/>
                <w:sz w:val="18"/>
                <w:szCs w:val="18"/>
              </w:rPr>
              <w:t>+0,7</w:t>
            </w:r>
          </w:p>
        </w:tc>
        <w:tc>
          <w:tcPr>
            <w:tcW w:w="1050" w:type="dxa"/>
            <w:shd w:val="clear" w:color="auto" w:fill="auto"/>
            <w:vAlign w:val="center"/>
          </w:tcPr>
          <w:p w:rsidR="0047685C" w:rsidRPr="0047685C" w:rsidRDefault="0047685C" w:rsidP="0047685C">
            <w:pPr>
              <w:widowControl/>
              <w:overflowPunct/>
              <w:autoSpaceDE/>
              <w:autoSpaceDN/>
              <w:adjustRightInd/>
              <w:spacing w:before="0" w:after="0"/>
              <w:jc w:val="right"/>
              <w:rPr>
                <w:rFonts w:ascii="Arial Narrow" w:hAnsi="Arial Narrow" w:cs="Arial"/>
                <w:kern w:val="0"/>
                <w:sz w:val="18"/>
                <w:szCs w:val="18"/>
              </w:rPr>
            </w:pPr>
            <w:r w:rsidRPr="0047685C">
              <w:rPr>
                <w:rFonts w:ascii="Arial Narrow" w:hAnsi="Arial Narrow" w:cs="Arial"/>
                <w:kern w:val="0"/>
                <w:sz w:val="18"/>
                <w:szCs w:val="18"/>
              </w:rPr>
              <w:t>+0,7</w:t>
            </w:r>
          </w:p>
        </w:tc>
      </w:tr>
      <w:tr w:rsidR="0047685C" w:rsidRPr="004B2A9B" w:rsidTr="000127DA">
        <w:trPr>
          <w:trHeight w:val="255"/>
          <w:jc w:val="center"/>
        </w:trPr>
        <w:tc>
          <w:tcPr>
            <w:tcW w:w="4395" w:type="dxa"/>
            <w:shd w:val="clear" w:color="auto" w:fill="auto"/>
            <w:noWrap/>
            <w:vAlign w:val="center"/>
            <w:hideMark/>
          </w:tcPr>
          <w:p w:rsidR="0047685C" w:rsidRPr="004B2A9B" w:rsidRDefault="0047685C" w:rsidP="0047685C">
            <w:pPr>
              <w:widowControl/>
              <w:overflowPunct/>
              <w:autoSpaceDE/>
              <w:autoSpaceDN/>
              <w:adjustRightInd/>
              <w:spacing w:before="0" w:after="0"/>
              <w:rPr>
                <w:rFonts w:ascii="Arial Narrow" w:hAnsi="Arial Narrow" w:cs="Arial"/>
                <w:kern w:val="0"/>
                <w:sz w:val="18"/>
                <w:szCs w:val="18"/>
              </w:rPr>
            </w:pPr>
            <w:r w:rsidRPr="004B2A9B">
              <w:rPr>
                <w:rFonts w:ascii="Arial Narrow" w:hAnsi="Arial Narrow" w:cs="Arial"/>
                <w:kern w:val="0"/>
                <w:sz w:val="18"/>
                <w:szCs w:val="18"/>
              </w:rPr>
              <w:t>Servizi ricreativi, culturali e per la cura della persona</w:t>
            </w:r>
          </w:p>
        </w:tc>
        <w:tc>
          <w:tcPr>
            <w:tcW w:w="1048" w:type="dxa"/>
            <w:shd w:val="clear" w:color="000000" w:fill="D9D9D9"/>
            <w:vAlign w:val="center"/>
          </w:tcPr>
          <w:p w:rsidR="0047685C" w:rsidRPr="000148F1" w:rsidRDefault="0047685C" w:rsidP="0047685C">
            <w:pPr>
              <w:widowControl/>
              <w:overflowPunct/>
              <w:autoSpaceDE/>
              <w:autoSpaceDN/>
              <w:adjustRightInd/>
              <w:spacing w:before="0" w:after="0"/>
              <w:ind w:right="57"/>
              <w:jc w:val="right"/>
              <w:rPr>
                <w:rFonts w:ascii="Arial Narrow" w:hAnsi="Arial Narrow" w:cs="Arial"/>
                <w:kern w:val="0"/>
                <w:sz w:val="18"/>
                <w:szCs w:val="18"/>
              </w:rPr>
            </w:pPr>
            <w:r w:rsidRPr="000148F1">
              <w:rPr>
                <w:rFonts w:ascii="Arial Narrow" w:hAnsi="Arial Narrow" w:cs="Arial"/>
                <w:kern w:val="0"/>
                <w:sz w:val="18"/>
                <w:szCs w:val="18"/>
              </w:rPr>
              <w:t>166.292</w:t>
            </w:r>
          </w:p>
        </w:tc>
        <w:tc>
          <w:tcPr>
            <w:tcW w:w="909" w:type="dxa"/>
            <w:shd w:val="clear" w:color="auto" w:fill="auto"/>
            <w:vAlign w:val="center"/>
          </w:tcPr>
          <w:p w:rsidR="0047685C" w:rsidRPr="0047685C" w:rsidRDefault="0047685C" w:rsidP="0047685C">
            <w:pPr>
              <w:widowControl/>
              <w:overflowPunct/>
              <w:autoSpaceDE/>
              <w:autoSpaceDN/>
              <w:adjustRightInd/>
              <w:spacing w:before="0" w:after="0"/>
              <w:jc w:val="right"/>
              <w:rPr>
                <w:rFonts w:ascii="Arial Narrow" w:hAnsi="Arial Narrow" w:cs="Arial"/>
                <w:kern w:val="0"/>
                <w:sz w:val="18"/>
                <w:szCs w:val="18"/>
              </w:rPr>
            </w:pPr>
            <w:r w:rsidRPr="0047685C">
              <w:rPr>
                <w:rFonts w:ascii="Arial Narrow" w:hAnsi="Arial Narrow" w:cs="Arial"/>
                <w:kern w:val="0"/>
                <w:sz w:val="18"/>
                <w:szCs w:val="18"/>
              </w:rPr>
              <w:t>+0,8</w:t>
            </w:r>
          </w:p>
        </w:tc>
        <w:tc>
          <w:tcPr>
            <w:tcW w:w="971" w:type="dxa"/>
            <w:shd w:val="clear" w:color="000000" w:fill="D9D9D9"/>
            <w:vAlign w:val="center"/>
          </w:tcPr>
          <w:p w:rsidR="0047685C" w:rsidRPr="0047685C" w:rsidRDefault="0047685C" w:rsidP="0047685C">
            <w:pPr>
              <w:widowControl/>
              <w:overflowPunct/>
              <w:autoSpaceDE/>
              <w:autoSpaceDN/>
              <w:adjustRightInd/>
              <w:spacing w:before="0" w:after="0"/>
              <w:jc w:val="right"/>
              <w:rPr>
                <w:rFonts w:ascii="Arial Narrow" w:hAnsi="Arial Narrow" w:cs="Arial"/>
                <w:kern w:val="0"/>
                <w:sz w:val="18"/>
                <w:szCs w:val="18"/>
              </w:rPr>
            </w:pPr>
            <w:r w:rsidRPr="0047685C">
              <w:rPr>
                <w:rFonts w:ascii="Arial Narrow" w:hAnsi="Arial Narrow" w:cs="Arial"/>
                <w:kern w:val="0"/>
                <w:sz w:val="18"/>
                <w:szCs w:val="18"/>
              </w:rPr>
              <w:t>+0,4</w:t>
            </w:r>
          </w:p>
        </w:tc>
        <w:tc>
          <w:tcPr>
            <w:tcW w:w="967" w:type="dxa"/>
            <w:shd w:val="clear" w:color="auto" w:fill="auto"/>
            <w:vAlign w:val="center"/>
          </w:tcPr>
          <w:p w:rsidR="0047685C" w:rsidRPr="0047685C" w:rsidRDefault="0047685C" w:rsidP="0047685C">
            <w:pPr>
              <w:widowControl/>
              <w:overflowPunct/>
              <w:autoSpaceDE/>
              <w:autoSpaceDN/>
              <w:adjustRightInd/>
              <w:spacing w:before="0" w:after="0"/>
              <w:jc w:val="right"/>
              <w:rPr>
                <w:rFonts w:ascii="Arial Narrow" w:hAnsi="Arial Narrow" w:cs="Arial"/>
                <w:kern w:val="0"/>
                <w:sz w:val="18"/>
                <w:szCs w:val="18"/>
              </w:rPr>
            </w:pPr>
            <w:r w:rsidRPr="0047685C">
              <w:rPr>
                <w:rFonts w:ascii="Arial Narrow" w:hAnsi="Arial Narrow" w:cs="Arial"/>
                <w:kern w:val="0"/>
                <w:sz w:val="18"/>
                <w:szCs w:val="18"/>
              </w:rPr>
              <w:t>+4,4</w:t>
            </w:r>
          </w:p>
        </w:tc>
        <w:tc>
          <w:tcPr>
            <w:tcW w:w="834" w:type="dxa"/>
            <w:shd w:val="clear" w:color="000000" w:fill="D9D9D9"/>
            <w:vAlign w:val="center"/>
          </w:tcPr>
          <w:p w:rsidR="0047685C" w:rsidRPr="0047685C" w:rsidRDefault="0047685C" w:rsidP="0047685C">
            <w:pPr>
              <w:widowControl/>
              <w:overflowPunct/>
              <w:autoSpaceDE/>
              <w:autoSpaceDN/>
              <w:adjustRightInd/>
              <w:spacing w:before="0" w:after="0"/>
              <w:jc w:val="right"/>
              <w:rPr>
                <w:rFonts w:ascii="Arial Narrow" w:hAnsi="Arial Narrow" w:cs="Arial"/>
                <w:kern w:val="0"/>
                <w:sz w:val="18"/>
                <w:szCs w:val="18"/>
              </w:rPr>
            </w:pPr>
            <w:r w:rsidRPr="0047685C">
              <w:rPr>
                <w:rFonts w:ascii="Arial Narrow" w:hAnsi="Arial Narrow" w:cs="Arial"/>
                <w:kern w:val="0"/>
                <w:sz w:val="18"/>
                <w:szCs w:val="18"/>
              </w:rPr>
              <w:t>+4,0</w:t>
            </w:r>
          </w:p>
        </w:tc>
        <w:tc>
          <w:tcPr>
            <w:tcW w:w="1050" w:type="dxa"/>
            <w:shd w:val="clear" w:color="auto" w:fill="auto"/>
            <w:vAlign w:val="center"/>
          </w:tcPr>
          <w:p w:rsidR="0047685C" w:rsidRPr="0047685C" w:rsidRDefault="0047685C" w:rsidP="0047685C">
            <w:pPr>
              <w:widowControl/>
              <w:overflowPunct/>
              <w:autoSpaceDE/>
              <w:autoSpaceDN/>
              <w:adjustRightInd/>
              <w:spacing w:before="0" w:after="0"/>
              <w:jc w:val="right"/>
              <w:rPr>
                <w:rFonts w:ascii="Arial Narrow" w:hAnsi="Arial Narrow" w:cs="Arial"/>
                <w:kern w:val="0"/>
                <w:sz w:val="18"/>
                <w:szCs w:val="18"/>
              </w:rPr>
            </w:pPr>
            <w:r w:rsidRPr="0047685C">
              <w:rPr>
                <w:rFonts w:ascii="Arial Narrow" w:hAnsi="Arial Narrow" w:cs="Arial"/>
                <w:kern w:val="0"/>
                <w:sz w:val="18"/>
                <w:szCs w:val="18"/>
              </w:rPr>
              <w:t>+4,3</w:t>
            </w:r>
          </w:p>
        </w:tc>
      </w:tr>
      <w:tr w:rsidR="0047685C" w:rsidRPr="004B2A9B" w:rsidTr="000127DA">
        <w:trPr>
          <w:trHeight w:val="255"/>
          <w:jc w:val="center"/>
        </w:trPr>
        <w:tc>
          <w:tcPr>
            <w:tcW w:w="4395" w:type="dxa"/>
            <w:shd w:val="clear" w:color="auto" w:fill="auto"/>
            <w:noWrap/>
            <w:vAlign w:val="center"/>
            <w:hideMark/>
          </w:tcPr>
          <w:p w:rsidR="0047685C" w:rsidRPr="004B2A9B" w:rsidRDefault="0047685C" w:rsidP="0047685C">
            <w:pPr>
              <w:widowControl/>
              <w:overflowPunct/>
              <w:autoSpaceDE/>
              <w:autoSpaceDN/>
              <w:adjustRightInd/>
              <w:spacing w:before="0" w:after="0"/>
              <w:rPr>
                <w:rFonts w:ascii="Arial Narrow" w:hAnsi="Arial Narrow" w:cs="Arial"/>
                <w:kern w:val="0"/>
                <w:sz w:val="18"/>
                <w:szCs w:val="18"/>
              </w:rPr>
            </w:pPr>
            <w:r w:rsidRPr="004B2A9B">
              <w:rPr>
                <w:rFonts w:ascii="Arial Narrow" w:hAnsi="Arial Narrow" w:cs="Arial"/>
                <w:kern w:val="0"/>
                <w:sz w:val="18"/>
                <w:szCs w:val="18"/>
              </w:rPr>
              <w:t>Servizi relativi ai trasporti</w:t>
            </w:r>
          </w:p>
        </w:tc>
        <w:tc>
          <w:tcPr>
            <w:tcW w:w="1048" w:type="dxa"/>
            <w:shd w:val="clear" w:color="000000" w:fill="D9D9D9"/>
            <w:vAlign w:val="center"/>
          </w:tcPr>
          <w:p w:rsidR="0047685C" w:rsidRPr="000148F1" w:rsidRDefault="0047685C" w:rsidP="0047685C">
            <w:pPr>
              <w:widowControl/>
              <w:overflowPunct/>
              <w:autoSpaceDE/>
              <w:autoSpaceDN/>
              <w:adjustRightInd/>
              <w:spacing w:before="0" w:after="0"/>
              <w:ind w:right="57"/>
              <w:jc w:val="right"/>
              <w:rPr>
                <w:rFonts w:ascii="Arial Narrow" w:hAnsi="Arial Narrow" w:cs="Arial"/>
                <w:kern w:val="0"/>
                <w:sz w:val="18"/>
                <w:szCs w:val="18"/>
              </w:rPr>
            </w:pPr>
            <w:r w:rsidRPr="000148F1">
              <w:rPr>
                <w:rFonts w:ascii="Arial Narrow" w:hAnsi="Arial Narrow" w:cs="Arial"/>
                <w:kern w:val="0"/>
                <w:sz w:val="18"/>
                <w:szCs w:val="18"/>
              </w:rPr>
              <w:t>75.750</w:t>
            </w:r>
          </w:p>
        </w:tc>
        <w:tc>
          <w:tcPr>
            <w:tcW w:w="909" w:type="dxa"/>
            <w:shd w:val="clear" w:color="auto" w:fill="auto"/>
            <w:vAlign w:val="center"/>
          </w:tcPr>
          <w:p w:rsidR="0047685C" w:rsidRPr="0047685C" w:rsidRDefault="0047685C" w:rsidP="0047685C">
            <w:pPr>
              <w:widowControl/>
              <w:overflowPunct/>
              <w:autoSpaceDE/>
              <w:autoSpaceDN/>
              <w:adjustRightInd/>
              <w:spacing w:before="0" w:after="0"/>
              <w:jc w:val="right"/>
              <w:rPr>
                <w:rFonts w:ascii="Arial Narrow" w:hAnsi="Arial Narrow" w:cs="Arial"/>
                <w:kern w:val="0"/>
                <w:sz w:val="18"/>
                <w:szCs w:val="18"/>
              </w:rPr>
            </w:pPr>
            <w:r w:rsidRPr="0047685C">
              <w:rPr>
                <w:rFonts w:ascii="Arial Narrow" w:hAnsi="Arial Narrow" w:cs="Arial"/>
                <w:kern w:val="0"/>
                <w:sz w:val="18"/>
                <w:szCs w:val="18"/>
              </w:rPr>
              <w:t>+0,4</w:t>
            </w:r>
          </w:p>
        </w:tc>
        <w:tc>
          <w:tcPr>
            <w:tcW w:w="971" w:type="dxa"/>
            <w:shd w:val="clear" w:color="000000" w:fill="D9D9D9"/>
            <w:vAlign w:val="center"/>
          </w:tcPr>
          <w:p w:rsidR="0047685C" w:rsidRPr="0047685C" w:rsidRDefault="0047685C" w:rsidP="0047685C">
            <w:pPr>
              <w:widowControl/>
              <w:overflowPunct/>
              <w:autoSpaceDE/>
              <w:autoSpaceDN/>
              <w:adjustRightInd/>
              <w:spacing w:before="0" w:after="0"/>
              <w:jc w:val="right"/>
              <w:rPr>
                <w:rFonts w:ascii="Arial Narrow" w:hAnsi="Arial Narrow" w:cs="Arial"/>
                <w:kern w:val="0"/>
                <w:sz w:val="18"/>
                <w:szCs w:val="18"/>
              </w:rPr>
            </w:pPr>
            <w:r w:rsidRPr="0047685C">
              <w:rPr>
                <w:rFonts w:ascii="Arial Narrow" w:hAnsi="Arial Narrow" w:cs="Arial"/>
                <w:kern w:val="0"/>
                <w:sz w:val="18"/>
                <w:szCs w:val="18"/>
              </w:rPr>
              <w:t>+0,4</w:t>
            </w:r>
          </w:p>
        </w:tc>
        <w:tc>
          <w:tcPr>
            <w:tcW w:w="967" w:type="dxa"/>
            <w:shd w:val="clear" w:color="auto" w:fill="auto"/>
            <w:vAlign w:val="center"/>
          </w:tcPr>
          <w:p w:rsidR="0047685C" w:rsidRPr="0047685C" w:rsidRDefault="0047685C" w:rsidP="0047685C">
            <w:pPr>
              <w:widowControl/>
              <w:overflowPunct/>
              <w:autoSpaceDE/>
              <w:autoSpaceDN/>
              <w:adjustRightInd/>
              <w:spacing w:before="0" w:after="0"/>
              <w:jc w:val="right"/>
              <w:rPr>
                <w:rFonts w:ascii="Arial Narrow" w:hAnsi="Arial Narrow" w:cs="Arial"/>
                <w:kern w:val="0"/>
                <w:sz w:val="18"/>
                <w:szCs w:val="18"/>
              </w:rPr>
            </w:pPr>
            <w:r w:rsidRPr="0047685C">
              <w:rPr>
                <w:rFonts w:ascii="Arial Narrow" w:hAnsi="Arial Narrow" w:cs="Arial"/>
                <w:kern w:val="0"/>
                <w:sz w:val="18"/>
                <w:szCs w:val="18"/>
              </w:rPr>
              <w:t>+2,2</w:t>
            </w:r>
          </w:p>
        </w:tc>
        <w:tc>
          <w:tcPr>
            <w:tcW w:w="834" w:type="dxa"/>
            <w:shd w:val="clear" w:color="000000" w:fill="D9D9D9"/>
            <w:vAlign w:val="center"/>
          </w:tcPr>
          <w:p w:rsidR="0047685C" w:rsidRPr="0047685C" w:rsidRDefault="0047685C" w:rsidP="0047685C">
            <w:pPr>
              <w:widowControl/>
              <w:overflowPunct/>
              <w:autoSpaceDE/>
              <w:autoSpaceDN/>
              <w:adjustRightInd/>
              <w:spacing w:before="0" w:after="0"/>
              <w:jc w:val="right"/>
              <w:rPr>
                <w:rFonts w:ascii="Arial Narrow" w:hAnsi="Arial Narrow" w:cs="Arial"/>
                <w:kern w:val="0"/>
                <w:sz w:val="18"/>
                <w:szCs w:val="18"/>
              </w:rPr>
            </w:pPr>
            <w:r w:rsidRPr="0047685C">
              <w:rPr>
                <w:rFonts w:ascii="Arial Narrow" w:hAnsi="Arial Narrow" w:cs="Arial"/>
                <w:kern w:val="0"/>
                <w:sz w:val="18"/>
                <w:szCs w:val="18"/>
              </w:rPr>
              <w:t>+2,2</w:t>
            </w:r>
          </w:p>
        </w:tc>
        <w:tc>
          <w:tcPr>
            <w:tcW w:w="1050" w:type="dxa"/>
            <w:shd w:val="clear" w:color="auto" w:fill="auto"/>
            <w:vAlign w:val="center"/>
          </w:tcPr>
          <w:p w:rsidR="0047685C" w:rsidRPr="0047685C" w:rsidRDefault="0047685C" w:rsidP="0047685C">
            <w:pPr>
              <w:widowControl/>
              <w:overflowPunct/>
              <w:autoSpaceDE/>
              <w:autoSpaceDN/>
              <w:adjustRightInd/>
              <w:spacing w:before="0" w:after="0"/>
              <w:jc w:val="right"/>
              <w:rPr>
                <w:rFonts w:ascii="Arial Narrow" w:hAnsi="Arial Narrow" w:cs="Arial"/>
                <w:kern w:val="0"/>
                <w:sz w:val="18"/>
                <w:szCs w:val="18"/>
              </w:rPr>
            </w:pPr>
            <w:r w:rsidRPr="0047685C">
              <w:rPr>
                <w:rFonts w:ascii="Arial Narrow" w:hAnsi="Arial Narrow" w:cs="Arial"/>
                <w:kern w:val="0"/>
                <w:sz w:val="18"/>
                <w:szCs w:val="18"/>
              </w:rPr>
              <w:t>+3,0</w:t>
            </w:r>
          </w:p>
        </w:tc>
      </w:tr>
      <w:tr w:rsidR="0047685C" w:rsidRPr="004B2A9B" w:rsidTr="000127DA">
        <w:trPr>
          <w:trHeight w:val="255"/>
          <w:jc w:val="center"/>
        </w:trPr>
        <w:tc>
          <w:tcPr>
            <w:tcW w:w="4395" w:type="dxa"/>
            <w:shd w:val="clear" w:color="auto" w:fill="auto"/>
            <w:noWrap/>
            <w:vAlign w:val="center"/>
            <w:hideMark/>
          </w:tcPr>
          <w:p w:rsidR="0047685C" w:rsidRPr="004B2A9B" w:rsidRDefault="0047685C" w:rsidP="0047685C">
            <w:pPr>
              <w:widowControl/>
              <w:overflowPunct/>
              <w:autoSpaceDE/>
              <w:autoSpaceDN/>
              <w:adjustRightInd/>
              <w:spacing w:before="0" w:after="0"/>
              <w:rPr>
                <w:rFonts w:ascii="Arial Narrow" w:hAnsi="Arial Narrow" w:cs="Arial"/>
                <w:kern w:val="0"/>
                <w:sz w:val="18"/>
                <w:szCs w:val="18"/>
              </w:rPr>
            </w:pPr>
            <w:r w:rsidRPr="004B2A9B">
              <w:rPr>
                <w:rFonts w:ascii="Arial Narrow" w:hAnsi="Arial Narrow" w:cs="Arial"/>
                <w:kern w:val="0"/>
                <w:sz w:val="18"/>
                <w:szCs w:val="18"/>
              </w:rPr>
              <w:t>Servizi vari</w:t>
            </w:r>
          </w:p>
        </w:tc>
        <w:tc>
          <w:tcPr>
            <w:tcW w:w="1048" w:type="dxa"/>
            <w:shd w:val="clear" w:color="000000" w:fill="D9D9D9"/>
            <w:vAlign w:val="center"/>
          </w:tcPr>
          <w:p w:rsidR="0047685C" w:rsidRPr="000148F1" w:rsidRDefault="0047685C" w:rsidP="0047685C">
            <w:pPr>
              <w:widowControl/>
              <w:overflowPunct/>
              <w:autoSpaceDE/>
              <w:autoSpaceDN/>
              <w:adjustRightInd/>
              <w:spacing w:before="0" w:after="0"/>
              <w:ind w:right="57"/>
              <w:jc w:val="right"/>
              <w:rPr>
                <w:rFonts w:ascii="Arial Narrow" w:hAnsi="Arial Narrow" w:cs="Arial"/>
                <w:kern w:val="0"/>
                <w:sz w:val="18"/>
                <w:szCs w:val="18"/>
              </w:rPr>
            </w:pPr>
            <w:r w:rsidRPr="000148F1">
              <w:rPr>
                <w:rFonts w:ascii="Arial Narrow" w:hAnsi="Arial Narrow" w:cs="Arial"/>
                <w:kern w:val="0"/>
                <w:sz w:val="18"/>
                <w:szCs w:val="18"/>
              </w:rPr>
              <w:t>111.569</w:t>
            </w:r>
          </w:p>
        </w:tc>
        <w:tc>
          <w:tcPr>
            <w:tcW w:w="909" w:type="dxa"/>
            <w:shd w:val="clear" w:color="auto" w:fill="auto"/>
            <w:vAlign w:val="center"/>
          </w:tcPr>
          <w:p w:rsidR="0047685C" w:rsidRPr="0047685C" w:rsidRDefault="0047685C" w:rsidP="0047685C">
            <w:pPr>
              <w:widowControl/>
              <w:overflowPunct/>
              <w:autoSpaceDE/>
              <w:autoSpaceDN/>
              <w:adjustRightInd/>
              <w:spacing w:before="0" w:after="0"/>
              <w:jc w:val="right"/>
              <w:rPr>
                <w:rFonts w:ascii="Arial Narrow" w:hAnsi="Arial Narrow" w:cs="Arial"/>
                <w:kern w:val="0"/>
                <w:sz w:val="18"/>
                <w:szCs w:val="18"/>
              </w:rPr>
            </w:pPr>
            <w:r w:rsidRPr="0047685C">
              <w:rPr>
                <w:rFonts w:ascii="Arial Narrow" w:hAnsi="Arial Narrow" w:cs="Arial"/>
                <w:kern w:val="0"/>
                <w:sz w:val="18"/>
                <w:szCs w:val="18"/>
              </w:rPr>
              <w:t>0,0</w:t>
            </w:r>
          </w:p>
        </w:tc>
        <w:tc>
          <w:tcPr>
            <w:tcW w:w="971" w:type="dxa"/>
            <w:shd w:val="clear" w:color="000000" w:fill="D9D9D9"/>
            <w:vAlign w:val="center"/>
          </w:tcPr>
          <w:p w:rsidR="0047685C" w:rsidRPr="0047685C" w:rsidRDefault="0047685C" w:rsidP="0047685C">
            <w:pPr>
              <w:widowControl/>
              <w:overflowPunct/>
              <w:autoSpaceDE/>
              <w:autoSpaceDN/>
              <w:adjustRightInd/>
              <w:spacing w:before="0" w:after="0"/>
              <w:jc w:val="right"/>
              <w:rPr>
                <w:rFonts w:ascii="Arial Narrow" w:hAnsi="Arial Narrow" w:cs="Arial"/>
                <w:kern w:val="0"/>
                <w:sz w:val="18"/>
                <w:szCs w:val="18"/>
              </w:rPr>
            </w:pPr>
            <w:r w:rsidRPr="0047685C">
              <w:rPr>
                <w:rFonts w:ascii="Arial Narrow" w:hAnsi="Arial Narrow" w:cs="Arial"/>
                <w:kern w:val="0"/>
                <w:sz w:val="18"/>
                <w:szCs w:val="18"/>
              </w:rPr>
              <w:t>+0,3</w:t>
            </w:r>
          </w:p>
        </w:tc>
        <w:tc>
          <w:tcPr>
            <w:tcW w:w="967" w:type="dxa"/>
            <w:shd w:val="clear" w:color="auto" w:fill="auto"/>
            <w:vAlign w:val="center"/>
          </w:tcPr>
          <w:p w:rsidR="0047685C" w:rsidRPr="0047685C" w:rsidRDefault="0047685C" w:rsidP="0047685C">
            <w:pPr>
              <w:widowControl/>
              <w:overflowPunct/>
              <w:autoSpaceDE/>
              <w:autoSpaceDN/>
              <w:adjustRightInd/>
              <w:spacing w:before="0" w:after="0"/>
              <w:jc w:val="right"/>
              <w:rPr>
                <w:rFonts w:ascii="Arial Narrow" w:hAnsi="Arial Narrow" w:cs="Arial"/>
                <w:kern w:val="0"/>
                <w:sz w:val="18"/>
                <w:szCs w:val="18"/>
              </w:rPr>
            </w:pPr>
            <w:r w:rsidRPr="0047685C">
              <w:rPr>
                <w:rFonts w:ascii="Arial Narrow" w:hAnsi="Arial Narrow" w:cs="Arial"/>
                <w:kern w:val="0"/>
                <w:sz w:val="18"/>
                <w:szCs w:val="18"/>
              </w:rPr>
              <w:t>+1,5</w:t>
            </w:r>
          </w:p>
        </w:tc>
        <w:tc>
          <w:tcPr>
            <w:tcW w:w="834" w:type="dxa"/>
            <w:shd w:val="clear" w:color="000000" w:fill="D9D9D9"/>
            <w:vAlign w:val="center"/>
          </w:tcPr>
          <w:p w:rsidR="0047685C" w:rsidRPr="0047685C" w:rsidRDefault="0047685C" w:rsidP="0047685C">
            <w:pPr>
              <w:widowControl/>
              <w:overflowPunct/>
              <w:autoSpaceDE/>
              <w:autoSpaceDN/>
              <w:adjustRightInd/>
              <w:spacing w:before="0" w:after="0"/>
              <w:jc w:val="right"/>
              <w:rPr>
                <w:rFonts w:ascii="Arial Narrow" w:hAnsi="Arial Narrow" w:cs="Arial"/>
                <w:kern w:val="0"/>
                <w:sz w:val="18"/>
                <w:szCs w:val="18"/>
              </w:rPr>
            </w:pPr>
            <w:r w:rsidRPr="0047685C">
              <w:rPr>
                <w:rFonts w:ascii="Arial Narrow" w:hAnsi="Arial Narrow" w:cs="Arial"/>
                <w:kern w:val="0"/>
                <w:sz w:val="18"/>
                <w:szCs w:val="18"/>
              </w:rPr>
              <w:t>+1,8</w:t>
            </w:r>
          </w:p>
        </w:tc>
        <w:tc>
          <w:tcPr>
            <w:tcW w:w="1050" w:type="dxa"/>
            <w:shd w:val="clear" w:color="auto" w:fill="auto"/>
            <w:vAlign w:val="center"/>
          </w:tcPr>
          <w:p w:rsidR="0047685C" w:rsidRPr="0047685C" w:rsidRDefault="0047685C" w:rsidP="0047685C">
            <w:pPr>
              <w:widowControl/>
              <w:overflowPunct/>
              <w:autoSpaceDE/>
              <w:autoSpaceDN/>
              <w:adjustRightInd/>
              <w:spacing w:before="0" w:after="0"/>
              <w:jc w:val="right"/>
              <w:rPr>
                <w:rFonts w:ascii="Arial Narrow" w:hAnsi="Arial Narrow" w:cs="Arial"/>
                <w:kern w:val="0"/>
                <w:sz w:val="18"/>
                <w:szCs w:val="18"/>
              </w:rPr>
            </w:pPr>
            <w:r w:rsidRPr="0047685C">
              <w:rPr>
                <w:rFonts w:ascii="Arial Narrow" w:hAnsi="Arial Narrow" w:cs="Arial"/>
                <w:kern w:val="0"/>
                <w:sz w:val="18"/>
                <w:szCs w:val="18"/>
              </w:rPr>
              <w:t>+1,6</w:t>
            </w:r>
          </w:p>
        </w:tc>
      </w:tr>
      <w:tr w:rsidR="0047685C" w:rsidRPr="004B2A9B" w:rsidTr="000127DA">
        <w:trPr>
          <w:trHeight w:val="255"/>
          <w:jc w:val="center"/>
        </w:trPr>
        <w:tc>
          <w:tcPr>
            <w:tcW w:w="4395" w:type="dxa"/>
            <w:shd w:val="clear" w:color="000000" w:fill="808080"/>
            <w:noWrap/>
            <w:vAlign w:val="center"/>
            <w:hideMark/>
          </w:tcPr>
          <w:p w:rsidR="0047685C" w:rsidRPr="004B2A9B" w:rsidRDefault="0047685C" w:rsidP="0047685C">
            <w:pPr>
              <w:widowControl/>
              <w:overflowPunct/>
              <w:autoSpaceDE/>
              <w:autoSpaceDN/>
              <w:adjustRightInd/>
              <w:spacing w:before="0" w:after="0"/>
              <w:rPr>
                <w:rFonts w:ascii="Arial Narrow" w:hAnsi="Arial Narrow" w:cs="Arial"/>
                <w:b/>
                <w:bCs/>
                <w:color w:val="FFFFFF"/>
                <w:kern w:val="0"/>
                <w:sz w:val="18"/>
                <w:szCs w:val="18"/>
              </w:rPr>
            </w:pPr>
            <w:r w:rsidRPr="004B2A9B">
              <w:rPr>
                <w:rFonts w:ascii="Arial Narrow" w:hAnsi="Arial Narrow" w:cs="Arial"/>
                <w:b/>
                <w:bCs/>
                <w:color w:val="FFFFFF"/>
                <w:kern w:val="0"/>
                <w:sz w:val="18"/>
                <w:szCs w:val="18"/>
              </w:rPr>
              <w:t>Servizi</w:t>
            </w:r>
          </w:p>
        </w:tc>
        <w:tc>
          <w:tcPr>
            <w:tcW w:w="1048" w:type="dxa"/>
            <w:shd w:val="clear" w:color="000000" w:fill="808080"/>
            <w:vAlign w:val="center"/>
          </w:tcPr>
          <w:p w:rsidR="0047685C" w:rsidRPr="000148F1" w:rsidRDefault="0047685C" w:rsidP="0047685C">
            <w:pPr>
              <w:widowControl/>
              <w:overflowPunct/>
              <w:autoSpaceDE/>
              <w:autoSpaceDN/>
              <w:adjustRightInd/>
              <w:spacing w:before="0" w:after="0"/>
              <w:ind w:right="57"/>
              <w:jc w:val="right"/>
              <w:rPr>
                <w:rFonts w:ascii="Arial Narrow" w:hAnsi="Arial Narrow" w:cs="Arial"/>
                <w:b/>
                <w:color w:val="FFFFFF" w:themeColor="background1"/>
                <w:kern w:val="0"/>
                <w:sz w:val="18"/>
                <w:szCs w:val="18"/>
              </w:rPr>
            </w:pPr>
            <w:r w:rsidRPr="000148F1">
              <w:rPr>
                <w:rFonts w:ascii="Arial Narrow" w:hAnsi="Arial Narrow" w:cs="Arial"/>
                <w:b/>
                <w:color w:val="FFFFFF" w:themeColor="background1"/>
                <w:kern w:val="0"/>
                <w:sz w:val="18"/>
                <w:szCs w:val="18"/>
              </w:rPr>
              <w:t>433.978</w:t>
            </w:r>
          </w:p>
        </w:tc>
        <w:tc>
          <w:tcPr>
            <w:tcW w:w="909" w:type="dxa"/>
            <w:shd w:val="clear" w:color="000000" w:fill="808080"/>
            <w:vAlign w:val="center"/>
          </w:tcPr>
          <w:p w:rsidR="0047685C" w:rsidRPr="0047685C" w:rsidRDefault="0047685C" w:rsidP="0047685C">
            <w:pPr>
              <w:widowControl/>
              <w:overflowPunct/>
              <w:autoSpaceDE/>
              <w:autoSpaceDN/>
              <w:adjustRightInd/>
              <w:spacing w:before="0" w:after="0"/>
              <w:jc w:val="right"/>
              <w:rPr>
                <w:rFonts w:ascii="Arial Narrow" w:hAnsi="Arial Narrow" w:cs="Arial"/>
                <w:b/>
                <w:color w:val="FFFFFF" w:themeColor="background1"/>
                <w:kern w:val="0"/>
                <w:sz w:val="18"/>
                <w:szCs w:val="18"/>
              </w:rPr>
            </w:pPr>
            <w:r w:rsidRPr="0047685C">
              <w:rPr>
                <w:rFonts w:ascii="Arial Narrow" w:hAnsi="Arial Narrow" w:cs="Arial"/>
                <w:b/>
                <w:color w:val="FFFFFF" w:themeColor="background1"/>
                <w:kern w:val="0"/>
                <w:sz w:val="18"/>
                <w:szCs w:val="18"/>
              </w:rPr>
              <w:t>+0,4</w:t>
            </w:r>
          </w:p>
        </w:tc>
        <w:tc>
          <w:tcPr>
            <w:tcW w:w="971" w:type="dxa"/>
            <w:shd w:val="clear" w:color="000000" w:fill="808080"/>
            <w:vAlign w:val="center"/>
          </w:tcPr>
          <w:p w:rsidR="0047685C" w:rsidRPr="0047685C" w:rsidRDefault="0047685C" w:rsidP="0047685C">
            <w:pPr>
              <w:widowControl/>
              <w:overflowPunct/>
              <w:autoSpaceDE/>
              <w:autoSpaceDN/>
              <w:adjustRightInd/>
              <w:spacing w:before="0" w:after="0"/>
              <w:jc w:val="right"/>
              <w:rPr>
                <w:rFonts w:ascii="Arial Narrow" w:hAnsi="Arial Narrow" w:cs="Arial"/>
                <w:b/>
                <w:color w:val="FFFFFF" w:themeColor="background1"/>
                <w:kern w:val="0"/>
                <w:sz w:val="18"/>
                <w:szCs w:val="18"/>
              </w:rPr>
            </w:pPr>
            <w:r w:rsidRPr="0047685C">
              <w:rPr>
                <w:rFonts w:ascii="Arial Narrow" w:hAnsi="Arial Narrow" w:cs="Arial"/>
                <w:b/>
                <w:color w:val="FFFFFF" w:themeColor="background1"/>
                <w:kern w:val="0"/>
                <w:sz w:val="18"/>
                <w:szCs w:val="18"/>
              </w:rPr>
              <w:t>+0,3</w:t>
            </w:r>
          </w:p>
        </w:tc>
        <w:tc>
          <w:tcPr>
            <w:tcW w:w="967" w:type="dxa"/>
            <w:shd w:val="clear" w:color="000000" w:fill="808080"/>
            <w:vAlign w:val="center"/>
          </w:tcPr>
          <w:p w:rsidR="0047685C" w:rsidRPr="0047685C" w:rsidRDefault="0047685C" w:rsidP="0047685C">
            <w:pPr>
              <w:widowControl/>
              <w:overflowPunct/>
              <w:autoSpaceDE/>
              <w:autoSpaceDN/>
              <w:adjustRightInd/>
              <w:spacing w:before="0" w:after="0"/>
              <w:jc w:val="right"/>
              <w:rPr>
                <w:rFonts w:ascii="Arial Narrow" w:hAnsi="Arial Narrow" w:cs="Arial"/>
                <w:b/>
                <w:color w:val="FFFFFF" w:themeColor="background1"/>
                <w:kern w:val="0"/>
                <w:sz w:val="18"/>
                <w:szCs w:val="18"/>
              </w:rPr>
            </w:pPr>
            <w:r w:rsidRPr="0047685C">
              <w:rPr>
                <w:rFonts w:ascii="Arial Narrow" w:hAnsi="Arial Narrow" w:cs="Arial"/>
                <w:b/>
                <w:color w:val="FFFFFF" w:themeColor="background1"/>
                <w:kern w:val="0"/>
                <w:sz w:val="18"/>
                <w:szCs w:val="18"/>
              </w:rPr>
              <w:t>+3,0</w:t>
            </w:r>
          </w:p>
        </w:tc>
        <w:tc>
          <w:tcPr>
            <w:tcW w:w="834" w:type="dxa"/>
            <w:shd w:val="clear" w:color="000000" w:fill="808080"/>
            <w:vAlign w:val="center"/>
          </w:tcPr>
          <w:p w:rsidR="0047685C" w:rsidRPr="0047685C" w:rsidRDefault="0047685C" w:rsidP="0047685C">
            <w:pPr>
              <w:widowControl/>
              <w:overflowPunct/>
              <w:autoSpaceDE/>
              <w:autoSpaceDN/>
              <w:adjustRightInd/>
              <w:spacing w:before="0" w:after="0"/>
              <w:jc w:val="right"/>
              <w:rPr>
                <w:rFonts w:ascii="Arial Narrow" w:hAnsi="Arial Narrow" w:cs="Arial"/>
                <w:b/>
                <w:color w:val="FFFFFF" w:themeColor="background1"/>
                <w:kern w:val="0"/>
                <w:sz w:val="18"/>
                <w:szCs w:val="18"/>
              </w:rPr>
            </w:pPr>
            <w:r w:rsidRPr="0047685C">
              <w:rPr>
                <w:rFonts w:ascii="Arial Narrow" w:hAnsi="Arial Narrow" w:cs="Arial"/>
                <w:b/>
                <w:color w:val="FFFFFF" w:themeColor="background1"/>
                <w:kern w:val="0"/>
                <w:sz w:val="18"/>
                <w:szCs w:val="18"/>
              </w:rPr>
              <w:t>+2,8</w:t>
            </w:r>
          </w:p>
        </w:tc>
        <w:tc>
          <w:tcPr>
            <w:tcW w:w="1050" w:type="dxa"/>
            <w:shd w:val="clear" w:color="000000" w:fill="808080"/>
            <w:vAlign w:val="center"/>
          </w:tcPr>
          <w:p w:rsidR="0047685C" w:rsidRPr="0047685C" w:rsidRDefault="0047685C" w:rsidP="0047685C">
            <w:pPr>
              <w:widowControl/>
              <w:overflowPunct/>
              <w:autoSpaceDE/>
              <w:autoSpaceDN/>
              <w:adjustRightInd/>
              <w:spacing w:before="0" w:after="0"/>
              <w:jc w:val="right"/>
              <w:rPr>
                <w:rFonts w:ascii="Arial Narrow" w:hAnsi="Arial Narrow" w:cs="Arial"/>
                <w:b/>
                <w:color w:val="FFFFFF" w:themeColor="background1"/>
                <w:kern w:val="0"/>
                <w:sz w:val="18"/>
                <w:szCs w:val="18"/>
              </w:rPr>
            </w:pPr>
            <w:r w:rsidRPr="0047685C">
              <w:rPr>
                <w:rFonts w:ascii="Arial Narrow" w:hAnsi="Arial Narrow" w:cs="Arial"/>
                <w:b/>
                <w:color w:val="FFFFFF" w:themeColor="background1"/>
                <w:kern w:val="0"/>
                <w:sz w:val="18"/>
                <w:szCs w:val="18"/>
              </w:rPr>
              <w:t>+2,9</w:t>
            </w:r>
          </w:p>
        </w:tc>
      </w:tr>
      <w:tr w:rsidR="0047685C" w:rsidRPr="004B2A9B" w:rsidTr="000127DA">
        <w:trPr>
          <w:trHeight w:val="255"/>
          <w:jc w:val="center"/>
        </w:trPr>
        <w:tc>
          <w:tcPr>
            <w:tcW w:w="4395" w:type="dxa"/>
            <w:shd w:val="clear" w:color="000000" w:fill="E42618"/>
            <w:noWrap/>
            <w:vAlign w:val="center"/>
            <w:hideMark/>
          </w:tcPr>
          <w:p w:rsidR="0047685C" w:rsidRPr="004B2A9B" w:rsidRDefault="0047685C" w:rsidP="0047685C">
            <w:pPr>
              <w:widowControl/>
              <w:overflowPunct/>
              <w:autoSpaceDE/>
              <w:autoSpaceDN/>
              <w:adjustRightInd/>
              <w:spacing w:before="0" w:after="0"/>
              <w:rPr>
                <w:rFonts w:ascii="Arial Narrow" w:hAnsi="Arial Narrow" w:cs="Arial"/>
                <w:b/>
                <w:bCs/>
                <w:color w:val="FFFFFF"/>
                <w:kern w:val="0"/>
                <w:sz w:val="18"/>
                <w:szCs w:val="18"/>
              </w:rPr>
            </w:pPr>
            <w:r w:rsidRPr="004B2A9B">
              <w:rPr>
                <w:rFonts w:ascii="Arial Narrow" w:hAnsi="Arial Narrow" w:cs="Arial"/>
                <w:b/>
                <w:bCs/>
                <w:color w:val="FFFFFF"/>
                <w:kern w:val="0"/>
                <w:sz w:val="18"/>
                <w:szCs w:val="18"/>
              </w:rPr>
              <w:t>Indice generale</w:t>
            </w:r>
          </w:p>
        </w:tc>
        <w:tc>
          <w:tcPr>
            <w:tcW w:w="1048" w:type="dxa"/>
            <w:shd w:val="clear" w:color="000000" w:fill="E42618"/>
            <w:vAlign w:val="center"/>
          </w:tcPr>
          <w:p w:rsidR="0047685C" w:rsidRPr="000148F1" w:rsidRDefault="0047685C" w:rsidP="0047685C">
            <w:pPr>
              <w:widowControl/>
              <w:overflowPunct/>
              <w:autoSpaceDE/>
              <w:autoSpaceDN/>
              <w:adjustRightInd/>
              <w:spacing w:before="0" w:after="0"/>
              <w:ind w:right="57"/>
              <w:jc w:val="right"/>
              <w:rPr>
                <w:rFonts w:ascii="Arial Narrow" w:hAnsi="Arial Narrow" w:cs="Arial"/>
                <w:b/>
                <w:color w:val="FFFFFF" w:themeColor="background1"/>
                <w:kern w:val="0"/>
                <w:sz w:val="18"/>
                <w:szCs w:val="18"/>
              </w:rPr>
            </w:pPr>
            <w:r w:rsidRPr="000148F1">
              <w:rPr>
                <w:rFonts w:ascii="Arial Narrow" w:hAnsi="Arial Narrow" w:cs="Arial"/>
                <w:b/>
                <w:color w:val="FFFFFF" w:themeColor="background1"/>
                <w:kern w:val="0"/>
                <w:sz w:val="18"/>
                <w:szCs w:val="18"/>
              </w:rPr>
              <w:t>1.000.000</w:t>
            </w:r>
          </w:p>
        </w:tc>
        <w:tc>
          <w:tcPr>
            <w:tcW w:w="909" w:type="dxa"/>
            <w:shd w:val="clear" w:color="000000" w:fill="E42618"/>
            <w:vAlign w:val="center"/>
          </w:tcPr>
          <w:p w:rsidR="0047685C" w:rsidRPr="0047685C" w:rsidRDefault="0047685C" w:rsidP="0047685C">
            <w:pPr>
              <w:widowControl/>
              <w:overflowPunct/>
              <w:autoSpaceDE/>
              <w:autoSpaceDN/>
              <w:adjustRightInd/>
              <w:spacing w:before="0" w:after="0"/>
              <w:jc w:val="right"/>
              <w:rPr>
                <w:rFonts w:ascii="Arial Narrow" w:hAnsi="Arial Narrow" w:cs="Arial"/>
                <w:b/>
                <w:color w:val="FFFFFF" w:themeColor="background1"/>
                <w:kern w:val="0"/>
                <w:sz w:val="18"/>
                <w:szCs w:val="18"/>
              </w:rPr>
            </w:pPr>
            <w:r w:rsidRPr="0047685C">
              <w:rPr>
                <w:rFonts w:ascii="Arial Narrow" w:hAnsi="Arial Narrow" w:cs="Arial"/>
                <w:b/>
                <w:color w:val="FFFFFF" w:themeColor="background1"/>
                <w:kern w:val="0"/>
                <w:sz w:val="18"/>
                <w:szCs w:val="18"/>
              </w:rPr>
              <w:t>+0,5</w:t>
            </w:r>
          </w:p>
        </w:tc>
        <w:tc>
          <w:tcPr>
            <w:tcW w:w="971" w:type="dxa"/>
            <w:shd w:val="clear" w:color="000000" w:fill="E42618"/>
            <w:vAlign w:val="center"/>
          </w:tcPr>
          <w:p w:rsidR="0047685C" w:rsidRPr="0047685C" w:rsidRDefault="0047685C" w:rsidP="0047685C">
            <w:pPr>
              <w:widowControl/>
              <w:overflowPunct/>
              <w:autoSpaceDE/>
              <w:autoSpaceDN/>
              <w:adjustRightInd/>
              <w:spacing w:before="0" w:after="0"/>
              <w:jc w:val="right"/>
              <w:rPr>
                <w:rFonts w:ascii="Arial Narrow" w:hAnsi="Arial Narrow" w:cs="Arial"/>
                <w:b/>
                <w:color w:val="FFFFFF" w:themeColor="background1"/>
                <w:kern w:val="0"/>
                <w:sz w:val="18"/>
                <w:szCs w:val="18"/>
              </w:rPr>
            </w:pPr>
            <w:r w:rsidRPr="0047685C">
              <w:rPr>
                <w:rFonts w:ascii="Arial Narrow" w:hAnsi="Arial Narrow" w:cs="Arial"/>
                <w:b/>
                <w:color w:val="FFFFFF" w:themeColor="background1"/>
                <w:kern w:val="0"/>
                <w:sz w:val="18"/>
                <w:szCs w:val="18"/>
              </w:rPr>
              <w:t>0,0</w:t>
            </w:r>
          </w:p>
        </w:tc>
        <w:tc>
          <w:tcPr>
            <w:tcW w:w="967" w:type="dxa"/>
            <w:shd w:val="clear" w:color="000000" w:fill="E42618"/>
            <w:vAlign w:val="center"/>
          </w:tcPr>
          <w:p w:rsidR="0047685C" w:rsidRPr="0047685C" w:rsidRDefault="0047685C" w:rsidP="0047685C">
            <w:pPr>
              <w:widowControl/>
              <w:overflowPunct/>
              <w:autoSpaceDE/>
              <w:autoSpaceDN/>
              <w:adjustRightInd/>
              <w:spacing w:before="0" w:after="0"/>
              <w:jc w:val="right"/>
              <w:rPr>
                <w:rFonts w:ascii="Arial Narrow" w:hAnsi="Arial Narrow" w:cs="Arial"/>
                <w:b/>
                <w:color w:val="FFFFFF" w:themeColor="background1"/>
                <w:kern w:val="0"/>
                <w:sz w:val="18"/>
                <w:szCs w:val="18"/>
              </w:rPr>
            </w:pPr>
            <w:r w:rsidRPr="0047685C">
              <w:rPr>
                <w:rFonts w:ascii="Arial Narrow" w:hAnsi="Arial Narrow" w:cs="Arial"/>
                <w:b/>
                <w:color w:val="FFFFFF" w:themeColor="background1"/>
                <w:kern w:val="0"/>
                <w:sz w:val="18"/>
                <w:szCs w:val="18"/>
              </w:rPr>
              <w:t>+1,3</w:t>
            </w:r>
          </w:p>
        </w:tc>
        <w:tc>
          <w:tcPr>
            <w:tcW w:w="834" w:type="dxa"/>
            <w:shd w:val="clear" w:color="000000" w:fill="E42618"/>
            <w:vAlign w:val="center"/>
          </w:tcPr>
          <w:p w:rsidR="0047685C" w:rsidRPr="0047685C" w:rsidRDefault="0047685C" w:rsidP="0047685C">
            <w:pPr>
              <w:widowControl/>
              <w:overflowPunct/>
              <w:autoSpaceDE/>
              <w:autoSpaceDN/>
              <w:adjustRightInd/>
              <w:spacing w:before="0" w:after="0"/>
              <w:jc w:val="right"/>
              <w:rPr>
                <w:rFonts w:ascii="Arial Narrow" w:hAnsi="Arial Narrow" w:cs="Arial"/>
                <w:b/>
                <w:color w:val="FFFFFF" w:themeColor="background1"/>
                <w:kern w:val="0"/>
                <w:sz w:val="18"/>
                <w:szCs w:val="18"/>
              </w:rPr>
            </w:pPr>
            <w:r w:rsidRPr="0047685C">
              <w:rPr>
                <w:rFonts w:ascii="Arial Narrow" w:hAnsi="Arial Narrow" w:cs="Arial"/>
                <w:b/>
                <w:color w:val="FFFFFF" w:themeColor="background1"/>
                <w:kern w:val="0"/>
                <w:sz w:val="18"/>
                <w:szCs w:val="18"/>
              </w:rPr>
              <w:t>+0,8</w:t>
            </w:r>
          </w:p>
        </w:tc>
        <w:tc>
          <w:tcPr>
            <w:tcW w:w="1050" w:type="dxa"/>
            <w:shd w:val="clear" w:color="000000" w:fill="E42618"/>
            <w:vAlign w:val="center"/>
          </w:tcPr>
          <w:p w:rsidR="0047685C" w:rsidRPr="0047685C" w:rsidRDefault="0047685C" w:rsidP="0047685C">
            <w:pPr>
              <w:widowControl/>
              <w:overflowPunct/>
              <w:autoSpaceDE/>
              <w:autoSpaceDN/>
              <w:adjustRightInd/>
              <w:spacing w:before="0" w:after="0"/>
              <w:jc w:val="right"/>
              <w:rPr>
                <w:rFonts w:ascii="Arial Narrow" w:hAnsi="Arial Narrow" w:cs="Arial"/>
                <w:b/>
                <w:color w:val="FFFFFF" w:themeColor="background1"/>
                <w:kern w:val="0"/>
                <w:sz w:val="18"/>
                <w:szCs w:val="18"/>
              </w:rPr>
            </w:pPr>
            <w:r w:rsidRPr="0047685C">
              <w:rPr>
                <w:rFonts w:ascii="Arial Narrow" w:hAnsi="Arial Narrow" w:cs="Arial"/>
                <w:b/>
                <w:color w:val="FFFFFF" w:themeColor="background1"/>
                <w:kern w:val="0"/>
                <w:sz w:val="18"/>
                <w:szCs w:val="18"/>
              </w:rPr>
              <w:t>+1,0</w:t>
            </w:r>
          </w:p>
        </w:tc>
      </w:tr>
      <w:tr w:rsidR="0047685C" w:rsidRPr="002449AF" w:rsidTr="000127DA">
        <w:trPr>
          <w:trHeight w:val="429"/>
          <w:jc w:val="center"/>
        </w:trPr>
        <w:tc>
          <w:tcPr>
            <w:tcW w:w="4395" w:type="dxa"/>
            <w:shd w:val="clear" w:color="auto" w:fill="auto"/>
            <w:vAlign w:val="center"/>
            <w:hideMark/>
          </w:tcPr>
          <w:p w:rsidR="0047685C" w:rsidRPr="004B2A9B" w:rsidRDefault="0047685C" w:rsidP="0047685C">
            <w:pPr>
              <w:widowControl/>
              <w:overflowPunct/>
              <w:autoSpaceDE/>
              <w:autoSpaceDN/>
              <w:adjustRightInd/>
              <w:spacing w:before="0" w:after="0"/>
              <w:rPr>
                <w:rFonts w:ascii="Arial Narrow" w:hAnsi="Arial Narrow" w:cs="Arial"/>
                <w:kern w:val="0"/>
                <w:sz w:val="18"/>
                <w:szCs w:val="18"/>
              </w:rPr>
            </w:pPr>
            <w:r w:rsidRPr="004B2A9B">
              <w:rPr>
                <w:rFonts w:ascii="Arial Narrow" w:hAnsi="Arial Narrow" w:cs="Arial"/>
                <w:kern w:val="0"/>
                <w:sz w:val="18"/>
                <w:szCs w:val="18"/>
              </w:rPr>
              <w:t>Indice generale al netto degli energetici e alimentari freschi (Componente di fondo)</w:t>
            </w:r>
          </w:p>
        </w:tc>
        <w:tc>
          <w:tcPr>
            <w:tcW w:w="1048" w:type="dxa"/>
            <w:shd w:val="clear" w:color="000000" w:fill="D9D9D9"/>
            <w:vAlign w:val="center"/>
          </w:tcPr>
          <w:p w:rsidR="0047685C" w:rsidRPr="000148F1" w:rsidRDefault="0047685C" w:rsidP="0047685C">
            <w:pPr>
              <w:widowControl/>
              <w:overflowPunct/>
              <w:autoSpaceDE/>
              <w:autoSpaceDN/>
              <w:adjustRightInd/>
              <w:spacing w:before="0" w:after="0"/>
              <w:ind w:right="57"/>
              <w:jc w:val="right"/>
              <w:rPr>
                <w:rFonts w:ascii="Arial Narrow" w:hAnsi="Arial Narrow" w:cs="Arial"/>
                <w:kern w:val="0"/>
                <w:sz w:val="18"/>
                <w:szCs w:val="18"/>
              </w:rPr>
            </w:pPr>
            <w:r w:rsidRPr="000148F1">
              <w:rPr>
                <w:rFonts w:ascii="Arial Narrow" w:hAnsi="Arial Narrow" w:cs="Arial"/>
                <w:kern w:val="0"/>
                <w:sz w:val="18"/>
                <w:szCs w:val="18"/>
              </w:rPr>
              <w:t>828.803</w:t>
            </w:r>
          </w:p>
        </w:tc>
        <w:tc>
          <w:tcPr>
            <w:tcW w:w="909" w:type="dxa"/>
            <w:shd w:val="clear" w:color="auto" w:fill="auto"/>
            <w:vAlign w:val="center"/>
          </w:tcPr>
          <w:p w:rsidR="0047685C" w:rsidRPr="0047685C" w:rsidRDefault="0047685C" w:rsidP="0047685C">
            <w:pPr>
              <w:widowControl/>
              <w:overflowPunct/>
              <w:autoSpaceDE/>
              <w:autoSpaceDN/>
              <w:adjustRightInd/>
              <w:spacing w:before="0" w:after="0"/>
              <w:jc w:val="right"/>
              <w:rPr>
                <w:rFonts w:ascii="Arial Narrow" w:hAnsi="Arial Narrow" w:cs="Arial"/>
                <w:kern w:val="0"/>
                <w:sz w:val="18"/>
                <w:szCs w:val="18"/>
              </w:rPr>
            </w:pPr>
            <w:r w:rsidRPr="0047685C">
              <w:rPr>
                <w:rFonts w:ascii="Arial Narrow" w:hAnsi="Arial Narrow" w:cs="Arial"/>
                <w:kern w:val="0"/>
                <w:sz w:val="18"/>
                <w:szCs w:val="18"/>
              </w:rPr>
              <w:t>+0,3</w:t>
            </w:r>
          </w:p>
        </w:tc>
        <w:tc>
          <w:tcPr>
            <w:tcW w:w="971" w:type="dxa"/>
            <w:shd w:val="clear" w:color="000000" w:fill="D9D9D9"/>
            <w:vAlign w:val="center"/>
          </w:tcPr>
          <w:p w:rsidR="0047685C" w:rsidRPr="0047685C" w:rsidRDefault="0047685C" w:rsidP="0047685C">
            <w:pPr>
              <w:widowControl/>
              <w:overflowPunct/>
              <w:autoSpaceDE/>
              <w:autoSpaceDN/>
              <w:adjustRightInd/>
              <w:spacing w:before="0" w:after="0"/>
              <w:jc w:val="right"/>
              <w:rPr>
                <w:rFonts w:ascii="Arial Narrow" w:hAnsi="Arial Narrow" w:cs="Arial"/>
                <w:kern w:val="0"/>
                <w:sz w:val="18"/>
                <w:szCs w:val="18"/>
              </w:rPr>
            </w:pPr>
            <w:r w:rsidRPr="0047685C">
              <w:rPr>
                <w:rFonts w:ascii="Arial Narrow" w:hAnsi="Arial Narrow" w:cs="Arial"/>
                <w:kern w:val="0"/>
                <w:sz w:val="18"/>
                <w:szCs w:val="18"/>
              </w:rPr>
              <w:t>+0,3</w:t>
            </w:r>
          </w:p>
        </w:tc>
        <w:tc>
          <w:tcPr>
            <w:tcW w:w="967" w:type="dxa"/>
            <w:shd w:val="clear" w:color="auto" w:fill="auto"/>
            <w:vAlign w:val="center"/>
          </w:tcPr>
          <w:p w:rsidR="0047685C" w:rsidRPr="0047685C" w:rsidRDefault="0047685C" w:rsidP="0047685C">
            <w:pPr>
              <w:widowControl/>
              <w:overflowPunct/>
              <w:autoSpaceDE/>
              <w:autoSpaceDN/>
              <w:adjustRightInd/>
              <w:spacing w:before="0" w:after="0"/>
              <w:jc w:val="right"/>
              <w:rPr>
                <w:rFonts w:ascii="Arial Narrow" w:hAnsi="Arial Narrow" w:cs="Arial"/>
                <w:kern w:val="0"/>
                <w:sz w:val="18"/>
                <w:szCs w:val="18"/>
              </w:rPr>
            </w:pPr>
            <w:r w:rsidRPr="0047685C">
              <w:rPr>
                <w:rFonts w:ascii="Arial Narrow" w:hAnsi="Arial Narrow" w:cs="Arial"/>
                <w:kern w:val="0"/>
                <w:sz w:val="18"/>
                <w:szCs w:val="18"/>
              </w:rPr>
              <w:t>+1,9</w:t>
            </w:r>
          </w:p>
        </w:tc>
        <w:tc>
          <w:tcPr>
            <w:tcW w:w="834" w:type="dxa"/>
            <w:shd w:val="clear" w:color="000000" w:fill="D9D9D9"/>
            <w:vAlign w:val="center"/>
          </w:tcPr>
          <w:p w:rsidR="0047685C" w:rsidRPr="0047685C" w:rsidRDefault="0047685C" w:rsidP="0047685C">
            <w:pPr>
              <w:widowControl/>
              <w:overflowPunct/>
              <w:autoSpaceDE/>
              <w:autoSpaceDN/>
              <w:adjustRightInd/>
              <w:spacing w:before="0" w:after="0"/>
              <w:jc w:val="right"/>
              <w:rPr>
                <w:rFonts w:ascii="Arial Narrow" w:hAnsi="Arial Narrow" w:cs="Arial"/>
                <w:kern w:val="0"/>
                <w:sz w:val="18"/>
                <w:szCs w:val="18"/>
              </w:rPr>
            </w:pPr>
            <w:r w:rsidRPr="0047685C">
              <w:rPr>
                <w:rFonts w:ascii="Arial Narrow" w:hAnsi="Arial Narrow" w:cs="Arial"/>
                <w:kern w:val="0"/>
                <w:sz w:val="18"/>
                <w:szCs w:val="18"/>
              </w:rPr>
              <w:t>+1,9</w:t>
            </w:r>
          </w:p>
        </w:tc>
        <w:tc>
          <w:tcPr>
            <w:tcW w:w="1050" w:type="dxa"/>
            <w:shd w:val="clear" w:color="auto" w:fill="auto"/>
            <w:vAlign w:val="center"/>
          </w:tcPr>
          <w:p w:rsidR="0047685C" w:rsidRPr="0047685C" w:rsidRDefault="0047685C" w:rsidP="0047685C">
            <w:pPr>
              <w:widowControl/>
              <w:overflowPunct/>
              <w:autoSpaceDE/>
              <w:autoSpaceDN/>
              <w:adjustRightInd/>
              <w:spacing w:before="0" w:after="0"/>
              <w:jc w:val="right"/>
              <w:rPr>
                <w:rFonts w:ascii="Arial Narrow" w:hAnsi="Arial Narrow" w:cs="Arial"/>
                <w:kern w:val="0"/>
                <w:sz w:val="18"/>
                <w:szCs w:val="18"/>
              </w:rPr>
            </w:pPr>
            <w:r w:rsidRPr="0047685C">
              <w:rPr>
                <w:rFonts w:ascii="Arial Narrow" w:hAnsi="Arial Narrow" w:cs="Arial"/>
                <w:kern w:val="0"/>
                <w:sz w:val="18"/>
                <w:szCs w:val="18"/>
              </w:rPr>
              <w:t>+2,0</w:t>
            </w:r>
          </w:p>
        </w:tc>
      </w:tr>
      <w:tr w:rsidR="0047685C" w:rsidRPr="002449AF" w:rsidTr="000127DA">
        <w:trPr>
          <w:trHeight w:val="429"/>
          <w:jc w:val="center"/>
        </w:trPr>
        <w:tc>
          <w:tcPr>
            <w:tcW w:w="4395" w:type="dxa"/>
            <w:shd w:val="clear" w:color="auto" w:fill="auto"/>
            <w:vAlign w:val="center"/>
            <w:hideMark/>
          </w:tcPr>
          <w:p w:rsidR="0047685C" w:rsidRPr="004B2A9B" w:rsidRDefault="0047685C" w:rsidP="0047685C">
            <w:pPr>
              <w:widowControl/>
              <w:overflowPunct/>
              <w:autoSpaceDE/>
              <w:autoSpaceDN/>
              <w:adjustRightInd/>
              <w:spacing w:before="0" w:after="0"/>
              <w:rPr>
                <w:rFonts w:ascii="Arial Narrow" w:hAnsi="Arial Narrow" w:cs="Arial"/>
                <w:kern w:val="0"/>
                <w:sz w:val="18"/>
                <w:szCs w:val="18"/>
              </w:rPr>
            </w:pPr>
            <w:r w:rsidRPr="004B2A9B">
              <w:rPr>
                <w:rFonts w:ascii="Arial Narrow" w:hAnsi="Arial Narrow" w:cs="Arial"/>
                <w:kern w:val="0"/>
                <w:sz w:val="18"/>
                <w:szCs w:val="18"/>
              </w:rPr>
              <w:t>Indice generale al netto dell’energia, degli alimentari (incluse bevande alcoliche) e tabacchi</w:t>
            </w:r>
          </w:p>
        </w:tc>
        <w:tc>
          <w:tcPr>
            <w:tcW w:w="1048" w:type="dxa"/>
            <w:shd w:val="clear" w:color="000000" w:fill="D9D9D9"/>
            <w:vAlign w:val="center"/>
          </w:tcPr>
          <w:p w:rsidR="0047685C" w:rsidRPr="000148F1" w:rsidRDefault="0047685C" w:rsidP="0047685C">
            <w:pPr>
              <w:widowControl/>
              <w:overflowPunct/>
              <w:autoSpaceDE/>
              <w:autoSpaceDN/>
              <w:adjustRightInd/>
              <w:spacing w:before="0" w:after="0"/>
              <w:ind w:right="57"/>
              <w:jc w:val="right"/>
              <w:rPr>
                <w:rFonts w:ascii="Arial Narrow" w:hAnsi="Arial Narrow" w:cs="Arial"/>
                <w:kern w:val="0"/>
                <w:sz w:val="18"/>
                <w:szCs w:val="18"/>
              </w:rPr>
            </w:pPr>
            <w:r w:rsidRPr="000148F1">
              <w:rPr>
                <w:rFonts w:ascii="Arial Narrow" w:hAnsi="Arial Narrow" w:cs="Arial"/>
                <w:kern w:val="0"/>
                <w:sz w:val="18"/>
                <w:szCs w:val="18"/>
              </w:rPr>
              <w:t>695.454</w:t>
            </w:r>
          </w:p>
        </w:tc>
        <w:tc>
          <w:tcPr>
            <w:tcW w:w="909" w:type="dxa"/>
            <w:shd w:val="clear" w:color="auto" w:fill="auto"/>
            <w:vAlign w:val="center"/>
          </w:tcPr>
          <w:p w:rsidR="0047685C" w:rsidRPr="0047685C" w:rsidRDefault="0047685C" w:rsidP="0047685C">
            <w:pPr>
              <w:widowControl/>
              <w:overflowPunct/>
              <w:autoSpaceDE/>
              <w:autoSpaceDN/>
              <w:adjustRightInd/>
              <w:spacing w:before="0" w:after="0"/>
              <w:jc w:val="right"/>
              <w:rPr>
                <w:rFonts w:ascii="Arial Narrow" w:hAnsi="Arial Narrow" w:cs="Arial"/>
                <w:kern w:val="0"/>
                <w:sz w:val="18"/>
                <w:szCs w:val="18"/>
              </w:rPr>
            </w:pPr>
            <w:r w:rsidRPr="0047685C">
              <w:rPr>
                <w:rFonts w:ascii="Arial Narrow" w:hAnsi="Arial Narrow" w:cs="Arial"/>
                <w:kern w:val="0"/>
                <w:sz w:val="18"/>
                <w:szCs w:val="18"/>
              </w:rPr>
              <w:t>+0,3</w:t>
            </w:r>
          </w:p>
        </w:tc>
        <w:tc>
          <w:tcPr>
            <w:tcW w:w="971" w:type="dxa"/>
            <w:shd w:val="clear" w:color="000000" w:fill="D9D9D9"/>
            <w:vAlign w:val="center"/>
          </w:tcPr>
          <w:p w:rsidR="0047685C" w:rsidRPr="0047685C" w:rsidRDefault="0047685C" w:rsidP="0047685C">
            <w:pPr>
              <w:widowControl/>
              <w:overflowPunct/>
              <w:autoSpaceDE/>
              <w:autoSpaceDN/>
              <w:adjustRightInd/>
              <w:spacing w:before="0" w:after="0"/>
              <w:jc w:val="right"/>
              <w:rPr>
                <w:rFonts w:ascii="Arial Narrow" w:hAnsi="Arial Narrow" w:cs="Arial"/>
                <w:kern w:val="0"/>
                <w:sz w:val="18"/>
                <w:szCs w:val="18"/>
              </w:rPr>
            </w:pPr>
            <w:r w:rsidRPr="0047685C">
              <w:rPr>
                <w:rFonts w:ascii="Arial Narrow" w:hAnsi="Arial Narrow" w:cs="Arial"/>
                <w:kern w:val="0"/>
                <w:sz w:val="18"/>
                <w:szCs w:val="18"/>
              </w:rPr>
              <w:t>+0,2</w:t>
            </w:r>
          </w:p>
        </w:tc>
        <w:tc>
          <w:tcPr>
            <w:tcW w:w="967" w:type="dxa"/>
            <w:shd w:val="clear" w:color="auto" w:fill="auto"/>
            <w:vAlign w:val="center"/>
          </w:tcPr>
          <w:p w:rsidR="0047685C" w:rsidRPr="0047685C" w:rsidRDefault="0047685C" w:rsidP="0047685C">
            <w:pPr>
              <w:widowControl/>
              <w:overflowPunct/>
              <w:autoSpaceDE/>
              <w:autoSpaceDN/>
              <w:adjustRightInd/>
              <w:spacing w:before="0" w:after="0"/>
              <w:jc w:val="right"/>
              <w:rPr>
                <w:rFonts w:ascii="Arial Narrow" w:hAnsi="Arial Narrow" w:cs="Arial"/>
                <w:kern w:val="0"/>
                <w:sz w:val="18"/>
                <w:szCs w:val="18"/>
              </w:rPr>
            </w:pPr>
            <w:r w:rsidRPr="0047685C">
              <w:rPr>
                <w:rFonts w:ascii="Arial Narrow" w:hAnsi="Arial Narrow" w:cs="Arial"/>
                <w:kern w:val="0"/>
                <w:sz w:val="18"/>
                <w:szCs w:val="18"/>
              </w:rPr>
              <w:t>+2,0</w:t>
            </w:r>
          </w:p>
        </w:tc>
        <w:tc>
          <w:tcPr>
            <w:tcW w:w="834" w:type="dxa"/>
            <w:shd w:val="clear" w:color="000000" w:fill="D9D9D9"/>
            <w:vAlign w:val="center"/>
          </w:tcPr>
          <w:p w:rsidR="0047685C" w:rsidRPr="0047685C" w:rsidRDefault="0047685C" w:rsidP="0047685C">
            <w:pPr>
              <w:widowControl/>
              <w:overflowPunct/>
              <w:autoSpaceDE/>
              <w:autoSpaceDN/>
              <w:adjustRightInd/>
              <w:spacing w:before="0" w:after="0"/>
              <w:jc w:val="right"/>
              <w:rPr>
                <w:rFonts w:ascii="Arial Narrow" w:hAnsi="Arial Narrow" w:cs="Arial"/>
                <w:kern w:val="0"/>
                <w:sz w:val="18"/>
                <w:szCs w:val="18"/>
              </w:rPr>
            </w:pPr>
            <w:r w:rsidRPr="0047685C">
              <w:rPr>
                <w:rFonts w:ascii="Arial Narrow" w:hAnsi="Arial Narrow" w:cs="Arial"/>
                <w:kern w:val="0"/>
                <w:sz w:val="18"/>
                <w:szCs w:val="18"/>
              </w:rPr>
              <w:t>+1,9</w:t>
            </w:r>
          </w:p>
        </w:tc>
        <w:tc>
          <w:tcPr>
            <w:tcW w:w="1050" w:type="dxa"/>
            <w:shd w:val="clear" w:color="auto" w:fill="auto"/>
            <w:vAlign w:val="center"/>
          </w:tcPr>
          <w:p w:rsidR="0047685C" w:rsidRPr="0047685C" w:rsidRDefault="0047685C" w:rsidP="0047685C">
            <w:pPr>
              <w:widowControl/>
              <w:overflowPunct/>
              <w:autoSpaceDE/>
              <w:autoSpaceDN/>
              <w:adjustRightInd/>
              <w:spacing w:before="0" w:after="0"/>
              <w:jc w:val="right"/>
              <w:rPr>
                <w:rFonts w:ascii="Arial Narrow" w:hAnsi="Arial Narrow" w:cs="Arial"/>
                <w:kern w:val="0"/>
                <w:sz w:val="18"/>
                <w:szCs w:val="18"/>
              </w:rPr>
            </w:pPr>
            <w:r w:rsidRPr="0047685C">
              <w:rPr>
                <w:rFonts w:ascii="Arial Narrow" w:hAnsi="Arial Narrow" w:cs="Arial"/>
                <w:kern w:val="0"/>
                <w:sz w:val="18"/>
                <w:szCs w:val="18"/>
              </w:rPr>
              <w:t>+2,1</w:t>
            </w:r>
          </w:p>
        </w:tc>
      </w:tr>
      <w:tr w:rsidR="0047685C" w:rsidRPr="002449AF" w:rsidTr="000127DA">
        <w:trPr>
          <w:trHeight w:val="255"/>
          <w:jc w:val="center"/>
        </w:trPr>
        <w:tc>
          <w:tcPr>
            <w:tcW w:w="4395" w:type="dxa"/>
            <w:shd w:val="clear" w:color="auto" w:fill="auto"/>
            <w:noWrap/>
            <w:vAlign w:val="center"/>
            <w:hideMark/>
          </w:tcPr>
          <w:p w:rsidR="0047685C" w:rsidRPr="004B2A9B" w:rsidRDefault="0047685C" w:rsidP="0047685C">
            <w:pPr>
              <w:widowControl/>
              <w:overflowPunct/>
              <w:autoSpaceDE/>
              <w:autoSpaceDN/>
              <w:adjustRightInd/>
              <w:spacing w:before="0" w:after="0"/>
              <w:rPr>
                <w:rFonts w:ascii="Arial Narrow" w:hAnsi="Arial Narrow" w:cs="Arial"/>
                <w:kern w:val="0"/>
                <w:sz w:val="18"/>
                <w:szCs w:val="18"/>
              </w:rPr>
            </w:pPr>
            <w:r w:rsidRPr="004B2A9B">
              <w:rPr>
                <w:rFonts w:ascii="Arial Narrow" w:hAnsi="Arial Narrow" w:cs="Arial"/>
                <w:kern w:val="0"/>
                <w:sz w:val="18"/>
                <w:szCs w:val="18"/>
              </w:rPr>
              <w:t>Indice generale al netto degli energetici</w:t>
            </w:r>
          </w:p>
        </w:tc>
        <w:tc>
          <w:tcPr>
            <w:tcW w:w="1048" w:type="dxa"/>
            <w:shd w:val="clear" w:color="000000" w:fill="D9D9D9"/>
            <w:vAlign w:val="center"/>
          </w:tcPr>
          <w:p w:rsidR="0047685C" w:rsidRPr="000148F1" w:rsidRDefault="0047685C" w:rsidP="0047685C">
            <w:pPr>
              <w:widowControl/>
              <w:overflowPunct/>
              <w:autoSpaceDE/>
              <w:autoSpaceDN/>
              <w:adjustRightInd/>
              <w:spacing w:before="0" w:after="0"/>
              <w:ind w:right="57"/>
              <w:jc w:val="right"/>
              <w:rPr>
                <w:rFonts w:ascii="Arial Narrow" w:hAnsi="Arial Narrow" w:cs="Arial"/>
                <w:kern w:val="0"/>
                <w:sz w:val="18"/>
                <w:szCs w:val="18"/>
              </w:rPr>
            </w:pPr>
            <w:r w:rsidRPr="000148F1">
              <w:rPr>
                <w:rFonts w:ascii="Arial Narrow" w:hAnsi="Arial Narrow" w:cs="Arial"/>
                <w:kern w:val="0"/>
                <w:sz w:val="18"/>
                <w:szCs w:val="18"/>
              </w:rPr>
              <w:t>896.432</w:t>
            </w:r>
          </w:p>
        </w:tc>
        <w:tc>
          <w:tcPr>
            <w:tcW w:w="909" w:type="dxa"/>
            <w:shd w:val="clear" w:color="auto" w:fill="auto"/>
            <w:vAlign w:val="center"/>
          </w:tcPr>
          <w:p w:rsidR="0047685C" w:rsidRPr="0047685C" w:rsidRDefault="0047685C" w:rsidP="0047685C">
            <w:pPr>
              <w:widowControl/>
              <w:overflowPunct/>
              <w:autoSpaceDE/>
              <w:autoSpaceDN/>
              <w:adjustRightInd/>
              <w:spacing w:before="0" w:after="0"/>
              <w:jc w:val="right"/>
              <w:rPr>
                <w:rFonts w:ascii="Arial Narrow" w:hAnsi="Arial Narrow" w:cs="Arial"/>
                <w:kern w:val="0"/>
                <w:sz w:val="18"/>
                <w:szCs w:val="18"/>
              </w:rPr>
            </w:pPr>
            <w:r w:rsidRPr="0047685C">
              <w:rPr>
                <w:rFonts w:ascii="Arial Narrow" w:hAnsi="Arial Narrow" w:cs="Arial"/>
                <w:kern w:val="0"/>
                <w:sz w:val="18"/>
                <w:szCs w:val="18"/>
              </w:rPr>
              <w:t>+0,1</w:t>
            </w:r>
          </w:p>
        </w:tc>
        <w:tc>
          <w:tcPr>
            <w:tcW w:w="971" w:type="dxa"/>
            <w:shd w:val="clear" w:color="000000" w:fill="D9D9D9"/>
            <w:vAlign w:val="center"/>
          </w:tcPr>
          <w:p w:rsidR="0047685C" w:rsidRPr="0047685C" w:rsidRDefault="0047685C" w:rsidP="0047685C">
            <w:pPr>
              <w:widowControl/>
              <w:overflowPunct/>
              <w:autoSpaceDE/>
              <w:autoSpaceDN/>
              <w:adjustRightInd/>
              <w:spacing w:before="0" w:after="0"/>
              <w:jc w:val="right"/>
              <w:rPr>
                <w:rFonts w:ascii="Arial Narrow" w:hAnsi="Arial Narrow" w:cs="Arial"/>
                <w:kern w:val="0"/>
                <w:sz w:val="18"/>
                <w:szCs w:val="18"/>
              </w:rPr>
            </w:pPr>
            <w:r w:rsidRPr="0047685C">
              <w:rPr>
                <w:rFonts w:ascii="Arial Narrow" w:hAnsi="Arial Narrow" w:cs="Arial"/>
                <w:kern w:val="0"/>
                <w:sz w:val="18"/>
                <w:szCs w:val="18"/>
              </w:rPr>
              <w:t>+0,2</w:t>
            </w:r>
          </w:p>
        </w:tc>
        <w:tc>
          <w:tcPr>
            <w:tcW w:w="967" w:type="dxa"/>
            <w:shd w:val="clear" w:color="auto" w:fill="auto"/>
            <w:vAlign w:val="center"/>
          </w:tcPr>
          <w:p w:rsidR="0047685C" w:rsidRPr="0047685C" w:rsidRDefault="0047685C" w:rsidP="0047685C">
            <w:pPr>
              <w:widowControl/>
              <w:overflowPunct/>
              <w:autoSpaceDE/>
              <w:autoSpaceDN/>
              <w:adjustRightInd/>
              <w:spacing w:before="0" w:after="0"/>
              <w:jc w:val="right"/>
              <w:rPr>
                <w:rFonts w:ascii="Arial Narrow" w:hAnsi="Arial Narrow" w:cs="Arial"/>
                <w:kern w:val="0"/>
                <w:sz w:val="18"/>
                <w:szCs w:val="18"/>
              </w:rPr>
            </w:pPr>
            <w:r w:rsidRPr="0047685C">
              <w:rPr>
                <w:rFonts w:ascii="Arial Narrow" w:hAnsi="Arial Narrow" w:cs="Arial"/>
                <w:kern w:val="0"/>
                <w:sz w:val="18"/>
                <w:szCs w:val="18"/>
              </w:rPr>
              <w:t>+1,8</w:t>
            </w:r>
          </w:p>
        </w:tc>
        <w:tc>
          <w:tcPr>
            <w:tcW w:w="834" w:type="dxa"/>
            <w:shd w:val="clear" w:color="000000" w:fill="D9D9D9"/>
            <w:vAlign w:val="center"/>
          </w:tcPr>
          <w:p w:rsidR="0047685C" w:rsidRPr="0047685C" w:rsidRDefault="0047685C" w:rsidP="0047685C">
            <w:pPr>
              <w:widowControl/>
              <w:overflowPunct/>
              <w:autoSpaceDE/>
              <w:autoSpaceDN/>
              <w:adjustRightInd/>
              <w:spacing w:before="0" w:after="0"/>
              <w:jc w:val="right"/>
              <w:rPr>
                <w:rFonts w:ascii="Arial Narrow" w:hAnsi="Arial Narrow" w:cs="Arial"/>
                <w:kern w:val="0"/>
                <w:sz w:val="18"/>
                <w:szCs w:val="18"/>
              </w:rPr>
            </w:pPr>
            <w:r w:rsidRPr="0047685C">
              <w:rPr>
                <w:rFonts w:ascii="Arial Narrow" w:hAnsi="Arial Narrow" w:cs="Arial"/>
                <w:kern w:val="0"/>
                <w:sz w:val="18"/>
                <w:szCs w:val="18"/>
              </w:rPr>
              <w:t>+1,9</w:t>
            </w:r>
          </w:p>
        </w:tc>
        <w:tc>
          <w:tcPr>
            <w:tcW w:w="1050" w:type="dxa"/>
            <w:shd w:val="clear" w:color="auto" w:fill="auto"/>
            <w:vAlign w:val="center"/>
          </w:tcPr>
          <w:p w:rsidR="0047685C" w:rsidRPr="0047685C" w:rsidRDefault="0047685C" w:rsidP="0047685C">
            <w:pPr>
              <w:widowControl/>
              <w:overflowPunct/>
              <w:autoSpaceDE/>
              <w:autoSpaceDN/>
              <w:adjustRightInd/>
              <w:spacing w:before="0" w:after="0"/>
              <w:jc w:val="right"/>
              <w:rPr>
                <w:rFonts w:ascii="Arial Narrow" w:hAnsi="Arial Narrow" w:cs="Arial"/>
                <w:kern w:val="0"/>
                <w:sz w:val="18"/>
                <w:szCs w:val="18"/>
              </w:rPr>
            </w:pPr>
            <w:r w:rsidRPr="0047685C">
              <w:rPr>
                <w:rFonts w:ascii="Arial Narrow" w:hAnsi="Arial Narrow" w:cs="Arial"/>
                <w:kern w:val="0"/>
                <w:sz w:val="18"/>
                <w:szCs w:val="18"/>
              </w:rPr>
              <w:t>+2,0</w:t>
            </w:r>
          </w:p>
        </w:tc>
      </w:tr>
      <w:tr w:rsidR="0047685C" w:rsidRPr="002449AF" w:rsidTr="000127DA">
        <w:trPr>
          <w:trHeight w:val="255"/>
          <w:jc w:val="center"/>
        </w:trPr>
        <w:tc>
          <w:tcPr>
            <w:tcW w:w="4395" w:type="dxa"/>
            <w:shd w:val="clear" w:color="auto" w:fill="auto"/>
            <w:vAlign w:val="center"/>
            <w:hideMark/>
          </w:tcPr>
          <w:p w:rsidR="0047685C" w:rsidRPr="004B2A9B" w:rsidRDefault="0047685C" w:rsidP="0047685C">
            <w:pPr>
              <w:widowControl/>
              <w:overflowPunct/>
              <w:autoSpaceDE/>
              <w:autoSpaceDN/>
              <w:adjustRightInd/>
              <w:spacing w:before="0" w:after="0"/>
              <w:rPr>
                <w:rFonts w:ascii="Arial Narrow" w:hAnsi="Arial Narrow" w:cs="Arial"/>
                <w:kern w:val="0"/>
                <w:sz w:val="18"/>
                <w:szCs w:val="18"/>
              </w:rPr>
            </w:pPr>
            <w:r w:rsidRPr="004B2A9B">
              <w:rPr>
                <w:rFonts w:ascii="Arial Narrow" w:hAnsi="Arial Narrow" w:cs="Arial"/>
                <w:kern w:val="0"/>
                <w:sz w:val="18"/>
                <w:szCs w:val="18"/>
              </w:rPr>
              <w:t>Indice dei beni alimentari, per la cura della casa e della persona</w:t>
            </w:r>
          </w:p>
        </w:tc>
        <w:tc>
          <w:tcPr>
            <w:tcW w:w="1048" w:type="dxa"/>
            <w:shd w:val="clear" w:color="000000" w:fill="D9D9D9"/>
            <w:vAlign w:val="center"/>
          </w:tcPr>
          <w:p w:rsidR="0047685C" w:rsidRPr="000148F1" w:rsidRDefault="0047685C" w:rsidP="0047685C">
            <w:pPr>
              <w:widowControl/>
              <w:overflowPunct/>
              <w:autoSpaceDE/>
              <w:autoSpaceDN/>
              <w:adjustRightInd/>
              <w:spacing w:before="0" w:after="0"/>
              <w:ind w:right="57"/>
              <w:jc w:val="right"/>
              <w:rPr>
                <w:rFonts w:ascii="Arial Narrow" w:hAnsi="Arial Narrow" w:cs="Arial"/>
                <w:kern w:val="0"/>
                <w:sz w:val="18"/>
                <w:szCs w:val="18"/>
              </w:rPr>
            </w:pPr>
            <w:r w:rsidRPr="000148F1">
              <w:rPr>
                <w:rFonts w:ascii="Arial Narrow" w:hAnsi="Arial Narrow" w:cs="Arial"/>
                <w:kern w:val="0"/>
                <w:sz w:val="18"/>
                <w:szCs w:val="18"/>
              </w:rPr>
              <w:t>206.745</w:t>
            </w:r>
          </w:p>
        </w:tc>
        <w:tc>
          <w:tcPr>
            <w:tcW w:w="909" w:type="dxa"/>
            <w:shd w:val="clear" w:color="auto" w:fill="auto"/>
            <w:vAlign w:val="center"/>
          </w:tcPr>
          <w:p w:rsidR="0047685C" w:rsidRPr="0047685C" w:rsidRDefault="0047685C" w:rsidP="0047685C">
            <w:pPr>
              <w:widowControl/>
              <w:overflowPunct/>
              <w:autoSpaceDE/>
              <w:autoSpaceDN/>
              <w:adjustRightInd/>
              <w:spacing w:before="0" w:after="0"/>
              <w:jc w:val="right"/>
              <w:rPr>
                <w:rFonts w:ascii="Arial Narrow" w:hAnsi="Arial Narrow" w:cs="Arial"/>
                <w:kern w:val="0"/>
                <w:sz w:val="18"/>
                <w:szCs w:val="18"/>
              </w:rPr>
            </w:pPr>
            <w:r w:rsidRPr="0047685C">
              <w:rPr>
                <w:rFonts w:ascii="Arial Narrow" w:hAnsi="Arial Narrow" w:cs="Arial"/>
                <w:kern w:val="0"/>
                <w:sz w:val="18"/>
                <w:szCs w:val="18"/>
              </w:rPr>
              <w:t>-0,3</w:t>
            </w:r>
          </w:p>
        </w:tc>
        <w:tc>
          <w:tcPr>
            <w:tcW w:w="971" w:type="dxa"/>
            <w:shd w:val="clear" w:color="000000" w:fill="D9D9D9"/>
            <w:vAlign w:val="center"/>
          </w:tcPr>
          <w:p w:rsidR="0047685C" w:rsidRPr="0047685C" w:rsidRDefault="0047685C" w:rsidP="0047685C">
            <w:pPr>
              <w:widowControl/>
              <w:overflowPunct/>
              <w:autoSpaceDE/>
              <w:autoSpaceDN/>
              <w:adjustRightInd/>
              <w:spacing w:before="0" w:after="0"/>
              <w:jc w:val="right"/>
              <w:rPr>
                <w:rFonts w:ascii="Arial Narrow" w:hAnsi="Arial Narrow" w:cs="Arial"/>
                <w:kern w:val="0"/>
                <w:sz w:val="18"/>
                <w:szCs w:val="18"/>
              </w:rPr>
            </w:pPr>
            <w:r w:rsidRPr="0047685C">
              <w:rPr>
                <w:rFonts w:ascii="Arial Narrow" w:hAnsi="Arial Narrow" w:cs="Arial"/>
                <w:kern w:val="0"/>
                <w:sz w:val="18"/>
                <w:szCs w:val="18"/>
              </w:rPr>
              <w:t>+0,1</w:t>
            </w:r>
          </w:p>
        </w:tc>
        <w:tc>
          <w:tcPr>
            <w:tcW w:w="967" w:type="dxa"/>
            <w:shd w:val="clear" w:color="auto" w:fill="auto"/>
            <w:vAlign w:val="center"/>
          </w:tcPr>
          <w:p w:rsidR="0047685C" w:rsidRPr="0047685C" w:rsidRDefault="0047685C" w:rsidP="0047685C">
            <w:pPr>
              <w:widowControl/>
              <w:overflowPunct/>
              <w:autoSpaceDE/>
              <w:autoSpaceDN/>
              <w:adjustRightInd/>
              <w:spacing w:before="0" w:after="0"/>
              <w:jc w:val="right"/>
              <w:rPr>
                <w:rFonts w:ascii="Arial Narrow" w:hAnsi="Arial Narrow" w:cs="Arial"/>
                <w:kern w:val="0"/>
                <w:sz w:val="18"/>
                <w:szCs w:val="18"/>
              </w:rPr>
            </w:pPr>
            <w:r w:rsidRPr="0047685C">
              <w:rPr>
                <w:rFonts w:ascii="Arial Narrow" w:hAnsi="Arial Narrow" w:cs="Arial"/>
                <w:kern w:val="0"/>
                <w:sz w:val="18"/>
                <w:szCs w:val="18"/>
              </w:rPr>
              <w:t>+0,8</w:t>
            </w:r>
          </w:p>
        </w:tc>
        <w:tc>
          <w:tcPr>
            <w:tcW w:w="834" w:type="dxa"/>
            <w:shd w:val="clear" w:color="000000" w:fill="D9D9D9"/>
            <w:vAlign w:val="center"/>
          </w:tcPr>
          <w:p w:rsidR="0047685C" w:rsidRPr="0047685C" w:rsidRDefault="0047685C" w:rsidP="0047685C">
            <w:pPr>
              <w:widowControl/>
              <w:overflowPunct/>
              <w:autoSpaceDE/>
              <w:autoSpaceDN/>
              <w:adjustRightInd/>
              <w:spacing w:before="0" w:after="0"/>
              <w:jc w:val="right"/>
              <w:rPr>
                <w:rFonts w:ascii="Arial Narrow" w:hAnsi="Arial Narrow" w:cs="Arial"/>
                <w:kern w:val="0"/>
                <w:sz w:val="18"/>
                <w:szCs w:val="18"/>
              </w:rPr>
            </w:pPr>
            <w:r w:rsidRPr="0047685C">
              <w:rPr>
                <w:rFonts w:ascii="Arial Narrow" w:hAnsi="Arial Narrow" w:cs="Arial"/>
                <w:kern w:val="0"/>
                <w:sz w:val="18"/>
                <w:szCs w:val="18"/>
              </w:rPr>
              <w:t>+1,2</w:t>
            </w:r>
          </w:p>
        </w:tc>
        <w:tc>
          <w:tcPr>
            <w:tcW w:w="1050" w:type="dxa"/>
            <w:shd w:val="clear" w:color="auto" w:fill="auto"/>
            <w:vAlign w:val="center"/>
          </w:tcPr>
          <w:p w:rsidR="0047685C" w:rsidRPr="0047685C" w:rsidRDefault="0047685C" w:rsidP="0047685C">
            <w:pPr>
              <w:widowControl/>
              <w:overflowPunct/>
              <w:autoSpaceDE/>
              <w:autoSpaceDN/>
              <w:adjustRightInd/>
              <w:spacing w:before="0" w:after="0"/>
              <w:jc w:val="right"/>
              <w:rPr>
                <w:rFonts w:ascii="Arial Narrow" w:hAnsi="Arial Narrow" w:cs="Arial"/>
                <w:kern w:val="0"/>
                <w:sz w:val="18"/>
                <w:szCs w:val="18"/>
              </w:rPr>
            </w:pPr>
            <w:r w:rsidRPr="0047685C">
              <w:rPr>
                <w:rFonts w:ascii="Arial Narrow" w:hAnsi="Arial Narrow" w:cs="Arial"/>
                <w:kern w:val="0"/>
                <w:sz w:val="18"/>
                <w:szCs w:val="18"/>
              </w:rPr>
              <w:t>+1,7</w:t>
            </w:r>
          </w:p>
        </w:tc>
      </w:tr>
    </w:tbl>
    <w:p w:rsidR="00EB5D65" w:rsidRDefault="00EB5D65" w:rsidP="00EB5D65">
      <w:pPr>
        <w:pStyle w:val="001TitoGra"/>
        <w:spacing w:after="120" w:line="240" w:lineRule="auto"/>
        <w:rPr>
          <w:color w:val="auto"/>
        </w:rPr>
      </w:pPr>
    </w:p>
    <w:p w:rsidR="00DE7367" w:rsidRPr="00521958" w:rsidRDefault="00DE7367" w:rsidP="00EB5D65">
      <w:pPr>
        <w:pStyle w:val="001TitoGra"/>
        <w:spacing w:after="120" w:line="240" w:lineRule="auto"/>
        <w:rPr>
          <w:color w:val="auto"/>
        </w:rPr>
      </w:pPr>
    </w:p>
    <w:p w:rsidR="00EB5D65" w:rsidRPr="0039325B" w:rsidRDefault="00EB5D65" w:rsidP="00EB5D65">
      <w:pPr>
        <w:pStyle w:val="001SottotitoloGra"/>
        <w:spacing w:after="0" w:line="240" w:lineRule="auto"/>
        <w:rPr>
          <w:b/>
          <w:sz w:val="22"/>
          <w:szCs w:val="22"/>
        </w:rPr>
      </w:pPr>
      <w:r w:rsidRPr="0039325B">
        <w:rPr>
          <w:b/>
          <w:color w:val="E42618"/>
          <w:sz w:val="22"/>
          <w:szCs w:val="22"/>
        </w:rPr>
        <w:t xml:space="preserve">FIGURA </w:t>
      </w:r>
      <w:r>
        <w:rPr>
          <w:b/>
          <w:color w:val="E42618"/>
          <w:sz w:val="22"/>
          <w:szCs w:val="22"/>
        </w:rPr>
        <w:t>3</w:t>
      </w:r>
      <w:r w:rsidRPr="0039325B">
        <w:rPr>
          <w:b/>
          <w:color w:val="E42618"/>
          <w:sz w:val="22"/>
          <w:szCs w:val="22"/>
        </w:rPr>
        <w:t xml:space="preserve">. </w:t>
      </w:r>
      <w:r w:rsidRPr="0039325B">
        <w:rPr>
          <w:b/>
          <w:sz w:val="22"/>
          <w:szCs w:val="22"/>
        </w:rPr>
        <w:t>INDICI DEI PREZZI AL CONSUMO NIC PER TIPOLOGIA DI PRODOTTO</w:t>
      </w:r>
    </w:p>
    <w:p w:rsidR="00EB5D65" w:rsidRDefault="00EB5D65" w:rsidP="00EB5D65">
      <w:pPr>
        <w:pStyle w:val="001SottotitoloGra"/>
        <w:spacing w:line="240" w:lineRule="auto"/>
      </w:pPr>
      <w:r>
        <w:t>Gennaio</w:t>
      </w:r>
      <w:r w:rsidRPr="00687C70">
        <w:t xml:space="preserve"> </w:t>
      </w:r>
      <w:r w:rsidR="00A32897">
        <w:t>2019</w:t>
      </w:r>
      <w:r>
        <w:t xml:space="preserve"> </w:t>
      </w:r>
      <w:r w:rsidR="00A32897">
        <w:t>–</w:t>
      </w:r>
      <w:r>
        <w:t xml:space="preserve"> </w:t>
      </w:r>
      <w:r w:rsidR="00093B5D">
        <w:t>luglio</w:t>
      </w:r>
      <w:r w:rsidR="00A32897">
        <w:t xml:space="preserve"> 2024</w:t>
      </w:r>
      <w:r>
        <w:t xml:space="preserve">, variazioni percentuali tendenziali (base 2015=100) </w:t>
      </w:r>
    </w:p>
    <w:p w:rsidR="009B3BE6" w:rsidRPr="00521958" w:rsidRDefault="00186E87" w:rsidP="00EB5D65">
      <w:pPr>
        <w:pStyle w:val="001TitoGra"/>
        <w:spacing w:after="120" w:line="240" w:lineRule="auto"/>
        <w:rPr>
          <w:color w:val="auto"/>
        </w:rPr>
      </w:pPr>
      <w:r>
        <w:rPr>
          <w:noProof/>
          <w:color w:val="auto"/>
        </w:rPr>
        <w:drawing>
          <wp:inline distT="0" distB="0" distL="0" distR="0" wp14:anchorId="077FA917">
            <wp:extent cx="6663690" cy="2158365"/>
            <wp:effectExtent l="0" t="0" r="3810" b="0"/>
            <wp:docPr id="6"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6663690" cy="2158365"/>
                    </a:xfrm>
                    <a:prstGeom prst="rect">
                      <a:avLst/>
                    </a:prstGeom>
                    <a:noFill/>
                  </pic:spPr>
                </pic:pic>
              </a:graphicData>
            </a:graphic>
          </wp:inline>
        </w:drawing>
      </w:r>
    </w:p>
    <w:p w:rsidR="00EB5D65" w:rsidRDefault="00EB5D65" w:rsidP="00EB5D65">
      <w:pPr>
        <w:pStyle w:val="001TitoGra"/>
        <w:spacing w:after="120" w:line="240" w:lineRule="auto"/>
        <w:rPr>
          <w:color w:val="auto"/>
        </w:rPr>
      </w:pPr>
    </w:p>
    <w:p w:rsidR="00156F02" w:rsidRPr="00EB5D65" w:rsidRDefault="00156F02" w:rsidP="00EB5D65">
      <w:pPr>
        <w:pStyle w:val="001TitoGra"/>
        <w:spacing w:after="120" w:line="240" w:lineRule="auto"/>
        <w:rPr>
          <w:color w:val="auto"/>
        </w:rPr>
      </w:pPr>
    </w:p>
    <w:p w:rsidR="00344F4E" w:rsidRPr="00EA0885" w:rsidRDefault="00344F4E" w:rsidP="00CD5355">
      <w:pPr>
        <w:pStyle w:val="001TitoloBolocco"/>
        <w:spacing w:after="120" w:line="240" w:lineRule="auto"/>
      </w:pPr>
      <w:r w:rsidRPr="00EA0885">
        <w:t>I prodotti per frequenza di acquisto</w:t>
      </w:r>
    </w:p>
    <w:p w:rsidR="00EA45EC" w:rsidRDefault="00EA45EC" w:rsidP="00F965B5">
      <w:pPr>
        <w:pStyle w:val="Corpotesto"/>
        <w:spacing w:before="120" w:after="120" w:line="240" w:lineRule="auto"/>
        <w:jc w:val="both"/>
        <w:rPr>
          <w:rFonts w:ascii="Arial Narrow" w:hAnsi="Arial Narrow" w:cs="Arial"/>
          <w:b/>
          <w:color w:val="D90B13"/>
          <w:sz w:val="22"/>
          <w:szCs w:val="22"/>
        </w:rPr>
      </w:pPr>
    </w:p>
    <w:p w:rsidR="005031DD" w:rsidRPr="00104E34" w:rsidRDefault="00EB5D65" w:rsidP="005031DD">
      <w:pPr>
        <w:pStyle w:val="Corpotesto"/>
        <w:spacing w:before="120" w:after="120" w:line="240" w:lineRule="auto"/>
        <w:jc w:val="both"/>
        <w:rPr>
          <w:rFonts w:ascii="Arial Narrow" w:hAnsi="Arial Narrow" w:cs="Arial"/>
          <w:color w:val="5F5F5F"/>
        </w:rPr>
      </w:pPr>
      <w:r w:rsidRPr="00104E34">
        <w:rPr>
          <w:rFonts w:ascii="Arial Narrow" w:hAnsi="Arial Narrow" w:cs="Arial"/>
          <w:b/>
          <w:color w:val="D90B13"/>
          <w:sz w:val="22"/>
          <w:szCs w:val="22"/>
        </w:rPr>
        <w:t>PROSPETTO 4.</w:t>
      </w:r>
      <w:r w:rsidRPr="00104E34">
        <w:rPr>
          <w:rFonts w:ascii="Arial Narrow" w:hAnsi="Arial Narrow" w:cs="Arial"/>
          <w:b/>
          <w:color w:val="5F5F5F"/>
          <w:sz w:val="22"/>
          <w:szCs w:val="22"/>
        </w:rPr>
        <w:t xml:space="preserve"> INDICI DEI PREZZI AL CONSUMO NIC PER PRODOTTI A DIVERSA FREQUENZA DI ACQUISTO</w:t>
      </w:r>
      <w:r w:rsidRPr="00104E34">
        <w:rPr>
          <w:rFonts w:ascii="Arial Narrow" w:hAnsi="Arial Narrow" w:cs="Arial"/>
          <w:b/>
          <w:color w:val="5F5F5F"/>
          <w:sz w:val="22"/>
          <w:szCs w:val="22"/>
        </w:rPr>
        <w:br/>
      </w:r>
      <w:r w:rsidR="00093B5D">
        <w:rPr>
          <w:rFonts w:ascii="Arial Narrow" w:hAnsi="Arial Narrow" w:cs="Arial"/>
          <w:color w:val="5F5F5F"/>
        </w:rPr>
        <w:t>Luglio</w:t>
      </w:r>
      <w:r w:rsidR="002449AF">
        <w:rPr>
          <w:rFonts w:ascii="Arial Narrow" w:hAnsi="Arial Narrow" w:cs="Arial"/>
          <w:color w:val="5F5F5F"/>
        </w:rPr>
        <w:t xml:space="preserve"> 2024</w:t>
      </w:r>
      <w:r w:rsidR="005031DD" w:rsidRPr="00F21142">
        <w:rPr>
          <w:rFonts w:ascii="Arial Narrow" w:hAnsi="Arial Narrow" w:cs="Arial"/>
          <w:color w:val="5F5F5F"/>
        </w:rPr>
        <w:t xml:space="preserve">, pesi e variazioni percentuali </w:t>
      </w:r>
      <w:r w:rsidR="005031DD" w:rsidRPr="009B31CE">
        <w:rPr>
          <w:rFonts w:ascii="Arial Narrow" w:hAnsi="Arial Narrow" w:cs="Arial"/>
          <w:color w:val="5F5F5F"/>
        </w:rPr>
        <w:t>congiunturali e tendenziali</w:t>
      </w:r>
      <w:r w:rsidR="005031DD">
        <w:t xml:space="preserve"> </w:t>
      </w:r>
      <w:r w:rsidR="005031DD" w:rsidRPr="00F21142">
        <w:rPr>
          <w:rFonts w:ascii="Arial Narrow" w:hAnsi="Arial Narrow" w:cs="Arial"/>
          <w:color w:val="5F5F5F"/>
        </w:rPr>
        <w:t>(base 2015=100)</w:t>
      </w:r>
    </w:p>
    <w:tbl>
      <w:tblPr>
        <w:tblW w:w="10153" w:type="dxa"/>
        <w:tblInd w:w="70" w:type="dxa"/>
        <w:tblBorders>
          <w:top w:val="single" w:sz="4" w:space="0" w:color="auto"/>
          <w:bottom w:val="single" w:sz="4" w:space="0" w:color="auto"/>
          <w:insideH w:val="single" w:sz="4" w:space="0" w:color="auto"/>
        </w:tblBorders>
        <w:tblCellMar>
          <w:left w:w="70" w:type="dxa"/>
          <w:right w:w="70" w:type="dxa"/>
        </w:tblCellMar>
        <w:tblLook w:val="04A0" w:firstRow="1" w:lastRow="0" w:firstColumn="1" w:lastColumn="0" w:noHBand="0" w:noVBand="1"/>
      </w:tblPr>
      <w:tblGrid>
        <w:gridCol w:w="3797"/>
        <w:gridCol w:w="1059"/>
        <w:gridCol w:w="1059"/>
        <w:gridCol w:w="1060"/>
        <w:gridCol w:w="1059"/>
        <w:gridCol w:w="1060"/>
        <w:gridCol w:w="1059"/>
      </w:tblGrid>
      <w:tr w:rsidR="002449AF" w:rsidRPr="00517E09" w:rsidTr="004B3ACE">
        <w:trPr>
          <w:trHeight w:val="255"/>
        </w:trPr>
        <w:tc>
          <w:tcPr>
            <w:tcW w:w="3797" w:type="dxa"/>
            <w:vMerge w:val="restart"/>
            <w:shd w:val="clear" w:color="auto" w:fill="auto"/>
            <w:vAlign w:val="center"/>
            <w:hideMark/>
          </w:tcPr>
          <w:p w:rsidR="002449AF" w:rsidRPr="00517E09" w:rsidRDefault="002449AF" w:rsidP="004B3ACE">
            <w:pPr>
              <w:widowControl/>
              <w:overflowPunct/>
              <w:autoSpaceDE/>
              <w:autoSpaceDN/>
              <w:adjustRightInd/>
              <w:spacing w:before="0" w:after="0"/>
              <w:rPr>
                <w:rFonts w:ascii="Arial Narrow" w:hAnsi="Arial Narrow" w:cs="Arial"/>
                <w:b/>
                <w:bCs/>
                <w:kern w:val="0"/>
                <w:sz w:val="18"/>
                <w:szCs w:val="18"/>
              </w:rPr>
            </w:pPr>
            <w:r w:rsidRPr="00517E09">
              <w:rPr>
                <w:rFonts w:ascii="Arial Narrow" w:hAnsi="Arial Narrow" w:cs="Arial"/>
                <w:b/>
                <w:bCs/>
                <w:kern w:val="0"/>
                <w:sz w:val="18"/>
                <w:szCs w:val="18"/>
              </w:rPr>
              <w:t>TIPOLOGIE DI PRODOTTO</w:t>
            </w:r>
          </w:p>
        </w:tc>
        <w:tc>
          <w:tcPr>
            <w:tcW w:w="1059" w:type="dxa"/>
            <w:vMerge w:val="restart"/>
            <w:shd w:val="clear" w:color="000000" w:fill="D9D9D9"/>
            <w:vAlign w:val="center"/>
            <w:hideMark/>
          </w:tcPr>
          <w:p w:rsidR="002449AF" w:rsidRPr="00517E09" w:rsidRDefault="002449AF" w:rsidP="004B3ACE">
            <w:pPr>
              <w:widowControl/>
              <w:overflowPunct/>
              <w:autoSpaceDE/>
              <w:autoSpaceDN/>
              <w:adjustRightInd/>
              <w:spacing w:before="0" w:after="0"/>
              <w:jc w:val="right"/>
              <w:rPr>
                <w:rFonts w:ascii="Arial Narrow" w:hAnsi="Arial Narrow" w:cs="Arial"/>
                <w:b/>
                <w:bCs/>
                <w:kern w:val="0"/>
                <w:sz w:val="18"/>
                <w:szCs w:val="18"/>
              </w:rPr>
            </w:pPr>
            <w:r w:rsidRPr="00517E09">
              <w:rPr>
                <w:rFonts w:ascii="Arial Narrow" w:hAnsi="Arial Narrow" w:cs="Arial"/>
                <w:b/>
                <w:bCs/>
                <w:kern w:val="0"/>
                <w:sz w:val="18"/>
                <w:szCs w:val="18"/>
              </w:rPr>
              <w:t>Pesi</w:t>
            </w:r>
          </w:p>
        </w:tc>
        <w:tc>
          <w:tcPr>
            <w:tcW w:w="2119" w:type="dxa"/>
            <w:gridSpan w:val="2"/>
            <w:shd w:val="clear" w:color="auto" w:fill="auto"/>
            <w:vAlign w:val="center"/>
            <w:hideMark/>
          </w:tcPr>
          <w:p w:rsidR="002449AF" w:rsidRPr="00517E09" w:rsidRDefault="002449AF" w:rsidP="004B3ACE">
            <w:pPr>
              <w:widowControl/>
              <w:overflowPunct/>
              <w:autoSpaceDE/>
              <w:autoSpaceDN/>
              <w:adjustRightInd/>
              <w:spacing w:before="0" w:after="0"/>
              <w:jc w:val="center"/>
              <w:rPr>
                <w:rFonts w:ascii="Arial Narrow" w:hAnsi="Arial Narrow" w:cs="Arial"/>
                <w:b/>
                <w:bCs/>
                <w:kern w:val="0"/>
                <w:sz w:val="18"/>
                <w:szCs w:val="18"/>
              </w:rPr>
            </w:pPr>
            <w:r w:rsidRPr="00517E09">
              <w:rPr>
                <w:rFonts w:ascii="Arial Narrow" w:hAnsi="Arial Narrow" w:cs="Arial"/>
                <w:b/>
                <w:bCs/>
                <w:kern w:val="0"/>
                <w:sz w:val="18"/>
                <w:szCs w:val="18"/>
              </w:rPr>
              <w:t>Variazioni congiunturali</w:t>
            </w:r>
          </w:p>
        </w:tc>
        <w:tc>
          <w:tcPr>
            <w:tcW w:w="2119" w:type="dxa"/>
            <w:gridSpan w:val="2"/>
            <w:shd w:val="clear" w:color="000000" w:fill="D9D9D9"/>
            <w:vAlign w:val="center"/>
            <w:hideMark/>
          </w:tcPr>
          <w:p w:rsidR="002449AF" w:rsidRPr="00517E09" w:rsidRDefault="002449AF" w:rsidP="004B3ACE">
            <w:pPr>
              <w:widowControl/>
              <w:overflowPunct/>
              <w:autoSpaceDE/>
              <w:autoSpaceDN/>
              <w:adjustRightInd/>
              <w:spacing w:before="0" w:after="0"/>
              <w:jc w:val="center"/>
              <w:rPr>
                <w:rFonts w:ascii="Arial Narrow" w:hAnsi="Arial Narrow" w:cs="Arial"/>
                <w:b/>
                <w:bCs/>
                <w:kern w:val="0"/>
                <w:sz w:val="18"/>
                <w:szCs w:val="18"/>
              </w:rPr>
            </w:pPr>
            <w:r w:rsidRPr="00517E09">
              <w:rPr>
                <w:rFonts w:ascii="Arial Narrow" w:hAnsi="Arial Narrow" w:cs="Arial"/>
                <w:b/>
                <w:bCs/>
                <w:kern w:val="0"/>
                <w:sz w:val="18"/>
                <w:szCs w:val="18"/>
              </w:rPr>
              <w:t>Variazioni tendenziali</w:t>
            </w:r>
          </w:p>
        </w:tc>
        <w:tc>
          <w:tcPr>
            <w:tcW w:w="1059" w:type="dxa"/>
            <w:vMerge w:val="restart"/>
            <w:shd w:val="clear" w:color="auto" w:fill="auto"/>
            <w:vAlign w:val="center"/>
            <w:hideMark/>
          </w:tcPr>
          <w:p w:rsidR="002449AF" w:rsidRPr="008814F3" w:rsidRDefault="002449AF" w:rsidP="00093B5D">
            <w:pPr>
              <w:widowControl/>
              <w:overflowPunct/>
              <w:autoSpaceDE/>
              <w:autoSpaceDN/>
              <w:adjustRightInd/>
              <w:spacing w:before="40" w:after="20"/>
              <w:jc w:val="right"/>
              <w:rPr>
                <w:rFonts w:ascii="Arial Narrow" w:hAnsi="Arial Narrow" w:cs="Arial"/>
                <w:b/>
                <w:bCs/>
                <w:kern w:val="0"/>
                <w:sz w:val="18"/>
                <w:szCs w:val="18"/>
              </w:rPr>
            </w:pPr>
            <w:r w:rsidRPr="008814F3">
              <w:rPr>
                <w:rFonts w:ascii="Arial Narrow" w:hAnsi="Arial Narrow" w:cs="Arial"/>
                <w:b/>
                <w:bCs/>
                <w:kern w:val="0"/>
                <w:sz w:val="18"/>
                <w:szCs w:val="18"/>
              </w:rPr>
              <w:t>Inflazione</w:t>
            </w:r>
            <w:r>
              <w:rPr>
                <w:rFonts w:ascii="Arial Narrow" w:hAnsi="Arial Narrow" w:cs="Arial"/>
                <w:b/>
                <w:bCs/>
                <w:kern w:val="0"/>
                <w:sz w:val="18"/>
                <w:szCs w:val="18"/>
              </w:rPr>
              <w:t xml:space="preserve"> </w:t>
            </w:r>
            <w:r w:rsidRPr="008814F3">
              <w:rPr>
                <w:rFonts w:ascii="Arial Narrow" w:hAnsi="Arial Narrow" w:cs="Arial"/>
                <w:b/>
                <w:bCs/>
                <w:kern w:val="0"/>
                <w:sz w:val="18"/>
                <w:szCs w:val="18"/>
              </w:rPr>
              <w:t>acquisita</w:t>
            </w:r>
            <w:r>
              <w:rPr>
                <w:rFonts w:ascii="Arial Narrow" w:hAnsi="Arial Narrow" w:cs="Arial"/>
                <w:b/>
                <w:bCs/>
                <w:kern w:val="0"/>
                <w:sz w:val="18"/>
                <w:szCs w:val="18"/>
              </w:rPr>
              <w:t xml:space="preserve">               a </w:t>
            </w:r>
            <w:r w:rsidR="00093B5D">
              <w:rPr>
                <w:rFonts w:ascii="Arial Narrow" w:hAnsi="Arial Narrow" w:cs="Arial"/>
                <w:b/>
                <w:bCs/>
                <w:kern w:val="0"/>
                <w:sz w:val="18"/>
                <w:szCs w:val="18"/>
              </w:rPr>
              <w:t>lugli</w:t>
            </w:r>
            <w:r w:rsidR="00153D5E">
              <w:rPr>
                <w:rFonts w:ascii="Arial Narrow" w:hAnsi="Arial Narrow" w:cs="Arial"/>
                <w:b/>
                <w:bCs/>
                <w:kern w:val="0"/>
                <w:sz w:val="18"/>
                <w:szCs w:val="18"/>
              </w:rPr>
              <w:t>o</w:t>
            </w:r>
          </w:p>
        </w:tc>
      </w:tr>
      <w:tr w:rsidR="00093B5D" w:rsidRPr="00517E09" w:rsidTr="004B3ACE">
        <w:trPr>
          <w:trHeight w:val="255"/>
        </w:trPr>
        <w:tc>
          <w:tcPr>
            <w:tcW w:w="3797" w:type="dxa"/>
            <w:vMerge/>
            <w:vAlign w:val="center"/>
            <w:hideMark/>
          </w:tcPr>
          <w:p w:rsidR="00093B5D" w:rsidRPr="00517E09" w:rsidRDefault="00093B5D" w:rsidP="00093B5D">
            <w:pPr>
              <w:widowControl/>
              <w:overflowPunct/>
              <w:autoSpaceDE/>
              <w:autoSpaceDN/>
              <w:adjustRightInd/>
              <w:spacing w:before="0" w:after="0"/>
              <w:rPr>
                <w:rFonts w:ascii="Arial Narrow" w:hAnsi="Arial Narrow" w:cs="Arial"/>
                <w:b/>
                <w:bCs/>
                <w:kern w:val="0"/>
                <w:sz w:val="18"/>
                <w:szCs w:val="18"/>
              </w:rPr>
            </w:pPr>
          </w:p>
        </w:tc>
        <w:tc>
          <w:tcPr>
            <w:tcW w:w="1059" w:type="dxa"/>
            <w:vMerge/>
            <w:vAlign w:val="center"/>
            <w:hideMark/>
          </w:tcPr>
          <w:p w:rsidR="00093B5D" w:rsidRPr="00517E09" w:rsidRDefault="00093B5D" w:rsidP="00093B5D">
            <w:pPr>
              <w:widowControl/>
              <w:overflowPunct/>
              <w:autoSpaceDE/>
              <w:autoSpaceDN/>
              <w:adjustRightInd/>
              <w:spacing w:before="0" w:after="0"/>
              <w:rPr>
                <w:rFonts w:ascii="Arial Narrow" w:hAnsi="Arial Narrow" w:cs="Arial"/>
                <w:b/>
                <w:bCs/>
                <w:kern w:val="0"/>
                <w:sz w:val="18"/>
                <w:szCs w:val="18"/>
              </w:rPr>
            </w:pPr>
          </w:p>
        </w:tc>
        <w:tc>
          <w:tcPr>
            <w:tcW w:w="1059" w:type="dxa"/>
            <w:shd w:val="clear" w:color="auto" w:fill="auto"/>
            <w:vAlign w:val="center"/>
            <w:hideMark/>
          </w:tcPr>
          <w:p w:rsidR="00093B5D" w:rsidRPr="00DB5B05" w:rsidRDefault="00093B5D" w:rsidP="00093B5D">
            <w:pPr>
              <w:widowControl/>
              <w:overflowPunct/>
              <w:autoSpaceDE/>
              <w:autoSpaceDN/>
              <w:adjustRightInd/>
              <w:spacing w:before="40" w:after="20"/>
              <w:jc w:val="right"/>
              <w:rPr>
                <w:rFonts w:ascii="Arial Narrow" w:hAnsi="Arial Narrow" w:cs="Arial"/>
                <w:kern w:val="0"/>
                <w:sz w:val="18"/>
                <w:szCs w:val="18"/>
                <w:u w:val="single"/>
              </w:rPr>
            </w:pPr>
            <w:r>
              <w:rPr>
                <w:rFonts w:ascii="Arial Narrow" w:hAnsi="Arial Narrow" w:cs="Arial"/>
                <w:kern w:val="0"/>
                <w:sz w:val="18"/>
                <w:szCs w:val="18"/>
                <w:u w:val="single"/>
              </w:rPr>
              <w:t>lug</w:t>
            </w:r>
            <w:r w:rsidRPr="00DB5B05">
              <w:rPr>
                <w:rFonts w:ascii="Arial Narrow" w:hAnsi="Arial Narrow" w:cs="Arial"/>
                <w:kern w:val="0"/>
                <w:sz w:val="18"/>
                <w:szCs w:val="18"/>
                <w:u w:val="single"/>
              </w:rPr>
              <w:t>-2</w:t>
            </w:r>
            <w:r>
              <w:rPr>
                <w:rFonts w:ascii="Arial Narrow" w:hAnsi="Arial Narrow" w:cs="Arial"/>
                <w:kern w:val="0"/>
                <w:sz w:val="18"/>
                <w:szCs w:val="18"/>
                <w:u w:val="single"/>
              </w:rPr>
              <w:t>4</w:t>
            </w:r>
          </w:p>
          <w:p w:rsidR="00093B5D" w:rsidRPr="00DB5B05" w:rsidRDefault="00093B5D" w:rsidP="00093B5D">
            <w:pPr>
              <w:widowControl/>
              <w:overflowPunct/>
              <w:autoSpaceDE/>
              <w:autoSpaceDN/>
              <w:adjustRightInd/>
              <w:spacing w:before="40" w:after="20"/>
              <w:jc w:val="right"/>
              <w:rPr>
                <w:rFonts w:ascii="Arial Narrow" w:hAnsi="Arial Narrow" w:cs="Arial"/>
                <w:kern w:val="0"/>
                <w:sz w:val="18"/>
                <w:szCs w:val="18"/>
              </w:rPr>
            </w:pPr>
            <w:r>
              <w:rPr>
                <w:rFonts w:ascii="Arial Narrow" w:hAnsi="Arial Narrow" w:cs="Arial"/>
                <w:kern w:val="0"/>
                <w:sz w:val="18"/>
                <w:szCs w:val="18"/>
              </w:rPr>
              <w:t>giu</w:t>
            </w:r>
            <w:r w:rsidRPr="00DB5B05">
              <w:rPr>
                <w:rFonts w:ascii="Arial Narrow" w:hAnsi="Arial Narrow" w:cs="Arial"/>
                <w:kern w:val="0"/>
                <w:sz w:val="18"/>
                <w:szCs w:val="18"/>
              </w:rPr>
              <w:t>-2</w:t>
            </w:r>
            <w:r>
              <w:rPr>
                <w:rFonts w:ascii="Arial Narrow" w:hAnsi="Arial Narrow" w:cs="Arial"/>
                <w:kern w:val="0"/>
                <w:sz w:val="18"/>
                <w:szCs w:val="18"/>
              </w:rPr>
              <w:t>4</w:t>
            </w:r>
          </w:p>
        </w:tc>
        <w:tc>
          <w:tcPr>
            <w:tcW w:w="1060" w:type="dxa"/>
            <w:shd w:val="clear" w:color="auto" w:fill="auto"/>
            <w:vAlign w:val="center"/>
            <w:hideMark/>
          </w:tcPr>
          <w:p w:rsidR="00093B5D" w:rsidRPr="00DB5B05" w:rsidRDefault="00093B5D" w:rsidP="00093B5D">
            <w:pPr>
              <w:widowControl/>
              <w:overflowPunct/>
              <w:autoSpaceDE/>
              <w:autoSpaceDN/>
              <w:adjustRightInd/>
              <w:spacing w:before="40" w:after="20"/>
              <w:jc w:val="right"/>
              <w:rPr>
                <w:rFonts w:ascii="Arial Narrow" w:hAnsi="Arial Narrow" w:cs="Arial"/>
                <w:kern w:val="0"/>
                <w:sz w:val="18"/>
                <w:szCs w:val="18"/>
                <w:u w:val="single"/>
              </w:rPr>
            </w:pPr>
            <w:r>
              <w:rPr>
                <w:rFonts w:ascii="Arial Narrow" w:hAnsi="Arial Narrow" w:cs="Arial"/>
                <w:kern w:val="0"/>
                <w:sz w:val="18"/>
                <w:szCs w:val="18"/>
                <w:u w:val="single"/>
              </w:rPr>
              <w:t>lug</w:t>
            </w:r>
            <w:r w:rsidRPr="00DB5B05">
              <w:rPr>
                <w:rFonts w:ascii="Arial Narrow" w:hAnsi="Arial Narrow" w:cs="Arial"/>
                <w:kern w:val="0"/>
                <w:sz w:val="18"/>
                <w:szCs w:val="18"/>
                <w:u w:val="single"/>
              </w:rPr>
              <w:t>-2</w:t>
            </w:r>
            <w:r>
              <w:rPr>
                <w:rFonts w:ascii="Arial Narrow" w:hAnsi="Arial Narrow" w:cs="Arial"/>
                <w:kern w:val="0"/>
                <w:sz w:val="18"/>
                <w:szCs w:val="18"/>
                <w:u w:val="single"/>
              </w:rPr>
              <w:t>3</w:t>
            </w:r>
          </w:p>
          <w:p w:rsidR="00093B5D" w:rsidRPr="00DB5B05" w:rsidRDefault="00093B5D" w:rsidP="00093B5D">
            <w:pPr>
              <w:widowControl/>
              <w:overflowPunct/>
              <w:autoSpaceDE/>
              <w:autoSpaceDN/>
              <w:adjustRightInd/>
              <w:spacing w:before="40" w:after="20"/>
              <w:jc w:val="right"/>
              <w:rPr>
                <w:rFonts w:ascii="Arial Narrow" w:hAnsi="Arial Narrow" w:cs="Arial"/>
                <w:kern w:val="0"/>
                <w:sz w:val="18"/>
                <w:szCs w:val="18"/>
                <w:u w:val="single"/>
              </w:rPr>
            </w:pPr>
            <w:r>
              <w:rPr>
                <w:rFonts w:ascii="Arial Narrow" w:hAnsi="Arial Narrow" w:cs="Arial"/>
                <w:kern w:val="0"/>
                <w:sz w:val="18"/>
                <w:szCs w:val="18"/>
              </w:rPr>
              <w:t>giu</w:t>
            </w:r>
            <w:r w:rsidRPr="00DB5B05">
              <w:rPr>
                <w:rFonts w:ascii="Arial Narrow" w:hAnsi="Arial Narrow" w:cs="Arial"/>
                <w:kern w:val="0"/>
                <w:sz w:val="18"/>
                <w:szCs w:val="18"/>
              </w:rPr>
              <w:t>-2</w:t>
            </w:r>
            <w:r>
              <w:rPr>
                <w:rFonts w:ascii="Arial Narrow" w:hAnsi="Arial Narrow" w:cs="Arial"/>
                <w:kern w:val="0"/>
                <w:sz w:val="18"/>
                <w:szCs w:val="18"/>
              </w:rPr>
              <w:t>3</w:t>
            </w:r>
          </w:p>
        </w:tc>
        <w:tc>
          <w:tcPr>
            <w:tcW w:w="1059" w:type="dxa"/>
            <w:shd w:val="clear" w:color="auto" w:fill="auto"/>
            <w:vAlign w:val="center"/>
            <w:hideMark/>
          </w:tcPr>
          <w:p w:rsidR="00093B5D" w:rsidRPr="00DB5B05" w:rsidRDefault="00093B5D" w:rsidP="00093B5D">
            <w:pPr>
              <w:widowControl/>
              <w:overflowPunct/>
              <w:autoSpaceDE/>
              <w:autoSpaceDN/>
              <w:adjustRightInd/>
              <w:spacing w:before="40" w:after="20"/>
              <w:jc w:val="right"/>
              <w:rPr>
                <w:rFonts w:ascii="Arial Narrow" w:hAnsi="Arial Narrow" w:cs="Arial"/>
                <w:kern w:val="0"/>
                <w:sz w:val="18"/>
                <w:szCs w:val="18"/>
                <w:u w:val="single"/>
              </w:rPr>
            </w:pPr>
            <w:r>
              <w:rPr>
                <w:rFonts w:ascii="Arial Narrow" w:hAnsi="Arial Narrow" w:cs="Arial"/>
                <w:kern w:val="0"/>
                <w:sz w:val="18"/>
                <w:szCs w:val="18"/>
                <w:u w:val="single"/>
              </w:rPr>
              <w:t>lug</w:t>
            </w:r>
            <w:r w:rsidRPr="00DB5B05">
              <w:rPr>
                <w:rFonts w:ascii="Arial Narrow" w:hAnsi="Arial Narrow" w:cs="Arial"/>
                <w:kern w:val="0"/>
                <w:sz w:val="18"/>
                <w:szCs w:val="18"/>
                <w:u w:val="single"/>
              </w:rPr>
              <w:t>-2</w:t>
            </w:r>
            <w:r>
              <w:rPr>
                <w:rFonts w:ascii="Arial Narrow" w:hAnsi="Arial Narrow" w:cs="Arial"/>
                <w:kern w:val="0"/>
                <w:sz w:val="18"/>
                <w:szCs w:val="18"/>
                <w:u w:val="single"/>
              </w:rPr>
              <w:t>4</w:t>
            </w:r>
          </w:p>
          <w:p w:rsidR="00093B5D" w:rsidRPr="00DB5B05" w:rsidRDefault="00093B5D" w:rsidP="00093B5D">
            <w:pPr>
              <w:widowControl/>
              <w:overflowPunct/>
              <w:autoSpaceDE/>
              <w:autoSpaceDN/>
              <w:adjustRightInd/>
              <w:spacing w:before="40" w:after="20"/>
              <w:jc w:val="right"/>
              <w:rPr>
                <w:rFonts w:ascii="Arial Narrow" w:hAnsi="Arial Narrow" w:cs="Arial"/>
                <w:kern w:val="0"/>
                <w:sz w:val="18"/>
                <w:szCs w:val="18"/>
                <w:u w:val="single"/>
              </w:rPr>
            </w:pPr>
            <w:r>
              <w:rPr>
                <w:rFonts w:ascii="Arial Narrow" w:hAnsi="Arial Narrow" w:cs="Arial"/>
                <w:kern w:val="0"/>
                <w:sz w:val="18"/>
                <w:szCs w:val="18"/>
              </w:rPr>
              <w:t>lug</w:t>
            </w:r>
            <w:r w:rsidRPr="00DB5B05">
              <w:rPr>
                <w:rFonts w:ascii="Arial Narrow" w:hAnsi="Arial Narrow" w:cs="Arial"/>
                <w:kern w:val="0"/>
                <w:sz w:val="18"/>
                <w:szCs w:val="18"/>
              </w:rPr>
              <w:t>-2</w:t>
            </w:r>
            <w:r>
              <w:rPr>
                <w:rFonts w:ascii="Arial Narrow" w:hAnsi="Arial Narrow" w:cs="Arial"/>
                <w:kern w:val="0"/>
                <w:sz w:val="18"/>
                <w:szCs w:val="18"/>
              </w:rPr>
              <w:t>3</w:t>
            </w:r>
          </w:p>
        </w:tc>
        <w:tc>
          <w:tcPr>
            <w:tcW w:w="1060" w:type="dxa"/>
            <w:shd w:val="clear" w:color="auto" w:fill="auto"/>
            <w:vAlign w:val="center"/>
            <w:hideMark/>
          </w:tcPr>
          <w:p w:rsidR="00093B5D" w:rsidRPr="00DB5B05" w:rsidRDefault="00093B5D" w:rsidP="00093B5D">
            <w:pPr>
              <w:widowControl/>
              <w:overflowPunct/>
              <w:autoSpaceDE/>
              <w:autoSpaceDN/>
              <w:adjustRightInd/>
              <w:spacing w:before="40" w:after="20"/>
              <w:jc w:val="right"/>
              <w:rPr>
                <w:rFonts w:ascii="Arial Narrow" w:hAnsi="Arial Narrow" w:cs="Arial"/>
                <w:kern w:val="0"/>
                <w:sz w:val="18"/>
                <w:szCs w:val="18"/>
                <w:u w:val="single"/>
              </w:rPr>
            </w:pPr>
            <w:r>
              <w:rPr>
                <w:rFonts w:ascii="Arial Narrow" w:hAnsi="Arial Narrow" w:cs="Arial"/>
                <w:kern w:val="0"/>
                <w:sz w:val="18"/>
                <w:szCs w:val="18"/>
                <w:u w:val="single"/>
              </w:rPr>
              <w:t>giu</w:t>
            </w:r>
            <w:r w:rsidRPr="00DB5B05">
              <w:rPr>
                <w:rFonts w:ascii="Arial Narrow" w:hAnsi="Arial Narrow" w:cs="Arial"/>
                <w:kern w:val="0"/>
                <w:sz w:val="18"/>
                <w:szCs w:val="18"/>
                <w:u w:val="single"/>
              </w:rPr>
              <w:t>-2</w:t>
            </w:r>
            <w:r>
              <w:rPr>
                <w:rFonts w:ascii="Arial Narrow" w:hAnsi="Arial Narrow" w:cs="Arial"/>
                <w:kern w:val="0"/>
                <w:sz w:val="18"/>
                <w:szCs w:val="18"/>
                <w:u w:val="single"/>
              </w:rPr>
              <w:t>4</w:t>
            </w:r>
          </w:p>
          <w:p w:rsidR="00093B5D" w:rsidRPr="00DB5B05" w:rsidRDefault="00093B5D" w:rsidP="00093B5D">
            <w:pPr>
              <w:widowControl/>
              <w:overflowPunct/>
              <w:autoSpaceDE/>
              <w:autoSpaceDN/>
              <w:adjustRightInd/>
              <w:spacing w:before="40" w:after="20"/>
              <w:jc w:val="right"/>
              <w:rPr>
                <w:rFonts w:ascii="Arial Narrow" w:hAnsi="Arial Narrow" w:cs="Arial"/>
                <w:kern w:val="0"/>
                <w:sz w:val="18"/>
                <w:szCs w:val="18"/>
                <w:u w:val="single"/>
              </w:rPr>
            </w:pPr>
            <w:r>
              <w:rPr>
                <w:rFonts w:ascii="Arial Narrow" w:hAnsi="Arial Narrow" w:cs="Arial"/>
                <w:kern w:val="0"/>
                <w:sz w:val="18"/>
                <w:szCs w:val="18"/>
              </w:rPr>
              <w:t>giu</w:t>
            </w:r>
            <w:r w:rsidRPr="00DB5B05">
              <w:rPr>
                <w:rFonts w:ascii="Arial Narrow" w:hAnsi="Arial Narrow" w:cs="Arial"/>
                <w:kern w:val="0"/>
                <w:sz w:val="18"/>
                <w:szCs w:val="18"/>
              </w:rPr>
              <w:t>-2</w:t>
            </w:r>
            <w:r>
              <w:rPr>
                <w:rFonts w:ascii="Arial Narrow" w:hAnsi="Arial Narrow" w:cs="Arial"/>
                <w:kern w:val="0"/>
                <w:sz w:val="18"/>
                <w:szCs w:val="18"/>
              </w:rPr>
              <w:t>3</w:t>
            </w:r>
          </w:p>
        </w:tc>
        <w:tc>
          <w:tcPr>
            <w:tcW w:w="1059" w:type="dxa"/>
            <w:vMerge/>
            <w:shd w:val="clear" w:color="auto" w:fill="auto"/>
            <w:vAlign w:val="center"/>
            <w:hideMark/>
          </w:tcPr>
          <w:p w:rsidR="00093B5D" w:rsidRPr="00517E09" w:rsidRDefault="00093B5D" w:rsidP="00093B5D">
            <w:pPr>
              <w:widowControl/>
              <w:overflowPunct/>
              <w:autoSpaceDE/>
              <w:autoSpaceDN/>
              <w:adjustRightInd/>
              <w:spacing w:before="0" w:after="0"/>
              <w:jc w:val="right"/>
              <w:rPr>
                <w:rFonts w:ascii="Arial Narrow" w:hAnsi="Arial Narrow" w:cs="Arial"/>
                <w:b/>
                <w:bCs/>
                <w:kern w:val="0"/>
                <w:sz w:val="18"/>
                <w:szCs w:val="18"/>
              </w:rPr>
            </w:pPr>
          </w:p>
        </w:tc>
      </w:tr>
      <w:tr w:rsidR="005C3370" w:rsidRPr="00D23AC7" w:rsidTr="000127DA">
        <w:trPr>
          <w:trHeight w:val="255"/>
        </w:trPr>
        <w:tc>
          <w:tcPr>
            <w:tcW w:w="3797" w:type="dxa"/>
            <w:shd w:val="clear" w:color="auto" w:fill="auto"/>
            <w:vAlign w:val="center"/>
            <w:hideMark/>
          </w:tcPr>
          <w:p w:rsidR="005C3370" w:rsidRPr="00517E09" w:rsidRDefault="005C3370" w:rsidP="005C3370">
            <w:pPr>
              <w:widowControl/>
              <w:overflowPunct/>
              <w:autoSpaceDE/>
              <w:autoSpaceDN/>
              <w:adjustRightInd/>
              <w:spacing w:before="0" w:after="0"/>
              <w:rPr>
                <w:rFonts w:ascii="Arial Narrow" w:hAnsi="Arial Narrow" w:cs="Arial"/>
                <w:kern w:val="0"/>
                <w:sz w:val="18"/>
                <w:szCs w:val="18"/>
              </w:rPr>
            </w:pPr>
            <w:r w:rsidRPr="00517E09">
              <w:rPr>
                <w:rFonts w:ascii="Arial Narrow" w:hAnsi="Arial Narrow" w:cs="Arial"/>
                <w:kern w:val="0"/>
                <w:sz w:val="18"/>
                <w:szCs w:val="18"/>
              </w:rPr>
              <w:t>Alta frequenza</w:t>
            </w:r>
          </w:p>
        </w:tc>
        <w:tc>
          <w:tcPr>
            <w:tcW w:w="1059" w:type="dxa"/>
            <w:shd w:val="clear" w:color="000000" w:fill="D9D9D9"/>
            <w:vAlign w:val="center"/>
          </w:tcPr>
          <w:p w:rsidR="005C3370" w:rsidRPr="00EE55FB" w:rsidRDefault="005C3370" w:rsidP="005C3370">
            <w:pPr>
              <w:widowControl/>
              <w:overflowPunct/>
              <w:autoSpaceDE/>
              <w:autoSpaceDN/>
              <w:adjustRightInd/>
              <w:spacing w:before="0" w:after="0"/>
              <w:ind w:right="57"/>
              <w:jc w:val="right"/>
              <w:rPr>
                <w:rFonts w:ascii="Arial Narrow" w:hAnsi="Arial Narrow" w:cs="Calibri"/>
                <w:sz w:val="18"/>
                <w:szCs w:val="18"/>
              </w:rPr>
            </w:pPr>
            <w:r w:rsidRPr="00EE55FB">
              <w:rPr>
                <w:rFonts w:ascii="Arial Narrow" w:hAnsi="Arial Narrow" w:cs="Calibri"/>
                <w:sz w:val="18"/>
                <w:szCs w:val="18"/>
              </w:rPr>
              <w:t>403.639</w:t>
            </w:r>
          </w:p>
        </w:tc>
        <w:tc>
          <w:tcPr>
            <w:tcW w:w="1059" w:type="dxa"/>
            <w:shd w:val="clear" w:color="auto" w:fill="auto"/>
            <w:vAlign w:val="center"/>
          </w:tcPr>
          <w:p w:rsidR="005C3370" w:rsidRPr="005C3370" w:rsidRDefault="005C3370" w:rsidP="005C3370">
            <w:pPr>
              <w:widowControl/>
              <w:overflowPunct/>
              <w:autoSpaceDE/>
              <w:autoSpaceDN/>
              <w:adjustRightInd/>
              <w:spacing w:before="0" w:after="0"/>
              <w:jc w:val="right"/>
              <w:rPr>
                <w:rFonts w:ascii="Arial Narrow" w:hAnsi="Arial Narrow" w:cs="Calibri"/>
                <w:sz w:val="18"/>
                <w:szCs w:val="18"/>
              </w:rPr>
            </w:pPr>
            <w:r w:rsidRPr="005C3370">
              <w:rPr>
                <w:rFonts w:ascii="Arial Narrow" w:hAnsi="Arial Narrow" w:cs="Calibri"/>
                <w:sz w:val="18"/>
                <w:szCs w:val="18"/>
              </w:rPr>
              <w:t>+0,1</w:t>
            </w:r>
          </w:p>
        </w:tc>
        <w:tc>
          <w:tcPr>
            <w:tcW w:w="1060" w:type="dxa"/>
            <w:shd w:val="clear" w:color="000000" w:fill="D9D9D9"/>
            <w:vAlign w:val="center"/>
          </w:tcPr>
          <w:p w:rsidR="005C3370" w:rsidRPr="005C3370" w:rsidRDefault="005C3370" w:rsidP="005C3370">
            <w:pPr>
              <w:widowControl/>
              <w:overflowPunct/>
              <w:autoSpaceDE/>
              <w:autoSpaceDN/>
              <w:adjustRightInd/>
              <w:spacing w:before="0" w:after="0"/>
              <w:jc w:val="right"/>
              <w:rPr>
                <w:rFonts w:ascii="Arial Narrow" w:hAnsi="Arial Narrow" w:cs="Calibri"/>
                <w:sz w:val="18"/>
                <w:szCs w:val="18"/>
              </w:rPr>
            </w:pPr>
            <w:r w:rsidRPr="005C3370">
              <w:rPr>
                <w:rFonts w:ascii="Arial Narrow" w:hAnsi="Arial Narrow" w:cs="Calibri"/>
                <w:sz w:val="18"/>
                <w:szCs w:val="18"/>
              </w:rPr>
              <w:t>+0,2</w:t>
            </w:r>
          </w:p>
        </w:tc>
        <w:tc>
          <w:tcPr>
            <w:tcW w:w="1059" w:type="dxa"/>
            <w:shd w:val="clear" w:color="auto" w:fill="auto"/>
            <w:vAlign w:val="center"/>
          </w:tcPr>
          <w:p w:rsidR="005C3370" w:rsidRPr="005C3370" w:rsidRDefault="005C3370" w:rsidP="005C3370">
            <w:pPr>
              <w:widowControl/>
              <w:overflowPunct/>
              <w:autoSpaceDE/>
              <w:autoSpaceDN/>
              <w:adjustRightInd/>
              <w:spacing w:before="0" w:after="0"/>
              <w:jc w:val="right"/>
              <w:rPr>
                <w:rFonts w:ascii="Arial Narrow" w:hAnsi="Arial Narrow" w:cs="Calibri"/>
                <w:sz w:val="18"/>
                <w:szCs w:val="18"/>
              </w:rPr>
            </w:pPr>
            <w:r w:rsidRPr="005C3370">
              <w:rPr>
                <w:rFonts w:ascii="Arial Narrow" w:hAnsi="Arial Narrow" w:cs="Calibri"/>
                <w:sz w:val="18"/>
                <w:szCs w:val="18"/>
              </w:rPr>
              <w:t>+1,9</w:t>
            </w:r>
          </w:p>
        </w:tc>
        <w:tc>
          <w:tcPr>
            <w:tcW w:w="1060" w:type="dxa"/>
            <w:shd w:val="clear" w:color="000000" w:fill="D9D9D9"/>
            <w:vAlign w:val="center"/>
          </w:tcPr>
          <w:p w:rsidR="005C3370" w:rsidRPr="005C3370" w:rsidRDefault="005C3370" w:rsidP="005C3370">
            <w:pPr>
              <w:widowControl/>
              <w:overflowPunct/>
              <w:autoSpaceDE/>
              <w:autoSpaceDN/>
              <w:adjustRightInd/>
              <w:spacing w:before="0" w:after="0"/>
              <w:jc w:val="right"/>
              <w:rPr>
                <w:rFonts w:ascii="Arial Narrow" w:hAnsi="Arial Narrow" w:cs="Calibri"/>
                <w:sz w:val="18"/>
                <w:szCs w:val="18"/>
              </w:rPr>
            </w:pPr>
            <w:r w:rsidRPr="005C3370">
              <w:rPr>
                <w:rFonts w:ascii="Arial Narrow" w:hAnsi="Arial Narrow" w:cs="Calibri"/>
                <w:sz w:val="18"/>
                <w:szCs w:val="18"/>
              </w:rPr>
              <w:t>+2,0</w:t>
            </w:r>
          </w:p>
        </w:tc>
        <w:tc>
          <w:tcPr>
            <w:tcW w:w="1059" w:type="dxa"/>
            <w:shd w:val="clear" w:color="auto" w:fill="auto"/>
            <w:vAlign w:val="center"/>
          </w:tcPr>
          <w:p w:rsidR="005C3370" w:rsidRPr="005C3370" w:rsidRDefault="005C3370" w:rsidP="005C3370">
            <w:pPr>
              <w:widowControl/>
              <w:overflowPunct/>
              <w:autoSpaceDE/>
              <w:autoSpaceDN/>
              <w:adjustRightInd/>
              <w:spacing w:before="0" w:after="0"/>
              <w:jc w:val="right"/>
              <w:rPr>
                <w:rFonts w:ascii="Arial Narrow" w:hAnsi="Arial Narrow" w:cs="Calibri"/>
                <w:sz w:val="18"/>
                <w:szCs w:val="18"/>
              </w:rPr>
            </w:pPr>
            <w:r w:rsidRPr="005C3370">
              <w:rPr>
                <w:rFonts w:ascii="Arial Narrow" w:hAnsi="Arial Narrow" w:cs="Calibri"/>
                <w:sz w:val="18"/>
                <w:szCs w:val="18"/>
              </w:rPr>
              <w:t>+1,9</w:t>
            </w:r>
          </w:p>
        </w:tc>
      </w:tr>
      <w:tr w:rsidR="005C3370" w:rsidRPr="00517E09" w:rsidTr="000127DA">
        <w:trPr>
          <w:trHeight w:val="255"/>
        </w:trPr>
        <w:tc>
          <w:tcPr>
            <w:tcW w:w="3797" w:type="dxa"/>
            <w:shd w:val="clear" w:color="auto" w:fill="auto"/>
            <w:vAlign w:val="center"/>
            <w:hideMark/>
          </w:tcPr>
          <w:p w:rsidR="005C3370" w:rsidRPr="00517E09" w:rsidRDefault="005C3370" w:rsidP="005C3370">
            <w:pPr>
              <w:widowControl/>
              <w:overflowPunct/>
              <w:autoSpaceDE/>
              <w:autoSpaceDN/>
              <w:adjustRightInd/>
              <w:spacing w:before="0" w:after="0"/>
              <w:rPr>
                <w:rFonts w:ascii="Arial Narrow" w:hAnsi="Arial Narrow" w:cs="Arial"/>
                <w:kern w:val="0"/>
                <w:sz w:val="18"/>
                <w:szCs w:val="18"/>
              </w:rPr>
            </w:pPr>
            <w:r w:rsidRPr="00517E09">
              <w:rPr>
                <w:rFonts w:ascii="Arial Narrow" w:hAnsi="Arial Narrow" w:cs="Arial"/>
                <w:kern w:val="0"/>
                <w:sz w:val="18"/>
                <w:szCs w:val="18"/>
              </w:rPr>
              <w:t xml:space="preserve">Media frequenza </w:t>
            </w:r>
          </w:p>
        </w:tc>
        <w:tc>
          <w:tcPr>
            <w:tcW w:w="1059" w:type="dxa"/>
            <w:shd w:val="clear" w:color="000000" w:fill="D9D9D9"/>
            <w:vAlign w:val="center"/>
          </w:tcPr>
          <w:p w:rsidR="005C3370" w:rsidRPr="00EE55FB" w:rsidRDefault="005C3370" w:rsidP="005C3370">
            <w:pPr>
              <w:widowControl/>
              <w:overflowPunct/>
              <w:autoSpaceDE/>
              <w:autoSpaceDN/>
              <w:adjustRightInd/>
              <w:spacing w:before="0" w:after="0"/>
              <w:ind w:right="57"/>
              <w:jc w:val="right"/>
              <w:rPr>
                <w:rFonts w:ascii="Arial Narrow" w:hAnsi="Arial Narrow" w:cs="Calibri"/>
                <w:sz w:val="18"/>
                <w:szCs w:val="18"/>
              </w:rPr>
            </w:pPr>
            <w:r w:rsidRPr="00EE55FB">
              <w:rPr>
                <w:rFonts w:ascii="Arial Narrow" w:hAnsi="Arial Narrow" w:cs="Calibri"/>
                <w:sz w:val="18"/>
                <w:szCs w:val="18"/>
              </w:rPr>
              <w:t>406.095</w:t>
            </w:r>
          </w:p>
        </w:tc>
        <w:tc>
          <w:tcPr>
            <w:tcW w:w="1059" w:type="dxa"/>
            <w:shd w:val="clear" w:color="auto" w:fill="auto"/>
            <w:vAlign w:val="center"/>
          </w:tcPr>
          <w:p w:rsidR="005C3370" w:rsidRPr="005C3370" w:rsidRDefault="005C3370" w:rsidP="005C3370">
            <w:pPr>
              <w:widowControl/>
              <w:overflowPunct/>
              <w:autoSpaceDE/>
              <w:autoSpaceDN/>
              <w:adjustRightInd/>
              <w:spacing w:before="0" w:after="0"/>
              <w:jc w:val="right"/>
              <w:rPr>
                <w:rFonts w:ascii="Arial Narrow" w:hAnsi="Arial Narrow" w:cs="Calibri"/>
                <w:sz w:val="18"/>
                <w:szCs w:val="18"/>
              </w:rPr>
            </w:pPr>
            <w:r w:rsidRPr="005C3370">
              <w:rPr>
                <w:rFonts w:ascii="Arial Narrow" w:hAnsi="Arial Narrow" w:cs="Calibri"/>
                <w:sz w:val="18"/>
                <w:szCs w:val="18"/>
              </w:rPr>
              <w:t>+1,1</w:t>
            </w:r>
          </w:p>
        </w:tc>
        <w:tc>
          <w:tcPr>
            <w:tcW w:w="1060" w:type="dxa"/>
            <w:shd w:val="clear" w:color="000000" w:fill="D9D9D9"/>
            <w:vAlign w:val="center"/>
          </w:tcPr>
          <w:p w:rsidR="005C3370" w:rsidRPr="005C3370" w:rsidRDefault="005C3370" w:rsidP="005C3370">
            <w:pPr>
              <w:widowControl/>
              <w:overflowPunct/>
              <w:autoSpaceDE/>
              <w:autoSpaceDN/>
              <w:adjustRightInd/>
              <w:spacing w:before="0" w:after="0"/>
              <w:jc w:val="right"/>
              <w:rPr>
                <w:rFonts w:ascii="Arial Narrow" w:hAnsi="Arial Narrow" w:cs="Calibri"/>
                <w:sz w:val="18"/>
                <w:szCs w:val="18"/>
              </w:rPr>
            </w:pPr>
            <w:r w:rsidRPr="005C3370">
              <w:rPr>
                <w:rFonts w:ascii="Arial Narrow" w:hAnsi="Arial Narrow" w:cs="Calibri"/>
                <w:sz w:val="18"/>
                <w:szCs w:val="18"/>
              </w:rPr>
              <w:t>-0,1</w:t>
            </w:r>
          </w:p>
        </w:tc>
        <w:tc>
          <w:tcPr>
            <w:tcW w:w="1059" w:type="dxa"/>
            <w:shd w:val="clear" w:color="auto" w:fill="auto"/>
            <w:vAlign w:val="center"/>
          </w:tcPr>
          <w:p w:rsidR="005C3370" w:rsidRPr="005C3370" w:rsidRDefault="005C3370" w:rsidP="005C3370">
            <w:pPr>
              <w:widowControl/>
              <w:overflowPunct/>
              <w:autoSpaceDE/>
              <w:autoSpaceDN/>
              <w:adjustRightInd/>
              <w:spacing w:before="0" w:after="0"/>
              <w:jc w:val="right"/>
              <w:rPr>
                <w:rFonts w:ascii="Arial Narrow" w:hAnsi="Arial Narrow" w:cs="Calibri"/>
                <w:sz w:val="18"/>
                <w:szCs w:val="18"/>
              </w:rPr>
            </w:pPr>
            <w:r w:rsidRPr="005C3370">
              <w:rPr>
                <w:rFonts w:ascii="Arial Narrow" w:hAnsi="Arial Narrow" w:cs="Calibri"/>
                <w:sz w:val="18"/>
                <w:szCs w:val="18"/>
              </w:rPr>
              <w:t>+1,1</w:t>
            </w:r>
          </w:p>
        </w:tc>
        <w:tc>
          <w:tcPr>
            <w:tcW w:w="1060" w:type="dxa"/>
            <w:shd w:val="clear" w:color="000000" w:fill="D9D9D9"/>
            <w:vAlign w:val="center"/>
          </w:tcPr>
          <w:p w:rsidR="005C3370" w:rsidRPr="005C3370" w:rsidRDefault="005C3370" w:rsidP="005C3370">
            <w:pPr>
              <w:widowControl/>
              <w:overflowPunct/>
              <w:autoSpaceDE/>
              <w:autoSpaceDN/>
              <w:adjustRightInd/>
              <w:spacing w:before="0" w:after="0"/>
              <w:jc w:val="right"/>
              <w:rPr>
                <w:rFonts w:ascii="Arial Narrow" w:hAnsi="Arial Narrow" w:cs="Calibri"/>
                <w:sz w:val="18"/>
                <w:szCs w:val="18"/>
              </w:rPr>
            </w:pPr>
            <w:r w:rsidRPr="005C3370">
              <w:rPr>
                <w:rFonts w:ascii="Arial Narrow" w:hAnsi="Arial Narrow" w:cs="Calibri"/>
                <w:sz w:val="18"/>
                <w:szCs w:val="18"/>
              </w:rPr>
              <w:t>-0,1</w:t>
            </w:r>
          </w:p>
        </w:tc>
        <w:tc>
          <w:tcPr>
            <w:tcW w:w="1059" w:type="dxa"/>
            <w:shd w:val="clear" w:color="auto" w:fill="auto"/>
            <w:vAlign w:val="center"/>
          </w:tcPr>
          <w:p w:rsidR="005C3370" w:rsidRPr="005C3370" w:rsidRDefault="005C3370" w:rsidP="005C3370">
            <w:pPr>
              <w:widowControl/>
              <w:overflowPunct/>
              <w:autoSpaceDE/>
              <w:autoSpaceDN/>
              <w:adjustRightInd/>
              <w:spacing w:before="0" w:after="0"/>
              <w:jc w:val="right"/>
              <w:rPr>
                <w:rFonts w:ascii="Arial Narrow" w:hAnsi="Arial Narrow" w:cs="Calibri"/>
                <w:sz w:val="18"/>
                <w:szCs w:val="18"/>
              </w:rPr>
            </w:pPr>
            <w:r w:rsidRPr="005C3370">
              <w:rPr>
                <w:rFonts w:ascii="Arial Narrow" w:hAnsi="Arial Narrow" w:cs="Calibri"/>
                <w:sz w:val="18"/>
                <w:szCs w:val="18"/>
              </w:rPr>
              <w:t>+0,3</w:t>
            </w:r>
          </w:p>
        </w:tc>
      </w:tr>
      <w:tr w:rsidR="005C3370" w:rsidRPr="00517E09" w:rsidTr="000127DA">
        <w:trPr>
          <w:trHeight w:val="255"/>
        </w:trPr>
        <w:tc>
          <w:tcPr>
            <w:tcW w:w="3797" w:type="dxa"/>
            <w:shd w:val="clear" w:color="auto" w:fill="auto"/>
            <w:vAlign w:val="center"/>
            <w:hideMark/>
          </w:tcPr>
          <w:p w:rsidR="005C3370" w:rsidRPr="00517E09" w:rsidRDefault="005C3370" w:rsidP="005C3370">
            <w:pPr>
              <w:widowControl/>
              <w:overflowPunct/>
              <w:autoSpaceDE/>
              <w:autoSpaceDN/>
              <w:adjustRightInd/>
              <w:spacing w:before="0" w:after="0"/>
              <w:rPr>
                <w:rFonts w:ascii="Arial Narrow" w:hAnsi="Arial Narrow" w:cs="Arial"/>
                <w:kern w:val="0"/>
                <w:sz w:val="18"/>
                <w:szCs w:val="18"/>
              </w:rPr>
            </w:pPr>
            <w:r w:rsidRPr="00517E09">
              <w:rPr>
                <w:rFonts w:ascii="Arial Narrow" w:hAnsi="Arial Narrow" w:cs="Arial"/>
                <w:kern w:val="0"/>
                <w:sz w:val="18"/>
                <w:szCs w:val="18"/>
              </w:rPr>
              <w:t xml:space="preserve">Bassa frequenza </w:t>
            </w:r>
          </w:p>
        </w:tc>
        <w:tc>
          <w:tcPr>
            <w:tcW w:w="1059" w:type="dxa"/>
            <w:shd w:val="clear" w:color="000000" w:fill="D9D9D9"/>
            <w:vAlign w:val="center"/>
          </w:tcPr>
          <w:p w:rsidR="005C3370" w:rsidRPr="00EE55FB" w:rsidRDefault="005C3370" w:rsidP="005C3370">
            <w:pPr>
              <w:widowControl/>
              <w:overflowPunct/>
              <w:autoSpaceDE/>
              <w:autoSpaceDN/>
              <w:adjustRightInd/>
              <w:spacing w:before="0" w:after="0"/>
              <w:ind w:right="57"/>
              <w:jc w:val="right"/>
              <w:rPr>
                <w:rFonts w:ascii="Arial Narrow" w:hAnsi="Arial Narrow" w:cs="Calibri"/>
                <w:sz w:val="18"/>
                <w:szCs w:val="18"/>
              </w:rPr>
            </w:pPr>
            <w:r w:rsidRPr="00EE55FB">
              <w:rPr>
                <w:rFonts w:ascii="Arial Narrow" w:hAnsi="Arial Narrow" w:cs="Calibri"/>
                <w:sz w:val="18"/>
                <w:szCs w:val="18"/>
              </w:rPr>
              <w:t>190.266</w:t>
            </w:r>
          </w:p>
        </w:tc>
        <w:tc>
          <w:tcPr>
            <w:tcW w:w="1059" w:type="dxa"/>
            <w:shd w:val="clear" w:color="auto" w:fill="auto"/>
            <w:vAlign w:val="center"/>
          </w:tcPr>
          <w:p w:rsidR="005C3370" w:rsidRPr="005C3370" w:rsidRDefault="005C3370" w:rsidP="005C3370">
            <w:pPr>
              <w:widowControl/>
              <w:overflowPunct/>
              <w:autoSpaceDE/>
              <w:autoSpaceDN/>
              <w:adjustRightInd/>
              <w:spacing w:before="0" w:after="0"/>
              <w:jc w:val="right"/>
              <w:rPr>
                <w:rFonts w:ascii="Arial Narrow" w:hAnsi="Arial Narrow" w:cs="Calibri"/>
                <w:sz w:val="18"/>
                <w:szCs w:val="18"/>
              </w:rPr>
            </w:pPr>
            <w:r w:rsidRPr="005C3370">
              <w:rPr>
                <w:rFonts w:ascii="Arial Narrow" w:hAnsi="Arial Narrow" w:cs="Calibri"/>
                <w:sz w:val="18"/>
                <w:szCs w:val="18"/>
              </w:rPr>
              <w:t>-0,1</w:t>
            </w:r>
          </w:p>
        </w:tc>
        <w:tc>
          <w:tcPr>
            <w:tcW w:w="1060" w:type="dxa"/>
            <w:shd w:val="clear" w:color="000000" w:fill="D9D9D9"/>
            <w:vAlign w:val="center"/>
          </w:tcPr>
          <w:p w:rsidR="005C3370" w:rsidRPr="005C3370" w:rsidRDefault="005C3370" w:rsidP="005C3370">
            <w:pPr>
              <w:widowControl/>
              <w:overflowPunct/>
              <w:autoSpaceDE/>
              <w:autoSpaceDN/>
              <w:adjustRightInd/>
              <w:spacing w:before="0" w:after="0"/>
              <w:jc w:val="right"/>
              <w:rPr>
                <w:rFonts w:ascii="Arial Narrow" w:hAnsi="Arial Narrow" w:cs="Calibri"/>
                <w:sz w:val="18"/>
                <w:szCs w:val="18"/>
              </w:rPr>
            </w:pPr>
            <w:r w:rsidRPr="005C3370">
              <w:rPr>
                <w:rFonts w:ascii="Arial Narrow" w:hAnsi="Arial Narrow" w:cs="Calibri"/>
                <w:sz w:val="18"/>
                <w:szCs w:val="18"/>
              </w:rPr>
              <w:t>0,0</w:t>
            </w:r>
          </w:p>
        </w:tc>
        <w:tc>
          <w:tcPr>
            <w:tcW w:w="1059" w:type="dxa"/>
            <w:shd w:val="clear" w:color="auto" w:fill="auto"/>
            <w:vAlign w:val="center"/>
          </w:tcPr>
          <w:p w:rsidR="005C3370" w:rsidRPr="005C3370" w:rsidRDefault="005C3370" w:rsidP="005C3370">
            <w:pPr>
              <w:widowControl/>
              <w:overflowPunct/>
              <w:autoSpaceDE/>
              <w:autoSpaceDN/>
              <w:adjustRightInd/>
              <w:spacing w:before="0" w:after="0"/>
              <w:jc w:val="right"/>
              <w:rPr>
                <w:rFonts w:ascii="Arial Narrow" w:hAnsi="Arial Narrow" w:cs="Calibri"/>
                <w:sz w:val="18"/>
                <w:szCs w:val="18"/>
              </w:rPr>
            </w:pPr>
            <w:r w:rsidRPr="005C3370">
              <w:rPr>
                <w:rFonts w:ascii="Arial Narrow" w:hAnsi="Arial Narrow" w:cs="Calibri"/>
                <w:sz w:val="18"/>
                <w:szCs w:val="18"/>
              </w:rPr>
              <w:t>+0,2</w:t>
            </w:r>
          </w:p>
        </w:tc>
        <w:tc>
          <w:tcPr>
            <w:tcW w:w="1060" w:type="dxa"/>
            <w:shd w:val="clear" w:color="000000" w:fill="D9D9D9"/>
            <w:vAlign w:val="center"/>
          </w:tcPr>
          <w:p w:rsidR="005C3370" w:rsidRPr="005C3370" w:rsidRDefault="005C3370" w:rsidP="005C3370">
            <w:pPr>
              <w:widowControl/>
              <w:overflowPunct/>
              <w:autoSpaceDE/>
              <w:autoSpaceDN/>
              <w:adjustRightInd/>
              <w:spacing w:before="0" w:after="0"/>
              <w:jc w:val="right"/>
              <w:rPr>
                <w:rFonts w:ascii="Arial Narrow" w:hAnsi="Arial Narrow" w:cs="Calibri"/>
                <w:sz w:val="18"/>
                <w:szCs w:val="18"/>
              </w:rPr>
            </w:pPr>
            <w:r w:rsidRPr="005C3370">
              <w:rPr>
                <w:rFonts w:ascii="Arial Narrow" w:hAnsi="Arial Narrow" w:cs="Calibri"/>
                <w:sz w:val="18"/>
                <w:szCs w:val="18"/>
              </w:rPr>
              <w:t>+0,3</w:t>
            </w:r>
          </w:p>
        </w:tc>
        <w:tc>
          <w:tcPr>
            <w:tcW w:w="1059" w:type="dxa"/>
            <w:shd w:val="clear" w:color="auto" w:fill="auto"/>
            <w:vAlign w:val="center"/>
          </w:tcPr>
          <w:p w:rsidR="005C3370" w:rsidRPr="005C3370" w:rsidRDefault="005C3370" w:rsidP="005C3370">
            <w:pPr>
              <w:widowControl/>
              <w:overflowPunct/>
              <w:autoSpaceDE/>
              <w:autoSpaceDN/>
              <w:adjustRightInd/>
              <w:spacing w:before="0" w:after="0"/>
              <w:jc w:val="right"/>
              <w:rPr>
                <w:rFonts w:ascii="Arial Narrow" w:hAnsi="Arial Narrow" w:cs="Calibri"/>
                <w:sz w:val="18"/>
                <w:szCs w:val="18"/>
              </w:rPr>
            </w:pPr>
            <w:r w:rsidRPr="005C3370">
              <w:rPr>
                <w:rFonts w:ascii="Arial Narrow" w:hAnsi="Arial Narrow" w:cs="Calibri"/>
                <w:sz w:val="18"/>
                <w:szCs w:val="18"/>
              </w:rPr>
              <w:t>+0,4</w:t>
            </w:r>
          </w:p>
        </w:tc>
      </w:tr>
      <w:tr w:rsidR="005C3370" w:rsidRPr="00F17594" w:rsidTr="000127DA">
        <w:trPr>
          <w:trHeight w:val="255"/>
        </w:trPr>
        <w:tc>
          <w:tcPr>
            <w:tcW w:w="3797" w:type="dxa"/>
            <w:shd w:val="clear" w:color="000000" w:fill="E42618"/>
            <w:vAlign w:val="center"/>
            <w:hideMark/>
          </w:tcPr>
          <w:p w:rsidR="005C3370" w:rsidRPr="00EE3BCC" w:rsidRDefault="005C3370" w:rsidP="005C3370">
            <w:pPr>
              <w:widowControl/>
              <w:overflowPunct/>
              <w:autoSpaceDE/>
              <w:autoSpaceDN/>
              <w:adjustRightInd/>
              <w:spacing w:before="0" w:after="0"/>
              <w:rPr>
                <w:rFonts w:ascii="Arial Narrow" w:hAnsi="Arial Narrow" w:cs="Arial"/>
                <w:b/>
                <w:color w:val="FFFFFF" w:themeColor="background1"/>
                <w:kern w:val="0"/>
                <w:sz w:val="18"/>
                <w:szCs w:val="18"/>
              </w:rPr>
            </w:pPr>
            <w:r w:rsidRPr="00EE3BCC">
              <w:rPr>
                <w:rFonts w:ascii="Arial Narrow" w:hAnsi="Arial Narrow" w:cs="Arial"/>
                <w:b/>
                <w:color w:val="FFFFFF" w:themeColor="background1"/>
                <w:kern w:val="0"/>
                <w:sz w:val="18"/>
                <w:szCs w:val="18"/>
              </w:rPr>
              <w:t>Indice generale</w:t>
            </w:r>
          </w:p>
        </w:tc>
        <w:tc>
          <w:tcPr>
            <w:tcW w:w="1059" w:type="dxa"/>
            <w:shd w:val="clear" w:color="000000" w:fill="E42618"/>
            <w:vAlign w:val="center"/>
          </w:tcPr>
          <w:p w:rsidR="005C3370" w:rsidRPr="00FE1BB4" w:rsidRDefault="005C3370" w:rsidP="005C3370">
            <w:pPr>
              <w:widowControl/>
              <w:overflowPunct/>
              <w:autoSpaceDE/>
              <w:autoSpaceDN/>
              <w:adjustRightInd/>
              <w:spacing w:before="0" w:after="0"/>
              <w:ind w:right="57"/>
              <w:jc w:val="right"/>
              <w:rPr>
                <w:rFonts w:ascii="Arial Narrow" w:hAnsi="Arial Narrow" w:cs="Arial"/>
                <w:b/>
                <w:color w:val="FFFFFF" w:themeColor="background1"/>
                <w:kern w:val="0"/>
                <w:sz w:val="18"/>
                <w:szCs w:val="18"/>
              </w:rPr>
            </w:pPr>
            <w:r w:rsidRPr="00FE1BB4">
              <w:rPr>
                <w:rFonts w:ascii="Arial Narrow" w:hAnsi="Arial Narrow" w:cs="Arial"/>
                <w:b/>
                <w:color w:val="FFFFFF" w:themeColor="background1"/>
                <w:kern w:val="0"/>
                <w:sz w:val="18"/>
                <w:szCs w:val="18"/>
              </w:rPr>
              <w:t>1.000.000</w:t>
            </w:r>
          </w:p>
        </w:tc>
        <w:tc>
          <w:tcPr>
            <w:tcW w:w="1059" w:type="dxa"/>
            <w:shd w:val="clear" w:color="000000" w:fill="E42618"/>
            <w:vAlign w:val="center"/>
          </w:tcPr>
          <w:p w:rsidR="005C3370" w:rsidRPr="005C3370" w:rsidRDefault="005C3370" w:rsidP="005C3370">
            <w:pPr>
              <w:widowControl/>
              <w:overflowPunct/>
              <w:autoSpaceDE/>
              <w:autoSpaceDN/>
              <w:adjustRightInd/>
              <w:spacing w:before="0" w:after="0"/>
              <w:jc w:val="right"/>
              <w:rPr>
                <w:rFonts w:ascii="Arial Narrow" w:hAnsi="Arial Narrow" w:cs="Arial"/>
                <w:b/>
                <w:color w:val="FFFFFF" w:themeColor="background1"/>
                <w:kern w:val="0"/>
                <w:sz w:val="18"/>
                <w:szCs w:val="18"/>
              </w:rPr>
            </w:pPr>
            <w:r w:rsidRPr="005C3370">
              <w:rPr>
                <w:rFonts w:ascii="Arial Narrow" w:hAnsi="Arial Narrow" w:cs="Arial"/>
                <w:b/>
                <w:color w:val="FFFFFF" w:themeColor="background1"/>
                <w:kern w:val="0"/>
                <w:sz w:val="18"/>
                <w:szCs w:val="18"/>
              </w:rPr>
              <w:t>+0,5</w:t>
            </w:r>
          </w:p>
        </w:tc>
        <w:tc>
          <w:tcPr>
            <w:tcW w:w="1060" w:type="dxa"/>
            <w:shd w:val="clear" w:color="000000" w:fill="E42618"/>
            <w:vAlign w:val="center"/>
          </w:tcPr>
          <w:p w:rsidR="005C3370" w:rsidRPr="005C3370" w:rsidRDefault="005C3370" w:rsidP="005C3370">
            <w:pPr>
              <w:widowControl/>
              <w:overflowPunct/>
              <w:autoSpaceDE/>
              <w:autoSpaceDN/>
              <w:adjustRightInd/>
              <w:spacing w:before="0" w:after="0"/>
              <w:jc w:val="right"/>
              <w:rPr>
                <w:rFonts w:ascii="Arial Narrow" w:hAnsi="Arial Narrow" w:cs="Arial"/>
                <w:b/>
                <w:color w:val="FFFFFF" w:themeColor="background1"/>
                <w:kern w:val="0"/>
                <w:sz w:val="18"/>
                <w:szCs w:val="18"/>
              </w:rPr>
            </w:pPr>
            <w:r w:rsidRPr="005C3370">
              <w:rPr>
                <w:rFonts w:ascii="Arial Narrow" w:hAnsi="Arial Narrow" w:cs="Arial"/>
                <w:b/>
                <w:color w:val="FFFFFF" w:themeColor="background1"/>
                <w:kern w:val="0"/>
                <w:sz w:val="18"/>
                <w:szCs w:val="18"/>
              </w:rPr>
              <w:t>0,0</w:t>
            </w:r>
          </w:p>
        </w:tc>
        <w:tc>
          <w:tcPr>
            <w:tcW w:w="1059" w:type="dxa"/>
            <w:shd w:val="clear" w:color="000000" w:fill="E42618"/>
            <w:vAlign w:val="center"/>
          </w:tcPr>
          <w:p w:rsidR="005C3370" w:rsidRPr="005C3370" w:rsidRDefault="005C3370" w:rsidP="005C3370">
            <w:pPr>
              <w:widowControl/>
              <w:overflowPunct/>
              <w:autoSpaceDE/>
              <w:autoSpaceDN/>
              <w:adjustRightInd/>
              <w:spacing w:before="0" w:after="0"/>
              <w:jc w:val="right"/>
              <w:rPr>
                <w:rFonts w:ascii="Arial Narrow" w:hAnsi="Arial Narrow" w:cs="Arial"/>
                <w:b/>
                <w:color w:val="FFFFFF" w:themeColor="background1"/>
                <w:kern w:val="0"/>
                <w:sz w:val="18"/>
                <w:szCs w:val="18"/>
              </w:rPr>
            </w:pPr>
            <w:r w:rsidRPr="005C3370">
              <w:rPr>
                <w:rFonts w:ascii="Arial Narrow" w:hAnsi="Arial Narrow" w:cs="Arial"/>
                <w:b/>
                <w:color w:val="FFFFFF" w:themeColor="background1"/>
                <w:kern w:val="0"/>
                <w:sz w:val="18"/>
                <w:szCs w:val="18"/>
              </w:rPr>
              <w:t>+1,3</w:t>
            </w:r>
          </w:p>
        </w:tc>
        <w:tc>
          <w:tcPr>
            <w:tcW w:w="1060" w:type="dxa"/>
            <w:shd w:val="clear" w:color="000000" w:fill="E42618"/>
            <w:vAlign w:val="center"/>
          </w:tcPr>
          <w:p w:rsidR="005C3370" w:rsidRPr="005C3370" w:rsidRDefault="005C3370" w:rsidP="005C3370">
            <w:pPr>
              <w:widowControl/>
              <w:overflowPunct/>
              <w:autoSpaceDE/>
              <w:autoSpaceDN/>
              <w:adjustRightInd/>
              <w:spacing w:before="0" w:after="0"/>
              <w:jc w:val="right"/>
              <w:rPr>
                <w:rFonts w:ascii="Arial Narrow" w:hAnsi="Arial Narrow" w:cs="Arial"/>
                <w:b/>
                <w:color w:val="FFFFFF" w:themeColor="background1"/>
                <w:kern w:val="0"/>
                <w:sz w:val="18"/>
                <w:szCs w:val="18"/>
              </w:rPr>
            </w:pPr>
            <w:r w:rsidRPr="005C3370">
              <w:rPr>
                <w:rFonts w:ascii="Arial Narrow" w:hAnsi="Arial Narrow" w:cs="Arial"/>
                <w:b/>
                <w:color w:val="FFFFFF" w:themeColor="background1"/>
                <w:kern w:val="0"/>
                <w:sz w:val="18"/>
                <w:szCs w:val="18"/>
              </w:rPr>
              <w:t>+0,8</w:t>
            </w:r>
          </w:p>
        </w:tc>
        <w:tc>
          <w:tcPr>
            <w:tcW w:w="1059" w:type="dxa"/>
            <w:shd w:val="clear" w:color="000000" w:fill="E42618"/>
            <w:vAlign w:val="center"/>
          </w:tcPr>
          <w:p w:rsidR="005C3370" w:rsidRPr="005C3370" w:rsidRDefault="005C3370" w:rsidP="005C3370">
            <w:pPr>
              <w:widowControl/>
              <w:overflowPunct/>
              <w:autoSpaceDE/>
              <w:autoSpaceDN/>
              <w:adjustRightInd/>
              <w:spacing w:before="0" w:after="0"/>
              <w:jc w:val="right"/>
              <w:rPr>
                <w:rFonts w:ascii="Arial Narrow" w:hAnsi="Arial Narrow" w:cs="Arial"/>
                <w:b/>
                <w:color w:val="FFFFFF" w:themeColor="background1"/>
                <w:kern w:val="0"/>
                <w:sz w:val="18"/>
                <w:szCs w:val="18"/>
              </w:rPr>
            </w:pPr>
            <w:r w:rsidRPr="005C3370">
              <w:rPr>
                <w:rFonts w:ascii="Arial Narrow" w:hAnsi="Arial Narrow" w:cs="Arial"/>
                <w:b/>
                <w:color w:val="FFFFFF" w:themeColor="background1"/>
                <w:kern w:val="0"/>
                <w:sz w:val="18"/>
                <w:szCs w:val="18"/>
              </w:rPr>
              <w:t>+1,0</w:t>
            </w:r>
          </w:p>
        </w:tc>
      </w:tr>
    </w:tbl>
    <w:p w:rsidR="00EB5D65" w:rsidRDefault="00EB5D65" w:rsidP="00EB5D65">
      <w:pPr>
        <w:pStyle w:val="001TitoGra"/>
        <w:spacing w:after="120" w:line="240" w:lineRule="auto"/>
        <w:rPr>
          <w:color w:val="auto"/>
        </w:rPr>
      </w:pPr>
    </w:p>
    <w:p w:rsidR="00EB5D65" w:rsidRPr="00521958" w:rsidRDefault="00EB5D65" w:rsidP="00EB5D65">
      <w:pPr>
        <w:pStyle w:val="001TitoGra"/>
        <w:spacing w:after="120" w:line="240" w:lineRule="auto"/>
        <w:rPr>
          <w:color w:val="auto"/>
        </w:rPr>
      </w:pPr>
    </w:p>
    <w:p w:rsidR="00EB5D65" w:rsidRPr="000C11ED" w:rsidRDefault="00EB5D65" w:rsidP="00EB5D65">
      <w:pPr>
        <w:pStyle w:val="00TitoGra1"/>
        <w:spacing w:after="120" w:line="240" w:lineRule="auto"/>
        <w:rPr>
          <w:color w:val="E42618"/>
          <w:sz w:val="26"/>
          <w:szCs w:val="26"/>
        </w:rPr>
      </w:pPr>
      <w:r w:rsidRPr="000C11ED">
        <w:rPr>
          <w:color w:val="E42618"/>
          <w:sz w:val="36"/>
          <w:szCs w:val="36"/>
        </w:rPr>
        <w:t>Indice armonizzato dei prezzi al consumo (IPCA)</w:t>
      </w:r>
    </w:p>
    <w:p w:rsidR="00EB5D65" w:rsidRPr="002A3DE5" w:rsidRDefault="00EB5D65" w:rsidP="00EB5D65">
      <w:pPr>
        <w:pStyle w:val="001TitoloBolocco"/>
        <w:spacing w:after="120" w:line="240" w:lineRule="auto"/>
      </w:pPr>
      <w:r w:rsidRPr="002A3DE5">
        <w:t>Le divisioni di spesa</w:t>
      </w:r>
    </w:p>
    <w:p w:rsidR="00EB5D65" w:rsidRDefault="00EB5D65" w:rsidP="00EB5D65">
      <w:pPr>
        <w:pStyle w:val="001TitoGra"/>
        <w:spacing w:after="120" w:line="240" w:lineRule="auto"/>
        <w:rPr>
          <w:rStyle w:val="001TitoGraRed"/>
        </w:rPr>
      </w:pPr>
    </w:p>
    <w:p w:rsidR="00EB5D65" w:rsidRDefault="00EB5D65" w:rsidP="00EB5D65">
      <w:pPr>
        <w:pStyle w:val="001TitoGra"/>
      </w:pPr>
      <w:r w:rsidRPr="002B0CB4">
        <w:rPr>
          <w:rStyle w:val="001TitoGraRed"/>
        </w:rPr>
        <w:t xml:space="preserve">PROSPETTO </w:t>
      </w:r>
      <w:r>
        <w:rPr>
          <w:rStyle w:val="001TitoGraRed"/>
        </w:rPr>
        <w:t>5</w:t>
      </w:r>
      <w:r w:rsidRPr="0046482D">
        <w:rPr>
          <w:color w:val="C00000"/>
        </w:rPr>
        <w:t>.</w:t>
      </w:r>
      <w:r>
        <w:t xml:space="preserve"> INDICI</w:t>
      </w:r>
      <w:r w:rsidRPr="002A3DE5">
        <w:t xml:space="preserve"> DEI PREZZI AL CONSUMO IPCA PER DIVISIONE DI SPESA</w:t>
      </w:r>
    </w:p>
    <w:p w:rsidR="005031DD" w:rsidRDefault="006A1A51" w:rsidP="005031DD">
      <w:pPr>
        <w:pStyle w:val="001SottotitoloGra"/>
        <w:spacing w:line="240" w:lineRule="auto"/>
      </w:pPr>
      <w:r>
        <w:t>Luglio</w:t>
      </w:r>
      <w:r w:rsidR="004B3ACE">
        <w:t xml:space="preserve"> 2024</w:t>
      </w:r>
      <w:r w:rsidR="005031DD" w:rsidRPr="002A3DE5">
        <w:t xml:space="preserve">, pesi e variazioni percentuali </w:t>
      </w:r>
      <w:r w:rsidR="005031DD">
        <w:t xml:space="preserve">congiunturali e tendenziali </w:t>
      </w:r>
      <w:r w:rsidR="005031DD" w:rsidRPr="002A3DE5">
        <w:t>(base 20</w:t>
      </w:r>
      <w:r w:rsidR="005031DD">
        <w:t>15</w:t>
      </w:r>
      <w:r w:rsidR="005031DD" w:rsidRPr="002A3DE5">
        <w:t>=100)</w:t>
      </w:r>
    </w:p>
    <w:tbl>
      <w:tblPr>
        <w:tblW w:w="10026" w:type="dxa"/>
        <w:jc w:val="center"/>
        <w:tblBorders>
          <w:top w:val="single" w:sz="4" w:space="0" w:color="auto"/>
          <w:bottom w:val="single" w:sz="4" w:space="0" w:color="auto"/>
          <w:insideH w:val="single" w:sz="4" w:space="0" w:color="auto"/>
        </w:tblBorders>
        <w:tblCellMar>
          <w:left w:w="70" w:type="dxa"/>
          <w:right w:w="70" w:type="dxa"/>
        </w:tblCellMar>
        <w:tblLook w:val="04A0" w:firstRow="1" w:lastRow="0" w:firstColumn="1" w:lastColumn="0" w:noHBand="0" w:noVBand="1"/>
      </w:tblPr>
      <w:tblGrid>
        <w:gridCol w:w="3528"/>
        <w:gridCol w:w="1039"/>
        <w:gridCol w:w="1079"/>
        <w:gridCol w:w="1059"/>
        <w:gridCol w:w="1079"/>
        <w:gridCol w:w="1080"/>
        <w:gridCol w:w="1162"/>
      </w:tblGrid>
      <w:tr w:rsidR="004B3ACE" w:rsidRPr="004B2A9B" w:rsidTr="004B3ACE">
        <w:trPr>
          <w:trHeight w:val="255"/>
          <w:jc w:val="center"/>
        </w:trPr>
        <w:tc>
          <w:tcPr>
            <w:tcW w:w="3528" w:type="dxa"/>
            <w:vMerge w:val="restart"/>
            <w:shd w:val="clear" w:color="auto" w:fill="auto"/>
            <w:vAlign w:val="center"/>
            <w:hideMark/>
          </w:tcPr>
          <w:p w:rsidR="004B3ACE" w:rsidRPr="004B2A9B" w:rsidRDefault="004B3ACE" w:rsidP="004B3ACE">
            <w:pPr>
              <w:widowControl/>
              <w:overflowPunct/>
              <w:autoSpaceDE/>
              <w:autoSpaceDN/>
              <w:adjustRightInd/>
              <w:spacing w:before="0" w:after="0"/>
              <w:rPr>
                <w:rFonts w:ascii="Arial Narrow" w:hAnsi="Arial Narrow" w:cs="Arial"/>
                <w:b/>
                <w:bCs/>
                <w:kern w:val="0"/>
                <w:sz w:val="18"/>
                <w:szCs w:val="18"/>
              </w:rPr>
            </w:pPr>
            <w:r w:rsidRPr="004B2A9B">
              <w:rPr>
                <w:rFonts w:ascii="Arial Narrow" w:hAnsi="Arial Narrow" w:cs="Arial"/>
                <w:b/>
                <w:bCs/>
                <w:kern w:val="0"/>
                <w:sz w:val="18"/>
                <w:szCs w:val="18"/>
              </w:rPr>
              <w:t>DIVISIONI DI SPESA</w:t>
            </w:r>
          </w:p>
        </w:tc>
        <w:tc>
          <w:tcPr>
            <w:tcW w:w="1039" w:type="dxa"/>
            <w:vMerge w:val="restart"/>
            <w:shd w:val="clear" w:color="000000" w:fill="D9D9D9"/>
            <w:vAlign w:val="center"/>
            <w:hideMark/>
          </w:tcPr>
          <w:p w:rsidR="004B3ACE" w:rsidRPr="004B2A9B" w:rsidRDefault="004B3ACE" w:rsidP="004B3ACE">
            <w:pPr>
              <w:widowControl/>
              <w:overflowPunct/>
              <w:autoSpaceDE/>
              <w:autoSpaceDN/>
              <w:adjustRightInd/>
              <w:spacing w:before="0" w:after="0"/>
              <w:jc w:val="right"/>
              <w:rPr>
                <w:rFonts w:ascii="Arial Narrow" w:hAnsi="Arial Narrow" w:cs="Arial"/>
                <w:b/>
                <w:bCs/>
                <w:kern w:val="0"/>
                <w:sz w:val="18"/>
                <w:szCs w:val="18"/>
              </w:rPr>
            </w:pPr>
            <w:r w:rsidRPr="004B2A9B">
              <w:rPr>
                <w:rFonts w:ascii="Arial Narrow" w:hAnsi="Arial Narrow" w:cs="Arial"/>
                <w:b/>
                <w:bCs/>
                <w:kern w:val="0"/>
                <w:sz w:val="18"/>
                <w:szCs w:val="18"/>
              </w:rPr>
              <w:t>Pesi</w:t>
            </w:r>
          </w:p>
        </w:tc>
        <w:tc>
          <w:tcPr>
            <w:tcW w:w="2138" w:type="dxa"/>
            <w:gridSpan w:val="2"/>
            <w:shd w:val="clear" w:color="auto" w:fill="auto"/>
            <w:vAlign w:val="center"/>
            <w:hideMark/>
          </w:tcPr>
          <w:p w:rsidR="004B3ACE" w:rsidRPr="004B2A9B" w:rsidRDefault="004B3ACE" w:rsidP="004B3ACE">
            <w:pPr>
              <w:widowControl/>
              <w:overflowPunct/>
              <w:autoSpaceDE/>
              <w:autoSpaceDN/>
              <w:adjustRightInd/>
              <w:spacing w:before="0" w:after="0"/>
              <w:jc w:val="center"/>
              <w:rPr>
                <w:rFonts w:ascii="Arial Narrow" w:hAnsi="Arial Narrow" w:cs="Arial"/>
                <w:b/>
                <w:bCs/>
                <w:kern w:val="0"/>
                <w:sz w:val="18"/>
                <w:szCs w:val="18"/>
              </w:rPr>
            </w:pPr>
            <w:r w:rsidRPr="004B2A9B">
              <w:rPr>
                <w:rFonts w:ascii="Arial Narrow" w:hAnsi="Arial Narrow" w:cs="Arial"/>
                <w:b/>
                <w:bCs/>
                <w:kern w:val="0"/>
                <w:sz w:val="18"/>
                <w:szCs w:val="18"/>
              </w:rPr>
              <w:t>Variazioni congiunturali</w:t>
            </w:r>
          </w:p>
        </w:tc>
        <w:tc>
          <w:tcPr>
            <w:tcW w:w="2159" w:type="dxa"/>
            <w:gridSpan w:val="2"/>
            <w:shd w:val="clear" w:color="000000" w:fill="D9D9D9"/>
            <w:vAlign w:val="center"/>
            <w:hideMark/>
          </w:tcPr>
          <w:p w:rsidR="004B3ACE" w:rsidRPr="004B2A9B" w:rsidRDefault="004B3ACE" w:rsidP="004B3ACE">
            <w:pPr>
              <w:widowControl/>
              <w:overflowPunct/>
              <w:autoSpaceDE/>
              <w:autoSpaceDN/>
              <w:adjustRightInd/>
              <w:spacing w:before="0" w:after="0"/>
              <w:jc w:val="center"/>
              <w:rPr>
                <w:rFonts w:ascii="Arial Narrow" w:hAnsi="Arial Narrow" w:cs="Arial"/>
                <w:b/>
                <w:bCs/>
                <w:kern w:val="0"/>
                <w:sz w:val="18"/>
                <w:szCs w:val="18"/>
              </w:rPr>
            </w:pPr>
            <w:r w:rsidRPr="004B2A9B">
              <w:rPr>
                <w:rFonts w:ascii="Arial Narrow" w:hAnsi="Arial Narrow" w:cs="Arial"/>
                <w:b/>
                <w:bCs/>
                <w:kern w:val="0"/>
                <w:sz w:val="18"/>
                <w:szCs w:val="18"/>
              </w:rPr>
              <w:t>Variazioni tendenziali</w:t>
            </w:r>
          </w:p>
        </w:tc>
        <w:tc>
          <w:tcPr>
            <w:tcW w:w="1162" w:type="dxa"/>
            <w:vMerge w:val="restart"/>
            <w:shd w:val="clear" w:color="auto" w:fill="auto"/>
            <w:vAlign w:val="center"/>
            <w:hideMark/>
          </w:tcPr>
          <w:p w:rsidR="004B3ACE" w:rsidRPr="008814F3" w:rsidRDefault="004B3ACE" w:rsidP="006A1A51">
            <w:pPr>
              <w:widowControl/>
              <w:overflowPunct/>
              <w:autoSpaceDE/>
              <w:autoSpaceDN/>
              <w:adjustRightInd/>
              <w:spacing w:before="40" w:after="20"/>
              <w:jc w:val="right"/>
              <w:rPr>
                <w:rFonts w:ascii="Arial Narrow" w:hAnsi="Arial Narrow" w:cs="Arial"/>
                <w:b/>
                <w:bCs/>
                <w:kern w:val="0"/>
                <w:sz w:val="18"/>
                <w:szCs w:val="18"/>
              </w:rPr>
            </w:pPr>
            <w:r w:rsidRPr="008814F3">
              <w:rPr>
                <w:rFonts w:ascii="Arial Narrow" w:hAnsi="Arial Narrow" w:cs="Arial"/>
                <w:b/>
                <w:bCs/>
                <w:kern w:val="0"/>
                <w:sz w:val="18"/>
                <w:szCs w:val="18"/>
              </w:rPr>
              <w:t>Inflazione</w:t>
            </w:r>
            <w:r>
              <w:rPr>
                <w:rFonts w:ascii="Arial Narrow" w:hAnsi="Arial Narrow" w:cs="Arial"/>
                <w:b/>
                <w:bCs/>
                <w:kern w:val="0"/>
                <w:sz w:val="18"/>
                <w:szCs w:val="18"/>
              </w:rPr>
              <w:t xml:space="preserve"> </w:t>
            </w:r>
            <w:r w:rsidRPr="008814F3">
              <w:rPr>
                <w:rFonts w:ascii="Arial Narrow" w:hAnsi="Arial Narrow" w:cs="Arial"/>
                <w:b/>
                <w:bCs/>
                <w:kern w:val="0"/>
                <w:sz w:val="18"/>
                <w:szCs w:val="18"/>
              </w:rPr>
              <w:t>acquisita</w:t>
            </w:r>
            <w:r>
              <w:rPr>
                <w:rFonts w:ascii="Arial Narrow" w:hAnsi="Arial Narrow" w:cs="Arial"/>
                <w:b/>
                <w:bCs/>
                <w:kern w:val="0"/>
                <w:sz w:val="18"/>
                <w:szCs w:val="18"/>
              </w:rPr>
              <w:t xml:space="preserve">               a </w:t>
            </w:r>
            <w:r w:rsidR="006A1A51">
              <w:rPr>
                <w:rFonts w:ascii="Arial Narrow" w:hAnsi="Arial Narrow" w:cs="Arial"/>
                <w:b/>
                <w:bCs/>
                <w:kern w:val="0"/>
                <w:sz w:val="18"/>
                <w:szCs w:val="18"/>
              </w:rPr>
              <w:t>lugli</w:t>
            </w:r>
            <w:r w:rsidR="008301E3">
              <w:rPr>
                <w:rFonts w:ascii="Arial Narrow" w:hAnsi="Arial Narrow" w:cs="Arial"/>
                <w:b/>
                <w:bCs/>
                <w:kern w:val="0"/>
                <w:sz w:val="18"/>
                <w:szCs w:val="18"/>
              </w:rPr>
              <w:t>o</w:t>
            </w:r>
          </w:p>
        </w:tc>
      </w:tr>
      <w:tr w:rsidR="006A1A51" w:rsidRPr="004B2A9B" w:rsidTr="004B3ACE">
        <w:trPr>
          <w:trHeight w:val="255"/>
          <w:jc w:val="center"/>
        </w:trPr>
        <w:tc>
          <w:tcPr>
            <w:tcW w:w="3528" w:type="dxa"/>
            <w:vMerge/>
            <w:vAlign w:val="center"/>
            <w:hideMark/>
          </w:tcPr>
          <w:p w:rsidR="006A1A51" w:rsidRPr="004B2A9B" w:rsidRDefault="006A1A51" w:rsidP="006A1A51">
            <w:pPr>
              <w:widowControl/>
              <w:overflowPunct/>
              <w:autoSpaceDE/>
              <w:autoSpaceDN/>
              <w:adjustRightInd/>
              <w:spacing w:before="0" w:after="0"/>
              <w:rPr>
                <w:rFonts w:ascii="Arial Narrow" w:hAnsi="Arial Narrow" w:cs="Arial"/>
                <w:b/>
                <w:bCs/>
                <w:kern w:val="0"/>
                <w:sz w:val="18"/>
                <w:szCs w:val="18"/>
              </w:rPr>
            </w:pPr>
          </w:p>
        </w:tc>
        <w:tc>
          <w:tcPr>
            <w:tcW w:w="1039" w:type="dxa"/>
            <w:vMerge/>
            <w:vAlign w:val="center"/>
            <w:hideMark/>
          </w:tcPr>
          <w:p w:rsidR="006A1A51" w:rsidRPr="004B2A9B" w:rsidRDefault="006A1A51" w:rsidP="006A1A51">
            <w:pPr>
              <w:widowControl/>
              <w:overflowPunct/>
              <w:autoSpaceDE/>
              <w:autoSpaceDN/>
              <w:adjustRightInd/>
              <w:spacing w:before="0" w:after="0"/>
              <w:rPr>
                <w:rFonts w:ascii="Arial Narrow" w:hAnsi="Arial Narrow" w:cs="Arial"/>
                <w:b/>
                <w:bCs/>
                <w:kern w:val="0"/>
                <w:sz w:val="18"/>
                <w:szCs w:val="18"/>
              </w:rPr>
            </w:pPr>
          </w:p>
        </w:tc>
        <w:tc>
          <w:tcPr>
            <w:tcW w:w="1079" w:type="dxa"/>
            <w:shd w:val="clear" w:color="auto" w:fill="auto"/>
            <w:vAlign w:val="center"/>
            <w:hideMark/>
          </w:tcPr>
          <w:p w:rsidR="006A1A51" w:rsidRPr="00DB5B05" w:rsidRDefault="006A1A51" w:rsidP="006A1A51">
            <w:pPr>
              <w:widowControl/>
              <w:overflowPunct/>
              <w:autoSpaceDE/>
              <w:autoSpaceDN/>
              <w:adjustRightInd/>
              <w:spacing w:before="40" w:after="20"/>
              <w:jc w:val="right"/>
              <w:rPr>
                <w:rFonts w:ascii="Arial Narrow" w:hAnsi="Arial Narrow" w:cs="Arial"/>
                <w:kern w:val="0"/>
                <w:sz w:val="18"/>
                <w:szCs w:val="18"/>
                <w:u w:val="single"/>
              </w:rPr>
            </w:pPr>
            <w:r>
              <w:rPr>
                <w:rFonts w:ascii="Arial Narrow" w:hAnsi="Arial Narrow" w:cs="Arial"/>
                <w:kern w:val="0"/>
                <w:sz w:val="18"/>
                <w:szCs w:val="18"/>
                <w:u w:val="single"/>
              </w:rPr>
              <w:t>lug</w:t>
            </w:r>
            <w:r w:rsidRPr="00DB5B05">
              <w:rPr>
                <w:rFonts w:ascii="Arial Narrow" w:hAnsi="Arial Narrow" w:cs="Arial"/>
                <w:kern w:val="0"/>
                <w:sz w:val="18"/>
                <w:szCs w:val="18"/>
                <w:u w:val="single"/>
              </w:rPr>
              <w:t>-2</w:t>
            </w:r>
            <w:r>
              <w:rPr>
                <w:rFonts w:ascii="Arial Narrow" w:hAnsi="Arial Narrow" w:cs="Arial"/>
                <w:kern w:val="0"/>
                <w:sz w:val="18"/>
                <w:szCs w:val="18"/>
                <w:u w:val="single"/>
              </w:rPr>
              <w:t>4</w:t>
            </w:r>
          </w:p>
          <w:p w:rsidR="006A1A51" w:rsidRPr="00DB5B05" w:rsidRDefault="006A1A51" w:rsidP="006A1A51">
            <w:pPr>
              <w:widowControl/>
              <w:overflowPunct/>
              <w:autoSpaceDE/>
              <w:autoSpaceDN/>
              <w:adjustRightInd/>
              <w:spacing w:before="40" w:after="20"/>
              <w:jc w:val="right"/>
              <w:rPr>
                <w:rFonts w:ascii="Arial Narrow" w:hAnsi="Arial Narrow" w:cs="Arial"/>
                <w:kern w:val="0"/>
                <w:sz w:val="18"/>
                <w:szCs w:val="18"/>
              </w:rPr>
            </w:pPr>
            <w:r>
              <w:rPr>
                <w:rFonts w:ascii="Arial Narrow" w:hAnsi="Arial Narrow" w:cs="Arial"/>
                <w:kern w:val="0"/>
                <w:sz w:val="18"/>
                <w:szCs w:val="18"/>
              </w:rPr>
              <w:t>giu</w:t>
            </w:r>
            <w:r w:rsidRPr="00DB5B05">
              <w:rPr>
                <w:rFonts w:ascii="Arial Narrow" w:hAnsi="Arial Narrow" w:cs="Arial"/>
                <w:kern w:val="0"/>
                <w:sz w:val="18"/>
                <w:szCs w:val="18"/>
              </w:rPr>
              <w:t>-2</w:t>
            </w:r>
            <w:r>
              <w:rPr>
                <w:rFonts w:ascii="Arial Narrow" w:hAnsi="Arial Narrow" w:cs="Arial"/>
                <w:kern w:val="0"/>
                <w:sz w:val="18"/>
                <w:szCs w:val="18"/>
              </w:rPr>
              <w:t>4</w:t>
            </w:r>
          </w:p>
        </w:tc>
        <w:tc>
          <w:tcPr>
            <w:tcW w:w="1059" w:type="dxa"/>
            <w:shd w:val="clear" w:color="auto" w:fill="auto"/>
            <w:vAlign w:val="center"/>
            <w:hideMark/>
          </w:tcPr>
          <w:p w:rsidR="006A1A51" w:rsidRPr="00DB5B05" w:rsidRDefault="006A1A51" w:rsidP="006A1A51">
            <w:pPr>
              <w:widowControl/>
              <w:overflowPunct/>
              <w:autoSpaceDE/>
              <w:autoSpaceDN/>
              <w:adjustRightInd/>
              <w:spacing w:before="40" w:after="20"/>
              <w:jc w:val="right"/>
              <w:rPr>
                <w:rFonts w:ascii="Arial Narrow" w:hAnsi="Arial Narrow" w:cs="Arial"/>
                <w:kern w:val="0"/>
                <w:sz w:val="18"/>
                <w:szCs w:val="18"/>
                <w:u w:val="single"/>
              </w:rPr>
            </w:pPr>
            <w:r>
              <w:rPr>
                <w:rFonts w:ascii="Arial Narrow" w:hAnsi="Arial Narrow" w:cs="Arial"/>
                <w:kern w:val="0"/>
                <w:sz w:val="18"/>
                <w:szCs w:val="18"/>
                <w:u w:val="single"/>
              </w:rPr>
              <w:t>lug</w:t>
            </w:r>
            <w:r w:rsidRPr="00DB5B05">
              <w:rPr>
                <w:rFonts w:ascii="Arial Narrow" w:hAnsi="Arial Narrow" w:cs="Arial"/>
                <w:kern w:val="0"/>
                <w:sz w:val="18"/>
                <w:szCs w:val="18"/>
                <w:u w:val="single"/>
              </w:rPr>
              <w:t>-2</w:t>
            </w:r>
            <w:r>
              <w:rPr>
                <w:rFonts w:ascii="Arial Narrow" w:hAnsi="Arial Narrow" w:cs="Arial"/>
                <w:kern w:val="0"/>
                <w:sz w:val="18"/>
                <w:szCs w:val="18"/>
                <w:u w:val="single"/>
              </w:rPr>
              <w:t>3</w:t>
            </w:r>
          </w:p>
          <w:p w:rsidR="006A1A51" w:rsidRPr="00DB5B05" w:rsidRDefault="006A1A51" w:rsidP="006A1A51">
            <w:pPr>
              <w:widowControl/>
              <w:overflowPunct/>
              <w:autoSpaceDE/>
              <w:autoSpaceDN/>
              <w:adjustRightInd/>
              <w:spacing w:before="40" w:after="20"/>
              <w:jc w:val="right"/>
              <w:rPr>
                <w:rFonts w:ascii="Arial Narrow" w:hAnsi="Arial Narrow" w:cs="Arial"/>
                <w:kern w:val="0"/>
                <w:sz w:val="18"/>
                <w:szCs w:val="18"/>
                <w:u w:val="single"/>
              </w:rPr>
            </w:pPr>
            <w:r>
              <w:rPr>
                <w:rFonts w:ascii="Arial Narrow" w:hAnsi="Arial Narrow" w:cs="Arial"/>
                <w:kern w:val="0"/>
                <w:sz w:val="18"/>
                <w:szCs w:val="18"/>
              </w:rPr>
              <w:t>giu</w:t>
            </w:r>
            <w:r w:rsidRPr="00DB5B05">
              <w:rPr>
                <w:rFonts w:ascii="Arial Narrow" w:hAnsi="Arial Narrow" w:cs="Arial"/>
                <w:kern w:val="0"/>
                <w:sz w:val="18"/>
                <w:szCs w:val="18"/>
              </w:rPr>
              <w:t>-2</w:t>
            </w:r>
            <w:r>
              <w:rPr>
                <w:rFonts w:ascii="Arial Narrow" w:hAnsi="Arial Narrow" w:cs="Arial"/>
                <w:kern w:val="0"/>
                <w:sz w:val="18"/>
                <w:szCs w:val="18"/>
              </w:rPr>
              <w:t>3</w:t>
            </w:r>
          </w:p>
        </w:tc>
        <w:tc>
          <w:tcPr>
            <w:tcW w:w="1079" w:type="dxa"/>
            <w:shd w:val="clear" w:color="auto" w:fill="auto"/>
            <w:vAlign w:val="center"/>
            <w:hideMark/>
          </w:tcPr>
          <w:p w:rsidR="006A1A51" w:rsidRPr="00DB5B05" w:rsidRDefault="006A1A51" w:rsidP="006A1A51">
            <w:pPr>
              <w:widowControl/>
              <w:overflowPunct/>
              <w:autoSpaceDE/>
              <w:autoSpaceDN/>
              <w:adjustRightInd/>
              <w:spacing w:before="40" w:after="20"/>
              <w:jc w:val="right"/>
              <w:rPr>
                <w:rFonts w:ascii="Arial Narrow" w:hAnsi="Arial Narrow" w:cs="Arial"/>
                <w:kern w:val="0"/>
                <w:sz w:val="18"/>
                <w:szCs w:val="18"/>
                <w:u w:val="single"/>
              </w:rPr>
            </w:pPr>
            <w:r>
              <w:rPr>
                <w:rFonts w:ascii="Arial Narrow" w:hAnsi="Arial Narrow" w:cs="Arial"/>
                <w:kern w:val="0"/>
                <w:sz w:val="18"/>
                <w:szCs w:val="18"/>
                <w:u w:val="single"/>
              </w:rPr>
              <w:t>lug</w:t>
            </w:r>
            <w:r w:rsidRPr="00DB5B05">
              <w:rPr>
                <w:rFonts w:ascii="Arial Narrow" w:hAnsi="Arial Narrow" w:cs="Arial"/>
                <w:kern w:val="0"/>
                <w:sz w:val="18"/>
                <w:szCs w:val="18"/>
                <w:u w:val="single"/>
              </w:rPr>
              <w:t>-2</w:t>
            </w:r>
            <w:r>
              <w:rPr>
                <w:rFonts w:ascii="Arial Narrow" w:hAnsi="Arial Narrow" w:cs="Arial"/>
                <w:kern w:val="0"/>
                <w:sz w:val="18"/>
                <w:szCs w:val="18"/>
                <w:u w:val="single"/>
              </w:rPr>
              <w:t>4</w:t>
            </w:r>
          </w:p>
          <w:p w:rsidR="006A1A51" w:rsidRPr="00DB5B05" w:rsidRDefault="006A1A51" w:rsidP="006A1A51">
            <w:pPr>
              <w:widowControl/>
              <w:overflowPunct/>
              <w:autoSpaceDE/>
              <w:autoSpaceDN/>
              <w:adjustRightInd/>
              <w:spacing w:before="40" w:after="20"/>
              <w:jc w:val="right"/>
              <w:rPr>
                <w:rFonts w:ascii="Arial Narrow" w:hAnsi="Arial Narrow" w:cs="Arial"/>
                <w:kern w:val="0"/>
                <w:sz w:val="18"/>
                <w:szCs w:val="18"/>
                <w:u w:val="single"/>
              </w:rPr>
            </w:pPr>
            <w:r>
              <w:rPr>
                <w:rFonts w:ascii="Arial Narrow" w:hAnsi="Arial Narrow" w:cs="Arial"/>
                <w:kern w:val="0"/>
                <w:sz w:val="18"/>
                <w:szCs w:val="18"/>
              </w:rPr>
              <w:t>lug</w:t>
            </w:r>
            <w:r w:rsidRPr="00DB5B05">
              <w:rPr>
                <w:rFonts w:ascii="Arial Narrow" w:hAnsi="Arial Narrow" w:cs="Arial"/>
                <w:kern w:val="0"/>
                <w:sz w:val="18"/>
                <w:szCs w:val="18"/>
              </w:rPr>
              <w:t>-2</w:t>
            </w:r>
            <w:r>
              <w:rPr>
                <w:rFonts w:ascii="Arial Narrow" w:hAnsi="Arial Narrow" w:cs="Arial"/>
                <w:kern w:val="0"/>
                <w:sz w:val="18"/>
                <w:szCs w:val="18"/>
              </w:rPr>
              <w:t>3</w:t>
            </w:r>
          </w:p>
        </w:tc>
        <w:tc>
          <w:tcPr>
            <w:tcW w:w="1080" w:type="dxa"/>
            <w:shd w:val="clear" w:color="auto" w:fill="auto"/>
            <w:vAlign w:val="center"/>
            <w:hideMark/>
          </w:tcPr>
          <w:p w:rsidR="006A1A51" w:rsidRPr="00DB5B05" w:rsidRDefault="006A1A51" w:rsidP="006A1A51">
            <w:pPr>
              <w:widowControl/>
              <w:overflowPunct/>
              <w:autoSpaceDE/>
              <w:autoSpaceDN/>
              <w:adjustRightInd/>
              <w:spacing w:before="40" w:after="20"/>
              <w:jc w:val="right"/>
              <w:rPr>
                <w:rFonts w:ascii="Arial Narrow" w:hAnsi="Arial Narrow" w:cs="Arial"/>
                <w:kern w:val="0"/>
                <w:sz w:val="18"/>
                <w:szCs w:val="18"/>
                <w:u w:val="single"/>
              </w:rPr>
            </w:pPr>
            <w:r>
              <w:rPr>
                <w:rFonts w:ascii="Arial Narrow" w:hAnsi="Arial Narrow" w:cs="Arial"/>
                <w:kern w:val="0"/>
                <w:sz w:val="18"/>
                <w:szCs w:val="18"/>
                <w:u w:val="single"/>
              </w:rPr>
              <w:t>giu</w:t>
            </w:r>
            <w:r w:rsidRPr="00DB5B05">
              <w:rPr>
                <w:rFonts w:ascii="Arial Narrow" w:hAnsi="Arial Narrow" w:cs="Arial"/>
                <w:kern w:val="0"/>
                <w:sz w:val="18"/>
                <w:szCs w:val="18"/>
                <w:u w:val="single"/>
              </w:rPr>
              <w:t>-2</w:t>
            </w:r>
            <w:r>
              <w:rPr>
                <w:rFonts w:ascii="Arial Narrow" w:hAnsi="Arial Narrow" w:cs="Arial"/>
                <w:kern w:val="0"/>
                <w:sz w:val="18"/>
                <w:szCs w:val="18"/>
                <w:u w:val="single"/>
              </w:rPr>
              <w:t>4</w:t>
            </w:r>
          </w:p>
          <w:p w:rsidR="006A1A51" w:rsidRPr="00DB5B05" w:rsidRDefault="006A1A51" w:rsidP="006A1A51">
            <w:pPr>
              <w:widowControl/>
              <w:overflowPunct/>
              <w:autoSpaceDE/>
              <w:autoSpaceDN/>
              <w:adjustRightInd/>
              <w:spacing w:before="40" w:after="20"/>
              <w:jc w:val="right"/>
              <w:rPr>
                <w:rFonts w:ascii="Arial Narrow" w:hAnsi="Arial Narrow" w:cs="Arial"/>
                <w:kern w:val="0"/>
                <w:sz w:val="18"/>
                <w:szCs w:val="18"/>
                <w:u w:val="single"/>
              </w:rPr>
            </w:pPr>
            <w:r>
              <w:rPr>
                <w:rFonts w:ascii="Arial Narrow" w:hAnsi="Arial Narrow" w:cs="Arial"/>
                <w:kern w:val="0"/>
                <w:sz w:val="18"/>
                <w:szCs w:val="18"/>
              </w:rPr>
              <w:t>giu</w:t>
            </w:r>
            <w:r w:rsidRPr="00DB5B05">
              <w:rPr>
                <w:rFonts w:ascii="Arial Narrow" w:hAnsi="Arial Narrow" w:cs="Arial"/>
                <w:kern w:val="0"/>
                <w:sz w:val="18"/>
                <w:szCs w:val="18"/>
              </w:rPr>
              <w:t>-2</w:t>
            </w:r>
            <w:r>
              <w:rPr>
                <w:rFonts w:ascii="Arial Narrow" w:hAnsi="Arial Narrow" w:cs="Arial"/>
                <w:kern w:val="0"/>
                <w:sz w:val="18"/>
                <w:szCs w:val="18"/>
              </w:rPr>
              <w:t>3</w:t>
            </w:r>
          </w:p>
        </w:tc>
        <w:tc>
          <w:tcPr>
            <w:tcW w:w="1162" w:type="dxa"/>
            <w:vMerge/>
            <w:shd w:val="clear" w:color="auto" w:fill="auto"/>
            <w:vAlign w:val="center"/>
            <w:hideMark/>
          </w:tcPr>
          <w:p w:rsidR="006A1A51" w:rsidRPr="004B2A9B" w:rsidRDefault="006A1A51" w:rsidP="006A1A51">
            <w:pPr>
              <w:widowControl/>
              <w:overflowPunct/>
              <w:autoSpaceDE/>
              <w:autoSpaceDN/>
              <w:adjustRightInd/>
              <w:spacing w:before="0" w:after="20"/>
              <w:jc w:val="right"/>
              <w:rPr>
                <w:rFonts w:ascii="Arial Narrow" w:hAnsi="Arial Narrow" w:cs="Arial"/>
                <w:b/>
                <w:bCs/>
                <w:kern w:val="0"/>
                <w:sz w:val="18"/>
                <w:szCs w:val="18"/>
              </w:rPr>
            </w:pPr>
          </w:p>
        </w:tc>
      </w:tr>
      <w:tr w:rsidR="00EE0DE6" w:rsidRPr="00361105" w:rsidTr="000127DA">
        <w:trPr>
          <w:trHeight w:val="289"/>
          <w:jc w:val="center"/>
        </w:trPr>
        <w:tc>
          <w:tcPr>
            <w:tcW w:w="3528" w:type="dxa"/>
            <w:shd w:val="clear" w:color="auto" w:fill="auto"/>
            <w:vAlign w:val="center"/>
            <w:hideMark/>
          </w:tcPr>
          <w:p w:rsidR="00EE0DE6" w:rsidRPr="004B2A9B" w:rsidRDefault="00EE0DE6" w:rsidP="00EE0DE6">
            <w:pPr>
              <w:widowControl/>
              <w:overflowPunct/>
              <w:autoSpaceDE/>
              <w:autoSpaceDN/>
              <w:adjustRightInd/>
              <w:spacing w:before="0" w:after="0"/>
              <w:rPr>
                <w:rFonts w:ascii="Arial Narrow" w:hAnsi="Arial Narrow" w:cs="Arial"/>
                <w:kern w:val="0"/>
                <w:sz w:val="18"/>
                <w:szCs w:val="18"/>
              </w:rPr>
            </w:pPr>
            <w:r w:rsidRPr="004B2A9B">
              <w:rPr>
                <w:rFonts w:ascii="Arial Narrow" w:hAnsi="Arial Narrow" w:cs="Arial"/>
                <w:kern w:val="0"/>
                <w:sz w:val="18"/>
                <w:szCs w:val="18"/>
              </w:rPr>
              <w:t>Prodotti alimentari e bevande analcoliche</w:t>
            </w:r>
          </w:p>
        </w:tc>
        <w:tc>
          <w:tcPr>
            <w:tcW w:w="1039" w:type="dxa"/>
            <w:shd w:val="clear" w:color="000000" w:fill="D9D9D9"/>
            <w:vAlign w:val="center"/>
          </w:tcPr>
          <w:p w:rsidR="00EE0DE6" w:rsidRPr="00BF7A34" w:rsidRDefault="00EE0DE6" w:rsidP="00EE0DE6">
            <w:pPr>
              <w:widowControl/>
              <w:overflowPunct/>
              <w:autoSpaceDE/>
              <w:autoSpaceDN/>
              <w:adjustRightInd/>
              <w:spacing w:before="0" w:after="0"/>
              <w:ind w:right="57"/>
              <w:jc w:val="right"/>
              <w:rPr>
                <w:rFonts w:ascii="Arial Narrow" w:hAnsi="Arial Narrow" w:cs="Calibri"/>
                <w:sz w:val="18"/>
                <w:szCs w:val="18"/>
              </w:rPr>
            </w:pPr>
            <w:r w:rsidRPr="00BF7A34">
              <w:rPr>
                <w:rFonts w:ascii="Arial Narrow" w:hAnsi="Arial Narrow" w:cs="Calibri"/>
                <w:sz w:val="18"/>
                <w:szCs w:val="18"/>
              </w:rPr>
              <w:t>181.801</w:t>
            </w:r>
          </w:p>
        </w:tc>
        <w:tc>
          <w:tcPr>
            <w:tcW w:w="1079" w:type="dxa"/>
            <w:shd w:val="clear" w:color="auto" w:fill="auto"/>
            <w:vAlign w:val="center"/>
          </w:tcPr>
          <w:p w:rsidR="00EE0DE6" w:rsidRPr="00EE0DE6" w:rsidRDefault="00EE0DE6" w:rsidP="00EE0DE6">
            <w:pPr>
              <w:widowControl/>
              <w:overflowPunct/>
              <w:autoSpaceDE/>
              <w:autoSpaceDN/>
              <w:adjustRightInd/>
              <w:spacing w:before="0" w:after="0"/>
              <w:jc w:val="right"/>
              <w:rPr>
                <w:rFonts w:ascii="Arial Narrow" w:hAnsi="Arial Narrow" w:cs="Calibri"/>
                <w:sz w:val="18"/>
                <w:szCs w:val="18"/>
              </w:rPr>
            </w:pPr>
            <w:r w:rsidRPr="00EE0DE6">
              <w:rPr>
                <w:rFonts w:ascii="Arial Narrow" w:hAnsi="Arial Narrow" w:cs="Calibri"/>
                <w:sz w:val="18"/>
                <w:szCs w:val="18"/>
              </w:rPr>
              <w:t>-0,3</w:t>
            </w:r>
          </w:p>
        </w:tc>
        <w:tc>
          <w:tcPr>
            <w:tcW w:w="1059" w:type="dxa"/>
            <w:shd w:val="clear" w:color="000000" w:fill="D9D9D9"/>
            <w:vAlign w:val="center"/>
          </w:tcPr>
          <w:p w:rsidR="00EE0DE6" w:rsidRPr="00EE0DE6" w:rsidRDefault="00EE0DE6" w:rsidP="00EE0DE6">
            <w:pPr>
              <w:widowControl/>
              <w:overflowPunct/>
              <w:autoSpaceDE/>
              <w:autoSpaceDN/>
              <w:adjustRightInd/>
              <w:spacing w:before="0" w:after="0"/>
              <w:jc w:val="right"/>
              <w:rPr>
                <w:rFonts w:ascii="Arial Narrow" w:hAnsi="Arial Narrow" w:cs="Calibri"/>
                <w:sz w:val="18"/>
                <w:szCs w:val="18"/>
              </w:rPr>
            </w:pPr>
            <w:r w:rsidRPr="00EE0DE6">
              <w:rPr>
                <w:rFonts w:ascii="Arial Narrow" w:hAnsi="Arial Narrow" w:cs="Calibri"/>
                <w:sz w:val="18"/>
                <w:szCs w:val="18"/>
              </w:rPr>
              <w:t>+0,1</w:t>
            </w:r>
          </w:p>
        </w:tc>
        <w:tc>
          <w:tcPr>
            <w:tcW w:w="1079" w:type="dxa"/>
            <w:shd w:val="clear" w:color="auto" w:fill="auto"/>
            <w:vAlign w:val="center"/>
          </w:tcPr>
          <w:p w:rsidR="00EE0DE6" w:rsidRPr="00EE0DE6" w:rsidRDefault="00EE0DE6" w:rsidP="00EE0DE6">
            <w:pPr>
              <w:widowControl/>
              <w:overflowPunct/>
              <w:autoSpaceDE/>
              <w:autoSpaceDN/>
              <w:adjustRightInd/>
              <w:spacing w:before="0" w:after="0"/>
              <w:jc w:val="right"/>
              <w:rPr>
                <w:rFonts w:ascii="Arial Narrow" w:hAnsi="Arial Narrow" w:cs="Calibri"/>
                <w:sz w:val="18"/>
                <w:szCs w:val="18"/>
              </w:rPr>
            </w:pPr>
            <w:r w:rsidRPr="00EE0DE6">
              <w:rPr>
                <w:rFonts w:ascii="Arial Narrow" w:hAnsi="Arial Narrow" w:cs="Calibri"/>
                <w:sz w:val="18"/>
                <w:szCs w:val="18"/>
              </w:rPr>
              <w:t>+1,2</w:t>
            </w:r>
          </w:p>
        </w:tc>
        <w:tc>
          <w:tcPr>
            <w:tcW w:w="1080" w:type="dxa"/>
            <w:shd w:val="clear" w:color="000000" w:fill="D9D9D9"/>
            <w:vAlign w:val="center"/>
          </w:tcPr>
          <w:p w:rsidR="00EE0DE6" w:rsidRPr="00EE0DE6" w:rsidRDefault="00EE0DE6" w:rsidP="00EE0DE6">
            <w:pPr>
              <w:widowControl/>
              <w:overflowPunct/>
              <w:autoSpaceDE/>
              <w:autoSpaceDN/>
              <w:adjustRightInd/>
              <w:spacing w:before="0" w:after="0"/>
              <w:jc w:val="right"/>
              <w:rPr>
                <w:rFonts w:ascii="Arial Narrow" w:hAnsi="Arial Narrow" w:cs="Calibri"/>
                <w:sz w:val="18"/>
                <w:szCs w:val="18"/>
              </w:rPr>
            </w:pPr>
            <w:r w:rsidRPr="00EE0DE6">
              <w:rPr>
                <w:rFonts w:ascii="Arial Narrow" w:hAnsi="Arial Narrow" w:cs="Calibri"/>
                <w:sz w:val="18"/>
                <w:szCs w:val="18"/>
              </w:rPr>
              <w:t>+1,6</w:t>
            </w:r>
          </w:p>
        </w:tc>
        <w:tc>
          <w:tcPr>
            <w:tcW w:w="1162" w:type="dxa"/>
            <w:shd w:val="clear" w:color="auto" w:fill="auto"/>
            <w:vAlign w:val="center"/>
          </w:tcPr>
          <w:p w:rsidR="00EE0DE6" w:rsidRPr="00EE0DE6" w:rsidRDefault="00EE0DE6" w:rsidP="00EE0DE6">
            <w:pPr>
              <w:widowControl/>
              <w:overflowPunct/>
              <w:autoSpaceDE/>
              <w:autoSpaceDN/>
              <w:adjustRightInd/>
              <w:spacing w:before="0" w:after="0"/>
              <w:jc w:val="right"/>
              <w:rPr>
                <w:rFonts w:ascii="Arial Narrow" w:hAnsi="Arial Narrow" w:cs="Calibri"/>
                <w:sz w:val="18"/>
                <w:szCs w:val="18"/>
              </w:rPr>
            </w:pPr>
            <w:r w:rsidRPr="00EE0DE6">
              <w:rPr>
                <w:rFonts w:ascii="Arial Narrow" w:hAnsi="Arial Narrow" w:cs="Calibri"/>
                <w:sz w:val="18"/>
                <w:szCs w:val="18"/>
              </w:rPr>
              <w:t>+2,0</w:t>
            </w:r>
          </w:p>
        </w:tc>
      </w:tr>
      <w:tr w:rsidR="00EE0DE6" w:rsidRPr="004B2A9B" w:rsidTr="000127DA">
        <w:trPr>
          <w:trHeight w:val="255"/>
          <w:jc w:val="center"/>
        </w:trPr>
        <w:tc>
          <w:tcPr>
            <w:tcW w:w="3528" w:type="dxa"/>
            <w:shd w:val="clear" w:color="auto" w:fill="auto"/>
            <w:vAlign w:val="center"/>
            <w:hideMark/>
          </w:tcPr>
          <w:p w:rsidR="00EE0DE6" w:rsidRPr="004B2A9B" w:rsidRDefault="00EE0DE6" w:rsidP="00EE0DE6">
            <w:pPr>
              <w:widowControl/>
              <w:overflowPunct/>
              <w:autoSpaceDE/>
              <w:autoSpaceDN/>
              <w:adjustRightInd/>
              <w:spacing w:before="0" w:after="0"/>
              <w:rPr>
                <w:rFonts w:ascii="Arial Narrow" w:hAnsi="Arial Narrow" w:cs="Arial"/>
                <w:kern w:val="0"/>
                <w:sz w:val="18"/>
                <w:szCs w:val="18"/>
              </w:rPr>
            </w:pPr>
            <w:r w:rsidRPr="004B2A9B">
              <w:rPr>
                <w:rFonts w:ascii="Arial Narrow" w:hAnsi="Arial Narrow" w:cs="Arial"/>
                <w:kern w:val="0"/>
                <w:sz w:val="18"/>
                <w:szCs w:val="18"/>
              </w:rPr>
              <w:t>Bevande alcoliche e tabacchi</w:t>
            </w:r>
          </w:p>
        </w:tc>
        <w:tc>
          <w:tcPr>
            <w:tcW w:w="1039" w:type="dxa"/>
            <w:shd w:val="clear" w:color="000000" w:fill="D9D9D9"/>
            <w:vAlign w:val="center"/>
          </w:tcPr>
          <w:p w:rsidR="00EE0DE6" w:rsidRPr="00BF7A34" w:rsidRDefault="00EE0DE6" w:rsidP="00EE0DE6">
            <w:pPr>
              <w:widowControl/>
              <w:overflowPunct/>
              <w:autoSpaceDE/>
              <w:autoSpaceDN/>
              <w:adjustRightInd/>
              <w:spacing w:before="0" w:after="0"/>
              <w:ind w:right="57"/>
              <w:jc w:val="right"/>
              <w:rPr>
                <w:rFonts w:ascii="Arial Narrow" w:hAnsi="Arial Narrow" w:cs="Calibri"/>
                <w:sz w:val="18"/>
                <w:szCs w:val="18"/>
              </w:rPr>
            </w:pPr>
            <w:r w:rsidRPr="00BF7A34">
              <w:rPr>
                <w:rFonts w:ascii="Arial Narrow" w:hAnsi="Arial Narrow" w:cs="Calibri"/>
                <w:sz w:val="18"/>
                <w:szCs w:val="18"/>
              </w:rPr>
              <w:t>30.710</w:t>
            </w:r>
          </w:p>
        </w:tc>
        <w:tc>
          <w:tcPr>
            <w:tcW w:w="1079" w:type="dxa"/>
            <w:shd w:val="clear" w:color="auto" w:fill="auto"/>
            <w:vAlign w:val="center"/>
          </w:tcPr>
          <w:p w:rsidR="00EE0DE6" w:rsidRPr="00EE0DE6" w:rsidRDefault="00EE0DE6" w:rsidP="00EE0DE6">
            <w:pPr>
              <w:widowControl/>
              <w:overflowPunct/>
              <w:autoSpaceDE/>
              <w:autoSpaceDN/>
              <w:adjustRightInd/>
              <w:spacing w:before="0" w:after="0"/>
              <w:jc w:val="right"/>
              <w:rPr>
                <w:rFonts w:ascii="Arial Narrow" w:hAnsi="Arial Narrow" w:cs="Calibri"/>
                <w:sz w:val="18"/>
                <w:szCs w:val="18"/>
              </w:rPr>
            </w:pPr>
            <w:r w:rsidRPr="00EE0DE6">
              <w:rPr>
                <w:rFonts w:ascii="Arial Narrow" w:hAnsi="Arial Narrow" w:cs="Calibri"/>
                <w:sz w:val="18"/>
                <w:szCs w:val="18"/>
              </w:rPr>
              <w:t>0,0</w:t>
            </w:r>
          </w:p>
        </w:tc>
        <w:tc>
          <w:tcPr>
            <w:tcW w:w="1059" w:type="dxa"/>
            <w:shd w:val="clear" w:color="000000" w:fill="D9D9D9"/>
            <w:vAlign w:val="center"/>
          </w:tcPr>
          <w:p w:rsidR="00EE0DE6" w:rsidRPr="00EE0DE6" w:rsidRDefault="00EE0DE6" w:rsidP="00EE0DE6">
            <w:pPr>
              <w:widowControl/>
              <w:overflowPunct/>
              <w:autoSpaceDE/>
              <w:autoSpaceDN/>
              <w:adjustRightInd/>
              <w:spacing w:before="0" w:after="0"/>
              <w:jc w:val="right"/>
              <w:rPr>
                <w:rFonts w:ascii="Arial Narrow" w:hAnsi="Arial Narrow" w:cs="Calibri"/>
                <w:sz w:val="18"/>
                <w:szCs w:val="18"/>
              </w:rPr>
            </w:pPr>
            <w:r w:rsidRPr="00EE0DE6">
              <w:rPr>
                <w:rFonts w:ascii="Arial Narrow" w:hAnsi="Arial Narrow" w:cs="Calibri"/>
                <w:sz w:val="18"/>
                <w:szCs w:val="18"/>
              </w:rPr>
              <w:t>-0,3</w:t>
            </w:r>
          </w:p>
        </w:tc>
        <w:tc>
          <w:tcPr>
            <w:tcW w:w="1079" w:type="dxa"/>
            <w:shd w:val="clear" w:color="auto" w:fill="auto"/>
            <w:vAlign w:val="center"/>
          </w:tcPr>
          <w:p w:rsidR="00EE0DE6" w:rsidRPr="00EE0DE6" w:rsidRDefault="00EE0DE6" w:rsidP="00EE0DE6">
            <w:pPr>
              <w:widowControl/>
              <w:overflowPunct/>
              <w:autoSpaceDE/>
              <w:autoSpaceDN/>
              <w:adjustRightInd/>
              <w:spacing w:before="0" w:after="0"/>
              <w:jc w:val="right"/>
              <w:rPr>
                <w:rFonts w:ascii="Arial Narrow" w:hAnsi="Arial Narrow" w:cs="Calibri"/>
                <w:sz w:val="18"/>
                <w:szCs w:val="18"/>
              </w:rPr>
            </w:pPr>
            <w:r w:rsidRPr="00EE0DE6">
              <w:rPr>
                <w:rFonts w:ascii="Arial Narrow" w:hAnsi="Arial Narrow" w:cs="Calibri"/>
                <w:sz w:val="18"/>
                <w:szCs w:val="18"/>
              </w:rPr>
              <w:t>+2,5</w:t>
            </w:r>
          </w:p>
        </w:tc>
        <w:tc>
          <w:tcPr>
            <w:tcW w:w="1080" w:type="dxa"/>
            <w:shd w:val="clear" w:color="000000" w:fill="D9D9D9"/>
            <w:vAlign w:val="center"/>
          </w:tcPr>
          <w:p w:rsidR="00EE0DE6" w:rsidRPr="00EE0DE6" w:rsidRDefault="00EE0DE6" w:rsidP="00EE0DE6">
            <w:pPr>
              <w:widowControl/>
              <w:overflowPunct/>
              <w:autoSpaceDE/>
              <w:autoSpaceDN/>
              <w:adjustRightInd/>
              <w:spacing w:before="0" w:after="0"/>
              <w:jc w:val="right"/>
              <w:rPr>
                <w:rFonts w:ascii="Arial Narrow" w:hAnsi="Arial Narrow" w:cs="Calibri"/>
                <w:sz w:val="18"/>
                <w:szCs w:val="18"/>
              </w:rPr>
            </w:pPr>
            <w:r w:rsidRPr="00EE0DE6">
              <w:rPr>
                <w:rFonts w:ascii="Arial Narrow" w:hAnsi="Arial Narrow" w:cs="Calibri"/>
                <w:sz w:val="18"/>
                <w:szCs w:val="18"/>
              </w:rPr>
              <w:t>+2,2</w:t>
            </w:r>
          </w:p>
        </w:tc>
        <w:tc>
          <w:tcPr>
            <w:tcW w:w="1162" w:type="dxa"/>
            <w:shd w:val="clear" w:color="auto" w:fill="auto"/>
            <w:vAlign w:val="center"/>
          </w:tcPr>
          <w:p w:rsidR="00EE0DE6" w:rsidRPr="00EE0DE6" w:rsidRDefault="00EE0DE6" w:rsidP="00EE0DE6">
            <w:pPr>
              <w:widowControl/>
              <w:overflowPunct/>
              <w:autoSpaceDE/>
              <w:autoSpaceDN/>
              <w:adjustRightInd/>
              <w:spacing w:before="0" w:after="0"/>
              <w:jc w:val="right"/>
              <w:rPr>
                <w:rFonts w:ascii="Arial Narrow" w:hAnsi="Arial Narrow" w:cs="Calibri"/>
                <w:sz w:val="18"/>
                <w:szCs w:val="18"/>
              </w:rPr>
            </w:pPr>
            <w:r w:rsidRPr="00EE0DE6">
              <w:rPr>
                <w:rFonts w:ascii="Arial Narrow" w:hAnsi="Arial Narrow" w:cs="Calibri"/>
                <w:sz w:val="18"/>
                <w:szCs w:val="18"/>
              </w:rPr>
              <w:t>+2,4</w:t>
            </w:r>
          </w:p>
        </w:tc>
      </w:tr>
      <w:tr w:rsidR="00EE0DE6" w:rsidRPr="004B2A9B" w:rsidTr="000127DA">
        <w:trPr>
          <w:trHeight w:val="255"/>
          <w:jc w:val="center"/>
        </w:trPr>
        <w:tc>
          <w:tcPr>
            <w:tcW w:w="3528" w:type="dxa"/>
            <w:shd w:val="clear" w:color="auto" w:fill="auto"/>
            <w:vAlign w:val="center"/>
            <w:hideMark/>
          </w:tcPr>
          <w:p w:rsidR="00EE0DE6" w:rsidRPr="004B2A9B" w:rsidRDefault="00EE0DE6" w:rsidP="00EE0DE6">
            <w:pPr>
              <w:widowControl/>
              <w:overflowPunct/>
              <w:autoSpaceDE/>
              <w:autoSpaceDN/>
              <w:adjustRightInd/>
              <w:spacing w:before="0" w:after="0"/>
              <w:rPr>
                <w:rFonts w:ascii="Arial Narrow" w:hAnsi="Arial Narrow" w:cs="Arial"/>
                <w:kern w:val="0"/>
                <w:sz w:val="18"/>
                <w:szCs w:val="18"/>
              </w:rPr>
            </w:pPr>
            <w:r w:rsidRPr="004B2A9B">
              <w:rPr>
                <w:rFonts w:ascii="Arial Narrow" w:hAnsi="Arial Narrow" w:cs="Arial"/>
                <w:kern w:val="0"/>
                <w:sz w:val="18"/>
                <w:szCs w:val="18"/>
              </w:rPr>
              <w:t>Abbigliamento e calzature</w:t>
            </w:r>
          </w:p>
        </w:tc>
        <w:tc>
          <w:tcPr>
            <w:tcW w:w="1039" w:type="dxa"/>
            <w:shd w:val="clear" w:color="000000" w:fill="D9D9D9"/>
            <w:vAlign w:val="center"/>
          </w:tcPr>
          <w:p w:rsidR="00EE0DE6" w:rsidRPr="00BF7A34" w:rsidRDefault="00EE0DE6" w:rsidP="00EE0DE6">
            <w:pPr>
              <w:widowControl/>
              <w:overflowPunct/>
              <w:autoSpaceDE/>
              <w:autoSpaceDN/>
              <w:adjustRightInd/>
              <w:spacing w:before="0" w:after="0"/>
              <w:ind w:right="57"/>
              <w:jc w:val="right"/>
              <w:rPr>
                <w:rFonts w:ascii="Arial Narrow" w:hAnsi="Arial Narrow" w:cs="Calibri"/>
                <w:sz w:val="18"/>
                <w:szCs w:val="18"/>
              </w:rPr>
            </w:pPr>
            <w:r w:rsidRPr="00BF7A34">
              <w:rPr>
                <w:rFonts w:ascii="Arial Narrow" w:hAnsi="Arial Narrow" w:cs="Calibri"/>
                <w:sz w:val="18"/>
                <w:szCs w:val="18"/>
              </w:rPr>
              <w:t>68.113</w:t>
            </w:r>
          </w:p>
        </w:tc>
        <w:tc>
          <w:tcPr>
            <w:tcW w:w="1079" w:type="dxa"/>
            <w:shd w:val="clear" w:color="auto" w:fill="auto"/>
            <w:vAlign w:val="center"/>
          </w:tcPr>
          <w:p w:rsidR="00EE0DE6" w:rsidRPr="00EE0DE6" w:rsidRDefault="00EE0DE6" w:rsidP="00EE0DE6">
            <w:pPr>
              <w:widowControl/>
              <w:overflowPunct/>
              <w:autoSpaceDE/>
              <w:autoSpaceDN/>
              <w:adjustRightInd/>
              <w:spacing w:before="0" w:after="0"/>
              <w:jc w:val="right"/>
              <w:rPr>
                <w:rFonts w:ascii="Arial Narrow" w:hAnsi="Arial Narrow" w:cs="Calibri"/>
                <w:sz w:val="18"/>
                <w:szCs w:val="18"/>
              </w:rPr>
            </w:pPr>
            <w:r w:rsidRPr="00EE0DE6">
              <w:rPr>
                <w:rFonts w:ascii="Arial Narrow" w:hAnsi="Arial Narrow" w:cs="Calibri"/>
                <w:sz w:val="18"/>
                <w:szCs w:val="18"/>
              </w:rPr>
              <w:t>-16,9</w:t>
            </w:r>
          </w:p>
        </w:tc>
        <w:tc>
          <w:tcPr>
            <w:tcW w:w="1059" w:type="dxa"/>
            <w:shd w:val="clear" w:color="000000" w:fill="D9D9D9"/>
            <w:vAlign w:val="center"/>
          </w:tcPr>
          <w:p w:rsidR="00EE0DE6" w:rsidRPr="00EE0DE6" w:rsidRDefault="00EE0DE6" w:rsidP="00EE0DE6">
            <w:pPr>
              <w:widowControl/>
              <w:overflowPunct/>
              <w:autoSpaceDE/>
              <w:autoSpaceDN/>
              <w:adjustRightInd/>
              <w:spacing w:before="0" w:after="0"/>
              <w:jc w:val="right"/>
              <w:rPr>
                <w:rFonts w:ascii="Arial Narrow" w:hAnsi="Arial Narrow" w:cs="Calibri"/>
                <w:sz w:val="18"/>
                <w:szCs w:val="18"/>
              </w:rPr>
            </w:pPr>
            <w:r w:rsidRPr="00EE0DE6">
              <w:rPr>
                <w:rFonts w:ascii="Arial Narrow" w:hAnsi="Arial Narrow" w:cs="Calibri"/>
                <w:sz w:val="18"/>
                <w:szCs w:val="18"/>
              </w:rPr>
              <w:t>-19,8</w:t>
            </w:r>
          </w:p>
        </w:tc>
        <w:tc>
          <w:tcPr>
            <w:tcW w:w="1079" w:type="dxa"/>
            <w:shd w:val="clear" w:color="auto" w:fill="auto"/>
            <w:vAlign w:val="center"/>
          </w:tcPr>
          <w:p w:rsidR="00EE0DE6" w:rsidRPr="00EE0DE6" w:rsidRDefault="00EE0DE6" w:rsidP="00EE0DE6">
            <w:pPr>
              <w:widowControl/>
              <w:overflowPunct/>
              <w:autoSpaceDE/>
              <w:autoSpaceDN/>
              <w:adjustRightInd/>
              <w:spacing w:before="0" w:after="0"/>
              <w:jc w:val="right"/>
              <w:rPr>
                <w:rFonts w:ascii="Arial Narrow" w:hAnsi="Arial Narrow" w:cs="Calibri"/>
                <w:sz w:val="18"/>
                <w:szCs w:val="18"/>
              </w:rPr>
            </w:pPr>
            <w:r w:rsidRPr="00EE0DE6">
              <w:rPr>
                <w:rFonts w:ascii="Arial Narrow" w:hAnsi="Arial Narrow" w:cs="Calibri"/>
                <w:sz w:val="18"/>
                <w:szCs w:val="18"/>
              </w:rPr>
              <w:t>+4,8</w:t>
            </w:r>
          </w:p>
        </w:tc>
        <w:tc>
          <w:tcPr>
            <w:tcW w:w="1080" w:type="dxa"/>
            <w:shd w:val="clear" w:color="000000" w:fill="D9D9D9"/>
            <w:vAlign w:val="center"/>
          </w:tcPr>
          <w:p w:rsidR="00EE0DE6" w:rsidRPr="00EE0DE6" w:rsidRDefault="00EE0DE6" w:rsidP="00EE0DE6">
            <w:pPr>
              <w:widowControl/>
              <w:overflowPunct/>
              <w:autoSpaceDE/>
              <w:autoSpaceDN/>
              <w:adjustRightInd/>
              <w:spacing w:before="0" w:after="0"/>
              <w:jc w:val="right"/>
              <w:rPr>
                <w:rFonts w:ascii="Arial Narrow" w:hAnsi="Arial Narrow" w:cs="Calibri"/>
                <w:sz w:val="18"/>
                <w:szCs w:val="18"/>
              </w:rPr>
            </w:pPr>
            <w:r w:rsidRPr="00EE0DE6">
              <w:rPr>
                <w:rFonts w:ascii="Arial Narrow" w:hAnsi="Arial Narrow" w:cs="Calibri"/>
                <w:sz w:val="18"/>
                <w:szCs w:val="18"/>
              </w:rPr>
              <w:t>+1,1</w:t>
            </w:r>
          </w:p>
        </w:tc>
        <w:tc>
          <w:tcPr>
            <w:tcW w:w="1162" w:type="dxa"/>
            <w:shd w:val="clear" w:color="auto" w:fill="auto"/>
            <w:vAlign w:val="center"/>
          </w:tcPr>
          <w:p w:rsidR="00EE0DE6" w:rsidRPr="00EE0DE6" w:rsidRDefault="00EE0DE6" w:rsidP="00EE0DE6">
            <w:pPr>
              <w:widowControl/>
              <w:overflowPunct/>
              <w:autoSpaceDE/>
              <w:autoSpaceDN/>
              <w:adjustRightInd/>
              <w:spacing w:before="0" w:after="0"/>
              <w:jc w:val="right"/>
              <w:rPr>
                <w:rFonts w:ascii="Arial Narrow" w:hAnsi="Arial Narrow" w:cs="Calibri"/>
                <w:sz w:val="18"/>
                <w:szCs w:val="18"/>
              </w:rPr>
            </w:pPr>
            <w:r w:rsidRPr="00EE0DE6">
              <w:rPr>
                <w:rFonts w:ascii="Arial Narrow" w:hAnsi="Arial Narrow" w:cs="Calibri"/>
                <w:sz w:val="18"/>
                <w:szCs w:val="18"/>
              </w:rPr>
              <w:t>-4,1</w:t>
            </w:r>
          </w:p>
        </w:tc>
      </w:tr>
      <w:tr w:rsidR="00EE0DE6" w:rsidRPr="004B2A9B" w:rsidTr="000127DA">
        <w:trPr>
          <w:trHeight w:val="255"/>
          <w:jc w:val="center"/>
        </w:trPr>
        <w:tc>
          <w:tcPr>
            <w:tcW w:w="3528" w:type="dxa"/>
            <w:shd w:val="clear" w:color="auto" w:fill="auto"/>
            <w:vAlign w:val="center"/>
            <w:hideMark/>
          </w:tcPr>
          <w:p w:rsidR="00EE0DE6" w:rsidRPr="004B2A9B" w:rsidRDefault="00EE0DE6" w:rsidP="00EE0DE6">
            <w:pPr>
              <w:widowControl/>
              <w:overflowPunct/>
              <w:autoSpaceDE/>
              <w:autoSpaceDN/>
              <w:adjustRightInd/>
              <w:spacing w:before="0" w:after="0"/>
              <w:rPr>
                <w:rFonts w:ascii="Arial Narrow" w:hAnsi="Arial Narrow" w:cs="Arial"/>
                <w:kern w:val="0"/>
                <w:sz w:val="18"/>
                <w:szCs w:val="18"/>
              </w:rPr>
            </w:pPr>
            <w:r w:rsidRPr="004B2A9B">
              <w:rPr>
                <w:rFonts w:ascii="Arial Narrow" w:hAnsi="Arial Narrow" w:cs="Arial"/>
                <w:kern w:val="0"/>
                <w:sz w:val="18"/>
                <w:szCs w:val="18"/>
              </w:rPr>
              <w:t>Abitazione, acqua, elettricità e combustibili</w:t>
            </w:r>
          </w:p>
        </w:tc>
        <w:tc>
          <w:tcPr>
            <w:tcW w:w="1039" w:type="dxa"/>
            <w:shd w:val="clear" w:color="000000" w:fill="D9D9D9"/>
            <w:vAlign w:val="center"/>
          </w:tcPr>
          <w:p w:rsidR="00EE0DE6" w:rsidRPr="00BF7A34" w:rsidRDefault="00EE0DE6" w:rsidP="00EE0DE6">
            <w:pPr>
              <w:widowControl/>
              <w:overflowPunct/>
              <w:autoSpaceDE/>
              <w:autoSpaceDN/>
              <w:adjustRightInd/>
              <w:spacing w:before="0" w:after="0"/>
              <w:ind w:right="57"/>
              <w:jc w:val="right"/>
              <w:rPr>
                <w:rFonts w:ascii="Arial Narrow" w:hAnsi="Arial Narrow" w:cs="Calibri"/>
                <w:sz w:val="18"/>
                <w:szCs w:val="18"/>
              </w:rPr>
            </w:pPr>
            <w:r w:rsidRPr="00BF7A34">
              <w:rPr>
                <w:rFonts w:ascii="Arial Narrow" w:hAnsi="Arial Narrow" w:cs="Calibri"/>
                <w:sz w:val="18"/>
                <w:szCs w:val="18"/>
              </w:rPr>
              <w:t>119.033</w:t>
            </w:r>
          </w:p>
        </w:tc>
        <w:tc>
          <w:tcPr>
            <w:tcW w:w="1079" w:type="dxa"/>
            <w:shd w:val="clear" w:color="auto" w:fill="auto"/>
            <w:vAlign w:val="center"/>
          </w:tcPr>
          <w:p w:rsidR="00EE0DE6" w:rsidRPr="00EE0DE6" w:rsidRDefault="00EE0DE6" w:rsidP="00EE0DE6">
            <w:pPr>
              <w:widowControl/>
              <w:overflowPunct/>
              <w:autoSpaceDE/>
              <w:autoSpaceDN/>
              <w:adjustRightInd/>
              <w:spacing w:before="0" w:after="0"/>
              <w:jc w:val="right"/>
              <w:rPr>
                <w:rFonts w:ascii="Arial Narrow" w:hAnsi="Arial Narrow" w:cs="Calibri"/>
                <w:sz w:val="18"/>
                <w:szCs w:val="18"/>
              </w:rPr>
            </w:pPr>
            <w:r w:rsidRPr="00EE0DE6">
              <w:rPr>
                <w:rFonts w:ascii="Arial Narrow" w:hAnsi="Arial Narrow" w:cs="Calibri"/>
                <w:sz w:val="18"/>
                <w:szCs w:val="18"/>
              </w:rPr>
              <w:t>+2,8</w:t>
            </w:r>
          </w:p>
        </w:tc>
        <w:tc>
          <w:tcPr>
            <w:tcW w:w="1059" w:type="dxa"/>
            <w:shd w:val="clear" w:color="000000" w:fill="D9D9D9"/>
            <w:vAlign w:val="center"/>
          </w:tcPr>
          <w:p w:rsidR="00EE0DE6" w:rsidRPr="00EE0DE6" w:rsidRDefault="00EE0DE6" w:rsidP="00EE0DE6">
            <w:pPr>
              <w:widowControl/>
              <w:overflowPunct/>
              <w:autoSpaceDE/>
              <w:autoSpaceDN/>
              <w:adjustRightInd/>
              <w:spacing w:before="0" w:after="0"/>
              <w:jc w:val="right"/>
              <w:rPr>
                <w:rFonts w:ascii="Arial Narrow" w:hAnsi="Arial Narrow" w:cs="Calibri"/>
                <w:sz w:val="18"/>
                <w:szCs w:val="18"/>
              </w:rPr>
            </w:pPr>
            <w:r w:rsidRPr="00EE0DE6">
              <w:rPr>
                <w:rFonts w:ascii="Arial Narrow" w:hAnsi="Arial Narrow" w:cs="Calibri"/>
                <w:sz w:val="18"/>
                <w:szCs w:val="18"/>
              </w:rPr>
              <w:t>-1,4</w:t>
            </w:r>
          </w:p>
        </w:tc>
        <w:tc>
          <w:tcPr>
            <w:tcW w:w="1079" w:type="dxa"/>
            <w:shd w:val="clear" w:color="auto" w:fill="auto"/>
            <w:vAlign w:val="center"/>
          </w:tcPr>
          <w:p w:rsidR="00EE0DE6" w:rsidRPr="00EE0DE6" w:rsidRDefault="00EE0DE6" w:rsidP="00EE0DE6">
            <w:pPr>
              <w:widowControl/>
              <w:overflowPunct/>
              <w:autoSpaceDE/>
              <w:autoSpaceDN/>
              <w:adjustRightInd/>
              <w:spacing w:before="0" w:after="0"/>
              <w:jc w:val="right"/>
              <w:rPr>
                <w:rFonts w:ascii="Arial Narrow" w:hAnsi="Arial Narrow" w:cs="Calibri"/>
                <w:sz w:val="18"/>
                <w:szCs w:val="18"/>
              </w:rPr>
            </w:pPr>
            <w:r w:rsidRPr="00EE0DE6">
              <w:rPr>
                <w:rFonts w:ascii="Arial Narrow" w:hAnsi="Arial Narrow" w:cs="Calibri"/>
                <w:sz w:val="18"/>
                <w:szCs w:val="18"/>
              </w:rPr>
              <w:t>-2,3</w:t>
            </w:r>
          </w:p>
        </w:tc>
        <w:tc>
          <w:tcPr>
            <w:tcW w:w="1080" w:type="dxa"/>
            <w:shd w:val="clear" w:color="000000" w:fill="D9D9D9"/>
            <w:vAlign w:val="center"/>
          </w:tcPr>
          <w:p w:rsidR="00EE0DE6" w:rsidRPr="00EE0DE6" w:rsidRDefault="00EE0DE6" w:rsidP="00EE0DE6">
            <w:pPr>
              <w:widowControl/>
              <w:overflowPunct/>
              <w:autoSpaceDE/>
              <w:autoSpaceDN/>
              <w:adjustRightInd/>
              <w:spacing w:before="0" w:after="0"/>
              <w:jc w:val="right"/>
              <w:rPr>
                <w:rFonts w:ascii="Arial Narrow" w:hAnsi="Arial Narrow" w:cs="Calibri"/>
                <w:sz w:val="18"/>
                <w:szCs w:val="18"/>
              </w:rPr>
            </w:pPr>
            <w:r w:rsidRPr="00EE0DE6">
              <w:rPr>
                <w:rFonts w:ascii="Arial Narrow" w:hAnsi="Arial Narrow" w:cs="Calibri"/>
                <w:sz w:val="18"/>
                <w:szCs w:val="18"/>
              </w:rPr>
              <w:t>-6,2</w:t>
            </w:r>
          </w:p>
        </w:tc>
        <w:tc>
          <w:tcPr>
            <w:tcW w:w="1162" w:type="dxa"/>
            <w:shd w:val="clear" w:color="auto" w:fill="auto"/>
            <w:vAlign w:val="center"/>
          </w:tcPr>
          <w:p w:rsidR="00EE0DE6" w:rsidRPr="00EE0DE6" w:rsidRDefault="00EE0DE6" w:rsidP="00EE0DE6">
            <w:pPr>
              <w:widowControl/>
              <w:overflowPunct/>
              <w:autoSpaceDE/>
              <w:autoSpaceDN/>
              <w:adjustRightInd/>
              <w:spacing w:before="0" w:after="0"/>
              <w:jc w:val="right"/>
              <w:rPr>
                <w:rFonts w:ascii="Arial Narrow" w:hAnsi="Arial Narrow" w:cs="Calibri"/>
                <w:sz w:val="18"/>
                <w:szCs w:val="18"/>
              </w:rPr>
            </w:pPr>
            <w:r w:rsidRPr="00EE0DE6">
              <w:rPr>
                <w:rFonts w:ascii="Arial Narrow" w:hAnsi="Arial Narrow" w:cs="Calibri"/>
                <w:sz w:val="18"/>
                <w:szCs w:val="18"/>
              </w:rPr>
              <w:t>-5,9</w:t>
            </w:r>
          </w:p>
        </w:tc>
      </w:tr>
      <w:tr w:rsidR="00EE0DE6" w:rsidRPr="004B2A9B" w:rsidTr="000127DA">
        <w:trPr>
          <w:trHeight w:val="255"/>
          <w:jc w:val="center"/>
        </w:trPr>
        <w:tc>
          <w:tcPr>
            <w:tcW w:w="3528" w:type="dxa"/>
            <w:shd w:val="clear" w:color="auto" w:fill="auto"/>
            <w:vAlign w:val="center"/>
            <w:hideMark/>
          </w:tcPr>
          <w:p w:rsidR="00EE0DE6" w:rsidRPr="004B2A9B" w:rsidRDefault="00EE0DE6" w:rsidP="00EE0DE6">
            <w:pPr>
              <w:widowControl/>
              <w:overflowPunct/>
              <w:autoSpaceDE/>
              <w:autoSpaceDN/>
              <w:adjustRightInd/>
              <w:spacing w:before="0" w:after="0"/>
              <w:rPr>
                <w:rFonts w:ascii="Arial Narrow" w:hAnsi="Arial Narrow" w:cs="Arial"/>
                <w:kern w:val="0"/>
                <w:sz w:val="18"/>
                <w:szCs w:val="18"/>
              </w:rPr>
            </w:pPr>
            <w:r w:rsidRPr="004B2A9B">
              <w:rPr>
                <w:rFonts w:ascii="Arial Narrow" w:hAnsi="Arial Narrow" w:cs="Arial"/>
                <w:kern w:val="0"/>
                <w:sz w:val="18"/>
                <w:szCs w:val="18"/>
              </w:rPr>
              <w:t>Mobili, articoli e servizi per la casa</w:t>
            </w:r>
          </w:p>
        </w:tc>
        <w:tc>
          <w:tcPr>
            <w:tcW w:w="1039" w:type="dxa"/>
            <w:shd w:val="clear" w:color="000000" w:fill="D9D9D9"/>
            <w:vAlign w:val="center"/>
          </w:tcPr>
          <w:p w:rsidR="00EE0DE6" w:rsidRPr="00BF7A34" w:rsidRDefault="00EE0DE6" w:rsidP="00EE0DE6">
            <w:pPr>
              <w:widowControl/>
              <w:overflowPunct/>
              <w:autoSpaceDE/>
              <w:autoSpaceDN/>
              <w:adjustRightInd/>
              <w:spacing w:before="0" w:after="0"/>
              <w:ind w:right="57"/>
              <w:jc w:val="right"/>
              <w:rPr>
                <w:rFonts w:ascii="Arial Narrow" w:hAnsi="Arial Narrow" w:cs="Calibri"/>
                <w:sz w:val="18"/>
                <w:szCs w:val="18"/>
              </w:rPr>
            </w:pPr>
            <w:r w:rsidRPr="00BF7A34">
              <w:rPr>
                <w:rFonts w:ascii="Arial Narrow" w:hAnsi="Arial Narrow" w:cs="Calibri"/>
                <w:sz w:val="18"/>
                <w:szCs w:val="18"/>
              </w:rPr>
              <w:t>73.907</w:t>
            </w:r>
          </w:p>
        </w:tc>
        <w:tc>
          <w:tcPr>
            <w:tcW w:w="1079" w:type="dxa"/>
            <w:shd w:val="clear" w:color="auto" w:fill="auto"/>
            <w:vAlign w:val="center"/>
          </w:tcPr>
          <w:p w:rsidR="00EE0DE6" w:rsidRPr="00EE0DE6" w:rsidRDefault="00EE0DE6" w:rsidP="00EE0DE6">
            <w:pPr>
              <w:widowControl/>
              <w:overflowPunct/>
              <w:autoSpaceDE/>
              <w:autoSpaceDN/>
              <w:adjustRightInd/>
              <w:spacing w:before="0" w:after="0"/>
              <w:jc w:val="right"/>
              <w:rPr>
                <w:rFonts w:ascii="Arial Narrow" w:hAnsi="Arial Narrow" w:cs="Calibri"/>
                <w:sz w:val="18"/>
                <w:szCs w:val="18"/>
              </w:rPr>
            </w:pPr>
            <w:r w:rsidRPr="00EE0DE6">
              <w:rPr>
                <w:rFonts w:ascii="Arial Narrow" w:hAnsi="Arial Narrow" w:cs="Calibri"/>
                <w:sz w:val="18"/>
                <w:szCs w:val="18"/>
              </w:rPr>
              <w:t>-0,5</w:t>
            </w:r>
          </w:p>
        </w:tc>
        <w:tc>
          <w:tcPr>
            <w:tcW w:w="1059" w:type="dxa"/>
            <w:shd w:val="clear" w:color="000000" w:fill="D9D9D9"/>
            <w:vAlign w:val="center"/>
          </w:tcPr>
          <w:p w:rsidR="00EE0DE6" w:rsidRPr="00EE0DE6" w:rsidRDefault="00EE0DE6" w:rsidP="00EE0DE6">
            <w:pPr>
              <w:widowControl/>
              <w:overflowPunct/>
              <w:autoSpaceDE/>
              <w:autoSpaceDN/>
              <w:adjustRightInd/>
              <w:spacing w:before="0" w:after="0"/>
              <w:jc w:val="right"/>
              <w:rPr>
                <w:rFonts w:ascii="Arial Narrow" w:hAnsi="Arial Narrow" w:cs="Calibri"/>
                <w:sz w:val="18"/>
                <w:szCs w:val="18"/>
              </w:rPr>
            </w:pPr>
            <w:r w:rsidRPr="00EE0DE6">
              <w:rPr>
                <w:rFonts w:ascii="Arial Narrow" w:hAnsi="Arial Narrow" w:cs="Calibri"/>
                <w:sz w:val="18"/>
                <w:szCs w:val="18"/>
              </w:rPr>
              <w:t>-0,3</w:t>
            </w:r>
          </w:p>
        </w:tc>
        <w:tc>
          <w:tcPr>
            <w:tcW w:w="1079" w:type="dxa"/>
            <w:shd w:val="clear" w:color="auto" w:fill="auto"/>
            <w:vAlign w:val="center"/>
          </w:tcPr>
          <w:p w:rsidR="00EE0DE6" w:rsidRPr="00EE0DE6" w:rsidRDefault="00EE0DE6" w:rsidP="00EE0DE6">
            <w:pPr>
              <w:widowControl/>
              <w:overflowPunct/>
              <w:autoSpaceDE/>
              <w:autoSpaceDN/>
              <w:adjustRightInd/>
              <w:spacing w:before="0" w:after="0"/>
              <w:jc w:val="right"/>
              <w:rPr>
                <w:rFonts w:ascii="Arial Narrow" w:hAnsi="Arial Narrow" w:cs="Calibri"/>
                <w:sz w:val="18"/>
                <w:szCs w:val="18"/>
              </w:rPr>
            </w:pPr>
            <w:r w:rsidRPr="00EE0DE6">
              <w:rPr>
                <w:rFonts w:ascii="Arial Narrow" w:hAnsi="Arial Narrow" w:cs="Calibri"/>
                <w:sz w:val="18"/>
                <w:szCs w:val="18"/>
              </w:rPr>
              <w:t>+0,4</w:t>
            </w:r>
          </w:p>
        </w:tc>
        <w:tc>
          <w:tcPr>
            <w:tcW w:w="1080" w:type="dxa"/>
            <w:shd w:val="clear" w:color="000000" w:fill="D9D9D9"/>
            <w:vAlign w:val="center"/>
          </w:tcPr>
          <w:p w:rsidR="00EE0DE6" w:rsidRPr="00EE0DE6" w:rsidRDefault="00EE0DE6" w:rsidP="00EE0DE6">
            <w:pPr>
              <w:widowControl/>
              <w:overflowPunct/>
              <w:autoSpaceDE/>
              <w:autoSpaceDN/>
              <w:adjustRightInd/>
              <w:spacing w:before="0" w:after="0"/>
              <w:jc w:val="right"/>
              <w:rPr>
                <w:rFonts w:ascii="Arial Narrow" w:hAnsi="Arial Narrow" w:cs="Calibri"/>
                <w:sz w:val="18"/>
                <w:szCs w:val="18"/>
              </w:rPr>
            </w:pPr>
            <w:r w:rsidRPr="00EE0DE6">
              <w:rPr>
                <w:rFonts w:ascii="Arial Narrow" w:hAnsi="Arial Narrow" w:cs="Calibri"/>
                <w:sz w:val="18"/>
                <w:szCs w:val="18"/>
              </w:rPr>
              <w:t>+0,6</w:t>
            </w:r>
          </w:p>
        </w:tc>
        <w:tc>
          <w:tcPr>
            <w:tcW w:w="1162" w:type="dxa"/>
            <w:shd w:val="clear" w:color="auto" w:fill="auto"/>
            <w:vAlign w:val="center"/>
          </w:tcPr>
          <w:p w:rsidR="00EE0DE6" w:rsidRPr="00EE0DE6" w:rsidRDefault="00EE0DE6" w:rsidP="00EE0DE6">
            <w:pPr>
              <w:widowControl/>
              <w:overflowPunct/>
              <w:autoSpaceDE/>
              <w:autoSpaceDN/>
              <w:adjustRightInd/>
              <w:spacing w:before="0" w:after="0"/>
              <w:jc w:val="right"/>
              <w:rPr>
                <w:rFonts w:ascii="Arial Narrow" w:hAnsi="Arial Narrow" w:cs="Calibri"/>
                <w:sz w:val="18"/>
                <w:szCs w:val="18"/>
              </w:rPr>
            </w:pPr>
            <w:r w:rsidRPr="00EE0DE6">
              <w:rPr>
                <w:rFonts w:ascii="Arial Narrow" w:hAnsi="Arial Narrow" w:cs="Calibri"/>
                <w:sz w:val="18"/>
                <w:szCs w:val="18"/>
              </w:rPr>
              <w:t>+0,6</w:t>
            </w:r>
          </w:p>
        </w:tc>
      </w:tr>
      <w:tr w:rsidR="00EE0DE6" w:rsidRPr="004B2A9B" w:rsidTr="000127DA">
        <w:trPr>
          <w:trHeight w:val="255"/>
          <w:jc w:val="center"/>
        </w:trPr>
        <w:tc>
          <w:tcPr>
            <w:tcW w:w="3528" w:type="dxa"/>
            <w:shd w:val="clear" w:color="auto" w:fill="auto"/>
            <w:vAlign w:val="center"/>
            <w:hideMark/>
          </w:tcPr>
          <w:p w:rsidR="00EE0DE6" w:rsidRPr="004B2A9B" w:rsidRDefault="00EE0DE6" w:rsidP="00EE0DE6">
            <w:pPr>
              <w:widowControl/>
              <w:overflowPunct/>
              <w:autoSpaceDE/>
              <w:autoSpaceDN/>
              <w:adjustRightInd/>
              <w:spacing w:before="0" w:after="0"/>
              <w:rPr>
                <w:rFonts w:ascii="Arial Narrow" w:hAnsi="Arial Narrow" w:cs="Arial"/>
                <w:kern w:val="0"/>
                <w:sz w:val="18"/>
                <w:szCs w:val="18"/>
              </w:rPr>
            </w:pPr>
            <w:r w:rsidRPr="004B2A9B">
              <w:rPr>
                <w:rFonts w:ascii="Arial Narrow" w:hAnsi="Arial Narrow" w:cs="Arial"/>
                <w:kern w:val="0"/>
                <w:sz w:val="18"/>
                <w:szCs w:val="18"/>
              </w:rPr>
              <w:t>Servizi sanitari e spese per la salute</w:t>
            </w:r>
          </w:p>
        </w:tc>
        <w:tc>
          <w:tcPr>
            <w:tcW w:w="1039" w:type="dxa"/>
            <w:shd w:val="clear" w:color="000000" w:fill="D9D9D9"/>
            <w:vAlign w:val="center"/>
          </w:tcPr>
          <w:p w:rsidR="00EE0DE6" w:rsidRPr="00BF7A34" w:rsidRDefault="00EE0DE6" w:rsidP="00EE0DE6">
            <w:pPr>
              <w:widowControl/>
              <w:overflowPunct/>
              <w:autoSpaceDE/>
              <w:autoSpaceDN/>
              <w:adjustRightInd/>
              <w:spacing w:before="0" w:after="0"/>
              <w:ind w:right="57"/>
              <w:jc w:val="right"/>
              <w:rPr>
                <w:rFonts w:ascii="Arial Narrow" w:hAnsi="Arial Narrow" w:cs="Calibri"/>
                <w:sz w:val="18"/>
                <w:szCs w:val="18"/>
              </w:rPr>
            </w:pPr>
            <w:r w:rsidRPr="00BF7A34">
              <w:rPr>
                <w:rFonts w:ascii="Arial Narrow" w:hAnsi="Arial Narrow" w:cs="Calibri"/>
                <w:sz w:val="18"/>
                <w:szCs w:val="18"/>
              </w:rPr>
              <w:t>41.976</w:t>
            </w:r>
          </w:p>
        </w:tc>
        <w:tc>
          <w:tcPr>
            <w:tcW w:w="1079" w:type="dxa"/>
            <w:shd w:val="clear" w:color="auto" w:fill="auto"/>
            <w:vAlign w:val="center"/>
          </w:tcPr>
          <w:p w:rsidR="00EE0DE6" w:rsidRPr="00EE0DE6" w:rsidRDefault="00EE0DE6" w:rsidP="00EE0DE6">
            <w:pPr>
              <w:widowControl/>
              <w:overflowPunct/>
              <w:autoSpaceDE/>
              <w:autoSpaceDN/>
              <w:adjustRightInd/>
              <w:spacing w:before="0" w:after="0"/>
              <w:jc w:val="right"/>
              <w:rPr>
                <w:rFonts w:ascii="Arial Narrow" w:hAnsi="Arial Narrow" w:cs="Calibri"/>
                <w:sz w:val="18"/>
                <w:szCs w:val="18"/>
              </w:rPr>
            </w:pPr>
            <w:r w:rsidRPr="00EE0DE6">
              <w:rPr>
                <w:rFonts w:ascii="Arial Narrow" w:hAnsi="Arial Narrow" w:cs="Calibri"/>
                <w:sz w:val="18"/>
                <w:szCs w:val="18"/>
              </w:rPr>
              <w:t>0,0</w:t>
            </w:r>
          </w:p>
        </w:tc>
        <w:tc>
          <w:tcPr>
            <w:tcW w:w="1059" w:type="dxa"/>
            <w:shd w:val="clear" w:color="000000" w:fill="D9D9D9"/>
            <w:vAlign w:val="center"/>
          </w:tcPr>
          <w:p w:rsidR="00EE0DE6" w:rsidRPr="00EE0DE6" w:rsidRDefault="00EE0DE6" w:rsidP="00EE0DE6">
            <w:pPr>
              <w:widowControl/>
              <w:overflowPunct/>
              <w:autoSpaceDE/>
              <w:autoSpaceDN/>
              <w:adjustRightInd/>
              <w:spacing w:before="0" w:after="0"/>
              <w:jc w:val="right"/>
              <w:rPr>
                <w:rFonts w:ascii="Arial Narrow" w:hAnsi="Arial Narrow" w:cs="Calibri"/>
                <w:sz w:val="18"/>
                <w:szCs w:val="18"/>
              </w:rPr>
            </w:pPr>
            <w:r w:rsidRPr="00EE0DE6">
              <w:rPr>
                <w:rFonts w:ascii="Arial Narrow" w:hAnsi="Arial Narrow" w:cs="Calibri"/>
                <w:sz w:val="18"/>
                <w:szCs w:val="18"/>
              </w:rPr>
              <w:t>+0,1</w:t>
            </w:r>
          </w:p>
        </w:tc>
        <w:tc>
          <w:tcPr>
            <w:tcW w:w="1079" w:type="dxa"/>
            <w:shd w:val="clear" w:color="auto" w:fill="auto"/>
            <w:vAlign w:val="center"/>
          </w:tcPr>
          <w:p w:rsidR="00EE0DE6" w:rsidRPr="00EE0DE6" w:rsidRDefault="00EE0DE6" w:rsidP="00EE0DE6">
            <w:pPr>
              <w:widowControl/>
              <w:overflowPunct/>
              <w:autoSpaceDE/>
              <w:autoSpaceDN/>
              <w:adjustRightInd/>
              <w:spacing w:before="0" w:after="0"/>
              <w:jc w:val="right"/>
              <w:rPr>
                <w:rFonts w:ascii="Arial Narrow" w:hAnsi="Arial Narrow" w:cs="Calibri"/>
                <w:sz w:val="18"/>
                <w:szCs w:val="18"/>
              </w:rPr>
            </w:pPr>
            <w:r w:rsidRPr="00EE0DE6">
              <w:rPr>
                <w:rFonts w:ascii="Arial Narrow" w:hAnsi="Arial Narrow" w:cs="Calibri"/>
                <w:sz w:val="18"/>
                <w:szCs w:val="18"/>
              </w:rPr>
              <w:t>+2,1</w:t>
            </w:r>
          </w:p>
        </w:tc>
        <w:tc>
          <w:tcPr>
            <w:tcW w:w="1080" w:type="dxa"/>
            <w:shd w:val="clear" w:color="000000" w:fill="D9D9D9"/>
            <w:vAlign w:val="center"/>
          </w:tcPr>
          <w:p w:rsidR="00EE0DE6" w:rsidRPr="00EE0DE6" w:rsidRDefault="00EE0DE6" w:rsidP="00EE0DE6">
            <w:pPr>
              <w:widowControl/>
              <w:overflowPunct/>
              <w:autoSpaceDE/>
              <w:autoSpaceDN/>
              <w:adjustRightInd/>
              <w:spacing w:before="0" w:after="0"/>
              <w:jc w:val="right"/>
              <w:rPr>
                <w:rFonts w:ascii="Arial Narrow" w:hAnsi="Arial Narrow" w:cs="Calibri"/>
                <w:sz w:val="18"/>
                <w:szCs w:val="18"/>
              </w:rPr>
            </w:pPr>
            <w:r w:rsidRPr="00EE0DE6">
              <w:rPr>
                <w:rFonts w:ascii="Arial Narrow" w:hAnsi="Arial Narrow" w:cs="Calibri"/>
                <w:sz w:val="18"/>
                <w:szCs w:val="18"/>
              </w:rPr>
              <w:t>+2,2</w:t>
            </w:r>
          </w:p>
        </w:tc>
        <w:tc>
          <w:tcPr>
            <w:tcW w:w="1162" w:type="dxa"/>
            <w:shd w:val="clear" w:color="auto" w:fill="auto"/>
            <w:vAlign w:val="center"/>
          </w:tcPr>
          <w:p w:rsidR="00EE0DE6" w:rsidRPr="00EE0DE6" w:rsidRDefault="00EE0DE6" w:rsidP="00EE0DE6">
            <w:pPr>
              <w:widowControl/>
              <w:overflowPunct/>
              <w:autoSpaceDE/>
              <w:autoSpaceDN/>
              <w:adjustRightInd/>
              <w:spacing w:before="0" w:after="0"/>
              <w:jc w:val="right"/>
              <w:rPr>
                <w:rFonts w:ascii="Arial Narrow" w:hAnsi="Arial Narrow" w:cs="Calibri"/>
                <w:sz w:val="18"/>
                <w:szCs w:val="18"/>
              </w:rPr>
            </w:pPr>
            <w:r w:rsidRPr="00EE0DE6">
              <w:rPr>
                <w:rFonts w:ascii="Arial Narrow" w:hAnsi="Arial Narrow" w:cs="Calibri"/>
                <w:sz w:val="18"/>
                <w:szCs w:val="18"/>
              </w:rPr>
              <w:t>+2,0</w:t>
            </w:r>
          </w:p>
        </w:tc>
      </w:tr>
      <w:tr w:rsidR="00EE0DE6" w:rsidRPr="004B2A9B" w:rsidTr="000127DA">
        <w:trPr>
          <w:trHeight w:val="255"/>
          <w:jc w:val="center"/>
        </w:trPr>
        <w:tc>
          <w:tcPr>
            <w:tcW w:w="3528" w:type="dxa"/>
            <w:shd w:val="clear" w:color="auto" w:fill="auto"/>
            <w:vAlign w:val="center"/>
            <w:hideMark/>
          </w:tcPr>
          <w:p w:rsidR="00EE0DE6" w:rsidRPr="004B2A9B" w:rsidRDefault="00EE0DE6" w:rsidP="00EE0DE6">
            <w:pPr>
              <w:widowControl/>
              <w:overflowPunct/>
              <w:autoSpaceDE/>
              <w:autoSpaceDN/>
              <w:adjustRightInd/>
              <w:spacing w:before="0" w:after="0"/>
              <w:rPr>
                <w:rFonts w:ascii="Arial Narrow" w:hAnsi="Arial Narrow" w:cs="Arial"/>
                <w:kern w:val="0"/>
                <w:sz w:val="18"/>
                <w:szCs w:val="18"/>
              </w:rPr>
            </w:pPr>
            <w:r w:rsidRPr="004B2A9B">
              <w:rPr>
                <w:rFonts w:ascii="Arial Narrow" w:hAnsi="Arial Narrow" w:cs="Arial"/>
                <w:kern w:val="0"/>
                <w:sz w:val="18"/>
                <w:szCs w:val="18"/>
              </w:rPr>
              <w:t>Trasporti</w:t>
            </w:r>
          </w:p>
        </w:tc>
        <w:tc>
          <w:tcPr>
            <w:tcW w:w="1039" w:type="dxa"/>
            <w:shd w:val="clear" w:color="000000" w:fill="D9D9D9"/>
            <w:vAlign w:val="center"/>
          </w:tcPr>
          <w:p w:rsidR="00EE0DE6" w:rsidRPr="00BF7A34" w:rsidRDefault="00EE0DE6" w:rsidP="00EE0DE6">
            <w:pPr>
              <w:widowControl/>
              <w:overflowPunct/>
              <w:autoSpaceDE/>
              <w:autoSpaceDN/>
              <w:adjustRightInd/>
              <w:spacing w:before="0" w:after="0"/>
              <w:ind w:right="57"/>
              <w:jc w:val="right"/>
              <w:rPr>
                <w:rFonts w:ascii="Arial Narrow" w:hAnsi="Arial Narrow" w:cs="Calibri"/>
                <w:sz w:val="18"/>
                <w:szCs w:val="18"/>
              </w:rPr>
            </w:pPr>
            <w:r w:rsidRPr="00BF7A34">
              <w:rPr>
                <w:rFonts w:ascii="Arial Narrow" w:hAnsi="Arial Narrow" w:cs="Calibri"/>
                <w:sz w:val="18"/>
                <w:szCs w:val="18"/>
              </w:rPr>
              <w:t>155.471</w:t>
            </w:r>
          </w:p>
        </w:tc>
        <w:tc>
          <w:tcPr>
            <w:tcW w:w="1079" w:type="dxa"/>
            <w:shd w:val="clear" w:color="auto" w:fill="auto"/>
            <w:vAlign w:val="center"/>
          </w:tcPr>
          <w:p w:rsidR="00EE0DE6" w:rsidRPr="00EE0DE6" w:rsidRDefault="00EE0DE6" w:rsidP="00EE0DE6">
            <w:pPr>
              <w:widowControl/>
              <w:overflowPunct/>
              <w:autoSpaceDE/>
              <w:autoSpaceDN/>
              <w:adjustRightInd/>
              <w:spacing w:before="0" w:after="0"/>
              <w:jc w:val="right"/>
              <w:rPr>
                <w:rFonts w:ascii="Arial Narrow" w:hAnsi="Arial Narrow" w:cs="Calibri"/>
                <w:sz w:val="18"/>
                <w:szCs w:val="18"/>
              </w:rPr>
            </w:pPr>
            <w:r w:rsidRPr="00EE0DE6">
              <w:rPr>
                <w:rFonts w:ascii="Arial Narrow" w:hAnsi="Arial Narrow" w:cs="Calibri"/>
                <w:sz w:val="18"/>
                <w:szCs w:val="18"/>
              </w:rPr>
              <w:t>+0,5</w:t>
            </w:r>
          </w:p>
        </w:tc>
        <w:tc>
          <w:tcPr>
            <w:tcW w:w="1059" w:type="dxa"/>
            <w:shd w:val="clear" w:color="000000" w:fill="D9D9D9"/>
            <w:vAlign w:val="center"/>
          </w:tcPr>
          <w:p w:rsidR="00EE0DE6" w:rsidRPr="00EE0DE6" w:rsidRDefault="00EE0DE6" w:rsidP="00EE0DE6">
            <w:pPr>
              <w:widowControl/>
              <w:overflowPunct/>
              <w:autoSpaceDE/>
              <w:autoSpaceDN/>
              <w:adjustRightInd/>
              <w:spacing w:before="0" w:after="0"/>
              <w:jc w:val="right"/>
              <w:rPr>
                <w:rFonts w:ascii="Arial Narrow" w:hAnsi="Arial Narrow" w:cs="Calibri"/>
                <w:sz w:val="18"/>
                <w:szCs w:val="18"/>
              </w:rPr>
            </w:pPr>
            <w:r w:rsidRPr="00EE0DE6">
              <w:rPr>
                <w:rFonts w:ascii="Arial Narrow" w:hAnsi="Arial Narrow" w:cs="Calibri"/>
                <w:sz w:val="18"/>
                <w:szCs w:val="18"/>
              </w:rPr>
              <w:t>+0,5</w:t>
            </w:r>
          </w:p>
        </w:tc>
        <w:tc>
          <w:tcPr>
            <w:tcW w:w="1079" w:type="dxa"/>
            <w:shd w:val="clear" w:color="auto" w:fill="auto"/>
            <w:vAlign w:val="center"/>
          </w:tcPr>
          <w:p w:rsidR="00EE0DE6" w:rsidRPr="00EE0DE6" w:rsidRDefault="00EE0DE6" w:rsidP="00EE0DE6">
            <w:pPr>
              <w:widowControl/>
              <w:overflowPunct/>
              <w:autoSpaceDE/>
              <w:autoSpaceDN/>
              <w:adjustRightInd/>
              <w:spacing w:before="0" w:after="0"/>
              <w:jc w:val="right"/>
              <w:rPr>
                <w:rFonts w:ascii="Arial Narrow" w:hAnsi="Arial Narrow" w:cs="Calibri"/>
                <w:sz w:val="18"/>
                <w:szCs w:val="18"/>
              </w:rPr>
            </w:pPr>
            <w:r w:rsidRPr="00EE0DE6">
              <w:rPr>
                <w:rFonts w:ascii="Arial Narrow" w:hAnsi="Arial Narrow" w:cs="Calibri"/>
                <w:sz w:val="18"/>
                <w:szCs w:val="18"/>
              </w:rPr>
              <w:t>+1,6</w:t>
            </w:r>
          </w:p>
        </w:tc>
        <w:tc>
          <w:tcPr>
            <w:tcW w:w="1080" w:type="dxa"/>
            <w:shd w:val="clear" w:color="000000" w:fill="D9D9D9"/>
            <w:vAlign w:val="center"/>
          </w:tcPr>
          <w:p w:rsidR="00EE0DE6" w:rsidRPr="00EE0DE6" w:rsidRDefault="00EE0DE6" w:rsidP="00EE0DE6">
            <w:pPr>
              <w:widowControl/>
              <w:overflowPunct/>
              <w:autoSpaceDE/>
              <w:autoSpaceDN/>
              <w:adjustRightInd/>
              <w:spacing w:before="0" w:after="0"/>
              <w:jc w:val="right"/>
              <w:rPr>
                <w:rFonts w:ascii="Arial Narrow" w:hAnsi="Arial Narrow" w:cs="Calibri"/>
                <w:sz w:val="18"/>
                <w:szCs w:val="18"/>
              </w:rPr>
            </w:pPr>
            <w:r w:rsidRPr="00EE0DE6">
              <w:rPr>
                <w:rFonts w:ascii="Arial Narrow" w:hAnsi="Arial Narrow" w:cs="Calibri"/>
                <w:sz w:val="18"/>
                <w:szCs w:val="18"/>
              </w:rPr>
              <w:t>+1,6</w:t>
            </w:r>
          </w:p>
        </w:tc>
        <w:tc>
          <w:tcPr>
            <w:tcW w:w="1162" w:type="dxa"/>
            <w:shd w:val="clear" w:color="auto" w:fill="auto"/>
            <w:vAlign w:val="center"/>
          </w:tcPr>
          <w:p w:rsidR="00EE0DE6" w:rsidRPr="00EE0DE6" w:rsidRDefault="00EE0DE6" w:rsidP="00EE0DE6">
            <w:pPr>
              <w:widowControl/>
              <w:overflowPunct/>
              <w:autoSpaceDE/>
              <w:autoSpaceDN/>
              <w:adjustRightInd/>
              <w:spacing w:before="0" w:after="0"/>
              <w:jc w:val="right"/>
              <w:rPr>
                <w:rFonts w:ascii="Arial Narrow" w:hAnsi="Arial Narrow" w:cs="Calibri"/>
                <w:sz w:val="18"/>
                <w:szCs w:val="18"/>
              </w:rPr>
            </w:pPr>
            <w:r w:rsidRPr="00EE0DE6">
              <w:rPr>
                <w:rFonts w:ascii="Arial Narrow" w:hAnsi="Arial Narrow" w:cs="Calibri"/>
                <w:sz w:val="18"/>
                <w:szCs w:val="18"/>
              </w:rPr>
              <w:t>+1,3</w:t>
            </w:r>
          </w:p>
        </w:tc>
      </w:tr>
      <w:tr w:rsidR="00EE0DE6" w:rsidRPr="004B2A9B" w:rsidTr="000127DA">
        <w:trPr>
          <w:trHeight w:val="255"/>
          <w:jc w:val="center"/>
        </w:trPr>
        <w:tc>
          <w:tcPr>
            <w:tcW w:w="3528" w:type="dxa"/>
            <w:shd w:val="clear" w:color="auto" w:fill="auto"/>
            <w:vAlign w:val="center"/>
            <w:hideMark/>
          </w:tcPr>
          <w:p w:rsidR="00EE0DE6" w:rsidRPr="004B2A9B" w:rsidRDefault="00EE0DE6" w:rsidP="00EE0DE6">
            <w:pPr>
              <w:widowControl/>
              <w:overflowPunct/>
              <w:autoSpaceDE/>
              <w:autoSpaceDN/>
              <w:adjustRightInd/>
              <w:spacing w:before="0" w:after="0"/>
              <w:rPr>
                <w:rFonts w:ascii="Arial Narrow" w:hAnsi="Arial Narrow" w:cs="Arial"/>
                <w:kern w:val="0"/>
                <w:sz w:val="18"/>
                <w:szCs w:val="18"/>
              </w:rPr>
            </w:pPr>
            <w:r w:rsidRPr="004B2A9B">
              <w:rPr>
                <w:rFonts w:ascii="Arial Narrow" w:hAnsi="Arial Narrow" w:cs="Arial"/>
                <w:kern w:val="0"/>
                <w:sz w:val="18"/>
                <w:szCs w:val="18"/>
              </w:rPr>
              <w:t>Comunicazioni</w:t>
            </w:r>
          </w:p>
        </w:tc>
        <w:tc>
          <w:tcPr>
            <w:tcW w:w="1039" w:type="dxa"/>
            <w:shd w:val="clear" w:color="000000" w:fill="D9D9D9"/>
            <w:vAlign w:val="center"/>
          </w:tcPr>
          <w:p w:rsidR="00EE0DE6" w:rsidRPr="00BF7A34" w:rsidRDefault="00EE0DE6" w:rsidP="00EE0DE6">
            <w:pPr>
              <w:widowControl/>
              <w:overflowPunct/>
              <w:autoSpaceDE/>
              <w:autoSpaceDN/>
              <w:adjustRightInd/>
              <w:spacing w:before="0" w:after="0"/>
              <w:ind w:right="57"/>
              <w:jc w:val="right"/>
              <w:rPr>
                <w:rFonts w:ascii="Arial Narrow" w:hAnsi="Arial Narrow" w:cs="Calibri"/>
                <w:sz w:val="18"/>
                <w:szCs w:val="18"/>
              </w:rPr>
            </w:pPr>
            <w:r w:rsidRPr="00BF7A34">
              <w:rPr>
                <w:rFonts w:ascii="Arial Narrow" w:hAnsi="Arial Narrow" w:cs="Calibri"/>
                <w:sz w:val="18"/>
                <w:szCs w:val="18"/>
              </w:rPr>
              <w:t>23.103</w:t>
            </w:r>
          </w:p>
        </w:tc>
        <w:tc>
          <w:tcPr>
            <w:tcW w:w="1079" w:type="dxa"/>
            <w:shd w:val="clear" w:color="auto" w:fill="auto"/>
            <w:vAlign w:val="center"/>
          </w:tcPr>
          <w:p w:rsidR="00EE0DE6" w:rsidRPr="00EE0DE6" w:rsidRDefault="00EE0DE6" w:rsidP="00EE0DE6">
            <w:pPr>
              <w:widowControl/>
              <w:overflowPunct/>
              <w:autoSpaceDE/>
              <w:autoSpaceDN/>
              <w:adjustRightInd/>
              <w:spacing w:before="0" w:after="0"/>
              <w:jc w:val="right"/>
              <w:rPr>
                <w:rFonts w:ascii="Arial Narrow" w:hAnsi="Arial Narrow" w:cs="Calibri"/>
                <w:sz w:val="18"/>
                <w:szCs w:val="18"/>
              </w:rPr>
            </w:pPr>
            <w:r w:rsidRPr="00EE0DE6">
              <w:rPr>
                <w:rFonts w:ascii="Arial Narrow" w:hAnsi="Arial Narrow" w:cs="Calibri"/>
                <w:sz w:val="18"/>
                <w:szCs w:val="18"/>
              </w:rPr>
              <w:t>-0,8</w:t>
            </w:r>
          </w:p>
        </w:tc>
        <w:tc>
          <w:tcPr>
            <w:tcW w:w="1059" w:type="dxa"/>
            <w:shd w:val="clear" w:color="000000" w:fill="D9D9D9"/>
            <w:vAlign w:val="center"/>
          </w:tcPr>
          <w:p w:rsidR="00EE0DE6" w:rsidRPr="00EE0DE6" w:rsidRDefault="00EE0DE6" w:rsidP="00EE0DE6">
            <w:pPr>
              <w:widowControl/>
              <w:overflowPunct/>
              <w:autoSpaceDE/>
              <w:autoSpaceDN/>
              <w:adjustRightInd/>
              <w:spacing w:before="0" w:after="0"/>
              <w:jc w:val="right"/>
              <w:rPr>
                <w:rFonts w:ascii="Arial Narrow" w:hAnsi="Arial Narrow" w:cs="Calibri"/>
                <w:sz w:val="18"/>
                <w:szCs w:val="18"/>
              </w:rPr>
            </w:pPr>
            <w:r w:rsidRPr="00EE0DE6">
              <w:rPr>
                <w:rFonts w:ascii="Arial Narrow" w:hAnsi="Arial Narrow" w:cs="Calibri"/>
                <w:sz w:val="18"/>
                <w:szCs w:val="18"/>
              </w:rPr>
              <w:t>-0,8</w:t>
            </w:r>
          </w:p>
        </w:tc>
        <w:tc>
          <w:tcPr>
            <w:tcW w:w="1079" w:type="dxa"/>
            <w:shd w:val="clear" w:color="auto" w:fill="auto"/>
            <w:vAlign w:val="center"/>
          </w:tcPr>
          <w:p w:rsidR="00EE0DE6" w:rsidRPr="00EE0DE6" w:rsidRDefault="00EE0DE6" w:rsidP="00EE0DE6">
            <w:pPr>
              <w:widowControl/>
              <w:overflowPunct/>
              <w:autoSpaceDE/>
              <w:autoSpaceDN/>
              <w:adjustRightInd/>
              <w:spacing w:before="0" w:after="0"/>
              <w:jc w:val="right"/>
              <w:rPr>
                <w:rFonts w:ascii="Arial Narrow" w:hAnsi="Arial Narrow" w:cs="Calibri"/>
                <w:sz w:val="18"/>
                <w:szCs w:val="18"/>
              </w:rPr>
            </w:pPr>
            <w:r w:rsidRPr="00EE0DE6">
              <w:rPr>
                <w:rFonts w:ascii="Arial Narrow" w:hAnsi="Arial Narrow" w:cs="Calibri"/>
                <w:sz w:val="18"/>
                <w:szCs w:val="18"/>
              </w:rPr>
              <w:t>-5,5</w:t>
            </w:r>
          </w:p>
        </w:tc>
        <w:tc>
          <w:tcPr>
            <w:tcW w:w="1080" w:type="dxa"/>
            <w:shd w:val="clear" w:color="000000" w:fill="D9D9D9"/>
            <w:vAlign w:val="center"/>
          </w:tcPr>
          <w:p w:rsidR="00EE0DE6" w:rsidRPr="00EE0DE6" w:rsidRDefault="00EE0DE6" w:rsidP="00EE0DE6">
            <w:pPr>
              <w:widowControl/>
              <w:overflowPunct/>
              <w:autoSpaceDE/>
              <w:autoSpaceDN/>
              <w:adjustRightInd/>
              <w:spacing w:before="0" w:after="0"/>
              <w:jc w:val="right"/>
              <w:rPr>
                <w:rFonts w:ascii="Arial Narrow" w:hAnsi="Arial Narrow" w:cs="Calibri"/>
                <w:sz w:val="18"/>
                <w:szCs w:val="18"/>
              </w:rPr>
            </w:pPr>
            <w:r w:rsidRPr="00EE0DE6">
              <w:rPr>
                <w:rFonts w:ascii="Arial Narrow" w:hAnsi="Arial Narrow" w:cs="Calibri"/>
                <w:sz w:val="18"/>
                <w:szCs w:val="18"/>
              </w:rPr>
              <w:t>-5,5</w:t>
            </w:r>
          </w:p>
        </w:tc>
        <w:tc>
          <w:tcPr>
            <w:tcW w:w="1162" w:type="dxa"/>
            <w:shd w:val="clear" w:color="auto" w:fill="auto"/>
            <w:vAlign w:val="center"/>
          </w:tcPr>
          <w:p w:rsidR="00EE0DE6" w:rsidRPr="00EE0DE6" w:rsidRDefault="00EE0DE6" w:rsidP="00EE0DE6">
            <w:pPr>
              <w:widowControl/>
              <w:overflowPunct/>
              <w:autoSpaceDE/>
              <w:autoSpaceDN/>
              <w:adjustRightInd/>
              <w:spacing w:before="0" w:after="0"/>
              <w:jc w:val="right"/>
              <w:rPr>
                <w:rFonts w:ascii="Arial Narrow" w:hAnsi="Arial Narrow" w:cs="Calibri"/>
                <w:sz w:val="18"/>
                <w:szCs w:val="18"/>
              </w:rPr>
            </w:pPr>
            <w:r w:rsidRPr="00EE0DE6">
              <w:rPr>
                <w:rFonts w:ascii="Arial Narrow" w:hAnsi="Arial Narrow" w:cs="Calibri"/>
                <w:sz w:val="18"/>
                <w:szCs w:val="18"/>
              </w:rPr>
              <w:t>-5,4</w:t>
            </w:r>
          </w:p>
        </w:tc>
      </w:tr>
      <w:tr w:rsidR="00EE0DE6" w:rsidRPr="004B2A9B" w:rsidTr="000127DA">
        <w:trPr>
          <w:trHeight w:val="255"/>
          <w:jc w:val="center"/>
        </w:trPr>
        <w:tc>
          <w:tcPr>
            <w:tcW w:w="3528" w:type="dxa"/>
            <w:shd w:val="clear" w:color="auto" w:fill="auto"/>
            <w:vAlign w:val="center"/>
            <w:hideMark/>
          </w:tcPr>
          <w:p w:rsidR="00EE0DE6" w:rsidRPr="004B2A9B" w:rsidRDefault="00EE0DE6" w:rsidP="00EE0DE6">
            <w:pPr>
              <w:widowControl/>
              <w:overflowPunct/>
              <w:autoSpaceDE/>
              <w:autoSpaceDN/>
              <w:adjustRightInd/>
              <w:spacing w:before="0" w:after="0"/>
              <w:rPr>
                <w:rFonts w:ascii="Arial Narrow" w:hAnsi="Arial Narrow" w:cs="Arial"/>
                <w:kern w:val="0"/>
                <w:sz w:val="18"/>
                <w:szCs w:val="18"/>
              </w:rPr>
            </w:pPr>
            <w:r w:rsidRPr="004B2A9B">
              <w:rPr>
                <w:rFonts w:ascii="Arial Narrow" w:hAnsi="Arial Narrow" w:cs="Arial"/>
                <w:kern w:val="0"/>
                <w:sz w:val="18"/>
                <w:szCs w:val="18"/>
              </w:rPr>
              <w:t>Ricreazione, spettacoli e cultura</w:t>
            </w:r>
          </w:p>
        </w:tc>
        <w:tc>
          <w:tcPr>
            <w:tcW w:w="1039" w:type="dxa"/>
            <w:shd w:val="clear" w:color="000000" w:fill="D9D9D9"/>
            <w:vAlign w:val="center"/>
          </w:tcPr>
          <w:p w:rsidR="00EE0DE6" w:rsidRPr="00BF7A34" w:rsidRDefault="00EE0DE6" w:rsidP="00EE0DE6">
            <w:pPr>
              <w:widowControl/>
              <w:overflowPunct/>
              <w:autoSpaceDE/>
              <w:autoSpaceDN/>
              <w:adjustRightInd/>
              <w:spacing w:before="0" w:after="0"/>
              <w:ind w:right="57"/>
              <w:jc w:val="right"/>
              <w:rPr>
                <w:rFonts w:ascii="Arial Narrow" w:hAnsi="Arial Narrow" w:cs="Calibri"/>
                <w:sz w:val="18"/>
                <w:szCs w:val="18"/>
              </w:rPr>
            </w:pPr>
            <w:r w:rsidRPr="00BF7A34">
              <w:rPr>
                <w:rFonts w:ascii="Arial Narrow" w:hAnsi="Arial Narrow" w:cs="Calibri"/>
                <w:sz w:val="18"/>
                <w:szCs w:val="18"/>
              </w:rPr>
              <w:t>68.446</w:t>
            </w:r>
          </w:p>
        </w:tc>
        <w:tc>
          <w:tcPr>
            <w:tcW w:w="1079" w:type="dxa"/>
            <w:shd w:val="clear" w:color="auto" w:fill="auto"/>
            <w:vAlign w:val="center"/>
          </w:tcPr>
          <w:p w:rsidR="00EE0DE6" w:rsidRPr="00EE0DE6" w:rsidRDefault="00EE0DE6" w:rsidP="00EE0DE6">
            <w:pPr>
              <w:widowControl/>
              <w:overflowPunct/>
              <w:autoSpaceDE/>
              <w:autoSpaceDN/>
              <w:adjustRightInd/>
              <w:spacing w:before="0" w:after="0"/>
              <w:jc w:val="right"/>
              <w:rPr>
                <w:rFonts w:ascii="Arial Narrow" w:hAnsi="Arial Narrow" w:cs="Calibri"/>
                <w:sz w:val="18"/>
                <w:szCs w:val="18"/>
              </w:rPr>
            </w:pPr>
            <w:r w:rsidRPr="00EE0DE6">
              <w:rPr>
                <w:rFonts w:ascii="Arial Narrow" w:hAnsi="Arial Narrow" w:cs="Calibri"/>
                <w:sz w:val="18"/>
                <w:szCs w:val="18"/>
              </w:rPr>
              <w:t>+1,2</w:t>
            </w:r>
          </w:p>
        </w:tc>
        <w:tc>
          <w:tcPr>
            <w:tcW w:w="1059" w:type="dxa"/>
            <w:shd w:val="clear" w:color="000000" w:fill="D9D9D9"/>
            <w:vAlign w:val="center"/>
          </w:tcPr>
          <w:p w:rsidR="00EE0DE6" w:rsidRPr="00EE0DE6" w:rsidRDefault="00EE0DE6" w:rsidP="00EE0DE6">
            <w:pPr>
              <w:widowControl/>
              <w:overflowPunct/>
              <w:autoSpaceDE/>
              <w:autoSpaceDN/>
              <w:adjustRightInd/>
              <w:spacing w:before="0" w:after="0"/>
              <w:jc w:val="right"/>
              <w:rPr>
                <w:rFonts w:ascii="Arial Narrow" w:hAnsi="Arial Narrow" w:cs="Calibri"/>
                <w:sz w:val="18"/>
                <w:szCs w:val="18"/>
              </w:rPr>
            </w:pPr>
            <w:r w:rsidRPr="00EE0DE6">
              <w:rPr>
                <w:rFonts w:ascii="Arial Narrow" w:hAnsi="Arial Narrow" w:cs="Calibri"/>
                <w:sz w:val="18"/>
                <w:szCs w:val="18"/>
              </w:rPr>
              <w:t>+0,1</w:t>
            </w:r>
          </w:p>
        </w:tc>
        <w:tc>
          <w:tcPr>
            <w:tcW w:w="1079" w:type="dxa"/>
            <w:shd w:val="clear" w:color="auto" w:fill="auto"/>
            <w:vAlign w:val="center"/>
          </w:tcPr>
          <w:p w:rsidR="00EE0DE6" w:rsidRPr="00EE0DE6" w:rsidRDefault="00EE0DE6" w:rsidP="00EE0DE6">
            <w:pPr>
              <w:widowControl/>
              <w:overflowPunct/>
              <w:autoSpaceDE/>
              <w:autoSpaceDN/>
              <w:adjustRightInd/>
              <w:spacing w:before="0" w:after="0"/>
              <w:jc w:val="right"/>
              <w:rPr>
                <w:rFonts w:ascii="Arial Narrow" w:hAnsi="Arial Narrow" w:cs="Calibri"/>
                <w:sz w:val="18"/>
                <w:szCs w:val="18"/>
              </w:rPr>
            </w:pPr>
            <w:r w:rsidRPr="00EE0DE6">
              <w:rPr>
                <w:rFonts w:ascii="Arial Narrow" w:hAnsi="Arial Narrow" w:cs="Calibri"/>
                <w:sz w:val="18"/>
                <w:szCs w:val="18"/>
              </w:rPr>
              <w:t>+2,7</w:t>
            </w:r>
          </w:p>
        </w:tc>
        <w:tc>
          <w:tcPr>
            <w:tcW w:w="1080" w:type="dxa"/>
            <w:shd w:val="clear" w:color="000000" w:fill="D9D9D9"/>
            <w:vAlign w:val="center"/>
          </w:tcPr>
          <w:p w:rsidR="00EE0DE6" w:rsidRPr="00EE0DE6" w:rsidRDefault="00EE0DE6" w:rsidP="00EE0DE6">
            <w:pPr>
              <w:widowControl/>
              <w:overflowPunct/>
              <w:autoSpaceDE/>
              <w:autoSpaceDN/>
              <w:adjustRightInd/>
              <w:spacing w:before="0" w:after="0"/>
              <w:jc w:val="right"/>
              <w:rPr>
                <w:rFonts w:ascii="Arial Narrow" w:hAnsi="Arial Narrow" w:cs="Calibri"/>
                <w:sz w:val="18"/>
                <w:szCs w:val="18"/>
              </w:rPr>
            </w:pPr>
            <w:r w:rsidRPr="00EE0DE6">
              <w:rPr>
                <w:rFonts w:ascii="Arial Narrow" w:hAnsi="Arial Narrow" w:cs="Calibri"/>
                <w:sz w:val="18"/>
                <w:szCs w:val="18"/>
              </w:rPr>
              <w:t>+1,6</w:t>
            </w:r>
          </w:p>
        </w:tc>
        <w:tc>
          <w:tcPr>
            <w:tcW w:w="1162" w:type="dxa"/>
            <w:shd w:val="clear" w:color="auto" w:fill="auto"/>
            <w:vAlign w:val="center"/>
          </w:tcPr>
          <w:p w:rsidR="00EE0DE6" w:rsidRPr="00EE0DE6" w:rsidRDefault="00EE0DE6" w:rsidP="00EE0DE6">
            <w:pPr>
              <w:widowControl/>
              <w:overflowPunct/>
              <w:autoSpaceDE/>
              <w:autoSpaceDN/>
              <w:adjustRightInd/>
              <w:spacing w:before="0" w:after="0"/>
              <w:jc w:val="right"/>
              <w:rPr>
                <w:rFonts w:ascii="Arial Narrow" w:hAnsi="Arial Narrow" w:cs="Calibri"/>
                <w:sz w:val="18"/>
                <w:szCs w:val="18"/>
              </w:rPr>
            </w:pPr>
            <w:r w:rsidRPr="00EE0DE6">
              <w:rPr>
                <w:rFonts w:ascii="Arial Narrow" w:hAnsi="Arial Narrow" w:cs="Calibri"/>
                <w:sz w:val="18"/>
                <w:szCs w:val="18"/>
              </w:rPr>
              <w:t>+2,1</w:t>
            </w:r>
          </w:p>
        </w:tc>
      </w:tr>
      <w:tr w:rsidR="00EE0DE6" w:rsidRPr="004B2A9B" w:rsidTr="000127DA">
        <w:trPr>
          <w:trHeight w:val="255"/>
          <w:jc w:val="center"/>
        </w:trPr>
        <w:tc>
          <w:tcPr>
            <w:tcW w:w="3528" w:type="dxa"/>
            <w:shd w:val="clear" w:color="auto" w:fill="auto"/>
            <w:vAlign w:val="center"/>
            <w:hideMark/>
          </w:tcPr>
          <w:p w:rsidR="00EE0DE6" w:rsidRPr="004B2A9B" w:rsidRDefault="00EE0DE6" w:rsidP="00EE0DE6">
            <w:pPr>
              <w:widowControl/>
              <w:overflowPunct/>
              <w:autoSpaceDE/>
              <w:autoSpaceDN/>
              <w:adjustRightInd/>
              <w:spacing w:before="0" w:after="0"/>
              <w:rPr>
                <w:rFonts w:ascii="Arial Narrow" w:hAnsi="Arial Narrow" w:cs="Arial"/>
                <w:kern w:val="0"/>
                <w:sz w:val="18"/>
                <w:szCs w:val="18"/>
              </w:rPr>
            </w:pPr>
            <w:r w:rsidRPr="004B2A9B">
              <w:rPr>
                <w:rFonts w:ascii="Arial Narrow" w:hAnsi="Arial Narrow" w:cs="Arial"/>
                <w:kern w:val="0"/>
                <w:sz w:val="18"/>
                <w:szCs w:val="18"/>
              </w:rPr>
              <w:t>Istruzione</w:t>
            </w:r>
          </w:p>
        </w:tc>
        <w:tc>
          <w:tcPr>
            <w:tcW w:w="1039" w:type="dxa"/>
            <w:shd w:val="clear" w:color="000000" w:fill="D9D9D9"/>
            <w:vAlign w:val="center"/>
          </w:tcPr>
          <w:p w:rsidR="00EE0DE6" w:rsidRPr="00BF7A34" w:rsidRDefault="00EE0DE6" w:rsidP="00EE0DE6">
            <w:pPr>
              <w:widowControl/>
              <w:overflowPunct/>
              <w:autoSpaceDE/>
              <w:autoSpaceDN/>
              <w:adjustRightInd/>
              <w:spacing w:before="0" w:after="0"/>
              <w:ind w:right="57"/>
              <w:jc w:val="right"/>
              <w:rPr>
                <w:rFonts w:ascii="Arial Narrow" w:hAnsi="Arial Narrow" w:cs="Calibri"/>
                <w:sz w:val="18"/>
                <w:szCs w:val="18"/>
              </w:rPr>
            </w:pPr>
            <w:r w:rsidRPr="00BF7A34">
              <w:rPr>
                <w:rFonts w:ascii="Arial Narrow" w:hAnsi="Arial Narrow" w:cs="Calibri"/>
                <w:sz w:val="18"/>
                <w:szCs w:val="18"/>
              </w:rPr>
              <w:t>9.450</w:t>
            </w:r>
          </w:p>
        </w:tc>
        <w:tc>
          <w:tcPr>
            <w:tcW w:w="1079" w:type="dxa"/>
            <w:shd w:val="clear" w:color="auto" w:fill="auto"/>
            <w:vAlign w:val="center"/>
          </w:tcPr>
          <w:p w:rsidR="00EE0DE6" w:rsidRPr="00EE0DE6" w:rsidRDefault="00EE0DE6" w:rsidP="00EE0DE6">
            <w:pPr>
              <w:widowControl/>
              <w:overflowPunct/>
              <w:autoSpaceDE/>
              <w:autoSpaceDN/>
              <w:adjustRightInd/>
              <w:spacing w:before="0" w:after="0"/>
              <w:jc w:val="right"/>
              <w:rPr>
                <w:rFonts w:ascii="Arial Narrow" w:hAnsi="Arial Narrow" w:cs="Calibri"/>
                <w:sz w:val="18"/>
                <w:szCs w:val="18"/>
              </w:rPr>
            </w:pPr>
            <w:r w:rsidRPr="00EE0DE6">
              <w:rPr>
                <w:rFonts w:ascii="Arial Narrow" w:hAnsi="Arial Narrow" w:cs="Calibri"/>
                <w:sz w:val="18"/>
                <w:szCs w:val="18"/>
              </w:rPr>
              <w:t>0,0</w:t>
            </w:r>
          </w:p>
        </w:tc>
        <w:tc>
          <w:tcPr>
            <w:tcW w:w="1059" w:type="dxa"/>
            <w:shd w:val="clear" w:color="000000" w:fill="D9D9D9"/>
            <w:vAlign w:val="center"/>
          </w:tcPr>
          <w:p w:rsidR="00EE0DE6" w:rsidRPr="00EE0DE6" w:rsidRDefault="00EE0DE6" w:rsidP="00EE0DE6">
            <w:pPr>
              <w:widowControl/>
              <w:overflowPunct/>
              <w:autoSpaceDE/>
              <w:autoSpaceDN/>
              <w:adjustRightInd/>
              <w:spacing w:before="0" w:after="0"/>
              <w:jc w:val="right"/>
              <w:rPr>
                <w:rFonts w:ascii="Arial Narrow" w:hAnsi="Arial Narrow" w:cs="Calibri"/>
                <w:sz w:val="18"/>
                <w:szCs w:val="18"/>
              </w:rPr>
            </w:pPr>
            <w:r w:rsidRPr="00EE0DE6">
              <w:rPr>
                <w:rFonts w:ascii="Arial Narrow" w:hAnsi="Arial Narrow" w:cs="Calibri"/>
                <w:sz w:val="18"/>
                <w:szCs w:val="18"/>
              </w:rPr>
              <w:t>0,0</w:t>
            </w:r>
          </w:p>
        </w:tc>
        <w:tc>
          <w:tcPr>
            <w:tcW w:w="1079" w:type="dxa"/>
            <w:shd w:val="clear" w:color="auto" w:fill="auto"/>
            <w:vAlign w:val="center"/>
          </w:tcPr>
          <w:p w:rsidR="00EE0DE6" w:rsidRPr="00EE0DE6" w:rsidRDefault="00EE0DE6" w:rsidP="00EE0DE6">
            <w:pPr>
              <w:widowControl/>
              <w:overflowPunct/>
              <w:autoSpaceDE/>
              <w:autoSpaceDN/>
              <w:adjustRightInd/>
              <w:spacing w:before="0" w:after="0"/>
              <w:jc w:val="right"/>
              <w:rPr>
                <w:rFonts w:ascii="Arial Narrow" w:hAnsi="Arial Narrow" w:cs="Calibri"/>
                <w:sz w:val="18"/>
                <w:szCs w:val="18"/>
              </w:rPr>
            </w:pPr>
            <w:r w:rsidRPr="00EE0DE6">
              <w:rPr>
                <w:rFonts w:ascii="Arial Narrow" w:hAnsi="Arial Narrow" w:cs="Calibri"/>
                <w:sz w:val="18"/>
                <w:szCs w:val="18"/>
              </w:rPr>
              <w:t>+1,9</w:t>
            </w:r>
          </w:p>
        </w:tc>
        <w:tc>
          <w:tcPr>
            <w:tcW w:w="1080" w:type="dxa"/>
            <w:shd w:val="clear" w:color="000000" w:fill="D9D9D9"/>
            <w:vAlign w:val="center"/>
          </w:tcPr>
          <w:p w:rsidR="00EE0DE6" w:rsidRPr="00EE0DE6" w:rsidRDefault="00EE0DE6" w:rsidP="00EE0DE6">
            <w:pPr>
              <w:widowControl/>
              <w:overflowPunct/>
              <w:autoSpaceDE/>
              <w:autoSpaceDN/>
              <w:adjustRightInd/>
              <w:spacing w:before="0" w:after="0"/>
              <w:jc w:val="right"/>
              <w:rPr>
                <w:rFonts w:ascii="Arial Narrow" w:hAnsi="Arial Narrow" w:cs="Calibri"/>
                <w:sz w:val="18"/>
                <w:szCs w:val="18"/>
              </w:rPr>
            </w:pPr>
            <w:r w:rsidRPr="00EE0DE6">
              <w:rPr>
                <w:rFonts w:ascii="Arial Narrow" w:hAnsi="Arial Narrow" w:cs="Calibri"/>
                <w:sz w:val="18"/>
                <w:szCs w:val="18"/>
              </w:rPr>
              <w:t>+1,9</w:t>
            </w:r>
          </w:p>
        </w:tc>
        <w:tc>
          <w:tcPr>
            <w:tcW w:w="1162" w:type="dxa"/>
            <w:shd w:val="clear" w:color="auto" w:fill="auto"/>
            <w:vAlign w:val="center"/>
          </w:tcPr>
          <w:p w:rsidR="00EE0DE6" w:rsidRPr="00EE0DE6" w:rsidRDefault="00EE0DE6" w:rsidP="00EE0DE6">
            <w:pPr>
              <w:widowControl/>
              <w:overflowPunct/>
              <w:autoSpaceDE/>
              <w:autoSpaceDN/>
              <w:adjustRightInd/>
              <w:spacing w:before="0" w:after="0"/>
              <w:jc w:val="right"/>
              <w:rPr>
                <w:rFonts w:ascii="Arial Narrow" w:hAnsi="Arial Narrow" w:cs="Calibri"/>
                <w:sz w:val="18"/>
                <w:szCs w:val="18"/>
              </w:rPr>
            </w:pPr>
            <w:r w:rsidRPr="00EE0DE6">
              <w:rPr>
                <w:rFonts w:ascii="Arial Narrow" w:hAnsi="Arial Narrow" w:cs="Calibri"/>
                <w:sz w:val="18"/>
                <w:szCs w:val="18"/>
              </w:rPr>
              <w:t>+1,4</w:t>
            </w:r>
          </w:p>
        </w:tc>
      </w:tr>
      <w:tr w:rsidR="00EE0DE6" w:rsidRPr="004B2A9B" w:rsidTr="000127DA">
        <w:trPr>
          <w:trHeight w:val="255"/>
          <w:jc w:val="center"/>
        </w:trPr>
        <w:tc>
          <w:tcPr>
            <w:tcW w:w="3528" w:type="dxa"/>
            <w:shd w:val="clear" w:color="auto" w:fill="auto"/>
            <w:vAlign w:val="center"/>
            <w:hideMark/>
          </w:tcPr>
          <w:p w:rsidR="00EE0DE6" w:rsidRPr="004B2A9B" w:rsidRDefault="00EE0DE6" w:rsidP="00EE0DE6">
            <w:pPr>
              <w:widowControl/>
              <w:overflowPunct/>
              <w:autoSpaceDE/>
              <w:autoSpaceDN/>
              <w:adjustRightInd/>
              <w:spacing w:before="0" w:after="0"/>
              <w:rPr>
                <w:rFonts w:ascii="Arial Narrow" w:hAnsi="Arial Narrow" w:cs="Arial"/>
                <w:kern w:val="0"/>
                <w:sz w:val="18"/>
                <w:szCs w:val="18"/>
              </w:rPr>
            </w:pPr>
            <w:r w:rsidRPr="004B2A9B">
              <w:rPr>
                <w:rFonts w:ascii="Arial Narrow" w:hAnsi="Arial Narrow" w:cs="Arial"/>
                <w:kern w:val="0"/>
                <w:sz w:val="18"/>
                <w:szCs w:val="18"/>
              </w:rPr>
              <w:t>Servizi ricettivi e di ristorazione</w:t>
            </w:r>
          </w:p>
        </w:tc>
        <w:tc>
          <w:tcPr>
            <w:tcW w:w="1039" w:type="dxa"/>
            <w:shd w:val="clear" w:color="000000" w:fill="D9D9D9"/>
            <w:vAlign w:val="center"/>
          </w:tcPr>
          <w:p w:rsidR="00EE0DE6" w:rsidRPr="00BF7A34" w:rsidRDefault="00EE0DE6" w:rsidP="00EE0DE6">
            <w:pPr>
              <w:widowControl/>
              <w:overflowPunct/>
              <w:autoSpaceDE/>
              <w:autoSpaceDN/>
              <w:adjustRightInd/>
              <w:spacing w:before="0" w:after="0"/>
              <w:ind w:right="57"/>
              <w:jc w:val="right"/>
              <w:rPr>
                <w:rFonts w:ascii="Arial Narrow" w:hAnsi="Arial Narrow" w:cs="Calibri"/>
                <w:sz w:val="18"/>
                <w:szCs w:val="18"/>
              </w:rPr>
            </w:pPr>
            <w:r w:rsidRPr="00BF7A34">
              <w:rPr>
                <w:rFonts w:ascii="Arial Narrow" w:hAnsi="Arial Narrow" w:cs="Calibri"/>
                <w:sz w:val="18"/>
                <w:szCs w:val="18"/>
              </w:rPr>
              <w:t>124.756</w:t>
            </w:r>
          </w:p>
        </w:tc>
        <w:tc>
          <w:tcPr>
            <w:tcW w:w="1079" w:type="dxa"/>
            <w:shd w:val="clear" w:color="auto" w:fill="auto"/>
            <w:vAlign w:val="center"/>
          </w:tcPr>
          <w:p w:rsidR="00EE0DE6" w:rsidRPr="00EE0DE6" w:rsidRDefault="00EE0DE6" w:rsidP="00EE0DE6">
            <w:pPr>
              <w:widowControl/>
              <w:overflowPunct/>
              <w:autoSpaceDE/>
              <w:autoSpaceDN/>
              <w:adjustRightInd/>
              <w:spacing w:before="0" w:after="0"/>
              <w:jc w:val="right"/>
              <w:rPr>
                <w:rFonts w:ascii="Arial Narrow" w:hAnsi="Arial Narrow" w:cs="Calibri"/>
                <w:sz w:val="18"/>
                <w:szCs w:val="18"/>
              </w:rPr>
            </w:pPr>
            <w:r w:rsidRPr="00EE0DE6">
              <w:rPr>
                <w:rFonts w:ascii="Arial Narrow" w:hAnsi="Arial Narrow" w:cs="Calibri"/>
                <w:sz w:val="18"/>
                <w:szCs w:val="18"/>
              </w:rPr>
              <w:t>+0,5</w:t>
            </w:r>
          </w:p>
        </w:tc>
        <w:tc>
          <w:tcPr>
            <w:tcW w:w="1059" w:type="dxa"/>
            <w:shd w:val="clear" w:color="000000" w:fill="D9D9D9"/>
            <w:vAlign w:val="center"/>
          </w:tcPr>
          <w:p w:rsidR="00EE0DE6" w:rsidRPr="00EE0DE6" w:rsidRDefault="00EE0DE6" w:rsidP="00EE0DE6">
            <w:pPr>
              <w:widowControl/>
              <w:overflowPunct/>
              <w:autoSpaceDE/>
              <w:autoSpaceDN/>
              <w:adjustRightInd/>
              <w:spacing w:before="0" w:after="0"/>
              <w:jc w:val="right"/>
              <w:rPr>
                <w:rFonts w:ascii="Arial Narrow" w:hAnsi="Arial Narrow" w:cs="Calibri"/>
                <w:sz w:val="18"/>
                <w:szCs w:val="18"/>
              </w:rPr>
            </w:pPr>
            <w:r w:rsidRPr="00EE0DE6">
              <w:rPr>
                <w:rFonts w:ascii="Arial Narrow" w:hAnsi="Arial Narrow" w:cs="Calibri"/>
                <w:sz w:val="18"/>
                <w:szCs w:val="18"/>
              </w:rPr>
              <w:t>+0,4</w:t>
            </w:r>
          </w:p>
        </w:tc>
        <w:tc>
          <w:tcPr>
            <w:tcW w:w="1079" w:type="dxa"/>
            <w:shd w:val="clear" w:color="auto" w:fill="auto"/>
            <w:vAlign w:val="center"/>
          </w:tcPr>
          <w:p w:rsidR="00EE0DE6" w:rsidRPr="00EE0DE6" w:rsidRDefault="00EE0DE6" w:rsidP="00EE0DE6">
            <w:pPr>
              <w:widowControl/>
              <w:overflowPunct/>
              <w:autoSpaceDE/>
              <w:autoSpaceDN/>
              <w:adjustRightInd/>
              <w:spacing w:before="0" w:after="0"/>
              <w:jc w:val="right"/>
              <w:rPr>
                <w:rFonts w:ascii="Arial Narrow" w:hAnsi="Arial Narrow" w:cs="Calibri"/>
                <w:sz w:val="18"/>
                <w:szCs w:val="18"/>
              </w:rPr>
            </w:pPr>
            <w:r w:rsidRPr="00EE0DE6">
              <w:rPr>
                <w:rFonts w:ascii="Arial Narrow" w:hAnsi="Arial Narrow" w:cs="Calibri"/>
                <w:sz w:val="18"/>
                <w:szCs w:val="18"/>
              </w:rPr>
              <w:t>+4,3</w:t>
            </w:r>
          </w:p>
        </w:tc>
        <w:tc>
          <w:tcPr>
            <w:tcW w:w="1080" w:type="dxa"/>
            <w:shd w:val="clear" w:color="000000" w:fill="D9D9D9"/>
            <w:vAlign w:val="center"/>
          </w:tcPr>
          <w:p w:rsidR="00EE0DE6" w:rsidRPr="00EE0DE6" w:rsidRDefault="00EE0DE6" w:rsidP="00EE0DE6">
            <w:pPr>
              <w:widowControl/>
              <w:overflowPunct/>
              <w:autoSpaceDE/>
              <w:autoSpaceDN/>
              <w:adjustRightInd/>
              <w:spacing w:before="0" w:after="0"/>
              <w:jc w:val="right"/>
              <w:rPr>
                <w:rFonts w:ascii="Arial Narrow" w:hAnsi="Arial Narrow" w:cs="Calibri"/>
                <w:sz w:val="18"/>
                <w:szCs w:val="18"/>
              </w:rPr>
            </w:pPr>
            <w:r w:rsidRPr="00EE0DE6">
              <w:rPr>
                <w:rFonts w:ascii="Arial Narrow" w:hAnsi="Arial Narrow" w:cs="Calibri"/>
                <w:sz w:val="18"/>
                <w:szCs w:val="18"/>
              </w:rPr>
              <w:t>+4,3</w:t>
            </w:r>
          </w:p>
        </w:tc>
        <w:tc>
          <w:tcPr>
            <w:tcW w:w="1162" w:type="dxa"/>
            <w:shd w:val="clear" w:color="auto" w:fill="auto"/>
            <w:vAlign w:val="center"/>
          </w:tcPr>
          <w:p w:rsidR="00EE0DE6" w:rsidRPr="00EE0DE6" w:rsidRDefault="00EE0DE6" w:rsidP="00EE0DE6">
            <w:pPr>
              <w:widowControl/>
              <w:overflowPunct/>
              <w:autoSpaceDE/>
              <w:autoSpaceDN/>
              <w:adjustRightInd/>
              <w:spacing w:before="0" w:after="0"/>
              <w:jc w:val="right"/>
              <w:rPr>
                <w:rFonts w:ascii="Arial Narrow" w:hAnsi="Arial Narrow" w:cs="Calibri"/>
                <w:sz w:val="18"/>
                <w:szCs w:val="18"/>
              </w:rPr>
            </w:pPr>
            <w:r w:rsidRPr="00EE0DE6">
              <w:rPr>
                <w:rFonts w:ascii="Arial Narrow" w:hAnsi="Arial Narrow" w:cs="Calibri"/>
                <w:sz w:val="18"/>
                <w:szCs w:val="18"/>
              </w:rPr>
              <w:t>+4,6</w:t>
            </w:r>
          </w:p>
        </w:tc>
      </w:tr>
      <w:tr w:rsidR="00EE0DE6" w:rsidRPr="004B2A9B" w:rsidTr="000127DA">
        <w:trPr>
          <w:trHeight w:val="255"/>
          <w:jc w:val="center"/>
        </w:trPr>
        <w:tc>
          <w:tcPr>
            <w:tcW w:w="3528" w:type="dxa"/>
            <w:shd w:val="clear" w:color="auto" w:fill="auto"/>
            <w:vAlign w:val="center"/>
            <w:hideMark/>
          </w:tcPr>
          <w:p w:rsidR="00EE0DE6" w:rsidRPr="004B2A9B" w:rsidRDefault="00EE0DE6" w:rsidP="00EE0DE6">
            <w:pPr>
              <w:widowControl/>
              <w:overflowPunct/>
              <w:autoSpaceDE/>
              <w:autoSpaceDN/>
              <w:adjustRightInd/>
              <w:spacing w:before="0" w:after="0"/>
              <w:rPr>
                <w:rFonts w:ascii="Arial Narrow" w:hAnsi="Arial Narrow" w:cs="Arial"/>
                <w:kern w:val="0"/>
                <w:sz w:val="18"/>
                <w:szCs w:val="18"/>
              </w:rPr>
            </w:pPr>
            <w:r w:rsidRPr="004B2A9B">
              <w:rPr>
                <w:rFonts w:ascii="Arial Narrow" w:hAnsi="Arial Narrow" w:cs="Arial"/>
                <w:kern w:val="0"/>
                <w:sz w:val="18"/>
                <w:szCs w:val="18"/>
              </w:rPr>
              <w:t>Altri beni e servizi</w:t>
            </w:r>
          </w:p>
        </w:tc>
        <w:tc>
          <w:tcPr>
            <w:tcW w:w="1039" w:type="dxa"/>
            <w:shd w:val="clear" w:color="000000" w:fill="D9D9D9"/>
            <w:vAlign w:val="center"/>
          </w:tcPr>
          <w:p w:rsidR="00EE0DE6" w:rsidRPr="00BF7A34" w:rsidRDefault="00EE0DE6" w:rsidP="00EE0DE6">
            <w:pPr>
              <w:widowControl/>
              <w:overflowPunct/>
              <w:autoSpaceDE/>
              <w:autoSpaceDN/>
              <w:adjustRightInd/>
              <w:spacing w:before="0" w:after="0"/>
              <w:ind w:right="57"/>
              <w:jc w:val="right"/>
              <w:rPr>
                <w:rFonts w:ascii="Arial Narrow" w:hAnsi="Arial Narrow" w:cs="Calibri"/>
                <w:sz w:val="18"/>
                <w:szCs w:val="18"/>
              </w:rPr>
            </w:pPr>
            <w:r w:rsidRPr="00BF7A34">
              <w:rPr>
                <w:rFonts w:ascii="Arial Narrow" w:hAnsi="Arial Narrow" w:cs="Calibri"/>
                <w:sz w:val="18"/>
                <w:szCs w:val="18"/>
              </w:rPr>
              <w:t>103.234</w:t>
            </w:r>
          </w:p>
        </w:tc>
        <w:tc>
          <w:tcPr>
            <w:tcW w:w="1079" w:type="dxa"/>
            <w:shd w:val="clear" w:color="auto" w:fill="auto"/>
            <w:vAlign w:val="center"/>
          </w:tcPr>
          <w:p w:rsidR="00EE0DE6" w:rsidRPr="00EE0DE6" w:rsidRDefault="00EE0DE6" w:rsidP="00EE0DE6">
            <w:pPr>
              <w:widowControl/>
              <w:overflowPunct/>
              <w:autoSpaceDE/>
              <w:autoSpaceDN/>
              <w:adjustRightInd/>
              <w:spacing w:before="0" w:after="0"/>
              <w:jc w:val="right"/>
              <w:rPr>
                <w:rFonts w:ascii="Arial Narrow" w:hAnsi="Arial Narrow" w:cs="Calibri"/>
                <w:sz w:val="18"/>
                <w:szCs w:val="18"/>
              </w:rPr>
            </w:pPr>
            <w:r w:rsidRPr="00EE0DE6">
              <w:rPr>
                <w:rFonts w:ascii="Arial Narrow" w:hAnsi="Arial Narrow" w:cs="Calibri"/>
                <w:sz w:val="18"/>
                <w:szCs w:val="18"/>
              </w:rPr>
              <w:t>-0,3</w:t>
            </w:r>
          </w:p>
        </w:tc>
        <w:tc>
          <w:tcPr>
            <w:tcW w:w="1059" w:type="dxa"/>
            <w:shd w:val="clear" w:color="000000" w:fill="D9D9D9"/>
            <w:vAlign w:val="center"/>
          </w:tcPr>
          <w:p w:rsidR="00EE0DE6" w:rsidRPr="00EE0DE6" w:rsidRDefault="00EE0DE6" w:rsidP="00EE0DE6">
            <w:pPr>
              <w:widowControl/>
              <w:overflowPunct/>
              <w:autoSpaceDE/>
              <w:autoSpaceDN/>
              <w:adjustRightInd/>
              <w:spacing w:before="0" w:after="0"/>
              <w:jc w:val="right"/>
              <w:rPr>
                <w:rFonts w:ascii="Arial Narrow" w:hAnsi="Arial Narrow" w:cs="Calibri"/>
                <w:sz w:val="18"/>
                <w:szCs w:val="18"/>
              </w:rPr>
            </w:pPr>
            <w:r w:rsidRPr="00EE0DE6">
              <w:rPr>
                <w:rFonts w:ascii="Arial Narrow" w:hAnsi="Arial Narrow" w:cs="Calibri"/>
                <w:sz w:val="18"/>
                <w:szCs w:val="18"/>
              </w:rPr>
              <w:t>-0,1</w:t>
            </w:r>
          </w:p>
        </w:tc>
        <w:tc>
          <w:tcPr>
            <w:tcW w:w="1079" w:type="dxa"/>
            <w:shd w:val="clear" w:color="auto" w:fill="auto"/>
            <w:vAlign w:val="center"/>
          </w:tcPr>
          <w:p w:rsidR="00EE0DE6" w:rsidRPr="00EE0DE6" w:rsidRDefault="00EE0DE6" w:rsidP="00EE0DE6">
            <w:pPr>
              <w:widowControl/>
              <w:overflowPunct/>
              <w:autoSpaceDE/>
              <w:autoSpaceDN/>
              <w:adjustRightInd/>
              <w:spacing w:before="0" w:after="0"/>
              <w:jc w:val="right"/>
              <w:rPr>
                <w:rFonts w:ascii="Arial Narrow" w:hAnsi="Arial Narrow" w:cs="Calibri"/>
                <w:sz w:val="18"/>
                <w:szCs w:val="18"/>
              </w:rPr>
            </w:pPr>
            <w:r w:rsidRPr="00EE0DE6">
              <w:rPr>
                <w:rFonts w:ascii="Arial Narrow" w:hAnsi="Arial Narrow" w:cs="Calibri"/>
                <w:sz w:val="18"/>
                <w:szCs w:val="18"/>
              </w:rPr>
              <w:t>+2,3</w:t>
            </w:r>
          </w:p>
        </w:tc>
        <w:tc>
          <w:tcPr>
            <w:tcW w:w="1080" w:type="dxa"/>
            <w:shd w:val="clear" w:color="000000" w:fill="D9D9D9"/>
            <w:vAlign w:val="center"/>
          </w:tcPr>
          <w:p w:rsidR="00EE0DE6" w:rsidRPr="00EE0DE6" w:rsidRDefault="00EE0DE6" w:rsidP="00EE0DE6">
            <w:pPr>
              <w:widowControl/>
              <w:overflowPunct/>
              <w:autoSpaceDE/>
              <w:autoSpaceDN/>
              <w:adjustRightInd/>
              <w:spacing w:before="0" w:after="0"/>
              <w:jc w:val="right"/>
              <w:rPr>
                <w:rFonts w:ascii="Arial Narrow" w:hAnsi="Arial Narrow" w:cs="Calibri"/>
                <w:sz w:val="18"/>
                <w:szCs w:val="18"/>
              </w:rPr>
            </w:pPr>
            <w:r w:rsidRPr="00EE0DE6">
              <w:rPr>
                <w:rFonts w:ascii="Arial Narrow" w:hAnsi="Arial Narrow" w:cs="Calibri"/>
                <w:sz w:val="18"/>
                <w:szCs w:val="18"/>
              </w:rPr>
              <w:t>+2,6</w:t>
            </w:r>
          </w:p>
        </w:tc>
        <w:tc>
          <w:tcPr>
            <w:tcW w:w="1162" w:type="dxa"/>
            <w:shd w:val="clear" w:color="auto" w:fill="auto"/>
            <w:vAlign w:val="center"/>
          </w:tcPr>
          <w:p w:rsidR="00EE0DE6" w:rsidRPr="00EE0DE6" w:rsidRDefault="00EE0DE6" w:rsidP="00EE0DE6">
            <w:pPr>
              <w:widowControl/>
              <w:overflowPunct/>
              <w:autoSpaceDE/>
              <w:autoSpaceDN/>
              <w:adjustRightInd/>
              <w:spacing w:before="0" w:after="0"/>
              <w:jc w:val="right"/>
              <w:rPr>
                <w:rFonts w:ascii="Arial Narrow" w:hAnsi="Arial Narrow" w:cs="Calibri"/>
                <w:sz w:val="18"/>
                <w:szCs w:val="18"/>
              </w:rPr>
            </w:pPr>
            <w:r w:rsidRPr="00EE0DE6">
              <w:rPr>
                <w:rFonts w:ascii="Arial Narrow" w:hAnsi="Arial Narrow" w:cs="Calibri"/>
                <w:sz w:val="18"/>
                <w:szCs w:val="18"/>
              </w:rPr>
              <w:t>+2,2</w:t>
            </w:r>
          </w:p>
        </w:tc>
      </w:tr>
      <w:tr w:rsidR="00EE0DE6" w:rsidRPr="004F0B16" w:rsidTr="000127DA">
        <w:trPr>
          <w:trHeight w:val="255"/>
          <w:jc w:val="center"/>
        </w:trPr>
        <w:tc>
          <w:tcPr>
            <w:tcW w:w="3528" w:type="dxa"/>
            <w:shd w:val="clear" w:color="000000" w:fill="E42618"/>
            <w:vAlign w:val="center"/>
            <w:hideMark/>
          </w:tcPr>
          <w:p w:rsidR="00EE0DE6" w:rsidRPr="004F0B16" w:rsidRDefault="00EE0DE6" w:rsidP="00EE0DE6">
            <w:pPr>
              <w:widowControl/>
              <w:overflowPunct/>
              <w:autoSpaceDE/>
              <w:autoSpaceDN/>
              <w:adjustRightInd/>
              <w:spacing w:before="0" w:after="0"/>
              <w:rPr>
                <w:rFonts w:ascii="Arial Narrow" w:hAnsi="Arial Narrow" w:cs="Arial"/>
                <w:b/>
                <w:color w:val="FFFFFF" w:themeColor="background1"/>
                <w:kern w:val="0"/>
                <w:sz w:val="18"/>
                <w:szCs w:val="18"/>
              </w:rPr>
            </w:pPr>
            <w:r w:rsidRPr="004F0B16">
              <w:rPr>
                <w:rFonts w:ascii="Arial Narrow" w:hAnsi="Arial Narrow" w:cs="Arial"/>
                <w:b/>
                <w:color w:val="FFFFFF" w:themeColor="background1"/>
                <w:kern w:val="0"/>
                <w:sz w:val="18"/>
                <w:szCs w:val="18"/>
              </w:rPr>
              <w:t>Indice generale</w:t>
            </w:r>
          </w:p>
        </w:tc>
        <w:tc>
          <w:tcPr>
            <w:tcW w:w="1039" w:type="dxa"/>
            <w:shd w:val="clear" w:color="000000" w:fill="E42618"/>
            <w:vAlign w:val="center"/>
          </w:tcPr>
          <w:p w:rsidR="00EE0DE6" w:rsidRPr="00BF7A34" w:rsidRDefault="00EE0DE6" w:rsidP="00EE0DE6">
            <w:pPr>
              <w:widowControl/>
              <w:overflowPunct/>
              <w:autoSpaceDE/>
              <w:autoSpaceDN/>
              <w:adjustRightInd/>
              <w:spacing w:before="0" w:after="0"/>
              <w:ind w:right="57"/>
              <w:jc w:val="right"/>
              <w:rPr>
                <w:rFonts w:ascii="Arial Narrow" w:hAnsi="Arial Narrow" w:cs="Calibri"/>
                <w:b/>
                <w:color w:val="FFFFFF" w:themeColor="background1"/>
                <w:sz w:val="18"/>
                <w:szCs w:val="18"/>
              </w:rPr>
            </w:pPr>
            <w:r w:rsidRPr="00BF7A34">
              <w:rPr>
                <w:rFonts w:ascii="Arial Narrow" w:hAnsi="Arial Narrow" w:cs="Calibri"/>
                <w:b/>
                <w:color w:val="FFFFFF" w:themeColor="background1"/>
                <w:sz w:val="18"/>
                <w:szCs w:val="18"/>
              </w:rPr>
              <w:t>1.000.000</w:t>
            </w:r>
          </w:p>
        </w:tc>
        <w:tc>
          <w:tcPr>
            <w:tcW w:w="1079" w:type="dxa"/>
            <w:shd w:val="clear" w:color="000000" w:fill="E42618"/>
            <w:vAlign w:val="center"/>
          </w:tcPr>
          <w:p w:rsidR="00EE0DE6" w:rsidRPr="00EE0DE6" w:rsidRDefault="00EE0DE6" w:rsidP="00EE0DE6">
            <w:pPr>
              <w:widowControl/>
              <w:overflowPunct/>
              <w:autoSpaceDE/>
              <w:autoSpaceDN/>
              <w:adjustRightInd/>
              <w:spacing w:before="0" w:after="0"/>
              <w:jc w:val="right"/>
              <w:rPr>
                <w:rFonts w:ascii="Arial Narrow" w:hAnsi="Arial Narrow" w:cs="Calibri"/>
                <w:b/>
                <w:color w:val="FFFFFF" w:themeColor="background1"/>
                <w:sz w:val="18"/>
                <w:szCs w:val="18"/>
              </w:rPr>
            </w:pPr>
            <w:r w:rsidRPr="00EE0DE6">
              <w:rPr>
                <w:rFonts w:ascii="Arial Narrow" w:hAnsi="Arial Narrow" w:cs="Calibri"/>
                <w:b/>
                <w:color w:val="FFFFFF" w:themeColor="background1"/>
                <w:sz w:val="18"/>
                <w:szCs w:val="18"/>
              </w:rPr>
              <w:t>-0,8</w:t>
            </w:r>
          </w:p>
        </w:tc>
        <w:tc>
          <w:tcPr>
            <w:tcW w:w="1059" w:type="dxa"/>
            <w:shd w:val="clear" w:color="000000" w:fill="E42618"/>
            <w:vAlign w:val="center"/>
          </w:tcPr>
          <w:p w:rsidR="00EE0DE6" w:rsidRPr="00EE0DE6" w:rsidRDefault="00EE0DE6" w:rsidP="00EE0DE6">
            <w:pPr>
              <w:widowControl/>
              <w:overflowPunct/>
              <w:autoSpaceDE/>
              <w:autoSpaceDN/>
              <w:adjustRightInd/>
              <w:spacing w:before="0" w:after="0"/>
              <w:jc w:val="right"/>
              <w:rPr>
                <w:rFonts w:ascii="Arial Narrow" w:hAnsi="Arial Narrow" w:cs="Calibri"/>
                <w:b/>
                <w:color w:val="FFFFFF" w:themeColor="background1"/>
                <w:sz w:val="18"/>
                <w:szCs w:val="18"/>
              </w:rPr>
            </w:pPr>
            <w:r w:rsidRPr="00EE0DE6">
              <w:rPr>
                <w:rFonts w:ascii="Arial Narrow" w:hAnsi="Arial Narrow" w:cs="Calibri"/>
                <w:b/>
                <w:color w:val="FFFFFF" w:themeColor="background1"/>
                <w:sz w:val="18"/>
                <w:szCs w:val="18"/>
              </w:rPr>
              <w:t>-1,6</w:t>
            </w:r>
          </w:p>
        </w:tc>
        <w:tc>
          <w:tcPr>
            <w:tcW w:w="1079" w:type="dxa"/>
            <w:shd w:val="clear" w:color="000000" w:fill="E42618"/>
            <w:vAlign w:val="center"/>
          </w:tcPr>
          <w:p w:rsidR="00EE0DE6" w:rsidRPr="00EE0DE6" w:rsidRDefault="00EE0DE6" w:rsidP="00EE0DE6">
            <w:pPr>
              <w:widowControl/>
              <w:overflowPunct/>
              <w:autoSpaceDE/>
              <w:autoSpaceDN/>
              <w:adjustRightInd/>
              <w:spacing w:before="0" w:after="0"/>
              <w:jc w:val="right"/>
              <w:rPr>
                <w:rFonts w:ascii="Arial Narrow" w:hAnsi="Arial Narrow" w:cs="Calibri"/>
                <w:b/>
                <w:color w:val="FFFFFF" w:themeColor="background1"/>
                <w:sz w:val="18"/>
                <w:szCs w:val="18"/>
              </w:rPr>
            </w:pPr>
            <w:r w:rsidRPr="00EE0DE6">
              <w:rPr>
                <w:rFonts w:ascii="Arial Narrow" w:hAnsi="Arial Narrow" w:cs="Calibri"/>
                <w:b/>
                <w:color w:val="FFFFFF" w:themeColor="background1"/>
                <w:sz w:val="18"/>
                <w:szCs w:val="18"/>
              </w:rPr>
              <w:t>+1,7</w:t>
            </w:r>
          </w:p>
        </w:tc>
        <w:tc>
          <w:tcPr>
            <w:tcW w:w="1080" w:type="dxa"/>
            <w:shd w:val="clear" w:color="000000" w:fill="E42618"/>
            <w:vAlign w:val="center"/>
          </w:tcPr>
          <w:p w:rsidR="00EE0DE6" w:rsidRPr="00EE0DE6" w:rsidRDefault="00EE0DE6" w:rsidP="00EE0DE6">
            <w:pPr>
              <w:widowControl/>
              <w:overflowPunct/>
              <w:autoSpaceDE/>
              <w:autoSpaceDN/>
              <w:adjustRightInd/>
              <w:spacing w:before="0" w:after="0"/>
              <w:jc w:val="right"/>
              <w:rPr>
                <w:rFonts w:ascii="Arial Narrow" w:hAnsi="Arial Narrow" w:cs="Calibri"/>
                <w:b/>
                <w:color w:val="FFFFFF" w:themeColor="background1"/>
                <w:sz w:val="18"/>
                <w:szCs w:val="18"/>
              </w:rPr>
            </w:pPr>
            <w:r w:rsidRPr="00EE0DE6">
              <w:rPr>
                <w:rFonts w:ascii="Arial Narrow" w:hAnsi="Arial Narrow" w:cs="Calibri"/>
                <w:b/>
                <w:color w:val="FFFFFF" w:themeColor="background1"/>
                <w:sz w:val="18"/>
                <w:szCs w:val="18"/>
              </w:rPr>
              <w:t>+0,9</w:t>
            </w:r>
          </w:p>
        </w:tc>
        <w:tc>
          <w:tcPr>
            <w:tcW w:w="1162" w:type="dxa"/>
            <w:shd w:val="clear" w:color="000000" w:fill="E42618"/>
            <w:vAlign w:val="center"/>
          </w:tcPr>
          <w:p w:rsidR="00EE0DE6" w:rsidRPr="00EE0DE6" w:rsidRDefault="00EE0DE6" w:rsidP="00EE0DE6">
            <w:pPr>
              <w:widowControl/>
              <w:overflowPunct/>
              <w:autoSpaceDE/>
              <w:autoSpaceDN/>
              <w:adjustRightInd/>
              <w:spacing w:before="0" w:after="0"/>
              <w:jc w:val="right"/>
              <w:rPr>
                <w:rFonts w:ascii="Arial Narrow" w:hAnsi="Arial Narrow" w:cs="Calibri"/>
                <w:b/>
                <w:color w:val="FFFFFF" w:themeColor="background1"/>
                <w:sz w:val="18"/>
                <w:szCs w:val="18"/>
              </w:rPr>
            </w:pPr>
            <w:r w:rsidRPr="00EE0DE6">
              <w:rPr>
                <w:rFonts w:ascii="Arial Narrow" w:hAnsi="Arial Narrow" w:cs="Calibri"/>
                <w:b/>
                <w:color w:val="FFFFFF" w:themeColor="background1"/>
                <w:sz w:val="18"/>
                <w:szCs w:val="18"/>
              </w:rPr>
              <w:t>+0,7</w:t>
            </w:r>
          </w:p>
        </w:tc>
      </w:tr>
    </w:tbl>
    <w:p w:rsidR="005031DD" w:rsidRPr="003300C5" w:rsidRDefault="005031DD" w:rsidP="005031DD">
      <w:pPr>
        <w:widowControl/>
        <w:tabs>
          <w:tab w:val="left" w:pos="2041"/>
        </w:tabs>
        <w:overflowPunct/>
        <w:spacing w:before="0" w:after="0" w:line="240" w:lineRule="exact"/>
        <w:jc w:val="both"/>
        <w:rPr>
          <w:rFonts w:ascii="Arial" w:hAnsi="Arial" w:cs="Arial"/>
          <w:b/>
          <w:sz w:val="22"/>
          <w:szCs w:val="22"/>
        </w:rPr>
      </w:pPr>
      <w:r>
        <w:rPr>
          <w:rFonts w:ascii="Arial" w:hAnsi="Arial" w:cs="Arial"/>
          <w:b/>
        </w:rPr>
        <w:br w:type="page"/>
      </w:r>
    </w:p>
    <w:p w:rsidR="00DE7367" w:rsidRPr="00521958" w:rsidRDefault="00DE7367" w:rsidP="00521958">
      <w:pPr>
        <w:spacing w:before="0" w:after="120"/>
        <w:jc w:val="both"/>
        <w:rPr>
          <w:rFonts w:ascii="Arial" w:hAnsi="Arial" w:cs="Arial"/>
          <w:b/>
        </w:rPr>
      </w:pPr>
    </w:p>
    <w:p w:rsidR="00344F4E" w:rsidRDefault="00344F4E" w:rsidP="008153C3">
      <w:pPr>
        <w:pStyle w:val="001TitoloBolocco"/>
        <w:spacing w:after="120" w:line="240" w:lineRule="auto"/>
      </w:pPr>
      <w:r>
        <w:t xml:space="preserve">Gli aggregati speciali </w:t>
      </w:r>
    </w:p>
    <w:p w:rsidR="00DE7367" w:rsidRDefault="00DE7367" w:rsidP="00DE7367">
      <w:pPr>
        <w:spacing w:before="0" w:after="120"/>
        <w:jc w:val="both"/>
        <w:rPr>
          <w:rFonts w:ascii="Arial" w:hAnsi="Arial" w:cs="Arial"/>
          <w:b/>
        </w:rPr>
      </w:pPr>
    </w:p>
    <w:p w:rsidR="00344F4E" w:rsidRDefault="00344F4E" w:rsidP="00344F4E">
      <w:pPr>
        <w:pStyle w:val="001TitoGra"/>
      </w:pPr>
      <w:r w:rsidRPr="002B4B86">
        <w:rPr>
          <w:rStyle w:val="001TitoGraRed"/>
        </w:rPr>
        <w:t xml:space="preserve">PROSPETTO </w:t>
      </w:r>
      <w:r w:rsidR="0076392F">
        <w:rPr>
          <w:rStyle w:val="001TitoGraRed"/>
        </w:rPr>
        <w:t>6</w:t>
      </w:r>
      <w:r w:rsidRPr="002B4B86">
        <w:rPr>
          <w:rStyle w:val="001TitoGraRed"/>
        </w:rPr>
        <w:t>.</w:t>
      </w:r>
      <w:r w:rsidRPr="00482C3D">
        <w:t xml:space="preserve"> INDICI DEI PREZZI AL CONSUMO IPCA PER AGGREGATI </w:t>
      </w:r>
      <w:r w:rsidR="00C65517" w:rsidRPr="00C8504B">
        <w:rPr>
          <w:rFonts w:cs="Calibri"/>
          <w:bCs/>
          <w:kern w:val="0"/>
        </w:rPr>
        <w:t>SPECIALI</w:t>
      </w:r>
      <w:r w:rsidR="00DE7367">
        <w:rPr>
          <w:rFonts w:cs="Calibri"/>
          <w:bCs/>
          <w:kern w:val="0"/>
        </w:rPr>
        <w:t xml:space="preserve"> </w:t>
      </w:r>
      <w:r w:rsidR="00C65517">
        <w:rPr>
          <w:rFonts w:cs="Calibri"/>
          <w:bCs/>
          <w:kern w:val="0"/>
          <w:vertAlign w:val="superscript"/>
        </w:rPr>
        <w:t>(*)</w:t>
      </w:r>
    </w:p>
    <w:p w:rsidR="005031DD" w:rsidRDefault="00CD5784" w:rsidP="005031DD">
      <w:pPr>
        <w:pStyle w:val="001SottotitoloGra"/>
        <w:spacing w:line="240" w:lineRule="auto"/>
        <w:rPr>
          <w:rFonts w:ascii="Arial" w:hAnsi="Arial"/>
        </w:rPr>
      </w:pPr>
      <w:r>
        <w:t>Luglio</w:t>
      </w:r>
      <w:r w:rsidR="004B3ACE">
        <w:t xml:space="preserve"> 2024</w:t>
      </w:r>
      <w:r w:rsidR="005031DD" w:rsidRPr="00482C3D">
        <w:t xml:space="preserve">, pesi e variazioni percentuali </w:t>
      </w:r>
      <w:r w:rsidR="005031DD">
        <w:t xml:space="preserve">congiunturali e tendenziali </w:t>
      </w:r>
      <w:r w:rsidR="005031DD" w:rsidRPr="00482C3D">
        <w:t>(base 20</w:t>
      </w:r>
      <w:r w:rsidR="005031DD">
        <w:t>15</w:t>
      </w:r>
      <w:r w:rsidR="005031DD" w:rsidRPr="00482C3D">
        <w:t>=100)</w:t>
      </w:r>
    </w:p>
    <w:tbl>
      <w:tblPr>
        <w:tblW w:w="10239" w:type="dxa"/>
        <w:tblInd w:w="70" w:type="dxa"/>
        <w:tblBorders>
          <w:top w:val="single" w:sz="4" w:space="0" w:color="auto"/>
          <w:bottom w:val="single" w:sz="4" w:space="0" w:color="auto"/>
          <w:insideH w:val="single" w:sz="4" w:space="0" w:color="auto"/>
        </w:tblBorders>
        <w:tblCellMar>
          <w:left w:w="70" w:type="dxa"/>
          <w:right w:w="70" w:type="dxa"/>
        </w:tblCellMar>
        <w:tblLook w:val="04A0" w:firstRow="1" w:lastRow="0" w:firstColumn="1" w:lastColumn="0" w:noHBand="0" w:noVBand="1"/>
      </w:tblPr>
      <w:tblGrid>
        <w:gridCol w:w="4131"/>
        <w:gridCol w:w="1028"/>
        <w:gridCol w:w="1066"/>
        <w:gridCol w:w="1067"/>
        <w:gridCol w:w="1047"/>
        <w:gridCol w:w="931"/>
        <w:gridCol w:w="969"/>
      </w:tblGrid>
      <w:tr w:rsidR="004B3ACE" w:rsidRPr="004B2A9B" w:rsidTr="004B3ACE">
        <w:trPr>
          <w:trHeight w:val="244"/>
        </w:trPr>
        <w:tc>
          <w:tcPr>
            <w:tcW w:w="4131" w:type="dxa"/>
            <w:vMerge w:val="restart"/>
            <w:shd w:val="clear" w:color="auto" w:fill="auto"/>
            <w:vAlign w:val="center"/>
            <w:hideMark/>
          </w:tcPr>
          <w:p w:rsidR="004B3ACE" w:rsidRPr="004B2A9B" w:rsidRDefault="004B3ACE" w:rsidP="004B3ACE">
            <w:pPr>
              <w:widowControl/>
              <w:overflowPunct/>
              <w:autoSpaceDE/>
              <w:autoSpaceDN/>
              <w:adjustRightInd/>
              <w:spacing w:before="0" w:after="0"/>
              <w:rPr>
                <w:rFonts w:ascii="Arial Narrow" w:hAnsi="Arial Narrow" w:cs="Arial"/>
                <w:b/>
                <w:bCs/>
                <w:kern w:val="0"/>
                <w:sz w:val="18"/>
                <w:szCs w:val="18"/>
              </w:rPr>
            </w:pPr>
            <w:r w:rsidRPr="004B2A9B">
              <w:rPr>
                <w:rFonts w:ascii="Arial Narrow" w:hAnsi="Arial Narrow" w:cs="Arial"/>
                <w:b/>
                <w:bCs/>
                <w:kern w:val="0"/>
                <w:sz w:val="18"/>
                <w:szCs w:val="18"/>
              </w:rPr>
              <w:t>AGGREGATI SPECIALI</w:t>
            </w:r>
          </w:p>
        </w:tc>
        <w:tc>
          <w:tcPr>
            <w:tcW w:w="1028" w:type="dxa"/>
            <w:vMerge w:val="restart"/>
            <w:shd w:val="clear" w:color="000000" w:fill="D9D9D9"/>
            <w:vAlign w:val="center"/>
            <w:hideMark/>
          </w:tcPr>
          <w:p w:rsidR="004B3ACE" w:rsidRPr="004B2A9B" w:rsidRDefault="004B3ACE" w:rsidP="004B3ACE">
            <w:pPr>
              <w:widowControl/>
              <w:overflowPunct/>
              <w:autoSpaceDE/>
              <w:autoSpaceDN/>
              <w:adjustRightInd/>
              <w:spacing w:before="0" w:after="0"/>
              <w:jc w:val="right"/>
              <w:rPr>
                <w:rFonts w:ascii="Arial Narrow" w:hAnsi="Arial Narrow" w:cs="Arial"/>
                <w:b/>
                <w:bCs/>
                <w:kern w:val="0"/>
                <w:sz w:val="18"/>
                <w:szCs w:val="18"/>
              </w:rPr>
            </w:pPr>
            <w:r w:rsidRPr="004B2A9B">
              <w:rPr>
                <w:rFonts w:ascii="Arial Narrow" w:hAnsi="Arial Narrow" w:cs="Arial"/>
                <w:b/>
                <w:bCs/>
                <w:kern w:val="0"/>
                <w:sz w:val="18"/>
                <w:szCs w:val="18"/>
              </w:rPr>
              <w:t>Pesi</w:t>
            </w:r>
          </w:p>
        </w:tc>
        <w:tc>
          <w:tcPr>
            <w:tcW w:w="2133" w:type="dxa"/>
            <w:gridSpan w:val="2"/>
            <w:shd w:val="clear" w:color="auto" w:fill="auto"/>
            <w:vAlign w:val="center"/>
            <w:hideMark/>
          </w:tcPr>
          <w:p w:rsidR="004B3ACE" w:rsidRPr="004B2A9B" w:rsidRDefault="004B3ACE" w:rsidP="004B3ACE">
            <w:pPr>
              <w:widowControl/>
              <w:overflowPunct/>
              <w:autoSpaceDE/>
              <w:autoSpaceDN/>
              <w:adjustRightInd/>
              <w:spacing w:before="0" w:after="0"/>
              <w:jc w:val="center"/>
              <w:rPr>
                <w:rFonts w:ascii="Arial Narrow" w:hAnsi="Arial Narrow" w:cs="Arial"/>
                <w:b/>
                <w:bCs/>
                <w:kern w:val="0"/>
                <w:sz w:val="18"/>
                <w:szCs w:val="18"/>
              </w:rPr>
            </w:pPr>
            <w:r w:rsidRPr="004B2A9B">
              <w:rPr>
                <w:rFonts w:ascii="Arial Narrow" w:hAnsi="Arial Narrow" w:cs="Arial"/>
                <w:b/>
                <w:bCs/>
                <w:kern w:val="0"/>
                <w:sz w:val="18"/>
                <w:szCs w:val="18"/>
              </w:rPr>
              <w:t>Variazioni congiunturali</w:t>
            </w:r>
          </w:p>
        </w:tc>
        <w:tc>
          <w:tcPr>
            <w:tcW w:w="1978" w:type="dxa"/>
            <w:gridSpan w:val="2"/>
            <w:shd w:val="clear" w:color="000000" w:fill="D9D9D9"/>
            <w:vAlign w:val="center"/>
            <w:hideMark/>
          </w:tcPr>
          <w:p w:rsidR="004B3ACE" w:rsidRPr="004B2A9B" w:rsidRDefault="004B3ACE" w:rsidP="004B3ACE">
            <w:pPr>
              <w:widowControl/>
              <w:overflowPunct/>
              <w:autoSpaceDE/>
              <w:autoSpaceDN/>
              <w:adjustRightInd/>
              <w:spacing w:before="0" w:after="0"/>
              <w:jc w:val="center"/>
              <w:rPr>
                <w:rFonts w:ascii="Arial Narrow" w:hAnsi="Arial Narrow" w:cs="Arial"/>
                <w:b/>
                <w:bCs/>
                <w:kern w:val="0"/>
                <w:sz w:val="18"/>
                <w:szCs w:val="18"/>
              </w:rPr>
            </w:pPr>
            <w:r w:rsidRPr="004B2A9B">
              <w:rPr>
                <w:rFonts w:ascii="Arial Narrow" w:hAnsi="Arial Narrow" w:cs="Arial"/>
                <w:b/>
                <w:bCs/>
                <w:kern w:val="0"/>
                <w:sz w:val="18"/>
                <w:szCs w:val="18"/>
              </w:rPr>
              <w:t>Variazioni tendenziali</w:t>
            </w:r>
          </w:p>
        </w:tc>
        <w:tc>
          <w:tcPr>
            <w:tcW w:w="969" w:type="dxa"/>
            <w:vMerge w:val="restart"/>
            <w:shd w:val="clear" w:color="auto" w:fill="auto"/>
            <w:vAlign w:val="center"/>
            <w:hideMark/>
          </w:tcPr>
          <w:p w:rsidR="004B3ACE" w:rsidRPr="008814F3" w:rsidRDefault="004B3ACE" w:rsidP="00CD5784">
            <w:pPr>
              <w:widowControl/>
              <w:overflowPunct/>
              <w:autoSpaceDE/>
              <w:autoSpaceDN/>
              <w:adjustRightInd/>
              <w:spacing w:before="40" w:after="20"/>
              <w:jc w:val="right"/>
              <w:rPr>
                <w:rFonts w:ascii="Arial Narrow" w:hAnsi="Arial Narrow" w:cs="Arial"/>
                <w:b/>
                <w:bCs/>
                <w:kern w:val="0"/>
                <w:sz w:val="18"/>
                <w:szCs w:val="18"/>
              </w:rPr>
            </w:pPr>
            <w:r w:rsidRPr="008814F3">
              <w:rPr>
                <w:rFonts w:ascii="Arial Narrow" w:hAnsi="Arial Narrow" w:cs="Arial"/>
                <w:b/>
                <w:bCs/>
                <w:kern w:val="0"/>
                <w:sz w:val="18"/>
                <w:szCs w:val="18"/>
              </w:rPr>
              <w:t>Inflazione</w:t>
            </w:r>
            <w:r>
              <w:rPr>
                <w:rFonts w:ascii="Arial Narrow" w:hAnsi="Arial Narrow" w:cs="Arial"/>
                <w:b/>
                <w:bCs/>
                <w:kern w:val="0"/>
                <w:sz w:val="18"/>
                <w:szCs w:val="18"/>
              </w:rPr>
              <w:t xml:space="preserve"> </w:t>
            </w:r>
            <w:r w:rsidRPr="008814F3">
              <w:rPr>
                <w:rFonts w:ascii="Arial Narrow" w:hAnsi="Arial Narrow" w:cs="Arial"/>
                <w:b/>
                <w:bCs/>
                <w:kern w:val="0"/>
                <w:sz w:val="18"/>
                <w:szCs w:val="18"/>
              </w:rPr>
              <w:t>acquisita</w:t>
            </w:r>
            <w:r>
              <w:rPr>
                <w:rFonts w:ascii="Arial Narrow" w:hAnsi="Arial Narrow" w:cs="Arial"/>
                <w:b/>
                <w:bCs/>
                <w:kern w:val="0"/>
                <w:sz w:val="18"/>
                <w:szCs w:val="18"/>
              </w:rPr>
              <w:t xml:space="preserve">               a</w:t>
            </w:r>
            <w:r w:rsidR="009C7C2E">
              <w:rPr>
                <w:rFonts w:ascii="Arial Narrow" w:hAnsi="Arial Narrow" w:cs="Arial"/>
                <w:b/>
                <w:bCs/>
                <w:kern w:val="0"/>
                <w:sz w:val="18"/>
                <w:szCs w:val="18"/>
              </w:rPr>
              <w:t xml:space="preserve"> </w:t>
            </w:r>
            <w:r w:rsidR="00CD5784">
              <w:rPr>
                <w:rFonts w:ascii="Arial Narrow" w:hAnsi="Arial Narrow" w:cs="Arial"/>
                <w:b/>
                <w:bCs/>
                <w:kern w:val="0"/>
                <w:sz w:val="18"/>
                <w:szCs w:val="18"/>
              </w:rPr>
              <w:t>lugli</w:t>
            </w:r>
            <w:r w:rsidR="00A5560D">
              <w:rPr>
                <w:rFonts w:ascii="Arial Narrow" w:hAnsi="Arial Narrow" w:cs="Arial"/>
                <w:b/>
                <w:bCs/>
                <w:kern w:val="0"/>
                <w:sz w:val="18"/>
                <w:szCs w:val="18"/>
              </w:rPr>
              <w:t>o</w:t>
            </w:r>
          </w:p>
        </w:tc>
      </w:tr>
      <w:tr w:rsidR="00CD5784" w:rsidRPr="004B2A9B" w:rsidTr="004B3ACE">
        <w:trPr>
          <w:trHeight w:val="244"/>
        </w:trPr>
        <w:tc>
          <w:tcPr>
            <w:tcW w:w="4131" w:type="dxa"/>
            <w:vMerge/>
            <w:vAlign w:val="center"/>
            <w:hideMark/>
          </w:tcPr>
          <w:p w:rsidR="00CD5784" w:rsidRPr="004B2A9B" w:rsidRDefault="00CD5784" w:rsidP="00CD5784">
            <w:pPr>
              <w:widowControl/>
              <w:overflowPunct/>
              <w:autoSpaceDE/>
              <w:autoSpaceDN/>
              <w:adjustRightInd/>
              <w:spacing w:before="0" w:after="0"/>
              <w:rPr>
                <w:rFonts w:ascii="Arial Narrow" w:hAnsi="Arial Narrow" w:cs="Arial"/>
                <w:b/>
                <w:bCs/>
                <w:kern w:val="0"/>
                <w:sz w:val="18"/>
                <w:szCs w:val="18"/>
              </w:rPr>
            </w:pPr>
          </w:p>
        </w:tc>
        <w:tc>
          <w:tcPr>
            <w:tcW w:w="1028" w:type="dxa"/>
            <w:vMerge/>
            <w:vAlign w:val="center"/>
            <w:hideMark/>
          </w:tcPr>
          <w:p w:rsidR="00CD5784" w:rsidRPr="004B2A9B" w:rsidRDefault="00CD5784" w:rsidP="00CD5784">
            <w:pPr>
              <w:widowControl/>
              <w:overflowPunct/>
              <w:autoSpaceDE/>
              <w:autoSpaceDN/>
              <w:adjustRightInd/>
              <w:spacing w:before="0" w:after="0"/>
              <w:rPr>
                <w:rFonts w:ascii="Arial Narrow" w:hAnsi="Arial Narrow" w:cs="Arial"/>
                <w:b/>
                <w:bCs/>
                <w:kern w:val="0"/>
                <w:sz w:val="18"/>
                <w:szCs w:val="18"/>
              </w:rPr>
            </w:pPr>
          </w:p>
        </w:tc>
        <w:tc>
          <w:tcPr>
            <w:tcW w:w="1066" w:type="dxa"/>
            <w:shd w:val="clear" w:color="auto" w:fill="auto"/>
            <w:vAlign w:val="center"/>
            <w:hideMark/>
          </w:tcPr>
          <w:p w:rsidR="00CD5784" w:rsidRPr="00DB5B05" w:rsidRDefault="00CD5784" w:rsidP="00CD5784">
            <w:pPr>
              <w:widowControl/>
              <w:overflowPunct/>
              <w:autoSpaceDE/>
              <w:autoSpaceDN/>
              <w:adjustRightInd/>
              <w:spacing w:before="40" w:after="20"/>
              <w:jc w:val="right"/>
              <w:rPr>
                <w:rFonts w:ascii="Arial Narrow" w:hAnsi="Arial Narrow" w:cs="Arial"/>
                <w:kern w:val="0"/>
                <w:sz w:val="18"/>
                <w:szCs w:val="18"/>
                <w:u w:val="single"/>
              </w:rPr>
            </w:pPr>
            <w:r>
              <w:rPr>
                <w:rFonts w:ascii="Arial Narrow" w:hAnsi="Arial Narrow" w:cs="Arial"/>
                <w:kern w:val="0"/>
                <w:sz w:val="18"/>
                <w:szCs w:val="18"/>
                <w:u w:val="single"/>
              </w:rPr>
              <w:t>lug</w:t>
            </w:r>
            <w:r w:rsidRPr="00DB5B05">
              <w:rPr>
                <w:rFonts w:ascii="Arial Narrow" w:hAnsi="Arial Narrow" w:cs="Arial"/>
                <w:kern w:val="0"/>
                <w:sz w:val="18"/>
                <w:szCs w:val="18"/>
                <w:u w:val="single"/>
              </w:rPr>
              <w:t>-2</w:t>
            </w:r>
            <w:r>
              <w:rPr>
                <w:rFonts w:ascii="Arial Narrow" w:hAnsi="Arial Narrow" w:cs="Arial"/>
                <w:kern w:val="0"/>
                <w:sz w:val="18"/>
                <w:szCs w:val="18"/>
                <w:u w:val="single"/>
              </w:rPr>
              <w:t>4</w:t>
            </w:r>
          </w:p>
          <w:p w:rsidR="00CD5784" w:rsidRPr="00DB5B05" w:rsidRDefault="00CD5784" w:rsidP="00CD5784">
            <w:pPr>
              <w:widowControl/>
              <w:overflowPunct/>
              <w:autoSpaceDE/>
              <w:autoSpaceDN/>
              <w:adjustRightInd/>
              <w:spacing w:before="40" w:after="20"/>
              <w:jc w:val="right"/>
              <w:rPr>
                <w:rFonts w:ascii="Arial Narrow" w:hAnsi="Arial Narrow" w:cs="Arial"/>
                <w:kern w:val="0"/>
                <w:sz w:val="18"/>
                <w:szCs w:val="18"/>
              </w:rPr>
            </w:pPr>
            <w:r>
              <w:rPr>
                <w:rFonts w:ascii="Arial Narrow" w:hAnsi="Arial Narrow" w:cs="Arial"/>
                <w:kern w:val="0"/>
                <w:sz w:val="18"/>
                <w:szCs w:val="18"/>
              </w:rPr>
              <w:t>giu</w:t>
            </w:r>
            <w:r w:rsidRPr="00DB5B05">
              <w:rPr>
                <w:rFonts w:ascii="Arial Narrow" w:hAnsi="Arial Narrow" w:cs="Arial"/>
                <w:kern w:val="0"/>
                <w:sz w:val="18"/>
                <w:szCs w:val="18"/>
              </w:rPr>
              <w:t>-2</w:t>
            </w:r>
            <w:r>
              <w:rPr>
                <w:rFonts w:ascii="Arial Narrow" w:hAnsi="Arial Narrow" w:cs="Arial"/>
                <w:kern w:val="0"/>
                <w:sz w:val="18"/>
                <w:szCs w:val="18"/>
              </w:rPr>
              <w:t>4</w:t>
            </w:r>
          </w:p>
        </w:tc>
        <w:tc>
          <w:tcPr>
            <w:tcW w:w="1067" w:type="dxa"/>
            <w:shd w:val="clear" w:color="auto" w:fill="auto"/>
            <w:vAlign w:val="center"/>
            <w:hideMark/>
          </w:tcPr>
          <w:p w:rsidR="00CD5784" w:rsidRPr="00DB5B05" w:rsidRDefault="00CD5784" w:rsidP="00CD5784">
            <w:pPr>
              <w:widowControl/>
              <w:overflowPunct/>
              <w:autoSpaceDE/>
              <w:autoSpaceDN/>
              <w:adjustRightInd/>
              <w:spacing w:before="40" w:after="20"/>
              <w:jc w:val="right"/>
              <w:rPr>
                <w:rFonts w:ascii="Arial Narrow" w:hAnsi="Arial Narrow" w:cs="Arial"/>
                <w:kern w:val="0"/>
                <w:sz w:val="18"/>
                <w:szCs w:val="18"/>
                <w:u w:val="single"/>
              </w:rPr>
            </w:pPr>
            <w:r>
              <w:rPr>
                <w:rFonts w:ascii="Arial Narrow" w:hAnsi="Arial Narrow" w:cs="Arial"/>
                <w:kern w:val="0"/>
                <w:sz w:val="18"/>
                <w:szCs w:val="18"/>
                <w:u w:val="single"/>
              </w:rPr>
              <w:t>lug</w:t>
            </w:r>
            <w:r w:rsidRPr="00DB5B05">
              <w:rPr>
                <w:rFonts w:ascii="Arial Narrow" w:hAnsi="Arial Narrow" w:cs="Arial"/>
                <w:kern w:val="0"/>
                <w:sz w:val="18"/>
                <w:szCs w:val="18"/>
                <w:u w:val="single"/>
              </w:rPr>
              <w:t>-2</w:t>
            </w:r>
            <w:r>
              <w:rPr>
                <w:rFonts w:ascii="Arial Narrow" w:hAnsi="Arial Narrow" w:cs="Arial"/>
                <w:kern w:val="0"/>
                <w:sz w:val="18"/>
                <w:szCs w:val="18"/>
                <w:u w:val="single"/>
              </w:rPr>
              <w:t>3</w:t>
            </w:r>
          </w:p>
          <w:p w:rsidR="00CD5784" w:rsidRPr="00DB5B05" w:rsidRDefault="00CD5784" w:rsidP="00CD5784">
            <w:pPr>
              <w:widowControl/>
              <w:overflowPunct/>
              <w:autoSpaceDE/>
              <w:autoSpaceDN/>
              <w:adjustRightInd/>
              <w:spacing w:before="40" w:after="20"/>
              <w:jc w:val="right"/>
              <w:rPr>
                <w:rFonts w:ascii="Arial Narrow" w:hAnsi="Arial Narrow" w:cs="Arial"/>
                <w:kern w:val="0"/>
                <w:sz w:val="18"/>
                <w:szCs w:val="18"/>
                <w:u w:val="single"/>
              </w:rPr>
            </w:pPr>
            <w:r>
              <w:rPr>
                <w:rFonts w:ascii="Arial Narrow" w:hAnsi="Arial Narrow" w:cs="Arial"/>
                <w:kern w:val="0"/>
                <w:sz w:val="18"/>
                <w:szCs w:val="18"/>
              </w:rPr>
              <w:t>giu</w:t>
            </w:r>
            <w:r w:rsidRPr="00DB5B05">
              <w:rPr>
                <w:rFonts w:ascii="Arial Narrow" w:hAnsi="Arial Narrow" w:cs="Arial"/>
                <w:kern w:val="0"/>
                <w:sz w:val="18"/>
                <w:szCs w:val="18"/>
              </w:rPr>
              <w:t>-2</w:t>
            </w:r>
            <w:r>
              <w:rPr>
                <w:rFonts w:ascii="Arial Narrow" w:hAnsi="Arial Narrow" w:cs="Arial"/>
                <w:kern w:val="0"/>
                <w:sz w:val="18"/>
                <w:szCs w:val="18"/>
              </w:rPr>
              <w:t>3</w:t>
            </w:r>
          </w:p>
        </w:tc>
        <w:tc>
          <w:tcPr>
            <w:tcW w:w="1047" w:type="dxa"/>
            <w:shd w:val="clear" w:color="auto" w:fill="auto"/>
            <w:vAlign w:val="center"/>
            <w:hideMark/>
          </w:tcPr>
          <w:p w:rsidR="00CD5784" w:rsidRPr="00DB5B05" w:rsidRDefault="00CD5784" w:rsidP="00CD5784">
            <w:pPr>
              <w:widowControl/>
              <w:overflowPunct/>
              <w:autoSpaceDE/>
              <w:autoSpaceDN/>
              <w:adjustRightInd/>
              <w:spacing w:before="40" w:after="20"/>
              <w:jc w:val="right"/>
              <w:rPr>
                <w:rFonts w:ascii="Arial Narrow" w:hAnsi="Arial Narrow" w:cs="Arial"/>
                <w:kern w:val="0"/>
                <w:sz w:val="18"/>
                <w:szCs w:val="18"/>
                <w:u w:val="single"/>
              </w:rPr>
            </w:pPr>
            <w:r>
              <w:rPr>
                <w:rFonts w:ascii="Arial Narrow" w:hAnsi="Arial Narrow" w:cs="Arial"/>
                <w:kern w:val="0"/>
                <w:sz w:val="18"/>
                <w:szCs w:val="18"/>
                <w:u w:val="single"/>
              </w:rPr>
              <w:t>lug</w:t>
            </w:r>
            <w:r w:rsidRPr="00DB5B05">
              <w:rPr>
                <w:rFonts w:ascii="Arial Narrow" w:hAnsi="Arial Narrow" w:cs="Arial"/>
                <w:kern w:val="0"/>
                <w:sz w:val="18"/>
                <w:szCs w:val="18"/>
                <w:u w:val="single"/>
              </w:rPr>
              <w:t>-2</w:t>
            </w:r>
            <w:r>
              <w:rPr>
                <w:rFonts w:ascii="Arial Narrow" w:hAnsi="Arial Narrow" w:cs="Arial"/>
                <w:kern w:val="0"/>
                <w:sz w:val="18"/>
                <w:szCs w:val="18"/>
                <w:u w:val="single"/>
              </w:rPr>
              <w:t>4</w:t>
            </w:r>
          </w:p>
          <w:p w:rsidR="00CD5784" w:rsidRPr="00DB5B05" w:rsidRDefault="00CD5784" w:rsidP="00CD5784">
            <w:pPr>
              <w:widowControl/>
              <w:overflowPunct/>
              <w:autoSpaceDE/>
              <w:autoSpaceDN/>
              <w:adjustRightInd/>
              <w:spacing w:before="40" w:after="20"/>
              <w:jc w:val="right"/>
              <w:rPr>
                <w:rFonts w:ascii="Arial Narrow" w:hAnsi="Arial Narrow" w:cs="Arial"/>
                <w:kern w:val="0"/>
                <w:sz w:val="18"/>
                <w:szCs w:val="18"/>
                <w:u w:val="single"/>
              </w:rPr>
            </w:pPr>
            <w:r>
              <w:rPr>
                <w:rFonts w:ascii="Arial Narrow" w:hAnsi="Arial Narrow" w:cs="Arial"/>
                <w:kern w:val="0"/>
                <w:sz w:val="18"/>
                <w:szCs w:val="18"/>
              </w:rPr>
              <w:t>lug</w:t>
            </w:r>
            <w:r w:rsidRPr="00DB5B05">
              <w:rPr>
                <w:rFonts w:ascii="Arial Narrow" w:hAnsi="Arial Narrow" w:cs="Arial"/>
                <w:kern w:val="0"/>
                <w:sz w:val="18"/>
                <w:szCs w:val="18"/>
              </w:rPr>
              <w:t>-2</w:t>
            </w:r>
            <w:r>
              <w:rPr>
                <w:rFonts w:ascii="Arial Narrow" w:hAnsi="Arial Narrow" w:cs="Arial"/>
                <w:kern w:val="0"/>
                <w:sz w:val="18"/>
                <w:szCs w:val="18"/>
              </w:rPr>
              <w:t>3</w:t>
            </w:r>
          </w:p>
        </w:tc>
        <w:tc>
          <w:tcPr>
            <w:tcW w:w="931" w:type="dxa"/>
            <w:shd w:val="clear" w:color="auto" w:fill="auto"/>
            <w:vAlign w:val="center"/>
            <w:hideMark/>
          </w:tcPr>
          <w:p w:rsidR="00CD5784" w:rsidRPr="00DB5B05" w:rsidRDefault="00CD5784" w:rsidP="00CD5784">
            <w:pPr>
              <w:widowControl/>
              <w:overflowPunct/>
              <w:autoSpaceDE/>
              <w:autoSpaceDN/>
              <w:adjustRightInd/>
              <w:spacing w:before="40" w:after="20"/>
              <w:jc w:val="right"/>
              <w:rPr>
                <w:rFonts w:ascii="Arial Narrow" w:hAnsi="Arial Narrow" w:cs="Arial"/>
                <w:kern w:val="0"/>
                <w:sz w:val="18"/>
                <w:szCs w:val="18"/>
                <w:u w:val="single"/>
              </w:rPr>
            </w:pPr>
            <w:r>
              <w:rPr>
                <w:rFonts w:ascii="Arial Narrow" w:hAnsi="Arial Narrow" w:cs="Arial"/>
                <w:kern w:val="0"/>
                <w:sz w:val="18"/>
                <w:szCs w:val="18"/>
                <w:u w:val="single"/>
              </w:rPr>
              <w:t>giu</w:t>
            </w:r>
            <w:r w:rsidRPr="00DB5B05">
              <w:rPr>
                <w:rFonts w:ascii="Arial Narrow" w:hAnsi="Arial Narrow" w:cs="Arial"/>
                <w:kern w:val="0"/>
                <w:sz w:val="18"/>
                <w:szCs w:val="18"/>
                <w:u w:val="single"/>
              </w:rPr>
              <w:t>-2</w:t>
            </w:r>
            <w:r>
              <w:rPr>
                <w:rFonts w:ascii="Arial Narrow" w:hAnsi="Arial Narrow" w:cs="Arial"/>
                <w:kern w:val="0"/>
                <w:sz w:val="18"/>
                <w:szCs w:val="18"/>
                <w:u w:val="single"/>
              </w:rPr>
              <w:t>4</w:t>
            </w:r>
          </w:p>
          <w:p w:rsidR="00CD5784" w:rsidRPr="00DB5B05" w:rsidRDefault="00CD5784" w:rsidP="00CD5784">
            <w:pPr>
              <w:widowControl/>
              <w:overflowPunct/>
              <w:autoSpaceDE/>
              <w:autoSpaceDN/>
              <w:adjustRightInd/>
              <w:spacing w:before="40" w:after="20"/>
              <w:jc w:val="right"/>
              <w:rPr>
                <w:rFonts w:ascii="Arial Narrow" w:hAnsi="Arial Narrow" w:cs="Arial"/>
                <w:kern w:val="0"/>
                <w:sz w:val="18"/>
                <w:szCs w:val="18"/>
                <w:u w:val="single"/>
              </w:rPr>
            </w:pPr>
            <w:r>
              <w:rPr>
                <w:rFonts w:ascii="Arial Narrow" w:hAnsi="Arial Narrow" w:cs="Arial"/>
                <w:kern w:val="0"/>
                <w:sz w:val="18"/>
                <w:szCs w:val="18"/>
              </w:rPr>
              <w:t>giu</w:t>
            </w:r>
            <w:r w:rsidRPr="00DB5B05">
              <w:rPr>
                <w:rFonts w:ascii="Arial Narrow" w:hAnsi="Arial Narrow" w:cs="Arial"/>
                <w:kern w:val="0"/>
                <w:sz w:val="18"/>
                <w:szCs w:val="18"/>
              </w:rPr>
              <w:t>-2</w:t>
            </w:r>
            <w:r>
              <w:rPr>
                <w:rFonts w:ascii="Arial Narrow" w:hAnsi="Arial Narrow" w:cs="Arial"/>
                <w:kern w:val="0"/>
                <w:sz w:val="18"/>
                <w:szCs w:val="18"/>
              </w:rPr>
              <w:t>3</w:t>
            </w:r>
          </w:p>
        </w:tc>
        <w:tc>
          <w:tcPr>
            <w:tcW w:w="969" w:type="dxa"/>
            <w:vMerge/>
            <w:shd w:val="clear" w:color="auto" w:fill="auto"/>
            <w:vAlign w:val="center"/>
            <w:hideMark/>
          </w:tcPr>
          <w:p w:rsidR="00CD5784" w:rsidRPr="004B2A9B" w:rsidRDefault="00CD5784" w:rsidP="00CD5784">
            <w:pPr>
              <w:widowControl/>
              <w:overflowPunct/>
              <w:autoSpaceDE/>
              <w:autoSpaceDN/>
              <w:adjustRightInd/>
              <w:spacing w:before="0" w:after="0"/>
              <w:jc w:val="right"/>
              <w:rPr>
                <w:rFonts w:ascii="Arial Narrow" w:hAnsi="Arial Narrow" w:cs="Arial"/>
                <w:b/>
                <w:bCs/>
                <w:kern w:val="0"/>
                <w:sz w:val="18"/>
                <w:szCs w:val="18"/>
              </w:rPr>
            </w:pPr>
          </w:p>
        </w:tc>
      </w:tr>
      <w:tr w:rsidR="005F40E3" w:rsidRPr="00C546A2" w:rsidTr="000127DA">
        <w:trPr>
          <w:trHeight w:val="255"/>
        </w:trPr>
        <w:tc>
          <w:tcPr>
            <w:tcW w:w="4131" w:type="dxa"/>
            <w:shd w:val="clear" w:color="auto" w:fill="auto"/>
            <w:vAlign w:val="center"/>
            <w:hideMark/>
          </w:tcPr>
          <w:p w:rsidR="005F40E3" w:rsidRPr="004B2A9B" w:rsidRDefault="005F40E3" w:rsidP="005F40E3">
            <w:pPr>
              <w:widowControl/>
              <w:overflowPunct/>
              <w:autoSpaceDE/>
              <w:autoSpaceDN/>
              <w:adjustRightInd/>
              <w:spacing w:beforeAutospacing="1" w:afterAutospacing="1"/>
              <w:rPr>
                <w:rFonts w:ascii="Arial Narrow" w:hAnsi="Arial Narrow" w:cs="Arial"/>
                <w:kern w:val="0"/>
                <w:sz w:val="18"/>
                <w:szCs w:val="18"/>
              </w:rPr>
            </w:pPr>
            <w:r w:rsidRPr="004B2A9B">
              <w:rPr>
                <w:rFonts w:ascii="Arial Narrow" w:hAnsi="Arial Narrow" w:cs="Arial"/>
                <w:kern w:val="0"/>
                <w:sz w:val="18"/>
                <w:szCs w:val="18"/>
              </w:rPr>
              <w:t>Beni alimentari (incluse bevande alcoliche) e tabacchi, di cui:</w:t>
            </w:r>
          </w:p>
        </w:tc>
        <w:tc>
          <w:tcPr>
            <w:tcW w:w="1028" w:type="dxa"/>
            <w:shd w:val="clear" w:color="000000" w:fill="D9D9D9"/>
            <w:vAlign w:val="center"/>
          </w:tcPr>
          <w:p w:rsidR="005F40E3" w:rsidRPr="00E313D5" w:rsidRDefault="005F40E3" w:rsidP="005F40E3">
            <w:pPr>
              <w:spacing w:before="40" w:after="20"/>
              <w:ind w:left="-68" w:right="57"/>
              <w:jc w:val="right"/>
              <w:rPr>
                <w:rFonts w:ascii="Arial Narrow" w:hAnsi="Arial Narrow" w:cs="Arial"/>
                <w:sz w:val="18"/>
                <w:szCs w:val="18"/>
              </w:rPr>
            </w:pPr>
            <w:r w:rsidRPr="00E313D5">
              <w:rPr>
                <w:rFonts w:ascii="Arial Narrow" w:hAnsi="Arial Narrow" w:cs="Arial"/>
                <w:sz w:val="18"/>
                <w:szCs w:val="18"/>
              </w:rPr>
              <w:t>212.511</w:t>
            </w:r>
          </w:p>
        </w:tc>
        <w:tc>
          <w:tcPr>
            <w:tcW w:w="1066" w:type="dxa"/>
            <w:shd w:val="clear" w:color="auto" w:fill="auto"/>
            <w:vAlign w:val="center"/>
          </w:tcPr>
          <w:p w:rsidR="005F40E3" w:rsidRPr="005F40E3" w:rsidRDefault="005F40E3" w:rsidP="005F40E3">
            <w:pPr>
              <w:widowControl/>
              <w:overflowPunct/>
              <w:autoSpaceDE/>
              <w:autoSpaceDN/>
              <w:adjustRightInd/>
              <w:spacing w:beforeAutospacing="1" w:afterAutospacing="1"/>
              <w:jc w:val="right"/>
              <w:rPr>
                <w:rFonts w:ascii="Arial Narrow" w:hAnsi="Arial Narrow" w:cs="Arial"/>
                <w:kern w:val="0"/>
                <w:sz w:val="18"/>
                <w:szCs w:val="18"/>
              </w:rPr>
            </w:pPr>
            <w:r w:rsidRPr="005F40E3">
              <w:rPr>
                <w:rFonts w:ascii="Arial Narrow" w:hAnsi="Arial Narrow" w:cs="Arial"/>
                <w:kern w:val="0"/>
                <w:sz w:val="18"/>
                <w:szCs w:val="18"/>
              </w:rPr>
              <w:t>-0,3</w:t>
            </w:r>
          </w:p>
        </w:tc>
        <w:tc>
          <w:tcPr>
            <w:tcW w:w="1067" w:type="dxa"/>
            <w:shd w:val="clear" w:color="000000" w:fill="D9D9D9"/>
            <w:vAlign w:val="center"/>
          </w:tcPr>
          <w:p w:rsidR="005F40E3" w:rsidRPr="005F40E3" w:rsidRDefault="005F40E3" w:rsidP="005F40E3">
            <w:pPr>
              <w:widowControl/>
              <w:overflowPunct/>
              <w:autoSpaceDE/>
              <w:autoSpaceDN/>
              <w:adjustRightInd/>
              <w:spacing w:beforeAutospacing="1" w:afterAutospacing="1"/>
              <w:jc w:val="right"/>
              <w:rPr>
                <w:rFonts w:ascii="Arial Narrow" w:hAnsi="Arial Narrow" w:cs="Arial"/>
                <w:kern w:val="0"/>
                <w:sz w:val="18"/>
                <w:szCs w:val="18"/>
              </w:rPr>
            </w:pPr>
            <w:r w:rsidRPr="005F40E3">
              <w:rPr>
                <w:rFonts w:ascii="Arial Narrow" w:hAnsi="Arial Narrow" w:cs="Arial"/>
                <w:kern w:val="0"/>
                <w:sz w:val="18"/>
                <w:szCs w:val="18"/>
              </w:rPr>
              <w:t>0,0</w:t>
            </w:r>
          </w:p>
        </w:tc>
        <w:tc>
          <w:tcPr>
            <w:tcW w:w="1047" w:type="dxa"/>
            <w:shd w:val="clear" w:color="auto" w:fill="auto"/>
            <w:vAlign w:val="center"/>
          </w:tcPr>
          <w:p w:rsidR="005F40E3" w:rsidRPr="005F40E3" w:rsidRDefault="005F40E3" w:rsidP="005F40E3">
            <w:pPr>
              <w:widowControl/>
              <w:overflowPunct/>
              <w:autoSpaceDE/>
              <w:autoSpaceDN/>
              <w:adjustRightInd/>
              <w:spacing w:beforeAutospacing="1" w:afterAutospacing="1"/>
              <w:jc w:val="right"/>
              <w:rPr>
                <w:rFonts w:ascii="Arial Narrow" w:hAnsi="Arial Narrow" w:cs="Arial"/>
                <w:kern w:val="0"/>
                <w:sz w:val="18"/>
                <w:szCs w:val="18"/>
              </w:rPr>
            </w:pPr>
            <w:r w:rsidRPr="005F40E3">
              <w:rPr>
                <w:rFonts w:ascii="Arial Narrow" w:hAnsi="Arial Narrow" w:cs="Arial"/>
                <w:kern w:val="0"/>
                <w:sz w:val="18"/>
                <w:szCs w:val="18"/>
              </w:rPr>
              <w:t>+1,3</w:t>
            </w:r>
          </w:p>
        </w:tc>
        <w:tc>
          <w:tcPr>
            <w:tcW w:w="931" w:type="dxa"/>
            <w:shd w:val="clear" w:color="000000" w:fill="D9D9D9"/>
            <w:vAlign w:val="center"/>
          </w:tcPr>
          <w:p w:rsidR="005F40E3" w:rsidRPr="005F40E3" w:rsidRDefault="005F40E3" w:rsidP="005F40E3">
            <w:pPr>
              <w:widowControl/>
              <w:overflowPunct/>
              <w:autoSpaceDE/>
              <w:autoSpaceDN/>
              <w:adjustRightInd/>
              <w:spacing w:beforeAutospacing="1" w:afterAutospacing="1"/>
              <w:jc w:val="right"/>
              <w:rPr>
                <w:rFonts w:ascii="Arial Narrow" w:hAnsi="Arial Narrow" w:cs="Arial"/>
                <w:kern w:val="0"/>
                <w:sz w:val="18"/>
                <w:szCs w:val="18"/>
              </w:rPr>
            </w:pPr>
            <w:r w:rsidRPr="005F40E3">
              <w:rPr>
                <w:rFonts w:ascii="Arial Narrow" w:hAnsi="Arial Narrow" w:cs="Arial"/>
                <w:kern w:val="0"/>
                <w:sz w:val="18"/>
                <w:szCs w:val="18"/>
              </w:rPr>
              <w:t>+1,7</w:t>
            </w:r>
          </w:p>
        </w:tc>
        <w:tc>
          <w:tcPr>
            <w:tcW w:w="969" w:type="dxa"/>
            <w:shd w:val="clear" w:color="auto" w:fill="auto"/>
            <w:vAlign w:val="center"/>
          </w:tcPr>
          <w:p w:rsidR="005F40E3" w:rsidRPr="005F40E3" w:rsidRDefault="005F40E3" w:rsidP="005F40E3">
            <w:pPr>
              <w:widowControl/>
              <w:overflowPunct/>
              <w:autoSpaceDE/>
              <w:autoSpaceDN/>
              <w:adjustRightInd/>
              <w:spacing w:beforeAutospacing="1" w:afterAutospacing="1"/>
              <w:jc w:val="right"/>
              <w:rPr>
                <w:rFonts w:ascii="Arial Narrow" w:hAnsi="Arial Narrow" w:cs="Arial"/>
                <w:kern w:val="0"/>
                <w:sz w:val="18"/>
                <w:szCs w:val="18"/>
              </w:rPr>
            </w:pPr>
            <w:r w:rsidRPr="005F40E3">
              <w:rPr>
                <w:rFonts w:ascii="Arial Narrow" w:hAnsi="Arial Narrow" w:cs="Arial"/>
                <w:kern w:val="0"/>
                <w:sz w:val="18"/>
                <w:szCs w:val="18"/>
              </w:rPr>
              <w:t>+2,1</w:t>
            </w:r>
          </w:p>
        </w:tc>
      </w:tr>
      <w:tr w:rsidR="005F40E3" w:rsidRPr="004B2A9B" w:rsidTr="000127DA">
        <w:trPr>
          <w:trHeight w:val="255"/>
        </w:trPr>
        <w:tc>
          <w:tcPr>
            <w:tcW w:w="4131" w:type="dxa"/>
            <w:shd w:val="clear" w:color="auto" w:fill="auto"/>
            <w:vAlign w:val="center"/>
            <w:hideMark/>
          </w:tcPr>
          <w:p w:rsidR="005F40E3" w:rsidRPr="004B2A9B" w:rsidRDefault="005F40E3" w:rsidP="005F40E3">
            <w:pPr>
              <w:widowControl/>
              <w:overflowPunct/>
              <w:autoSpaceDE/>
              <w:autoSpaceDN/>
              <w:adjustRightInd/>
              <w:spacing w:before="0" w:after="0"/>
              <w:ind w:firstLineChars="100" w:firstLine="180"/>
              <w:rPr>
                <w:rFonts w:ascii="Arial Narrow" w:hAnsi="Arial Narrow" w:cs="Arial"/>
                <w:kern w:val="0"/>
                <w:sz w:val="18"/>
                <w:szCs w:val="18"/>
              </w:rPr>
            </w:pPr>
            <w:r w:rsidRPr="004B2A9B">
              <w:rPr>
                <w:rFonts w:ascii="Arial Narrow" w:hAnsi="Arial Narrow" w:cs="Arial"/>
                <w:kern w:val="0"/>
                <w:sz w:val="18"/>
                <w:szCs w:val="18"/>
              </w:rPr>
              <w:t>Alimentari lavorati (incluse bevande alcoliche) e tabacchi</w:t>
            </w:r>
          </w:p>
        </w:tc>
        <w:tc>
          <w:tcPr>
            <w:tcW w:w="1028" w:type="dxa"/>
            <w:shd w:val="clear" w:color="000000" w:fill="D9D9D9"/>
            <w:vAlign w:val="center"/>
          </w:tcPr>
          <w:p w:rsidR="005F40E3" w:rsidRPr="00E313D5" w:rsidRDefault="005F40E3" w:rsidP="005F40E3">
            <w:pPr>
              <w:spacing w:before="40" w:after="20"/>
              <w:ind w:left="-68" w:right="57"/>
              <w:jc w:val="right"/>
              <w:rPr>
                <w:rFonts w:ascii="Arial Narrow" w:hAnsi="Arial Narrow" w:cs="Arial"/>
                <w:sz w:val="18"/>
                <w:szCs w:val="18"/>
              </w:rPr>
            </w:pPr>
            <w:r w:rsidRPr="00E313D5">
              <w:rPr>
                <w:rFonts w:ascii="Arial Narrow" w:hAnsi="Arial Narrow" w:cs="Arial"/>
                <w:sz w:val="18"/>
                <w:szCs w:val="18"/>
              </w:rPr>
              <w:t>148.769</w:t>
            </w:r>
          </w:p>
        </w:tc>
        <w:tc>
          <w:tcPr>
            <w:tcW w:w="1066" w:type="dxa"/>
            <w:shd w:val="clear" w:color="auto" w:fill="auto"/>
            <w:vAlign w:val="center"/>
          </w:tcPr>
          <w:p w:rsidR="005F40E3" w:rsidRPr="005F40E3" w:rsidRDefault="005F40E3" w:rsidP="005F40E3">
            <w:pPr>
              <w:widowControl/>
              <w:overflowPunct/>
              <w:autoSpaceDE/>
              <w:autoSpaceDN/>
              <w:adjustRightInd/>
              <w:spacing w:beforeAutospacing="1" w:afterAutospacing="1"/>
              <w:jc w:val="right"/>
              <w:rPr>
                <w:rFonts w:ascii="Arial Narrow" w:hAnsi="Arial Narrow" w:cs="Arial"/>
                <w:kern w:val="0"/>
                <w:sz w:val="18"/>
                <w:szCs w:val="18"/>
              </w:rPr>
            </w:pPr>
            <w:r w:rsidRPr="005F40E3">
              <w:rPr>
                <w:rFonts w:ascii="Arial Narrow" w:hAnsi="Arial Narrow" w:cs="Arial"/>
                <w:kern w:val="0"/>
                <w:sz w:val="18"/>
                <w:szCs w:val="18"/>
              </w:rPr>
              <w:t>+0,2</w:t>
            </w:r>
          </w:p>
        </w:tc>
        <w:tc>
          <w:tcPr>
            <w:tcW w:w="1067" w:type="dxa"/>
            <w:shd w:val="clear" w:color="000000" w:fill="D9D9D9"/>
            <w:vAlign w:val="center"/>
          </w:tcPr>
          <w:p w:rsidR="005F40E3" w:rsidRPr="005F40E3" w:rsidRDefault="005F40E3" w:rsidP="005F40E3">
            <w:pPr>
              <w:widowControl/>
              <w:overflowPunct/>
              <w:autoSpaceDE/>
              <w:autoSpaceDN/>
              <w:adjustRightInd/>
              <w:spacing w:beforeAutospacing="1" w:afterAutospacing="1"/>
              <w:jc w:val="right"/>
              <w:rPr>
                <w:rFonts w:ascii="Arial Narrow" w:hAnsi="Arial Narrow" w:cs="Arial"/>
                <w:kern w:val="0"/>
                <w:sz w:val="18"/>
                <w:szCs w:val="18"/>
              </w:rPr>
            </w:pPr>
            <w:r w:rsidRPr="005F40E3">
              <w:rPr>
                <w:rFonts w:ascii="Arial Narrow" w:hAnsi="Arial Narrow" w:cs="Arial"/>
                <w:kern w:val="0"/>
                <w:sz w:val="18"/>
                <w:szCs w:val="18"/>
              </w:rPr>
              <w:t>+0,4</w:t>
            </w:r>
          </w:p>
        </w:tc>
        <w:tc>
          <w:tcPr>
            <w:tcW w:w="1047" w:type="dxa"/>
            <w:shd w:val="clear" w:color="auto" w:fill="auto"/>
            <w:vAlign w:val="center"/>
          </w:tcPr>
          <w:p w:rsidR="005F40E3" w:rsidRPr="005F40E3" w:rsidRDefault="005F40E3" w:rsidP="005F40E3">
            <w:pPr>
              <w:widowControl/>
              <w:overflowPunct/>
              <w:autoSpaceDE/>
              <w:autoSpaceDN/>
              <w:adjustRightInd/>
              <w:spacing w:beforeAutospacing="1" w:afterAutospacing="1"/>
              <w:jc w:val="right"/>
              <w:rPr>
                <w:rFonts w:ascii="Arial Narrow" w:hAnsi="Arial Narrow" w:cs="Arial"/>
                <w:kern w:val="0"/>
                <w:sz w:val="18"/>
                <w:szCs w:val="18"/>
              </w:rPr>
            </w:pPr>
            <w:r w:rsidRPr="005F40E3">
              <w:rPr>
                <w:rFonts w:ascii="Arial Narrow" w:hAnsi="Arial Narrow" w:cs="Arial"/>
                <w:kern w:val="0"/>
                <w:sz w:val="18"/>
                <w:szCs w:val="18"/>
              </w:rPr>
              <w:t>+1,9</w:t>
            </w:r>
          </w:p>
        </w:tc>
        <w:tc>
          <w:tcPr>
            <w:tcW w:w="931" w:type="dxa"/>
            <w:shd w:val="clear" w:color="000000" w:fill="D9D9D9"/>
            <w:vAlign w:val="center"/>
          </w:tcPr>
          <w:p w:rsidR="005F40E3" w:rsidRPr="005F40E3" w:rsidRDefault="005F40E3" w:rsidP="005F40E3">
            <w:pPr>
              <w:widowControl/>
              <w:overflowPunct/>
              <w:autoSpaceDE/>
              <w:autoSpaceDN/>
              <w:adjustRightInd/>
              <w:spacing w:beforeAutospacing="1" w:afterAutospacing="1"/>
              <w:jc w:val="right"/>
              <w:rPr>
                <w:rFonts w:ascii="Arial Narrow" w:hAnsi="Arial Narrow" w:cs="Arial"/>
                <w:kern w:val="0"/>
                <w:sz w:val="18"/>
                <w:szCs w:val="18"/>
              </w:rPr>
            </w:pPr>
            <w:r w:rsidRPr="005F40E3">
              <w:rPr>
                <w:rFonts w:ascii="Arial Narrow" w:hAnsi="Arial Narrow" w:cs="Arial"/>
                <w:kern w:val="0"/>
                <w:sz w:val="18"/>
                <w:szCs w:val="18"/>
              </w:rPr>
              <w:t>+2,1</w:t>
            </w:r>
          </w:p>
        </w:tc>
        <w:tc>
          <w:tcPr>
            <w:tcW w:w="969" w:type="dxa"/>
            <w:shd w:val="clear" w:color="auto" w:fill="auto"/>
            <w:vAlign w:val="center"/>
          </w:tcPr>
          <w:p w:rsidR="005F40E3" w:rsidRPr="005F40E3" w:rsidRDefault="005F40E3" w:rsidP="005F40E3">
            <w:pPr>
              <w:widowControl/>
              <w:overflowPunct/>
              <w:autoSpaceDE/>
              <w:autoSpaceDN/>
              <w:adjustRightInd/>
              <w:spacing w:beforeAutospacing="1" w:afterAutospacing="1"/>
              <w:jc w:val="right"/>
              <w:rPr>
                <w:rFonts w:ascii="Arial Narrow" w:hAnsi="Arial Narrow" w:cs="Arial"/>
                <w:kern w:val="0"/>
                <w:sz w:val="18"/>
                <w:szCs w:val="18"/>
              </w:rPr>
            </w:pPr>
            <w:r w:rsidRPr="005F40E3">
              <w:rPr>
                <w:rFonts w:ascii="Arial Narrow" w:hAnsi="Arial Narrow" w:cs="Arial"/>
                <w:kern w:val="0"/>
                <w:sz w:val="18"/>
                <w:szCs w:val="18"/>
              </w:rPr>
              <w:t>+2,3</w:t>
            </w:r>
          </w:p>
        </w:tc>
      </w:tr>
      <w:tr w:rsidR="005F40E3" w:rsidRPr="004B2A9B" w:rsidTr="000127DA">
        <w:trPr>
          <w:trHeight w:val="255"/>
        </w:trPr>
        <w:tc>
          <w:tcPr>
            <w:tcW w:w="4131" w:type="dxa"/>
            <w:shd w:val="clear" w:color="auto" w:fill="auto"/>
            <w:vAlign w:val="center"/>
            <w:hideMark/>
          </w:tcPr>
          <w:p w:rsidR="005F40E3" w:rsidRPr="004B2A9B" w:rsidRDefault="005F40E3" w:rsidP="005F40E3">
            <w:pPr>
              <w:widowControl/>
              <w:overflowPunct/>
              <w:autoSpaceDE/>
              <w:autoSpaceDN/>
              <w:adjustRightInd/>
              <w:spacing w:before="0" w:after="0"/>
              <w:ind w:firstLineChars="100" w:firstLine="180"/>
              <w:rPr>
                <w:rFonts w:ascii="Arial Narrow" w:hAnsi="Arial Narrow" w:cs="Arial"/>
                <w:kern w:val="0"/>
                <w:sz w:val="18"/>
                <w:szCs w:val="18"/>
              </w:rPr>
            </w:pPr>
            <w:r w:rsidRPr="004B2A9B">
              <w:rPr>
                <w:rFonts w:ascii="Arial Narrow" w:hAnsi="Arial Narrow" w:cs="Arial"/>
                <w:kern w:val="0"/>
                <w:sz w:val="18"/>
                <w:szCs w:val="18"/>
              </w:rPr>
              <w:t>Alimentari non lavorati</w:t>
            </w:r>
          </w:p>
        </w:tc>
        <w:tc>
          <w:tcPr>
            <w:tcW w:w="1028" w:type="dxa"/>
            <w:shd w:val="clear" w:color="000000" w:fill="D9D9D9"/>
            <w:vAlign w:val="center"/>
          </w:tcPr>
          <w:p w:rsidR="005F40E3" w:rsidRPr="00E313D5" w:rsidRDefault="005F40E3" w:rsidP="005F40E3">
            <w:pPr>
              <w:spacing w:before="40" w:after="20"/>
              <w:ind w:left="-68" w:right="57"/>
              <w:jc w:val="right"/>
              <w:rPr>
                <w:rFonts w:ascii="Arial Narrow" w:hAnsi="Arial Narrow" w:cs="Arial"/>
                <w:sz w:val="18"/>
                <w:szCs w:val="18"/>
              </w:rPr>
            </w:pPr>
            <w:r w:rsidRPr="00E313D5">
              <w:rPr>
                <w:rFonts w:ascii="Arial Narrow" w:hAnsi="Arial Narrow" w:cs="Arial"/>
                <w:sz w:val="18"/>
                <w:szCs w:val="18"/>
              </w:rPr>
              <w:t>63.742</w:t>
            </w:r>
          </w:p>
        </w:tc>
        <w:tc>
          <w:tcPr>
            <w:tcW w:w="1066" w:type="dxa"/>
            <w:shd w:val="clear" w:color="auto" w:fill="auto"/>
            <w:vAlign w:val="center"/>
          </w:tcPr>
          <w:p w:rsidR="005F40E3" w:rsidRPr="005F40E3" w:rsidRDefault="005F40E3" w:rsidP="005F40E3">
            <w:pPr>
              <w:widowControl/>
              <w:overflowPunct/>
              <w:autoSpaceDE/>
              <w:autoSpaceDN/>
              <w:adjustRightInd/>
              <w:spacing w:beforeAutospacing="1" w:afterAutospacing="1"/>
              <w:jc w:val="right"/>
              <w:rPr>
                <w:rFonts w:ascii="Arial Narrow" w:hAnsi="Arial Narrow" w:cs="Arial"/>
                <w:kern w:val="0"/>
                <w:sz w:val="18"/>
                <w:szCs w:val="18"/>
              </w:rPr>
            </w:pPr>
            <w:r w:rsidRPr="005F40E3">
              <w:rPr>
                <w:rFonts w:ascii="Arial Narrow" w:hAnsi="Arial Narrow" w:cs="Arial"/>
                <w:kern w:val="0"/>
                <w:sz w:val="18"/>
                <w:szCs w:val="18"/>
              </w:rPr>
              <w:t>-1,6</w:t>
            </w:r>
          </w:p>
        </w:tc>
        <w:tc>
          <w:tcPr>
            <w:tcW w:w="1067" w:type="dxa"/>
            <w:shd w:val="clear" w:color="000000" w:fill="D9D9D9"/>
            <w:vAlign w:val="center"/>
          </w:tcPr>
          <w:p w:rsidR="005F40E3" w:rsidRPr="005F40E3" w:rsidRDefault="005F40E3" w:rsidP="005F40E3">
            <w:pPr>
              <w:widowControl/>
              <w:overflowPunct/>
              <w:autoSpaceDE/>
              <w:autoSpaceDN/>
              <w:adjustRightInd/>
              <w:spacing w:beforeAutospacing="1" w:afterAutospacing="1"/>
              <w:jc w:val="right"/>
              <w:rPr>
                <w:rFonts w:ascii="Arial Narrow" w:hAnsi="Arial Narrow" w:cs="Arial"/>
                <w:kern w:val="0"/>
                <w:sz w:val="18"/>
                <w:szCs w:val="18"/>
              </w:rPr>
            </w:pPr>
            <w:r w:rsidRPr="005F40E3">
              <w:rPr>
                <w:rFonts w:ascii="Arial Narrow" w:hAnsi="Arial Narrow" w:cs="Arial"/>
                <w:kern w:val="0"/>
                <w:sz w:val="18"/>
                <w:szCs w:val="18"/>
              </w:rPr>
              <w:t>-0,8</w:t>
            </w:r>
          </w:p>
        </w:tc>
        <w:tc>
          <w:tcPr>
            <w:tcW w:w="1047" w:type="dxa"/>
            <w:shd w:val="clear" w:color="auto" w:fill="auto"/>
            <w:vAlign w:val="center"/>
          </w:tcPr>
          <w:p w:rsidR="005F40E3" w:rsidRPr="005F40E3" w:rsidRDefault="005F40E3" w:rsidP="005F40E3">
            <w:pPr>
              <w:widowControl/>
              <w:overflowPunct/>
              <w:autoSpaceDE/>
              <w:autoSpaceDN/>
              <w:adjustRightInd/>
              <w:spacing w:beforeAutospacing="1" w:afterAutospacing="1"/>
              <w:jc w:val="right"/>
              <w:rPr>
                <w:rFonts w:ascii="Arial Narrow" w:hAnsi="Arial Narrow" w:cs="Arial"/>
                <w:kern w:val="0"/>
                <w:sz w:val="18"/>
                <w:szCs w:val="18"/>
              </w:rPr>
            </w:pPr>
            <w:r w:rsidRPr="005F40E3">
              <w:rPr>
                <w:rFonts w:ascii="Arial Narrow" w:hAnsi="Arial Narrow" w:cs="Arial"/>
                <w:kern w:val="0"/>
                <w:sz w:val="18"/>
                <w:szCs w:val="18"/>
              </w:rPr>
              <w:t>-0,2</w:t>
            </w:r>
          </w:p>
        </w:tc>
        <w:tc>
          <w:tcPr>
            <w:tcW w:w="931" w:type="dxa"/>
            <w:shd w:val="clear" w:color="000000" w:fill="D9D9D9"/>
            <w:vAlign w:val="center"/>
          </w:tcPr>
          <w:p w:rsidR="005F40E3" w:rsidRPr="005F40E3" w:rsidRDefault="005F40E3" w:rsidP="005F40E3">
            <w:pPr>
              <w:widowControl/>
              <w:overflowPunct/>
              <w:autoSpaceDE/>
              <w:autoSpaceDN/>
              <w:adjustRightInd/>
              <w:spacing w:beforeAutospacing="1" w:afterAutospacing="1"/>
              <w:jc w:val="right"/>
              <w:rPr>
                <w:rFonts w:ascii="Arial Narrow" w:hAnsi="Arial Narrow" w:cs="Arial"/>
                <w:kern w:val="0"/>
                <w:sz w:val="18"/>
                <w:szCs w:val="18"/>
              </w:rPr>
            </w:pPr>
            <w:r w:rsidRPr="005F40E3">
              <w:rPr>
                <w:rFonts w:ascii="Arial Narrow" w:hAnsi="Arial Narrow" w:cs="Arial"/>
                <w:kern w:val="0"/>
                <w:sz w:val="18"/>
                <w:szCs w:val="18"/>
              </w:rPr>
              <w:t>+0,6</w:t>
            </w:r>
          </w:p>
        </w:tc>
        <w:tc>
          <w:tcPr>
            <w:tcW w:w="969" w:type="dxa"/>
            <w:shd w:val="clear" w:color="auto" w:fill="auto"/>
            <w:vAlign w:val="center"/>
          </w:tcPr>
          <w:p w:rsidR="005F40E3" w:rsidRPr="005F40E3" w:rsidRDefault="005F40E3" w:rsidP="005F40E3">
            <w:pPr>
              <w:widowControl/>
              <w:overflowPunct/>
              <w:autoSpaceDE/>
              <w:autoSpaceDN/>
              <w:adjustRightInd/>
              <w:spacing w:beforeAutospacing="1" w:afterAutospacing="1"/>
              <w:jc w:val="right"/>
              <w:rPr>
                <w:rFonts w:ascii="Arial Narrow" w:hAnsi="Arial Narrow" w:cs="Arial"/>
                <w:kern w:val="0"/>
                <w:sz w:val="18"/>
                <w:szCs w:val="18"/>
              </w:rPr>
            </w:pPr>
            <w:r w:rsidRPr="005F40E3">
              <w:rPr>
                <w:rFonts w:ascii="Arial Narrow" w:hAnsi="Arial Narrow" w:cs="Arial"/>
                <w:kern w:val="0"/>
                <w:sz w:val="18"/>
                <w:szCs w:val="18"/>
              </w:rPr>
              <w:t>+1,5</w:t>
            </w:r>
          </w:p>
        </w:tc>
      </w:tr>
      <w:tr w:rsidR="005F40E3" w:rsidRPr="004B2A9B" w:rsidTr="000127DA">
        <w:trPr>
          <w:trHeight w:val="255"/>
        </w:trPr>
        <w:tc>
          <w:tcPr>
            <w:tcW w:w="4131" w:type="dxa"/>
            <w:shd w:val="clear" w:color="auto" w:fill="auto"/>
            <w:vAlign w:val="center"/>
            <w:hideMark/>
          </w:tcPr>
          <w:p w:rsidR="005F40E3" w:rsidRPr="004B2A9B" w:rsidRDefault="005F40E3" w:rsidP="005F40E3">
            <w:pPr>
              <w:widowControl/>
              <w:overflowPunct/>
              <w:autoSpaceDE/>
              <w:autoSpaceDN/>
              <w:adjustRightInd/>
              <w:spacing w:before="0" w:after="0"/>
              <w:rPr>
                <w:rFonts w:ascii="Arial Narrow" w:hAnsi="Arial Narrow" w:cs="Arial"/>
                <w:kern w:val="0"/>
                <w:sz w:val="18"/>
                <w:szCs w:val="18"/>
              </w:rPr>
            </w:pPr>
            <w:r>
              <w:rPr>
                <w:rFonts w:ascii="Arial Narrow" w:hAnsi="Arial Narrow" w:cs="Arial"/>
                <w:kern w:val="0"/>
                <w:sz w:val="18"/>
                <w:szCs w:val="18"/>
              </w:rPr>
              <w:t>Energia</w:t>
            </w:r>
          </w:p>
        </w:tc>
        <w:tc>
          <w:tcPr>
            <w:tcW w:w="1028" w:type="dxa"/>
            <w:shd w:val="clear" w:color="000000" w:fill="D9D9D9"/>
            <w:vAlign w:val="center"/>
          </w:tcPr>
          <w:p w:rsidR="005F40E3" w:rsidRPr="00EC2869" w:rsidRDefault="005F40E3" w:rsidP="005F40E3">
            <w:pPr>
              <w:widowControl/>
              <w:overflowPunct/>
              <w:autoSpaceDE/>
              <w:autoSpaceDN/>
              <w:adjustRightInd/>
              <w:spacing w:beforeAutospacing="1" w:afterAutospacing="1"/>
              <w:ind w:left="-68" w:right="57"/>
              <w:jc w:val="right"/>
              <w:rPr>
                <w:rFonts w:ascii="Arial Narrow" w:hAnsi="Arial Narrow" w:cs="Arial"/>
                <w:kern w:val="0"/>
                <w:sz w:val="18"/>
                <w:szCs w:val="18"/>
              </w:rPr>
            </w:pPr>
            <w:r w:rsidRPr="00E313D5">
              <w:rPr>
                <w:rFonts w:ascii="Arial Narrow" w:hAnsi="Arial Narrow" w:cs="Arial"/>
                <w:sz w:val="18"/>
                <w:szCs w:val="18"/>
              </w:rPr>
              <w:t>108.922</w:t>
            </w:r>
          </w:p>
        </w:tc>
        <w:tc>
          <w:tcPr>
            <w:tcW w:w="1066" w:type="dxa"/>
            <w:shd w:val="clear" w:color="auto" w:fill="auto"/>
            <w:vAlign w:val="center"/>
          </w:tcPr>
          <w:p w:rsidR="005F40E3" w:rsidRPr="005F40E3" w:rsidRDefault="005F40E3" w:rsidP="005F40E3">
            <w:pPr>
              <w:widowControl/>
              <w:overflowPunct/>
              <w:autoSpaceDE/>
              <w:autoSpaceDN/>
              <w:adjustRightInd/>
              <w:spacing w:beforeAutospacing="1" w:afterAutospacing="1"/>
              <w:jc w:val="right"/>
              <w:rPr>
                <w:rFonts w:ascii="Arial Narrow" w:hAnsi="Arial Narrow" w:cs="Arial"/>
                <w:kern w:val="0"/>
                <w:sz w:val="18"/>
                <w:szCs w:val="18"/>
              </w:rPr>
            </w:pPr>
            <w:r w:rsidRPr="005F40E3">
              <w:rPr>
                <w:rFonts w:ascii="Arial Narrow" w:hAnsi="Arial Narrow" w:cs="Arial"/>
                <w:kern w:val="0"/>
                <w:sz w:val="18"/>
                <w:szCs w:val="18"/>
              </w:rPr>
              <w:t>+3,5</w:t>
            </w:r>
          </w:p>
        </w:tc>
        <w:tc>
          <w:tcPr>
            <w:tcW w:w="1067" w:type="dxa"/>
            <w:shd w:val="clear" w:color="000000" w:fill="D9D9D9"/>
            <w:vAlign w:val="center"/>
          </w:tcPr>
          <w:p w:rsidR="005F40E3" w:rsidRPr="005F40E3" w:rsidRDefault="005F40E3" w:rsidP="005F40E3">
            <w:pPr>
              <w:widowControl/>
              <w:overflowPunct/>
              <w:autoSpaceDE/>
              <w:autoSpaceDN/>
              <w:adjustRightInd/>
              <w:spacing w:beforeAutospacing="1" w:afterAutospacing="1"/>
              <w:jc w:val="right"/>
              <w:rPr>
                <w:rFonts w:ascii="Arial Narrow" w:hAnsi="Arial Narrow" w:cs="Arial"/>
                <w:kern w:val="0"/>
                <w:sz w:val="18"/>
                <w:szCs w:val="18"/>
              </w:rPr>
            </w:pPr>
            <w:r w:rsidRPr="005F40E3">
              <w:rPr>
                <w:rFonts w:ascii="Arial Narrow" w:hAnsi="Arial Narrow" w:cs="Arial"/>
                <w:kern w:val="0"/>
                <w:sz w:val="18"/>
                <w:szCs w:val="18"/>
              </w:rPr>
              <w:t>-1,4</w:t>
            </w:r>
          </w:p>
        </w:tc>
        <w:tc>
          <w:tcPr>
            <w:tcW w:w="1047" w:type="dxa"/>
            <w:shd w:val="clear" w:color="auto" w:fill="auto"/>
            <w:vAlign w:val="center"/>
          </w:tcPr>
          <w:p w:rsidR="005F40E3" w:rsidRPr="005F40E3" w:rsidRDefault="005F40E3" w:rsidP="005F40E3">
            <w:pPr>
              <w:widowControl/>
              <w:overflowPunct/>
              <w:autoSpaceDE/>
              <w:autoSpaceDN/>
              <w:adjustRightInd/>
              <w:spacing w:beforeAutospacing="1" w:afterAutospacing="1"/>
              <w:jc w:val="right"/>
              <w:rPr>
                <w:rFonts w:ascii="Arial Narrow" w:hAnsi="Arial Narrow" w:cs="Arial"/>
                <w:kern w:val="0"/>
                <w:sz w:val="18"/>
                <w:szCs w:val="18"/>
              </w:rPr>
            </w:pPr>
            <w:r w:rsidRPr="005F40E3">
              <w:rPr>
                <w:rFonts w:ascii="Arial Narrow" w:hAnsi="Arial Narrow" w:cs="Arial"/>
                <w:kern w:val="0"/>
                <w:sz w:val="18"/>
                <w:szCs w:val="18"/>
              </w:rPr>
              <w:t>-4,0</w:t>
            </w:r>
          </w:p>
        </w:tc>
        <w:tc>
          <w:tcPr>
            <w:tcW w:w="931" w:type="dxa"/>
            <w:shd w:val="clear" w:color="000000" w:fill="D9D9D9"/>
            <w:vAlign w:val="center"/>
          </w:tcPr>
          <w:p w:rsidR="005F40E3" w:rsidRPr="005F40E3" w:rsidRDefault="005F40E3" w:rsidP="005F40E3">
            <w:pPr>
              <w:widowControl/>
              <w:overflowPunct/>
              <w:autoSpaceDE/>
              <w:autoSpaceDN/>
              <w:adjustRightInd/>
              <w:spacing w:beforeAutospacing="1" w:afterAutospacing="1"/>
              <w:jc w:val="right"/>
              <w:rPr>
                <w:rFonts w:ascii="Arial Narrow" w:hAnsi="Arial Narrow" w:cs="Arial"/>
                <w:kern w:val="0"/>
                <w:sz w:val="18"/>
                <w:szCs w:val="18"/>
              </w:rPr>
            </w:pPr>
            <w:r w:rsidRPr="005F40E3">
              <w:rPr>
                <w:rFonts w:ascii="Arial Narrow" w:hAnsi="Arial Narrow" w:cs="Arial"/>
                <w:kern w:val="0"/>
                <w:sz w:val="18"/>
                <w:szCs w:val="18"/>
              </w:rPr>
              <w:t>-8,6</w:t>
            </w:r>
          </w:p>
        </w:tc>
        <w:tc>
          <w:tcPr>
            <w:tcW w:w="969" w:type="dxa"/>
            <w:shd w:val="clear" w:color="auto" w:fill="auto"/>
            <w:vAlign w:val="center"/>
          </w:tcPr>
          <w:p w:rsidR="005F40E3" w:rsidRPr="005F40E3" w:rsidRDefault="005F40E3" w:rsidP="005F40E3">
            <w:pPr>
              <w:widowControl/>
              <w:overflowPunct/>
              <w:autoSpaceDE/>
              <w:autoSpaceDN/>
              <w:adjustRightInd/>
              <w:spacing w:beforeAutospacing="1" w:afterAutospacing="1"/>
              <w:jc w:val="right"/>
              <w:rPr>
                <w:rFonts w:ascii="Arial Narrow" w:hAnsi="Arial Narrow" w:cs="Arial"/>
                <w:kern w:val="0"/>
                <w:sz w:val="18"/>
                <w:szCs w:val="18"/>
              </w:rPr>
            </w:pPr>
            <w:r w:rsidRPr="005F40E3">
              <w:rPr>
                <w:rFonts w:ascii="Arial Narrow" w:hAnsi="Arial Narrow" w:cs="Arial"/>
                <w:kern w:val="0"/>
                <w:sz w:val="18"/>
                <w:szCs w:val="18"/>
              </w:rPr>
              <w:t>-9,6</w:t>
            </w:r>
          </w:p>
        </w:tc>
      </w:tr>
      <w:tr w:rsidR="005F40E3" w:rsidRPr="004B2A9B" w:rsidTr="000127DA">
        <w:trPr>
          <w:trHeight w:val="255"/>
        </w:trPr>
        <w:tc>
          <w:tcPr>
            <w:tcW w:w="4131" w:type="dxa"/>
            <w:shd w:val="clear" w:color="auto" w:fill="auto"/>
            <w:vAlign w:val="center"/>
            <w:hideMark/>
          </w:tcPr>
          <w:p w:rsidR="005F40E3" w:rsidRPr="004B2A9B" w:rsidRDefault="005F40E3" w:rsidP="005F40E3">
            <w:pPr>
              <w:widowControl/>
              <w:overflowPunct/>
              <w:autoSpaceDE/>
              <w:autoSpaceDN/>
              <w:adjustRightInd/>
              <w:spacing w:before="0" w:after="0"/>
              <w:rPr>
                <w:rFonts w:ascii="Arial Narrow" w:hAnsi="Arial Narrow" w:cs="Arial"/>
                <w:kern w:val="0"/>
                <w:sz w:val="18"/>
                <w:szCs w:val="18"/>
              </w:rPr>
            </w:pPr>
            <w:r w:rsidRPr="004B2A9B">
              <w:rPr>
                <w:rFonts w:ascii="Arial Narrow" w:hAnsi="Arial Narrow" w:cs="Arial"/>
                <w:kern w:val="0"/>
                <w:sz w:val="18"/>
                <w:szCs w:val="18"/>
              </w:rPr>
              <w:t>Beni industriali non energetici</w:t>
            </w:r>
          </w:p>
        </w:tc>
        <w:tc>
          <w:tcPr>
            <w:tcW w:w="1028" w:type="dxa"/>
            <w:shd w:val="clear" w:color="000000" w:fill="D9D9D9"/>
            <w:vAlign w:val="center"/>
          </w:tcPr>
          <w:p w:rsidR="005F40E3" w:rsidRPr="00EC2869" w:rsidRDefault="005F40E3" w:rsidP="005F40E3">
            <w:pPr>
              <w:widowControl/>
              <w:overflowPunct/>
              <w:autoSpaceDE/>
              <w:autoSpaceDN/>
              <w:adjustRightInd/>
              <w:spacing w:beforeAutospacing="1" w:afterAutospacing="1"/>
              <w:ind w:left="-68" w:right="57"/>
              <w:jc w:val="right"/>
              <w:rPr>
                <w:rFonts w:ascii="Arial Narrow" w:hAnsi="Arial Narrow" w:cs="Arial"/>
                <w:kern w:val="0"/>
                <w:sz w:val="18"/>
                <w:szCs w:val="18"/>
              </w:rPr>
            </w:pPr>
            <w:r w:rsidRPr="00E313D5">
              <w:rPr>
                <w:rFonts w:ascii="Arial Narrow" w:hAnsi="Arial Narrow" w:cs="Arial"/>
                <w:sz w:val="18"/>
                <w:szCs w:val="18"/>
              </w:rPr>
              <w:t>274.811</w:t>
            </w:r>
          </w:p>
        </w:tc>
        <w:tc>
          <w:tcPr>
            <w:tcW w:w="1066" w:type="dxa"/>
            <w:shd w:val="clear" w:color="auto" w:fill="auto"/>
            <w:vAlign w:val="center"/>
          </w:tcPr>
          <w:p w:rsidR="005F40E3" w:rsidRPr="005F40E3" w:rsidRDefault="005F40E3" w:rsidP="005F40E3">
            <w:pPr>
              <w:widowControl/>
              <w:overflowPunct/>
              <w:autoSpaceDE/>
              <w:autoSpaceDN/>
              <w:adjustRightInd/>
              <w:spacing w:beforeAutospacing="1" w:afterAutospacing="1"/>
              <w:jc w:val="right"/>
              <w:rPr>
                <w:rFonts w:ascii="Arial Narrow" w:hAnsi="Arial Narrow" w:cs="Arial"/>
                <w:kern w:val="0"/>
                <w:sz w:val="18"/>
                <w:szCs w:val="18"/>
              </w:rPr>
            </w:pPr>
            <w:r w:rsidRPr="005F40E3">
              <w:rPr>
                <w:rFonts w:ascii="Arial Narrow" w:hAnsi="Arial Narrow" w:cs="Arial"/>
                <w:kern w:val="0"/>
                <w:sz w:val="18"/>
                <w:szCs w:val="18"/>
              </w:rPr>
              <w:t>-4,6</w:t>
            </w:r>
          </w:p>
        </w:tc>
        <w:tc>
          <w:tcPr>
            <w:tcW w:w="1067" w:type="dxa"/>
            <w:shd w:val="clear" w:color="000000" w:fill="D9D9D9"/>
            <w:vAlign w:val="center"/>
          </w:tcPr>
          <w:p w:rsidR="005F40E3" w:rsidRPr="005F40E3" w:rsidRDefault="005F40E3" w:rsidP="005F40E3">
            <w:pPr>
              <w:widowControl/>
              <w:overflowPunct/>
              <w:autoSpaceDE/>
              <w:autoSpaceDN/>
              <w:adjustRightInd/>
              <w:spacing w:beforeAutospacing="1" w:afterAutospacing="1"/>
              <w:jc w:val="right"/>
              <w:rPr>
                <w:rFonts w:ascii="Arial Narrow" w:hAnsi="Arial Narrow" w:cs="Arial"/>
                <w:kern w:val="0"/>
                <w:sz w:val="18"/>
                <w:szCs w:val="18"/>
              </w:rPr>
            </w:pPr>
            <w:r w:rsidRPr="005F40E3">
              <w:rPr>
                <w:rFonts w:ascii="Arial Narrow" w:hAnsi="Arial Narrow" w:cs="Arial"/>
                <w:kern w:val="0"/>
                <w:sz w:val="18"/>
                <w:szCs w:val="18"/>
              </w:rPr>
              <w:t>-5,2</w:t>
            </w:r>
          </w:p>
        </w:tc>
        <w:tc>
          <w:tcPr>
            <w:tcW w:w="1047" w:type="dxa"/>
            <w:shd w:val="clear" w:color="auto" w:fill="auto"/>
            <w:vAlign w:val="center"/>
          </w:tcPr>
          <w:p w:rsidR="005F40E3" w:rsidRPr="005F40E3" w:rsidRDefault="005F40E3" w:rsidP="005F40E3">
            <w:pPr>
              <w:widowControl/>
              <w:overflowPunct/>
              <w:autoSpaceDE/>
              <w:autoSpaceDN/>
              <w:adjustRightInd/>
              <w:spacing w:beforeAutospacing="1" w:afterAutospacing="1"/>
              <w:jc w:val="right"/>
              <w:rPr>
                <w:rFonts w:ascii="Arial Narrow" w:hAnsi="Arial Narrow" w:cs="Arial"/>
                <w:kern w:val="0"/>
                <w:sz w:val="18"/>
                <w:szCs w:val="18"/>
              </w:rPr>
            </w:pPr>
            <w:r w:rsidRPr="005F40E3">
              <w:rPr>
                <w:rFonts w:ascii="Arial Narrow" w:hAnsi="Arial Narrow" w:cs="Arial"/>
                <w:kern w:val="0"/>
                <w:sz w:val="18"/>
                <w:szCs w:val="18"/>
              </w:rPr>
              <w:t>+1,2</w:t>
            </w:r>
          </w:p>
        </w:tc>
        <w:tc>
          <w:tcPr>
            <w:tcW w:w="931" w:type="dxa"/>
            <w:shd w:val="clear" w:color="000000" w:fill="D9D9D9"/>
            <w:vAlign w:val="center"/>
          </w:tcPr>
          <w:p w:rsidR="005F40E3" w:rsidRPr="005F40E3" w:rsidRDefault="005F40E3" w:rsidP="005F40E3">
            <w:pPr>
              <w:widowControl/>
              <w:overflowPunct/>
              <w:autoSpaceDE/>
              <w:autoSpaceDN/>
              <w:adjustRightInd/>
              <w:spacing w:beforeAutospacing="1" w:afterAutospacing="1"/>
              <w:jc w:val="right"/>
              <w:rPr>
                <w:rFonts w:ascii="Arial Narrow" w:hAnsi="Arial Narrow" w:cs="Arial"/>
                <w:kern w:val="0"/>
                <w:sz w:val="18"/>
                <w:szCs w:val="18"/>
              </w:rPr>
            </w:pPr>
            <w:r w:rsidRPr="005F40E3">
              <w:rPr>
                <w:rFonts w:ascii="Arial Narrow" w:hAnsi="Arial Narrow" w:cs="Arial"/>
                <w:kern w:val="0"/>
                <w:sz w:val="18"/>
                <w:szCs w:val="18"/>
              </w:rPr>
              <w:t>+0,5</w:t>
            </w:r>
          </w:p>
        </w:tc>
        <w:tc>
          <w:tcPr>
            <w:tcW w:w="969" w:type="dxa"/>
            <w:shd w:val="clear" w:color="auto" w:fill="auto"/>
            <w:vAlign w:val="center"/>
          </w:tcPr>
          <w:p w:rsidR="005F40E3" w:rsidRPr="005F40E3" w:rsidRDefault="005F40E3" w:rsidP="005F40E3">
            <w:pPr>
              <w:widowControl/>
              <w:overflowPunct/>
              <w:autoSpaceDE/>
              <w:autoSpaceDN/>
              <w:adjustRightInd/>
              <w:spacing w:beforeAutospacing="1" w:afterAutospacing="1"/>
              <w:jc w:val="right"/>
              <w:rPr>
                <w:rFonts w:ascii="Arial Narrow" w:hAnsi="Arial Narrow" w:cs="Arial"/>
                <w:kern w:val="0"/>
                <w:sz w:val="18"/>
                <w:szCs w:val="18"/>
              </w:rPr>
            </w:pPr>
            <w:r w:rsidRPr="005F40E3">
              <w:rPr>
                <w:rFonts w:ascii="Arial Narrow" w:hAnsi="Arial Narrow" w:cs="Arial"/>
                <w:kern w:val="0"/>
                <w:sz w:val="18"/>
                <w:szCs w:val="18"/>
              </w:rPr>
              <w:t>-0,7</w:t>
            </w:r>
          </w:p>
        </w:tc>
      </w:tr>
      <w:tr w:rsidR="005F40E3" w:rsidRPr="004B2A9B" w:rsidTr="000127DA">
        <w:trPr>
          <w:trHeight w:val="255"/>
        </w:trPr>
        <w:tc>
          <w:tcPr>
            <w:tcW w:w="4131" w:type="dxa"/>
            <w:shd w:val="clear" w:color="auto" w:fill="auto"/>
            <w:vAlign w:val="center"/>
            <w:hideMark/>
          </w:tcPr>
          <w:p w:rsidR="005F40E3" w:rsidRPr="004B2A9B" w:rsidRDefault="005F40E3" w:rsidP="005F40E3">
            <w:pPr>
              <w:widowControl/>
              <w:overflowPunct/>
              <w:autoSpaceDE/>
              <w:autoSpaceDN/>
              <w:adjustRightInd/>
              <w:spacing w:before="0" w:after="0"/>
              <w:rPr>
                <w:rFonts w:ascii="Arial Narrow" w:hAnsi="Arial Narrow" w:cs="Arial"/>
                <w:kern w:val="0"/>
                <w:sz w:val="18"/>
                <w:szCs w:val="18"/>
              </w:rPr>
            </w:pPr>
            <w:r w:rsidRPr="004B2A9B">
              <w:rPr>
                <w:rFonts w:ascii="Arial Narrow" w:hAnsi="Arial Narrow" w:cs="Arial"/>
                <w:kern w:val="0"/>
                <w:sz w:val="18"/>
                <w:szCs w:val="18"/>
              </w:rPr>
              <w:t>Servizi</w:t>
            </w:r>
          </w:p>
        </w:tc>
        <w:tc>
          <w:tcPr>
            <w:tcW w:w="1028" w:type="dxa"/>
            <w:shd w:val="clear" w:color="000000" w:fill="D9D9D9"/>
            <w:vAlign w:val="center"/>
          </w:tcPr>
          <w:p w:rsidR="005F40E3" w:rsidRPr="008C753E" w:rsidRDefault="005F40E3" w:rsidP="005F40E3">
            <w:pPr>
              <w:widowControl/>
              <w:overflowPunct/>
              <w:autoSpaceDE/>
              <w:autoSpaceDN/>
              <w:adjustRightInd/>
              <w:spacing w:beforeAutospacing="1" w:afterAutospacing="1"/>
              <w:ind w:left="-68" w:right="57"/>
              <w:jc w:val="right"/>
              <w:rPr>
                <w:rFonts w:ascii="Arial Narrow" w:hAnsi="Arial Narrow" w:cs="Arial"/>
                <w:sz w:val="18"/>
                <w:szCs w:val="18"/>
              </w:rPr>
            </w:pPr>
            <w:r w:rsidRPr="008C753E">
              <w:rPr>
                <w:rFonts w:ascii="Arial Narrow" w:hAnsi="Arial Narrow" w:cs="Arial"/>
                <w:sz w:val="18"/>
                <w:szCs w:val="18"/>
              </w:rPr>
              <w:t>403.756</w:t>
            </w:r>
          </w:p>
        </w:tc>
        <w:tc>
          <w:tcPr>
            <w:tcW w:w="1066" w:type="dxa"/>
            <w:shd w:val="clear" w:color="auto" w:fill="auto"/>
            <w:vAlign w:val="center"/>
          </w:tcPr>
          <w:p w:rsidR="005F40E3" w:rsidRPr="005F40E3" w:rsidRDefault="005F40E3" w:rsidP="005F40E3">
            <w:pPr>
              <w:widowControl/>
              <w:overflowPunct/>
              <w:autoSpaceDE/>
              <w:autoSpaceDN/>
              <w:adjustRightInd/>
              <w:spacing w:beforeAutospacing="1" w:afterAutospacing="1"/>
              <w:jc w:val="right"/>
              <w:rPr>
                <w:rFonts w:ascii="Arial Narrow" w:hAnsi="Arial Narrow" w:cs="Arial"/>
                <w:kern w:val="0"/>
                <w:sz w:val="18"/>
                <w:szCs w:val="18"/>
              </w:rPr>
            </w:pPr>
            <w:r w:rsidRPr="005F40E3">
              <w:rPr>
                <w:rFonts w:ascii="Arial Narrow" w:hAnsi="Arial Narrow" w:cs="Arial"/>
                <w:kern w:val="0"/>
                <w:sz w:val="18"/>
                <w:szCs w:val="18"/>
              </w:rPr>
              <w:t>+0,5</w:t>
            </w:r>
          </w:p>
        </w:tc>
        <w:tc>
          <w:tcPr>
            <w:tcW w:w="1067" w:type="dxa"/>
            <w:shd w:val="clear" w:color="000000" w:fill="D9D9D9"/>
            <w:vAlign w:val="center"/>
          </w:tcPr>
          <w:p w:rsidR="005F40E3" w:rsidRPr="005F40E3" w:rsidRDefault="005F40E3" w:rsidP="005F40E3">
            <w:pPr>
              <w:widowControl/>
              <w:overflowPunct/>
              <w:autoSpaceDE/>
              <w:autoSpaceDN/>
              <w:adjustRightInd/>
              <w:spacing w:beforeAutospacing="1" w:afterAutospacing="1"/>
              <w:jc w:val="right"/>
              <w:rPr>
                <w:rFonts w:ascii="Arial Narrow" w:hAnsi="Arial Narrow" w:cs="Arial"/>
                <w:kern w:val="0"/>
                <w:sz w:val="18"/>
                <w:szCs w:val="18"/>
              </w:rPr>
            </w:pPr>
            <w:r w:rsidRPr="005F40E3">
              <w:rPr>
                <w:rFonts w:ascii="Arial Narrow" w:hAnsi="Arial Narrow" w:cs="Arial"/>
                <w:kern w:val="0"/>
                <w:sz w:val="18"/>
                <w:szCs w:val="18"/>
              </w:rPr>
              <w:t>+0,3</w:t>
            </w:r>
          </w:p>
        </w:tc>
        <w:tc>
          <w:tcPr>
            <w:tcW w:w="1047" w:type="dxa"/>
            <w:shd w:val="clear" w:color="auto" w:fill="auto"/>
            <w:vAlign w:val="center"/>
          </w:tcPr>
          <w:p w:rsidR="005F40E3" w:rsidRPr="005F40E3" w:rsidRDefault="005F40E3" w:rsidP="005F40E3">
            <w:pPr>
              <w:widowControl/>
              <w:overflowPunct/>
              <w:autoSpaceDE/>
              <w:autoSpaceDN/>
              <w:adjustRightInd/>
              <w:spacing w:beforeAutospacing="1" w:afterAutospacing="1"/>
              <w:jc w:val="right"/>
              <w:rPr>
                <w:rFonts w:ascii="Arial Narrow" w:hAnsi="Arial Narrow" w:cs="Arial"/>
                <w:kern w:val="0"/>
                <w:sz w:val="18"/>
                <w:szCs w:val="18"/>
              </w:rPr>
            </w:pPr>
            <w:r w:rsidRPr="005F40E3">
              <w:rPr>
                <w:rFonts w:ascii="Arial Narrow" w:hAnsi="Arial Narrow" w:cs="Arial"/>
                <w:kern w:val="0"/>
                <w:sz w:val="18"/>
                <w:szCs w:val="18"/>
              </w:rPr>
              <w:t>+3,2</w:t>
            </w:r>
          </w:p>
        </w:tc>
        <w:tc>
          <w:tcPr>
            <w:tcW w:w="931" w:type="dxa"/>
            <w:shd w:val="clear" w:color="000000" w:fill="D9D9D9"/>
            <w:vAlign w:val="center"/>
          </w:tcPr>
          <w:p w:rsidR="005F40E3" w:rsidRPr="005F40E3" w:rsidRDefault="005F40E3" w:rsidP="005F40E3">
            <w:pPr>
              <w:widowControl/>
              <w:overflowPunct/>
              <w:autoSpaceDE/>
              <w:autoSpaceDN/>
              <w:adjustRightInd/>
              <w:spacing w:beforeAutospacing="1" w:afterAutospacing="1"/>
              <w:jc w:val="right"/>
              <w:rPr>
                <w:rFonts w:ascii="Arial Narrow" w:hAnsi="Arial Narrow" w:cs="Arial"/>
                <w:kern w:val="0"/>
                <w:sz w:val="18"/>
                <w:szCs w:val="18"/>
              </w:rPr>
            </w:pPr>
            <w:r w:rsidRPr="005F40E3">
              <w:rPr>
                <w:rFonts w:ascii="Arial Narrow" w:hAnsi="Arial Narrow" w:cs="Arial"/>
                <w:kern w:val="0"/>
                <w:sz w:val="18"/>
                <w:szCs w:val="18"/>
              </w:rPr>
              <w:t>+3,1</w:t>
            </w:r>
          </w:p>
        </w:tc>
        <w:tc>
          <w:tcPr>
            <w:tcW w:w="969" w:type="dxa"/>
            <w:shd w:val="clear" w:color="auto" w:fill="auto"/>
            <w:vAlign w:val="center"/>
          </w:tcPr>
          <w:p w:rsidR="005F40E3" w:rsidRPr="005F40E3" w:rsidRDefault="005F40E3" w:rsidP="005F40E3">
            <w:pPr>
              <w:widowControl/>
              <w:overflowPunct/>
              <w:autoSpaceDE/>
              <w:autoSpaceDN/>
              <w:adjustRightInd/>
              <w:spacing w:beforeAutospacing="1" w:afterAutospacing="1"/>
              <w:jc w:val="right"/>
              <w:rPr>
                <w:rFonts w:ascii="Arial Narrow" w:hAnsi="Arial Narrow" w:cs="Arial"/>
                <w:kern w:val="0"/>
                <w:sz w:val="18"/>
                <w:szCs w:val="18"/>
              </w:rPr>
            </w:pPr>
            <w:r w:rsidRPr="005F40E3">
              <w:rPr>
                <w:rFonts w:ascii="Arial Narrow" w:hAnsi="Arial Narrow" w:cs="Arial"/>
                <w:kern w:val="0"/>
                <w:sz w:val="18"/>
                <w:szCs w:val="18"/>
              </w:rPr>
              <w:t>+3,3</w:t>
            </w:r>
          </w:p>
        </w:tc>
      </w:tr>
      <w:tr w:rsidR="005F40E3" w:rsidRPr="004D11C3" w:rsidTr="000127DA">
        <w:trPr>
          <w:trHeight w:val="255"/>
        </w:trPr>
        <w:tc>
          <w:tcPr>
            <w:tcW w:w="4131" w:type="dxa"/>
            <w:shd w:val="clear" w:color="000000" w:fill="E42618"/>
            <w:noWrap/>
            <w:vAlign w:val="center"/>
            <w:hideMark/>
          </w:tcPr>
          <w:p w:rsidR="005F40E3" w:rsidRPr="004B2A9B" w:rsidRDefault="005F40E3" w:rsidP="005F40E3">
            <w:pPr>
              <w:widowControl/>
              <w:overflowPunct/>
              <w:autoSpaceDE/>
              <w:autoSpaceDN/>
              <w:adjustRightInd/>
              <w:spacing w:before="0" w:after="0"/>
              <w:rPr>
                <w:rFonts w:ascii="Arial Narrow" w:hAnsi="Arial Narrow" w:cs="Arial"/>
                <w:b/>
                <w:bCs/>
                <w:color w:val="FFFFFF"/>
                <w:kern w:val="0"/>
                <w:sz w:val="18"/>
                <w:szCs w:val="18"/>
              </w:rPr>
            </w:pPr>
            <w:r w:rsidRPr="004B2A9B">
              <w:rPr>
                <w:rFonts w:ascii="Arial Narrow" w:hAnsi="Arial Narrow" w:cs="Arial"/>
                <w:b/>
                <w:bCs/>
                <w:color w:val="FFFFFF"/>
                <w:kern w:val="0"/>
                <w:sz w:val="18"/>
                <w:szCs w:val="18"/>
              </w:rPr>
              <w:t>Indice generale</w:t>
            </w:r>
          </w:p>
        </w:tc>
        <w:tc>
          <w:tcPr>
            <w:tcW w:w="1028" w:type="dxa"/>
            <w:shd w:val="clear" w:color="000000" w:fill="E42618"/>
            <w:vAlign w:val="center"/>
          </w:tcPr>
          <w:p w:rsidR="005F40E3" w:rsidRPr="00EC2869" w:rsidRDefault="005F40E3" w:rsidP="005F40E3">
            <w:pPr>
              <w:widowControl/>
              <w:overflowPunct/>
              <w:autoSpaceDE/>
              <w:autoSpaceDN/>
              <w:adjustRightInd/>
              <w:spacing w:beforeAutospacing="1" w:afterAutospacing="1"/>
              <w:ind w:left="-68" w:right="57"/>
              <w:jc w:val="right"/>
              <w:rPr>
                <w:rFonts w:ascii="Arial Narrow" w:hAnsi="Arial Narrow" w:cs="Arial"/>
                <w:b/>
                <w:color w:val="FFFFFF" w:themeColor="background1"/>
                <w:kern w:val="0"/>
                <w:sz w:val="18"/>
                <w:szCs w:val="18"/>
              </w:rPr>
            </w:pPr>
            <w:r w:rsidRPr="00EC2869">
              <w:rPr>
                <w:rFonts w:ascii="Arial Narrow" w:hAnsi="Arial Narrow" w:cs="Arial"/>
                <w:b/>
                <w:color w:val="FFFFFF" w:themeColor="background1"/>
                <w:kern w:val="0"/>
                <w:sz w:val="18"/>
                <w:szCs w:val="18"/>
              </w:rPr>
              <w:t>1.000.000</w:t>
            </w:r>
          </w:p>
        </w:tc>
        <w:tc>
          <w:tcPr>
            <w:tcW w:w="1066" w:type="dxa"/>
            <w:shd w:val="clear" w:color="000000" w:fill="E42618"/>
            <w:vAlign w:val="center"/>
          </w:tcPr>
          <w:p w:rsidR="005F40E3" w:rsidRPr="005F40E3" w:rsidRDefault="005F40E3" w:rsidP="005F40E3">
            <w:pPr>
              <w:widowControl/>
              <w:overflowPunct/>
              <w:autoSpaceDE/>
              <w:autoSpaceDN/>
              <w:adjustRightInd/>
              <w:spacing w:beforeAutospacing="1" w:afterAutospacing="1"/>
              <w:jc w:val="right"/>
              <w:rPr>
                <w:rFonts w:ascii="Arial Narrow" w:hAnsi="Arial Narrow" w:cs="Arial"/>
                <w:b/>
                <w:color w:val="FFFFFF" w:themeColor="background1"/>
                <w:kern w:val="0"/>
                <w:sz w:val="18"/>
                <w:szCs w:val="18"/>
              </w:rPr>
            </w:pPr>
            <w:r w:rsidRPr="005F40E3">
              <w:rPr>
                <w:rFonts w:ascii="Arial Narrow" w:hAnsi="Arial Narrow" w:cs="Arial"/>
                <w:b/>
                <w:color w:val="FFFFFF" w:themeColor="background1"/>
                <w:kern w:val="0"/>
                <w:sz w:val="18"/>
                <w:szCs w:val="18"/>
              </w:rPr>
              <w:t>-0,8</w:t>
            </w:r>
          </w:p>
        </w:tc>
        <w:tc>
          <w:tcPr>
            <w:tcW w:w="1067" w:type="dxa"/>
            <w:shd w:val="clear" w:color="000000" w:fill="E42618"/>
            <w:vAlign w:val="center"/>
          </w:tcPr>
          <w:p w:rsidR="005F40E3" w:rsidRPr="005F40E3" w:rsidRDefault="005F40E3" w:rsidP="005F40E3">
            <w:pPr>
              <w:widowControl/>
              <w:overflowPunct/>
              <w:autoSpaceDE/>
              <w:autoSpaceDN/>
              <w:adjustRightInd/>
              <w:spacing w:beforeAutospacing="1" w:afterAutospacing="1"/>
              <w:jc w:val="right"/>
              <w:rPr>
                <w:rFonts w:ascii="Arial Narrow" w:hAnsi="Arial Narrow" w:cs="Arial"/>
                <w:b/>
                <w:color w:val="FFFFFF" w:themeColor="background1"/>
                <w:kern w:val="0"/>
                <w:sz w:val="18"/>
                <w:szCs w:val="18"/>
              </w:rPr>
            </w:pPr>
            <w:r w:rsidRPr="005F40E3">
              <w:rPr>
                <w:rFonts w:ascii="Arial Narrow" w:hAnsi="Arial Narrow" w:cs="Arial"/>
                <w:b/>
                <w:color w:val="FFFFFF" w:themeColor="background1"/>
                <w:kern w:val="0"/>
                <w:sz w:val="18"/>
                <w:szCs w:val="18"/>
              </w:rPr>
              <w:t>-1,6</w:t>
            </w:r>
          </w:p>
        </w:tc>
        <w:tc>
          <w:tcPr>
            <w:tcW w:w="1047" w:type="dxa"/>
            <w:shd w:val="clear" w:color="000000" w:fill="E42618"/>
            <w:vAlign w:val="center"/>
          </w:tcPr>
          <w:p w:rsidR="005F40E3" w:rsidRPr="005F40E3" w:rsidRDefault="005F40E3" w:rsidP="005F40E3">
            <w:pPr>
              <w:widowControl/>
              <w:overflowPunct/>
              <w:autoSpaceDE/>
              <w:autoSpaceDN/>
              <w:adjustRightInd/>
              <w:spacing w:beforeAutospacing="1" w:afterAutospacing="1"/>
              <w:jc w:val="right"/>
              <w:rPr>
                <w:rFonts w:ascii="Arial Narrow" w:hAnsi="Arial Narrow" w:cs="Arial"/>
                <w:b/>
                <w:color w:val="FFFFFF" w:themeColor="background1"/>
                <w:kern w:val="0"/>
                <w:sz w:val="18"/>
                <w:szCs w:val="18"/>
              </w:rPr>
            </w:pPr>
            <w:r w:rsidRPr="005F40E3">
              <w:rPr>
                <w:rFonts w:ascii="Arial Narrow" w:hAnsi="Arial Narrow" w:cs="Arial"/>
                <w:b/>
                <w:color w:val="FFFFFF" w:themeColor="background1"/>
                <w:kern w:val="0"/>
                <w:sz w:val="18"/>
                <w:szCs w:val="18"/>
              </w:rPr>
              <w:t>+1,7</w:t>
            </w:r>
          </w:p>
        </w:tc>
        <w:tc>
          <w:tcPr>
            <w:tcW w:w="931" w:type="dxa"/>
            <w:shd w:val="clear" w:color="000000" w:fill="E42618"/>
            <w:vAlign w:val="center"/>
          </w:tcPr>
          <w:p w:rsidR="005F40E3" w:rsidRPr="005F40E3" w:rsidRDefault="005F40E3" w:rsidP="005F40E3">
            <w:pPr>
              <w:widowControl/>
              <w:overflowPunct/>
              <w:autoSpaceDE/>
              <w:autoSpaceDN/>
              <w:adjustRightInd/>
              <w:spacing w:beforeAutospacing="1" w:afterAutospacing="1"/>
              <w:jc w:val="right"/>
              <w:rPr>
                <w:rFonts w:ascii="Arial Narrow" w:hAnsi="Arial Narrow" w:cs="Arial"/>
                <w:b/>
                <w:color w:val="FFFFFF" w:themeColor="background1"/>
                <w:kern w:val="0"/>
                <w:sz w:val="18"/>
                <w:szCs w:val="18"/>
              </w:rPr>
            </w:pPr>
            <w:r w:rsidRPr="005F40E3">
              <w:rPr>
                <w:rFonts w:ascii="Arial Narrow" w:hAnsi="Arial Narrow" w:cs="Arial"/>
                <w:b/>
                <w:color w:val="FFFFFF" w:themeColor="background1"/>
                <w:kern w:val="0"/>
                <w:sz w:val="18"/>
                <w:szCs w:val="18"/>
              </w:rPr>
              <w:t>+0,9</w:t>
            </w:r>
          </w:p>
        </w:tc>
        <w:tc>
          <w:tcPr>
            <w:tcW w:w="969" w:type="dxa"/>
            <w:shd w:val="clear" w:color="000000" w:fill="E42618"/>
            <w:vAlign w:val="center"/>
          </w:tcPr>
          <w:p w:rsidR="005F40E3" w:rsidRPr="005F40E3" w:rsidRDefault="005F40E3" w:rsidP="005F40E3">
            <w:pPr>
              <w:widowControl/>
              <w:overflowPunct/>
              <w:autoSpaceDE/>
              <w:autoSpaceDN/>
              <w:adjustRightInd/>
              <w:spacing w:beforeAutospacing="1" w:afterAutospacing="1"/>
              <w:jc w:val="right"/>
              <w:rPr>
                <w:rFonts w:ascii="Arial Narrow" w:hAnsi="Arial Narrow" w:cs="Arial"/>
                <w:b/>
                <w:color w:val="FFFFFF" w:themeColor="background1"/>
                <w:kern w:val="0"/>
                <w:sz w:val="18"/>
                <w:szCs w:val="18"/>
              </w:rPr>
            </w:pPr>
            <w:r w:rsidRPr="005F40E3">
              <w:rPr>
                <w:rFonts w:ascii="Arial Narrow" w:hAnsi="Arial Narrow" w:cs="Arial"/>
                <w:b/>
                <w:color w:val="FFFFFF" w:themeColor="background1"/>
                <w:kern w:val="0"/>
                <w:sz w:val="18"/>
                <w:szCs w:val="18"/>
              </w:rPr>
              <w:t>+0,7</w:t>
            </w:r>
          </w:p>
        </w:tc>
      </w:tr>
      <w:tr w:rsidR="005F40E3" w:rsidRPr="004B2A9B" w:rsidTr="000127DA">
        <w:trPr>
          <w:trHeight w:val="431"/>
        </w:trPr>
        <w:tc>
          <w:tcPr>
            <w:tcW w:w="4131" w:type="dxa"/>
            <w:shd w:val="clear" w:color="auto" w:fill="auto"/>
            <w:vAlign w:val="center"/>
            <w:hideMark/>
          </w:tcPr>
          <w:p w:rsidR="005F40E3" w:rsidRPr="004B2A9B" w:rsidRDefault="005F40E3" w:rsidP="005F40E3">
            <w:pPr>
              <w:widowControl/>
              <w:overflowPunct/>
              <w:autoSpaceDE/>
              <w:autoSpaceDN/>
              <w:adjustRightInd/>
              <w:spacing w:before="0" w:after="0"/>
              <w:rPr>
                <w:rFonts w:ascii="Arial Narrow" w:hAnsi="Arial Narrow" w:cs="Arial"/>
                <w:kern w:val="0"/>
                <w:sz w:val="18"/>
                <w:szCs w:val="18"/>
              </w:rPr>
            </w:pPr>
            <w:r w:rsidRPr="004B2A9B">
              <w:rPr>
                <w:rFonts w:ascii="Arial Narrow" w:hAnsi="Arial Narrow" w:cs="Arial"/>
                <w:kern w:val="0"/>
                <w:sz w:val="18"/>
                <w:szCs w:val="18"/>
              </w:rPr>
              <w:t>Indice generale al netto dell’energia e degli alimentari freschi (Componente di fondo)</w:t>
            </w:r>
          </w:p>
        </w:tc>
        <w:tc>
          <w:tcPr>
            <w:tcW w:w="1028" w:type="dxa"/>
            <w:shd w:val="clear" w:color="000000" w:fill="D9D9D9"/>
            <w:vAlign w:val="center"/>
          </w:tcPr>
          <w:p w:rsidR="005F40E3" w:rsidRPr="00E313D5" w:rsidRDefault="005F40E3" w:rsidP="005F40E3">
            <w:pPr>
              <w:spacing w:before="40" w:after="20"/>
              <w:ind w:left="-68" w:right="57"/>
              <w:jc w:val="right"/>
              <w:rPr>
                <w:rFonts w:ascii="Arial Narrow" w:hAnsi="Arial Narrow" w:cs="Arial"/>
                <w:sz w:val="18"/>
                <w:szCs w:val="18"/>
              </w:rPr>
            </w:pPr>
            <w:r w:rsidRPr="00E313D5">
              <w:rPr>
                <w:rFonts w:ascii="Arial Narrow" w:hAnsi="Arial Narrow" w:cs="Arial"/>
                <w:sz w:val="18"/>
                <w:szCs w:val="18"/>
              </w:rPr>
              <w:t>827.336</w:t>
            </w:r>
          </w:p>
        </w:tc>
        <w:tc>
          <w:tcPr>
            <w:tcW w:w="1066" w:type="dxa"/>
            <w:shd w:val="clear" w:color="auto" w:fill="auto"/>
            <w:vAlign w:val="center"/>
          </w:tcPr>
          <w:p w:rsidR="005F40E3" w:rsidRPr="005F40E3" w:rsidRDefault="005F40E3" w:rsidP="005F40E3">
            <w:pPr>
              <w:widowControl/>
              <w:overflowPunct/>
              <w:autoSpaceDE/>
              <w:autoSpaceDN/>
              <w:adjustRightInd/>
              <w:spacing w:beforeAutospacing="1" w:afterAutospacing="1"/>
              <w:jc w:val="right"/>
              <w:rPr>
                <w:rFonts w:ascii="Arial Narrow" w:hAnsi="Arial Narrow" w:cs="Arial"/>
                <w:kern w:val="0"/>
                <w:sz w:val="18"/>
                <w:szCs w:val="18"/>
              </w:rPr>
            </w:pPr>
            <w:r w:rsidRPr="005F40E3">
              <w:rPr>
                <w:rFonts w:ascii="Arial Narrow" w:hAnsi="Arial Narrow" w:cs="Arial"/>
                <w:kern w:val="0"/>
                <w:sz w:val="18"/>
                <w:szCs w:val="18"/>
              </w:rPr>
              <w:t>-1,3</w:t>
            </w:r>
          </w:p>
        </w:tc>
        <w:tc>
          <w:tcPr>
            <w:tcW w:w="1067" w:type="dxa"/>
            <w:shd w:val="clear" w:color="000000" w:fill="D9D9D9"/>
            <w:vAlign w:val="center"/>
          </w:tcPr>
          <w:p w:rsidR="005F40E3" w:rsidRPr="005F40E3" w:rsidRDefault="005F40E3" w:rsidP="005F40E3">
            <w:pPr>
              <w:widowControl/>
              <w:overflowPunct/>
              <w:autoSpaceDE/>
              <w:autoSpaceDN/>
              <w:adjustRightInd/>
              <w:spacing w:beforeAutospacing="1" w:afterAutospacing="1"/>
              <w:jc w:val="right"/>
              <w:rPr>
                <w:rFonts w:ascii="Arial Narrow" w:hAnsi="Arial Narrow" w:cs="Arial"/>
                <w:kern w:val="0"/>
                <w:sz w:val="18"/>
                <w:szCs w:val="18"/>
              </w:rPr>
            </w:pPr>
            <w:r w:rsidRPr="005F40E3">
              <w:rPr>
                <w:rFonts w:ascii="Arial Narrow" w:hAnsi="Arial Narrow" w:cs="Arial"/>
                <w:kern w:val="0"/>
                <w:sz w:val="18"/>
                <w:szCs w:val="18"/>
              </w:rPr>
              <w:t>-1,6</w:t>
            </w:r>
          </w:p>
        </w:tc>
        <w:tc>
          <w:tcPr>
            <w:tcW w:w="1047" w:type="dxa"/>
            <w:shd w:val="clear" w:color="auto" w:fill="auto"/>
            <w:vAlign w:val="center"/>
          </w:tcPr>
          <w:p w:rsidR="005F40E3" w:rsidRPr="005F40E3" w:rsidRDefault="005F40E3" w:rsidP="005F40E3">
            <w:pPr>
              <w:widowControl/>
              <w:overflowPunct/>
              <w:autoSpaceDE/>
              <w:autoSpaceDN/>
              <w:adjustRightInd/>
              <w:spacing w:beforeAutospacing="1" w:afterAutospacing="1"/>
              <w:jc w:val="right"/>
              <w:rPr>
                <w:rFonts w:ascii="Arial Narrow" w:hAnsi="Arial Narrow" w:cs="Arial"/>
                <w:kern w:val="0"/>
                <w:sz w:val="18"/>
                <w:szCs w:val="18"/>
              </w:rPr>
            </w:pPr>
            <w:r w:rsidRPr="005F40E3">
              <w:rPr>
                <w:rFonts w:ascii="Arial Narrow" w:hAnsi="Arial Narrow" w:cs="Arial"/>
                <w:kern w:val="0"/>
                <w:sz w:val="18"/>
                <w:szCs w:val="18"/>
              </w:rPr>
              <w:t>+2,5</w:t>
            </w:r>
          </w:p>
        </w:tc>
        <w:tc>
          <w:tcPr>
            <w:tcW w:w="931" w:type="dxa"/>
            <w:shd w:val="clear" w:color="000000" w:fill="D9D9D9"/>
            <w:vAlign w:val="center"/>
          </w:tcPr>
          <w:p w:rsidR="005F40E3" w:rsidRPr="005F40E3" w:rsidRDefault="005F40E3" w:rsidP="005F40E3">
            <w:pPr>
              <w:widowControl/>
              <w:overflowPunct/>
              <w:autoSpaceDE/>
              <w:autoSpaceDN/>
              <w:adjustRightInd/>
              <w:spacing w:beforeAutospacing="1" w:afterAutospacing="1"/>
              <w:jc w:val="right"/>
              <w:rPr>
                <w:rFonts w:ascii="Arial Narrow" w:hAnsi="Arial Narrow" w:cs="Arial"/>
                <w:kern w:val="0"/>
                <w:sz w:val="18"/>
                <w:szCs w:val="18"/>
              </w:rPr>
            </w:pPr>
            <w:r w:rsidRPr="005F40E3">
              <w:rPr>
                <w:rFonts w:ascii="Arial Narrow" w:hAnsi="Arial Narrow" w:cs="Arial"/>
                <w:kern w:val="0"/>
                <w:sz w:val="18"/>
                <w:szCs w:val="18"/>
              </w:rPr>
              <w:t>+2,1</w:t>
            </w:r>
          </w:p>
        </w:tc>
        <w:tc>
          <w:tcPr>
            <w:tcW w:w="969" w:type="dxa"/>
            <w:shd w:val="clear" w:color="auto" w:fill="auto"/>
            <w:vAlign w:val="center"/>
          </w:tcPr>
          <w:p w:rsidR="005F40E3" w:rsidRPr="005F40E3" w:rsidRDefault="005F40E3" w:rsidP="005F40E3">
            <w:pPr>
              <w:widowControl/>
              <w:overflowPunct/>
              <w:autoSpaceDE/>
              <w:autoSpaceDN/>
              <w:adjustRightInd/>
              <w:spacing w:beforeAutospacing="1" w:afterAutospacing="1"/>
              <w:jc w:val="right"/>
              <w:rPr>
                <w:rFonts w:ascii="Arial Narrow" w:hAnsi="Arial Narrow" w:cs="Arial"/>
                <w:kern w:val="0"/>
                <w:sz w:val="18"/>
                <w:szCs w:val="18"/>
              </w:rPr>
            </w:pPr>
            <w:r w:rsidRPr="005F40E3">
              <w:rPr>
                <w:rFonts w:ascii="Arial Narrow" w:hAnsi="Arial Narrow" w:cs="Arial"/>
                <w:kern w:val="0"/>
                <w:sz w:val="18"/>
                <w:szCs w:val="18"/>
              </w:rPr>
              <w:t>+1,8</w:t>
            </w:r>
          </w:p>
        </w:tc>
      </w:tr>
      <w:tr w:rsidR="005F40E3" w:rsidRPr="004B2A9B" w:rsidTr="000127DA">
        <w:trPr>
          <w:trHeight w:val="431"/>
        </w:trPr>
        <w:tc>
          <w:tcPr>
            <w:tcW w:w="4131" w:type="dxa"/>
            <w:shd w:val="clear" w:color="auto" w:fill="auto"/>
            <w:vAlign w:val="center"/>
            <w:hideMark/>
          </w:tcPr>
          <w:p w:rsidR="005F40E3" w:rsidRPr="004B2A9B" w:rsidRDefault="005F40E3" w:rsidP="005F40E3">
            <w:pPr>
              <w:widowControl/>
              <w:overflowPunct/>
              <w:autoSpaceDE/>
              <w:autoSpaceDN/>
              <w:adjustRightInd/>
              <w:spacing w:before="0" w:after="0"/>
              <w:rPr>
                <w:rFonts w:ascii="Arial Narrow" w:hAnsi="Arial Narrow" w:cs="Arial"/>
                <w:kern w:val="0"/>
                <w:sz w:val="18"/>
                <w:szCs w:val="18"/>
              </w:rPr>
            </w:pPr>
            <w:r w:rsidRPr="004B2A9B">
              <w:rPr>
                <w:rFonts w:ascii="Arial Narrow" w:hAnsi="Arial Narrow" w:cs="Arial"/>
                <w:kern w:val="0"/>
                <w:sz w:val="18"/>
                <w:szCs w:val="18"/>
              </w:rPr>
              <w:t>Indice generale al netto dell’energia, degli alimentari (incluse bevande alcoliche) e tabacchi</w:t>
            </w:r>
          </w:p>
        </w:tc>
        <w:tc>
          <w:tcPr>
            <w:tcW w:w="1028" w:type="dxa"/>
            <w:shd w:val="clear" w:color="000000" w:fill="D9D9D9"/>
            <w:vAlign w:val="center"/>
          </w:tcPr>
          <w:p w:rsidR="005F40E3" w:rsidRPr="00E313D5" w:rsidRDefault="005F40E3" w:rsidP="005F40E3">
            <w:pPr>
              <w:spacing w:before="40" w:after="20"/>
              <w:ind w:left="-68" w:right="57"/>
              <w:jc w:val="right"/>
              <w:rPr>
                <w:rFonts w:ascii="Arial Narrow" w:hAnsi="Arial Narrow" w:cs="Arial"/>
                <w:sz w:val="18"/>
                <w:szCs w:val="18"/>
              </w:rPr>
            </w:pPr>
            <w:r w:rsidRPr="00E313D5">
              <w:rPr>
                <w:rFonts w:ascii="Arial Narrow" w:hAnsi="Arial Narrow" w:cs="Arial"/>
                <w:sz w:val="18"/>
                <w:szCs w:val="18"/>
              </w:rPr>
              <w:t>678.567</w:t>
            </w:r>
          </w:p>
        </w:tc>
        <w:tc>
          <w:tcPr>
            <w:tcW w:w="1066" w:type="dxa"/>
            <w:shd w:val="clear" w:color="auto" w:fill="auto"/>
            <w:vAlign w:val="center"/>
          </w:tcPr>
          <w:p w:rsidR="005F40E3" w:rsidRPr="005F40E3" w:rsidRDefault="005F40E3" w:rsidP="005F40E3">
            <w:pPr>
              <w:widowControl/>
              <w:overflowPunct/>
              <w:autoSpaceDE/>
              <w:autoSpaceDN/>
              <w:adjustRightInd/>
              <w:spacing w:beforeAutospacing="1" w:afterAutospacing="1"/>
              <w:jc w:val="right"/>
              <w:rPr>
                <w:rFonts w:ascii="Arial Narrow" w:hAnsi="Arial Narrow" w:cs="Arial"/>
                <w:kern w:val="0"/>
                <w:sz w:val="18"/>
                <w:szCs w:val="18"/>
              </w:rPr>
            </w:pPr>
            <w:r w:rsidRPr="005F40E3">
              <w:rPr>
                <w:rFonts w:ascii="Arial Narrow" w:hAnsi="Arial Narrow" w:cs="Arial"/>
                <w:kern w:val="0"/>
                <w:sz w:val="18"/>
                <w:szCs w:val="18"/>
              </w:rPr>
              <w:t>-1,6</w:t>
            </w:r>
          </w:p>
        </w:tc>
        <w:tc>
          <w:tcPr>
            <w:tcW w:w="1067" w:type="dxa"/>
            <w:shd w:val="clear" w:color="000000" w:fill="D9D9D9"/>
            <w:vAlign w:val="center"/>
          </w:tcPr>
          <w:p w:rsidR="005F40E3" w:rsidRPr="005F40E3" w:rsidRDefault="005F40E3" w:rsidP="005F40E3">
            <w:pPr>
              <w:widowControl/>
              <w:overflowPunct/>
              <w:autoSpaceDE/>
              <w:autoSpaceDN/>
              <w:adjustRightInd/>
              <w:spacing w:beforeAutospacing="1" w:afterAutospacing="1"/>
              <w:jc w:val="right"/>
              <w:rPr>
                <w:rFonts w:ascii="Arial Narrow" w:hAnsi="Arial Narrow" w:cs="Arial"/>
                <w:kern w:val="0"/>
                <w:sz w:val="18"/>
                <w:szCs w:val="18"/>
              </w:rPr>
            </w:pPr>
            <w:r w:rsidRPr="005F40E3">
              <w:rPr>
                <w:rFonts w:ascii="Arial Narrow" w:hAnsi="Arial Narrow" w:cs="Arial"/>
                <w:kern w:val="0"/>
                <w:sz w:val="18"/>
                <w:szCs w:val="18"/>
              </w:rPr>
              <w:t>-2,0</w:t>
            </w:r>
          </w:p>
        </w:tc>
        <w:tc>
          <w:tcPr>
            <w:tcW w:w="1047" w:type="dxa"/>
            <w:shd w:val="clear" w:color="auto" w:fill="auto"/>
            <w:vAlign w:val="center"/>
          </w:tcPr>
          <w:p w:rsidR="005F40E3" w:rsidRPr="005F40E3" w:rsidRDefault="005F40E3" w:rsidP="005F40E3">
            <w:pPr>
              <w:widowControl/>
              <w:overflowPunct/>
              <w:autoSpaceDE/>
              <w:autoSpaceDN/>
              <w:adjustRightInd/>
              <w:spacing w:beforeAutospacing="1" w:afterAutospacing="1"/>
              <w:jc w:val="right"/>
              <w:rPr>
                <w:rFonts w:ascii="Arial Narrow" w:hAnsi="Arial Narrow" w:cs="Arial"/>
                <w:kern w:val="0"/>
                <w:sz w:val="18"/>
                <w:szCs w:val="18"/>
              </w:rPr>
            </w:pPr>
            <w:r w:rsidRPr="005F40E3">
              <w:rPr>
                <w:rFonts w:ascii="Arial Narrow" w:hAnsi="Arial Narrow" w:cs="Arial"/>
                <w:kern w:val="0"/>
                <w:sz w:val="18"/>
                <w:szCs w:val="18"/>
              </w:rPr>
              <w:t>+2,6</w:t>
            </w:r>
          </w:p>
        </w:tc>
        <w:tc>
          <w:tcPr>
            <w:tcW w:w="931" w:type="dxa"/>
            <w:shd w:val="clear" w:color="000000" w:fill="D9D9D9"/>
            <w:vAlign w:val="center"/>
          </w:tcPr>
          <w:p w:rsidR="005F40E3" w:rsidRPr="005F40E3" w:rsidRDefault="005F40E3" w:rsidP="005F40E3">
            <w:pPr>
              <w:widowControl/>
              <w:overflowPunct/>
              <w:autoSpaceDE/>
              <w:autoSpaceDN/>
              <w:adjustRightInd/>
              <w:spacing w:beforeAutospacing="1" w:afterAutospacing="1"/>
              <w:jc w:val="right"/>
              <w:rPr>
                <w:rFonts w:ascii="Arial Narrow" w:hAnsi="Arial Narrow" w:cs="Arial"/>
                <w:kern w:val="0"/>
                <w:sz w:val="18"/>
                <w:szCs w:val="18"/>
              </w:rPr>
            </w:pPr>
            <w:r w:rsidRPr="005F40E3">
              <w:rPr>
                <w:rFonts w:ascii="Arial Narrow" w:hAnsi="Arial Narrow" w:cs="Arial"/>
                <w:kern w:val="0"/>
                <w:sz w:val="18"/>
                <w:szCs w:val="18"/>
              </w:rPr>
              <w:t>+2,1</w:t>
            </w:r>
          </w:p>
        </w:tc>
        <w:tc>
          <w:tcPr>
            <w:tcW w:w="969" w:type="dxa"/>
            <w:shd w:val="clear" w:color="auto" w:fill="auto"/>
            <w:vAlign w:val="center"/>
          </w:tcPr>
          <w:p w:rsidR="005F40E3" w:rsidRPr="005F40E3" w:rsidRDefault="005F40E3" w:rsidP="005F40E3">
            <w:pPr>
              <w:widowControl/>
              <w:overflowPunct/>
              <w:autoSpaceDE/>
              <w:autoSpaceDN/>
              <w:adjustRightInd/>
              <w:spacing w:beforeAutospacing="1" w:afterAutospacing="1"/>
              <w:jc w:val="right"/>
              <w:rPr>
                <w:rFonts w:ascii="Arial Narrow" w:hAnsi="Arial Narrow" w:cs="Arial"/>
                <w:kern w:val="0"/>
                <w:sz w:val="18"/>
                <w:szCs w:val="18"/>
              </w:rPr>
            </w:pPr>
            <w:r w:rsidRPr="005F40E3">
              <w:rPr>
                <w:rFonts w:ascii="Arial Narrow" w:hAnsi="Arial Narrow" w:cs="Arial"/>
                <w:kern w:val="0"/>
                <w:sz w:val="18"/>
                <w:szCs w:val="18"/>
              </w:rPr>
              <w:t>+1,7</w:t>
            </w:r>
          </w:p>
        </w:tc>
      </w:tr>
      <w:tr w:rsidR="005F40E3" w:rsidRPr="004B2A9B" w:rsidTr="000127DA">
        <w:trPr>
          <w:trHeight w:val="255"/>
        </w:trPr>
        <w:tc>
          <w:tcPr>
            <w:tcW w:w="4131" w:type="dxa"/>
            <w:shd w:val="clear" w:color="auto" w:fill="auto"/>
            <w:vAlign w:val="center"/>
            <w:hideMark/>
          </w:tcPr>
          <w:p w:rsidR="005F40E3" w:rsidRPr="004B2A9B" w:rsidRDefault="005F40E3" w:rsidP="005F40E3">
            <w:pPr>
              <w:widowControl/>
              <w:overflowPunct/>
              <w:autoSpaceDE/>
              <w:autoSpaceDN/>
              <w:adjustRightInd/>
              <w:spacing w:before="0" w:after="0"/>
              <w:rPr>
                <w:rFonts w:ascii="Arial Narrow" w:hAnsi="Arial Narrow" w:cs="Arial"/>
                <w:kern w:val="0"/>
                <w:sz w:val="18"/>
                <w:szCs w:val="18"/>
              </w:rPr>
            </w:pPr>
            <w:r w:rsidRPr="004B2A9B">
              <w:rPr>
                <w:rFonts w:ascii="Arial Narrow" w:hAnsi="Arial Narrow" w:cs="Arial"/>
                <w:kern w:val="0"/>
                <w:sz w:val="18"/>
                <w:szCs w:val="18"/>
              </w:rPr>
              <w:t>Indice generale al netto dell’energia</w:t>
            </w:r>
          </w:p>
        </w:tc>
        <w:tc>
          <w:tcPr>
            <w:tcW w:w="1028" w:type="dxa"/>
            <w:shd w:val="clear" w:color="000000" w:fill="D9D9D9"/>
            <w:vAlign w:val="center"/>
          </w:tcPr>
          <w:p w:rsidR="005F40E3" w:rsidRPr="00E313D5" w:rsidRDefault="005F40E3" w:rsidP="005F40E3">
            <w:pPr>
              <w:spacing w:before="40" w:after="20"/>
              <w:ind w:left="-68" w:right="57"/>
              <w:jc w:val="right"/>
              <w:rPr>
                <w:rFonts w:ascii="Arial Narrow" w:hAnsi="Arial Narrow" w:cs="Arial"/>
                <w:sz w:val="18"/>
                <w:szCs w:val="18"/>
              </w:rPr>
            </w:pPr>
            <w:r w:rsidRPr="00E313D5">
              <w:rPr>
                <w:rFonts w:ascii="Arial Narrow" w:hAnsi="Arial Narrow" w:cs="Arial"/>
                <w:sz w:val="18"/>
                <w:szCs w:val="18"/>
              </w:rPr>
              <w:t>891.078</w:t>
            </w:r>
          </w:p>
        </w:tc>
        <w:tc>
          <w:tcPr>
            <w:tcW w:w="1066" w:type="dxa"/>
            <w:shd w:val="clear" w:color="auto" w:fill="auto"/>
            <w:vAlign w:val="center"/>
          </w:tcPr>
          <w:p w:rsidR="005F40E3" w:rsidRPr="005F40E3" w:rsidRDefault="005F40E3" w:rsidP="005F40E3">
            <w:pPr>
              <w:widowControl/>
              <w:overflowPunct/>
              <w:autoSpaceDE/>
              <w:autoSpaceDN/>
              <w:adjustRightInd/>
              <w:spacing w:beforeAutospacing="1" w:afterAutospacing="1"/>
              <w:jc w:val="right"/>
              <w:rPr>
                <w:rFonts w:ascii="Arial Narrow" w:hAnsi="Arial Narrow" w:cs="Arial"/>
                <w:kern w:val="0"/>
                <w:sz w:val="18"/>
                <w:szCs w:val="18"/>
              </w:rPr>
            </w:pPr>
            <w:r w:rsidRPr="005F40E3">
              <w:rPr>
                <w:rFonts w:ascii="Arial Narrow" w:hAnsi="Arial Narrow" w:cs="Arial"/>
                <w:kern w:val="0"/>
                <w:sz w:val="18"/>
                <w:szCs w:val="18"/>
              </w:rPr>
              <w:t>-1,3</w:t>
            </w:r>
          </w:p>
        </w:tc>
        <w:tc>
          <w:tcPr>
            <w:tcW w:w="1067" w:type="dxa"/>
            <w:shd w:val="clear" w:color="000000" w:fill="D9D9D9"/>
            <w:vAlign w:val="center"/>
          </w:tcPr>
          <w:p w:rsidR="005F40E3" w:rsidRPr="005F40E3" w:rsidRDefault="005F40E3" w:rsidP="005F40E3">
            <w:pPr>
              <w:widowControl/>
              <w:overflowPunct/>
              <w:autoSpaceDE/>
              <w:autoSpaceDN/>
              <w:adjustRightInd/>
              <w:spacing w:beforeAutospacing="1" w:afterAutospacing="1"/>
              <w:jc w:val="right"/>
              <w:rPr>
                <w:rFonts w:ascii="Arial Narrow" w:hAnsi="Arial Narrow" w:cs="Arial"/>
                <w:kern w:val="0"/>
                <w:sz w:val="18"/>
                <w:szCs w:val="18"/>
              </w:rPr>
            </w:pPr>
            <w:r w:rsidRPr="005F40E3">
              <w:rPr>
                <w:rFonts w:ascii="Arial Narrow" w:hAnsi="Arial Narrow" w:cs="Arial"/>
                <w:kern w:val="0"/>
                <w:sz w:val="18"/>
                <w:szCs w:val="18"/>
              </w:rPr>
              <w:t>-1,5</w:t>
            </w:r>
          </w:p>
        </w:tc>
        <w:tc>
          <w:tcPr>
            <w:tcW w:w="1047" w:type="dxa"/>
            <w:shd w:val="clear" w:color="auto" w:fill="auto"/>
            <w:vAlign w:val="center"/>
          </w:tcPr>
          <w:p w:rsidR="005F40E3" w:rsidRPr="005F40E3" w:rsidRDefault="005F40E3" w:rsidP="005F40E3">
            <w:pPr>
              <w:widowControl/>
              <w:overflowPunct/>
              <w:autoSpaceDE/>
              <w:autoSpaceDN/>
              <w:adjustRightInd/>
              <w:spacing w:beforeAutospacing="1" w:afterAutospacing="1"/>
              <w:jc w:val="right"/>
              <w:rPr>
                <w:rFonts w:ascii="Arial Narrow" w:hAnsi="Arial Narrow" w:cs="Arial"/>
                <w:kern w:val="0"/>
                <w:sz w:val="18"/>
                <w:szCs w:val="18"/>
              </w:rPr>
            </w:pPr>
            <w:r w:rsidRPr="005F40E3">
              <w:rPr>
                <w:rFonts w:ascii="Arial Narrow" w:hAnsi="Arial Narrow" w:cs="Arial"/>
                <w:kern w:val="0"/>
                <w:sz w:val="18"/>
                <w:szCs w:val="18"/>
              </w:rPr>
              <w:t>+2,3</w:t>
            </w:r>
          </w:p>
        </w:tc>
        <w:tc>
          <w:tcPr>
            <w:tcW w:w="931" w:type="dxa"/>
            <w:shd w:val="clear" w:color="000000" w:fill="D9D9D9"/>
            <w:vAlign w:val="center"/>
          </w:tcPr>
          <w:p w:rsidR="005F40E3" w:rsidRPr="005F40E3" w:rsidRDefault="005F40E3" w:rsidP="005F40E3">
            <w:pPr>
              <w:widowControl/>
              <w:overflowPunct/>
              <w:autoSpaceDE/>
              <w:autoSpaceDN/>
              <w:adjustRightInd/>
              <w:spacing w:beforeAutospacing="1" w:afterAutospacing="1"/>
              <w:jc w:val="right"/>
              <w:rPr>
                <w:rFonts w:ascii="Arial Narrow" w:hAnsi="Arial Narrow" w:cs="Arial"/>
                <w:kern w:val="0"/>
                <w:sz w:val="18"/>
                <w:szCs w:val="18"/>
              </w:rPr>
            </w:pPr>
            <w:r w:rsidRPr="005F40E3">
              <w:rPr>
                <w:rFonts w:ascii="Arial Narrow" w:hAnsi="Arial Narrow" w:cs="Arial"/>
                <w:kern w:val="0"/>
                <w:sz w:val="18"/>
                <w:szCs w:val="18"/>
              </w:rPr>
              <w:t>+2,1</w:t>
            </w:r>
          </w:p>
        </w:tc>
        <w:tc>
          <w:tcPr>
            <w:tcW w:w="969" w:type="dxa"/>
            <w:shd w:val="clear" w:color="auto" w:fill="auto"/>
            <w:vAlign w:val="center"/>
          </w:tcPr>
          <w:p w:rsidR="005F40E3" w:rsidRPr="005F40E3" w:rsidRDefault="005F40E3" w:rsidP="005F40E3">
            <w:pPr>
              <w:widowControl/>
              <w:overflowPunct/>
              <w:autoSpaceDE/>
              <w:autoSpaceDN/>
              <w:adjustRightInd/>
              <w:spacing w:beforeAutospacing="1" w:afterAutospacing="1"/>
              <w:jc w:val="right"/>
              <w:rPr>
                <w:rFonts w:ascii="Arial Narrow" w:hAnsi="Arial Narrow" w:cs="Arial"/>
                <w:kern w:val="0"/>
                <w:sz w:val="18"/>
                <w:szCs w:val="18"/>
              </w:rPr>
            </w:pPr>
            <w:r w:rsidRPr="005F40E3">
              <w:rPr>
                <w:rFonts w:ascii="Arial Narrow" w:hAnsi="Arial Narrow" w:cs="Arial"/>
                <w:kern w:val="0"/>
                <w:sz w:val="18"/>
                <w:szCs w:val="18"/>
              </w:rPr>
              <w:t>+1,8</w:t>
            </w:r>
          </w:p>
        </w:tc>
      </w:tr>
    </w:tbl>
    <w:p w:rsidR="005031DD" w:rsidRDefault="005031DD" w:rsidP="005031DD">
      <w:pPr>
        <w:spacing w:before="0" w:after="120"/>
        <w:jc w:val="both"/>
        <w:rPr>
          <w:rFonts w:ascii="Arial" w:hAnsi="Arial" w:cs="Arial"/>
          <w:b/>
        </w:rPr>
      </w:pPr>
    </w:p>
    <w:p w:rsidR="005031DD" w:rsidRDefault="005031DD" w:rsidP="00EB5D65">
      <w:pPr>
        <w:spacing w:before="60" w:after="120"/>
        <w:jc w:val="both"/>
        <w:rPr>
          <w:rFonts w:ascii="Arial" w:hAnsi="Arial" w:cs="Arial"/>
          <w:b/>
        </w:rPr>
      </w:pPr>
    </w:p>
    <w:p w:rsidR="005031DD" w:rsidRDefault="005031DD" w:rsidP="00EB5D65">
      <w:pPr>
        <w:spacing w:before="60" w:after="120"/>
        <w:jc w:val="both"/>
        <w:rPr>
          <w:rFonts w:ascii="Arial" w:hAnsi="Arial" w:cs="Arial"/>
          <w:b/>
        </w:rPr>
      </w:pPr>
    </w:p>
    <w:p w:rsidR="003B6F86" w:rsidRPr="008A1DA4" w:rsidRDefault="003B6F86" w:rsidP="003B6F86">
      <w:pPr>
        <w:spacing w:before="0" w:after="120"/>
        <w:jc w:val="both"/>
        <w:rPr>
          <w:rFonts w:ascii="Arial" w:hAnsi="Arial" w:cs="Arial"/>
          <w:b/>
        </w:rPr>
      </w:pPr>
    </w:p>
    <w:p w:rsidR="003B6F86" w:rsidRDefault="003B6F86" w:rsidP="003B6F86">
      <w:pPr>
        <w:spacing w:before="0" w:after="120"/>
        <w:jc w:val="both"/>
        <w:rPr>
          <w:rFonts w:ascii="Arial" w:hAnsi="Arial" w:cs="Arial"/>
          <w:b/>
        </w:rPr>
        <w:sectPr w:rsidR="003B6F86" w:rsidSect="00AE446C">
          <w:headerReference w:type="default" r:id="rId29"/>
          <w:footerReference w:type="default" r:id="rId30"/>
          <w:type w:val="continuous"/>
          <w:pgSz w:w="11907" w:h="16840" w:code="9"/>
          <w:pgMar w:top="1534" w:right="851" w:bottom="680" w:left="851" w:header="567" w:footer="567" w:gutter="0"/>
          <w:cols w:space="720"/>
          <w:noEndnote/>
          <w:docGrid w:linePitch="272"/>
        </w:sectPr>
      </w:pPr>
    </w:p>
    <w:p w:rsidR="0083719A" w:rsidRDefault="0083719A" w:rsidP="003B6F86">
      <w:pPr>
        <w:spacing w:before="0" w:after="120"/>
        <w:jc w:val="both"/>
        <w:rPr>
          <w:rFonts w:ascii="Arial" w:hAnsi="Arial" w:cs="Arial"/>
          <w:b/>
        </w:rPr>
        <w:sectPr w:rsidR="0083719A" w:rsidSect="00AE446C">
          <w:headerReference w:type="default" r:id="rId31"/>
          <w:type w:val="continuous"/>
          <w:pgSz w:w="11907" w:h="16840" w:code="9"/>
          <w:pgMar w:top="1534" w:right="851" w:bottom="680" w:left="851" w:header="567" w:footer="567" w:gutter="0"/>
          <w:cols w:space="720"/>
          <w:noEndnote/>
          <w:docGrid w:linePitch="272"/>
        </w:sectPr>
      </w:pPr>
    </w:p>
    <w:p w:rsidR="00A32897" w:rsidRPr="00D7016A" w:rsidRDefault="00A32897" w:rsidP="00A32897">
      <w:pPr>
        <w:spacing w:before="0"/>
        <w:jc w:val="both"/>
        <w:rPr>
          <w:rFonts w:ascii="Arial" w:hAnsi="Arial" w:cs="Arial"/>
          <w:color w:val="000000"/>
          <w:kern w:val="0"/>
          <w:sz w:val="16"/>
          <w:szCs w:val="16"/>
        </w:rPr>
      </w:pPr>
    </w:p>
    <w:p w:rsidR="00EB5D65" w:rsidRPr="00E87687" w:rsidRDefault="00B77C79" w:rsidP="00EB5D65">
      <w:pPr>
        <w:pStyle w:val="001TitoloBolocco"/>
        <w:spacing w:after="120" w:line="240" w:lineRule="auto"/>
      </w:pPr>
      <w:r>
        <w:t xml:space="preserve">INFLAZIONE </w:t>
      </w:r>
      <w:r w:rsidR="00613DD2">
        <w:t>IN MODERATA RISALITA A LUGLIO</w:t>
      </w:r>
    </w:p>
    <w:p w:rsidR="00835E2E" w:rsidRDefault="00500422" w:rsidP="004B5DB2">
      <w:pPr>
        <w:spacing w:before="0"/>
        <w:jc w:val="both"/>
        <w:rPr>
          <w:rFonts w:ascii="Arial" w:hAnsi="Arial" w:cs="Arial"/>
          <w:color w:val="000000"/>
          <w:kern w:val="0"/>
          <w:sz w:val="21"/>
          <w:szCs w:val="21"/>
        </w:rPr>
      </w:pPr>
      <w:r w:rsidRPr="00AA6CC8">
        <w:rPr>
          <w:rFonts w:ascii="Arial" w:hAnsi="Arial" w:cs="Arial"/>
          <w:color w:val="000000"/>
          <w:kern w:val="0"/>
          <w:sz w:val="21"/>
          <w:szCs w:val="21"/>
        </w:rPr>
        <w:t>A</w:t>
      </w:r>
      <w:r>
        <w:rPr>
          <w:rFonts w:ascii="Arial" w:hAnsi="Arial" w:cs="Arial"/>
          <w:color w:val="000000"/>
          <w:kern w:val="0"/>
          <w:sz w:val="21"/>
          <w:szCs w:val="21"/>
        </w:rPr>
        <w:t xml:space="preserve"> </w:t>
      </w:r>
      <w:r w:rsidR="004037D8">
        <w:rPr>
          <w:rFonts w:ascii="Arial" w:hAnsi="Arial" w:cs="Arial"/>
          <w:color w:val="000000"/>
          <w:kern w:val="0"/>
          <w:sz w:val="21"/>
          <w:szCs w:val="21"/>
        </w:rPr>
        <w:t>luglio</w:t>
      </w:r>
      <w:r w:rsidRPr="00AA6CC8">
        <w:rPr>
          <w:rFonts w:ascii="Arial" w:hAnsi="Arial" w:cs="Arial"/>
          <w:color w:val="000000"/>
          <w:kern w:val="0"/>
          <w:sz w:val="21"/>
          <w:szCs w:val="21"/>
        </w:rPr>
        <w:t xml:space="preserve">, secondo le stime preliminari, </w:t>
      </w:r>
      <w:r w:rsidR="009F4296">
        <w:rPr>
          <w:rFonts w:ascii="Arial" w:hAnsi="Arial" w:cs="Arial"/>
          <w:color w:val="000000"/>
          <w:kern w:val="0"/>
          <w:sz w:val="21"/>
          <w:szCs w:val="21"/>
        </w:rPr>
        <w:t>l’inflazione risale a +1,3%, a causa sia dell’evoluzione dei prezzi dei beni, in recupero su base tendenziale (da -0,7% a -0,1%), sia dell’accelerazione dei</w:t>
      </w:r>
      <w:r w:rsidR="009F4296" w:rsidRPr="00AA6CC8">
        <w:rPr>
          <w:rFonts w:ascii="Arial" w:hAnsi="Arial" w:cs="Arial"/>
          <w:color w:val="000000"/>
          <w:kern w:val="0"/>
          <w:sz w:val="21"/>
          <w:szCs w:val="21"/>
        </w:rPr>
        <w:t xml:space="preserve"> </w:t>
      </w:r>
      <w:r w:rsidR="009F4296">
        <w:rPr>
          <w:rFonts w:ascii="Arial" w:hAnsi="Arial" w:cs="Arial"/>
          <w:color w:val="000000"/>
          <w:kern w:val="0"/>
          <w:sz w:val="21"/>
          <w:szCs w:val="21"/>
        </w:rPr>
        <w:t>servizi (da +2,8% a +3,0%);</w:t>
      </w:r>
      <w:r w:rsidR="00406E3F">
        <w:rPr>
          <w:rFonts w:ascii="Arial" w:hAnsi="Arial" w:cs="Arial"/>
          <w:color w:val="000000"/>
          <w:kern w:val="0"/>
          <w:sz w:val="21"/>
          <w:szCs w:val="21"/>
        </w:rPr>
        <w:t xml:space="preserve"> </w:t>
      </w:r>
      <w:r w:rsidRPr="00B07AFC">
        <w:rPr>
          <w:rFonts w:ascii="Arial" w:hAnsi="Arial" w:cs="Arial"/>
          <w:color w:val="000000"/>
          <w:kern w:val="0"/>
          <w:sz w:val="21"/>
          <w:szCs w:val="21"/>
        </w:rPr>
        <w:t>il differenziale inflazionistico tra questi ultimi e i prezzi dei beni</w:t>
      </w:r>
      <w:r w:rsidR="00462CDD">
        <w:rPr>
          <w:rFonts w:ascii="Arial" w:hAnsi="Arial" w:cs="Arial"/>
          <w:color w:val="000000"/>
          <w:kern w:val="0"/>
          <w:sz w:val="21"/>
          <w:szCs w:val="21"/>
        </w:rPr>
        <w:t xml:space="preserve"> </w:t>
      </w:r>
      <w:r w:rsidR="003A6E76">
        <w:rPr>
          <w:rFonts w:ascii="Arial" w:hAnsi="Arial" w:cs="Arial"/>
          <w:color w:val="000000"/>
          <w:kern w:val="0"/>
          <w:sz w:val="21"/>
          <w:szCs w:val="21"/>
        </w:rPr>
        <w:t>si porta dunque</w:t>
      </w:r>
      <w:r w:rsidR="008D2E2A">
        <w:rPr>
          <w:rFonts w:ascii="Arial" w:hAnsi="Arial" w:cs="Arial"/>
          <w:color w:val="000000"/>
          <w:kern w:val="0"/>
          <w:sz w:val="21"/>
          <w:szCs w:val="21"/>
        </w:rPr>
        <w:t xml:space="preserve"> </w:t>
      </w:r>
      <w:r w:rsidR="009F4296">
        <w:rPr>
          <w:rFonts w:ascii="Arial" w:hAnsi="Arial" w:cs="Arial"/>
          <w:color w:val="000000"/>
          <w:kern w:val="0"/>
          <w:sz w:val="21"/>
          <w:szCs w:val="21"/>
        </w:rPr>
        <w:t>a +3,1</w:t>
      </w:r>
      <w:r w:rsidR="008D2E2A">
        <w:rPr>
          <w:rFonts w:ascii="Arial" w:hAnsi="Arial" w:cs="Arial"/>
          <w:color w:val="000000"/>
          <w:kern w:val="0"/>
          <w:sz w:val="21"/>
          <w:szCs w:val="21"/>
        </w:rPr>
        <w:t xml:space="preserve"> punti percentuali</w:t>
      </w:r>
      <w:r w:rsidR="009F4296">
        <w:rPr>
          <w:rFonts w:ascii="Arial" w:hAnsi="Arial" w:cs="Arial"/>
          <w:color w:val="000000"/>
          <w:kern w:val="0"/>
          <w:sz w:val="21"/>
          <w:szCs w:val="21"/>
        </w:rPr>
        <w:t xml:space="preserve"> (dai +3,5</w:t>
      </w:r>
      <w:r w:rsidR="003A6E76">
        <w:rPr>
          <w:rFonts w:ascii="Arial" w:hAnsi="Arial" w:cs="Arial"/>
          <w:color w:val="000000"/>
          <w:kern w:val="0"/>
          <w:sz w:val="21"/>
          <w:szCs w:val="21"/>
        </w:rPr>
        <w:t xml:space="preserve"> di </w:t>
      </w:r>
      <w:r w:rsidR="009F4296">
        <w:rPr>
          <w:rFonts w:ascii="Arial" w:hAnsi="Arial" w:cs="Arial"/>
          <w:color w:val="000000"/>
          <w:kern w:val="0"/>
          <w:sz w:val="21"/>
          <w:szCs w:val="21"/>
        </w:rPr>
        <w:t>giugno</w:t>
      </w:r>
      <w:r w:rsidR="003A6E76">
        <w:rPr>
          <w:rFonts w:ascii="Arial" w:hAnsi="Arial" w:cs="Arial"/>
          <w:color w:val="000000"/>
          <w:kern w:val="0"/>
          <w:sz w:val="21"/>
          <w:szCs w:val="21"/>
        </w:rPr>
        <w:t>)</w:t>
      </w:r>
      <w:r w:rsidRPr="00B07AFC">
        <w:rPr>
          <w:rFonts w:ascii="Arial" w:hAnsi="Arial" w:cs="Arial"/>
          <w:color w:val="000000"/>
          <w:kern w:val="0"/>
          <w:sz w:val="21"/>
          <w:szCs w:val="21"/>
        </w:rPr>
        <w:t>.</w:t>
      </w:r>
    </w:p>
    <w:p w:rsidR="00BC50C1" w:rsidRDefault="00004387" w:rsidP="00DB40F3">
      <w:pPr>
        <w:spacing w:before="0" w:after="120"/>
        <w:jc w:val="both"/>
        <w:rPr>
          <w:rFonts w:ascii="Arial" w:hAnsi="Arial" w:cs="Arial"/>
          <w:color w:val="000000"/>
          <w:kern w:val="0"/>
          <w:sz w:val="21"/>
          <w:szCs w:val="21"/>
        </w:rPr>
      </w:pPr>
      <w:r>
        <w:rPr>
          <w:rFonts w:ascii="Arial" w:hAnsi="Arial" w:cs="Arial"/>
          <w:color w:val="000000"/>
          <w:kern w:val="0"/>
          <w:sz w:val="21"/>
          <w:szCs w:val="21"/>
        </w:rPr>
        <w:t>L’andamento dei prezzi dei b</w:t>
      </w:r>
      <w:r w:rsidR="0046700E" w:rsidRPr="0046700E">
        <w:rPr>
          <w:rFonts w:ascii="Arial" w:hAnsi="Arial" w:cs="Arial"/>
          <w:color w:val="000000"/>
          <w:kern w:val="0"/>
          <w:sz w:val="21"/>
          <w:szCs w:val="21"/>
        </w:rPr>
        <w:t>eni riflette</w:t>
      </w:r>
      <w:r w:rsidR="0007593A">
        <w:rPr>
          <w:rFonts w:ascii="Arial" w:hAnsi="Arial" w:cs="Arial"/>
          <w:color w:val="000000"/>
          <w:kern w:val="0"/>
          <w:sz w:val="21"/>
          <w:szCs w:val="21"/>
        </w:rPr>
        <w:t>,</w:t>
      </w:r>
      <w:r w:rsidR="0046700E" w:rsidRPr="0046700E">
        <w:rPr>
          <w:rFonts w:ascii="Arial" w:hAnsi="Arial" w:cs="Arial"/>
          <w:color w:val="000000"/>
          <w:kern w:val="0"/>
          <w:sz w:val="21"/>
          <w:szCs w:val="21"/>
        </w:rPr>
        <w:t xml:space="preserve"> in primo luogo</w:t>
      </w:r>
      <w:r w:rsidR="0007593A">
        <w:rPr>
          <w:rFonts w:ascii="Arial" w:hAnsi="Arial" w:cs="Arial"/>
          <w:color w:val="000000"/>
          <w:kern w:val="0"/>
          <w:sz w:val="21"/>
          <w:szCs w:val="21"/>
        </w:rPr>
        <w:t>,</w:t>
      </w:r>
      <w:r w:rsidR="0046700E" w:rsidRPr="0046700E">
        <w:rPr>
          <w:rFonts w:ascii="Arial" w:hAnsi="Arial" w:cs="Arial"/>
          <w:color w:val="000000"/>
          <w:kern w:val="0"/>
          <w:sz w:val="21"/>
          <w:szCs w:val="21"/>
        </w:rPr>
        <w:t xml:space="preserve"> </w:t>
      </w:r>
      <w:r w:rsidR="006132A1">
        <w:rPr>
          <w:rFonts w:ascii="Arial" w:hAnsi="Arial" w:cs="Arial"/>
          <w:color w:val="000000"/>
          <w:kern w:val="0"/>
          <w:sz w:val="21"/>
          <w:szCs w:val="21"/>
        </w:rPr>
        <w:t xml:space="preserve">quello dei prezzi dei Beni energetici, che mostrano un </w:t>
      </w:r>
      <w:r w:rsidR="00B5624C">
        <w:rPr>
          <w:rFonts w:ascii="Arial" w:hAnsi="Arial" w:cs="Arial"/>
          <w:color w:val="000000"/>
          <w:kern w:val="0"/>
          <w:sz w:val="21"/>
          <w:szCs w:val="21"/>
        </w:rPr>
        <w:t>profilo tendenziale in netta risalita, pur restando su valori negativi (</w:t>
      </w:r>
      <w:r w:rsidR="006132A1">
        <w:rPr>
          <w:rFonts w:ascii="Arial" w:hAnsi="Arial" w:cs="Arial"/>
          <w:color w:val="000000"/>
          <w:kern w:val="0"/>
          <w:sz w:val="21"/>
          <w:szCs w:val="21"/>
        </w:rPr>
        <w:t>da -</w:t>
      </w:r>
      <w:r w:rsidR="00EF2A50">
        <w:rPr>
          <w:rFonts w:ascii="Arial" w:hAnsi="Arial" w:cs="Arial"/>
          <w:color w:val="000000"/>
          <w:kern w:val="0"/>
          <w:sz w:val="21"/>
          <w:szCs w:val="21"/>
        </w:rPr>
        <w:t>8,6% a -4,1</w:t>
      </w:r>
      <w:r w:rsidR="007C2575">
        <w:rPr>
          <w:rFonts w:ascii="Arial" w:hAnsi="Arial" w:cs="Arial"/>
          <w:color w:val="000000"/>
          <w:kern w:val="0"/>
          <w:sz w:val="21"/>
          <w:szCs w:val="21"/>
        </w:rPr>
        <w:t>%; +3,5</w:t>
      </w:r>
      <w:r w:rsidR="000312DF">
        <w:rPr>
          <w:rFonts w:ascii="Arial" w:hAnsi="Arial" w:cs="Arial"/>
          <w:color w:val="000000"/>
          <w:kern w:val="0"/>
          <w:sz w:val="21"/>
          <w:szCs w:val="21"/>
        </w:rPr>
        <w:t>%</w:t>
      </w:r>
      <w:r w:rsidR="00C54850">
        <w:rPr>
          <w:rFonts w:ascii="Arial" w:hAnsi="Arial" w:cs="Arial"/>
          <w:color w:val="000000"/>
          <w:kern w:val="0"/>
          <w:sz w:val="21"/>
          <w:szCs w:val="21"/>
        </w:rPr>
        <w:t xml:space="preserve"> sul mese</w:t>
      </w:r>
      <w:r w:rsidR="00FC5818">
        <w:rPr>
          <w:rFonts w:ascii="Arial" w:hAnsi="Arial" w:cs="Arial"/>
          <w:color w:val="000000"/>
          <w:kern w:val="0"/>
          <w:sz w:val="21"/>
          <w:szCs w:val="21"/>
        </w:rPr>
        <w:t>)</w:t>
      </w:r>
      <w:r w:rsidR="000312DF">
        <w:rPr>
          <w:rFonts w:ascii="Arial" w:hAnsi="Arial" w:cs="Arial"/>
          <w:color w:val="000000"/>
          <w:kern w:val="0"/>
          <w:sz w:val="21"/>
          <w:szCs w:val="21"/>
        </w:rPr>
        <w:t xml:space="preserve">. </w:t>
      </w:r>
      <w:r w:rsidR="00B5624C">
        <w:rPr>
          <w:rFonts w:ascii="Arial" w:hAnsi="Arial" w:cs="Arial"/>
          <w:color w:val="000000"/>
          <w:kern w:val="0"/>
          <w:sz w:val="21"/>
          <w:szCs w:val="21"/>
        </w:rPr>
        <w:t>Più in dettaglio, nell’ambito dei Beni energetici non regolamentati</w:t>
      </w:r>
      <w:r w:rsidR="0081283A">
        <w:rPr>
          <w:rStyle w:val="Rimandonotaapidipagina"/>
          <w:rFonts w:ascii="Arial" w:hAnsi="Arial"/>
          <w:color w:val="000000"/>
          <w:kern w:val="0"/>
          <w:sz w:val="21"/>
          <w:szCs w:val="21"/>
        </w:rPr>
        <w:footnoteReference w:id="1"/>
      </w:r>
      <w:r w:rsidR="007C2575">
        <w:rPr>
          <w:rFonts w:ascii="Arial" w:hAnsi="Arial" w:cs="Arial"/>
          <w:color w:val="000000"/>
          <w:kern w:val="0"/>
          <w:sz w:val="21"/>
          <w:szCs w:val="21"/>
        </w:rPr>
        <w:t xml:space="preserve"> (da -10</w:t>
      </w:r>
      <w:r w:rsidR="00FC5818">
        <w:rPr>
          <w:rFonts w:ascii="Arial" w:hAnsi="Arial" w:cs="Arial"/>
          <w:color w:val="000000"/>
          <w:kern w:val="0"/>
          <w:sz w:val="21"/>
          <w:szCs w:val="21"/>
        </w:rPr>
        <w:t>,</w:t>
      </w:r>
      <w:r w:rsidR="007C2575">
        <w:rPr>
          <w:rFonts w:ascii="Arial" w:hAnsi="Arial" w:cs="Arial"/>
          <w:color w:val="000000"/>
          <w:kern w:val="0"/>
          <w:sz w:val="21"/>
          <w:szCs w:val="21"/>
        </w:rPr>
        <w:t>3% a -6,1%; +3,3</w:t>
      </w:r>
      <w:r w:rsidR="00FC5818">
        <w:rPr>
          <w:rFonts w:ascii="Arial" w:hAnsi="Arial" w:cs="Arial"/>
          <w:color w:val="000000"/>
          <w:kern w:val="0"/>
          <w:sz w:val="21"/>
          <w:szCs w:val="21"/>
        </w:rPr>
        <w:t xml:space="preserve">% rispetto a </w:t>
      </w:r>
      <w:r w:rsidR="007C2575">
        <w:rPr>
          <w:rFonts w:ascii="Arial" w:hAnsi="Arial" w:cs="Arial"/>
          <w:color w:val="000000"/>
          <w:kern w:val="0"/>
          <w:sz w:val="21"/>
          <w:szCs w:val="21"/>
        </w:rPr>
        <w:t>giugno</w:t>
      </w:r>
      <w:r w:rsidR="00FC5818">
        <w:rPr>
          <w:rFonts w:ascii="Arial" w:hAnsi="Arial" w:cs="Arial"/>
          <w:color w:val="000000"/>
          <w:kern w:val="0"/>
          <w:sz w:val="21"/>
          <w:szCs w:val="21"/>
        </w:rPr>
        <w:t>)</w:t>
      </w:r>
      <w:r w:rsidR="00B5624C">
        <w:rPr>
          <w:rFonts w:ascii="Arial" w:hAnsi="Arial" w:cs="Arial"/>
          <w:color w:val="000000"/>
          <w:kern w:val="0"/>
          <w:sz w:val="21"/>
          <w:szCs w:val="21"/>
        </w:rPr>
        <w:t xml:space="preserve">, pesa </w:t>
      </w:r>
      <w:r w:rsidR="00AD7E6C">
        <w:rPr>
          <w:rFonts w:ascii="Arial" w:hAnsi="Arial" w:cs="Arial"/>
          <w:color w:val="000000"/>
          <w:kern w:val="0"/>
          <w:sz w:val="21"/>
          <w:szCs w:val="21"/>
        </w:rPr>
        <w:t>l’evoluzione</w:t>
      </w:r>
      <w:r w:rsidR="00B5624C">
        <w:rPr>
          <w:rFonts w:ascii="Arial" w:hAnsi="Arial" w:cs="Arial"/>
          <w:color w:val="000000"/>
          <w:kern w:val="0"/>
          <w:sz w:val="21"/>
          <w:szCs w:val="21"/>
        </w:rPr>
        <w:t xml:space="preserve"> dei prezzi </w:t>
      </w:r>
      <w:r w:rsidR="007C2575">
        <w:rPr>
          <w:rFonts w:ascii="Arial" w:hAnsi="Arial" w:cs="Arial"/>
          <w:color w:val="000000"/>
          <w:kern w:val="0"/>
          <w:sz w:val="21"/>
          <w:szCs w:val="21"/>
        </w:rPr>
        <w:t xml:space="preserve">dell’Energia elettrica mercato libero (da -25,0% a -18,2%; +3,6% da giugno), </w:t>
      </w:r>
      <w:r w:rsidR="00B5624C">
        <w:rPr>
          <w:rFonts w:ascii="Arial" w:hAnsi="Arial" w:cs="Arial"/>
          <w:color w:val="000000"/>
          <w:kern w:val="0"/>
          <w:sz w:val="21"/>
          <w:szCs w:val="21"/>
        </w:rPr>
        <w:t>del Gas di città e gas n</w:t>
      </w:r>
      <w:r w:rsidR="007C2575">
        <w:rPr>
          <w:rFonts w:ascii="Arial" w:hAnsi="Arial" w:cs="Arial"/>
          <w:color w:val="000000"/>
          <w:kern w:val="0"/>
          <w:sz w:val="21"/>
          <w:szCs w:val="21"/>
        </w:rPr>
        <w:t>aturale mercato libero (da -24,1</w:t>
      </w:r>
      <w:r w:rsidR="00B5624C">
        <w:rPr>
          <w:rFonts w:ascii="Arial" w:hAnsi="Arial" w:cs="Arial"/>
          <w:color w:val="000000"/>
          <w:kern w:val="0"/>
          <w:sz w:val="21"/>
          <w:szCs w:val="21"/>
        </w:rPr>
        <w:t>% a -</w:t>
      </w:r>
      <w:r w:rsidR="007C2575">
        <w:rPr>
          <w:rFonts w:ascii="Arial" w:hAnsi="Arial" w:cs="Arial"/>
          <w:color w:val="000000"/>
          <w:kern w:val="0"/>
          <w:sz w:val="21"/>
          <w:szCs w:val="21"/>
        </w:rPr>
        <w:t>19,7%; +0,4</w:t>
      </w:r>
      <w:r w:rsidR="00B5624C">
        <w:rPr>
          <w:rFonts w:ascii="Arial" w:hAnsi="Arial" w:cs="Arial"/>
          <w:color w:val="000000"/>
          <w:kern w:val="0"/>
          <w:sz w:val="21"/>
          <w:szCs w:val="21"/>
        </w:rPr>
        <w:t xml:space="preserve">% </w:t>
      </w:r>
      <w:r w:rsidR="00770ED8">
        <w:rPr>
          <w:rFonts w:ascii="Arial" w:hAnsi="Arial" w:cs="Arial"/>
          <w:color w:val="000000"/>
          <w:kern w:val="0"/>
          <w:sz w:val="21"/>
          <w:szCs w:val="21"/>
        </w:rPr>
        <w:t>su base mensile</w:t>
      </w:r>
      <w:r w:rsidR="00B5624C">
        <w:rPr>
          <w:rFonts w:ascii="Arial" w:hAnsi="Arial" w:cs="Arial"/>
          <w:color w:val="000000"/>
          <w:kern w:val="0"/>
          <w:sz w:val="21"/>
          <w:szCs w:val="21"/>
        </w:rPr>
        <w:t>) e</w:t>
      </w:r>
      <w:r w:rsidR="007C2575">
        <w:rPr>
          <w:rFonts w:ascii="Arial" w:hAnsi="Arial" w:cs="Arial"/>
          <w:color w:val="000000"/>
          <w:kern w:val="0"/>
          <w:sz w:val="21"/>
          <w:szCs w:val="21"/>
        </w:rPr>
        <w:t xml:space="preserve"> d</w:t>
      </w:r>
      <w:r w:rsidR="00D944B2">
        <w:rPr>
          <w:rFonts w:ascii="Arial" w:hAnsi="Arial" w:cs="Arial"/>
          <w:color w:val="000000"/>
          <w:kern w:val="0"/>
          <w:sz w:val="21"/>
          <w:szCs w:val="21"/>
        </w:rPr>
        <w:t>el</w:t>
      </w:r>
      <w:r w:rsidR="007C2575">
        <w:rPr>
          <w:rFonts w:ascii="Arial" w:hAnsi="Arial" w:cs="Arial"/>
          <w:color w:val="000000"/>
          <w:kern w:val="0"/>
          <w:sz w:val="21"/>
          <w:szCs w:val="21"/>
        </w:rPr>
        <w:t xml:space="preserve"> </w:t>
      </w:r>
      <w:r w:rsidR="00BB58BC">
        <w:rPr>
          <w:rFonts w:ascii="Arial" w:hAnsi="Arial" w:cs="Arial"/>
          <w:color w:val="000000"/>
          <w:kern w:val="0"/>
          <w:sz w:val="21"/>
          <w:szCs w:val="21"/>
        </w:rPr>
        <w:t>Gasolio per mezzi di trasporto (da +2,3</w:t>
      </w:r>
      <w:r w:rsidR="007C2575">
        <w:rPr>
          <w:rFonts w:ascii="Arial" w:hAnsi="Arial" w:cs="Arial"/>
          <w:color w:val="000000"/>
          <w:kern w:val="0"/>
          <w:sz w:val="21"/>
          <w:szCs w:val="21"/>
        </w:rPr>
        <w:t>% a +</w:t>
      </w:r>
      <w:r w:rsidR="00BB58BC">
        <w:rPr>
          <w:rFonts w:ascii="Arial" w:hAnsi="Arial" w:cs="Arial"/>
          <w:color w:val="000000"/>
          <w:kern w:val="0"/>
          <w:sz w:val="21"/>
          <w:szCs w:val="21"/>
        </w:rPr>
        <w:t>3,1%; +</w:t>
      </w:r>
      <w:r w:rsidR="007C2575">
        <w:rPr>
          <w:rFonts w:ascii="Arial" w:hAnsi="Arial" w:cs="Arial"/>
          <w:color w:val="000000"/>
          <w:kern w:val="0"/>
          <w:sz w:val="21"/>
          <w:szCs w:val="21"/>
        </w:rPr>
        <w:t>2,</w:t>
      </w:r>
      <w:r w:rsidR="00BB58BC">
        <w:rPr>
          <w:rFonts w:ascii="Arial" w:hAnsi="Arial" w:cs="Arial"/>
          <w:color w:val="000000"/>
          <w:kern w:val="0"/>
          <w:sz w:val="21"/>
          <w:szCs w:val="21"/>
        </w:rPr>
        <w:t>0</w:t>
      </w:r>
      <w:r w:rsidR="007C2575">
        <w:rPr>
          <w:rFonts w:ascii="Arial" w:hAnsi="Arial" w:cs="Arial"/>
          <w:color w:val="000000"/>
          <w:kern w:val="0"/>
          <w:sz w:val="21"/>
          <w:szCs w:val="21"/>
        </w:rPr>
        <w:t>% il congiunturale),</w:t>
      </w:r>
      <w:r w:rsidR="007D0FD8">
        <w:rPr>
          <w:rFonts w:ascii="Arial" w:hAnsi="Arial" w:cs="Arial"/>
          <w:color w:val="000000"/>
          <w:kern w:val="0"/>
          <w:sz w:val="21"/>
          <w:szCs w:val="21"/>
        </w:rPr>
        <w:t xml:space="preserve"> </w:t>
      </w:r>
      <w:r w:rsidR="00BB58BC">
        <w:rPr>
          <w:rFonts w:ascii="Arial" w:hAnsi="Arial" w:cs="Arial"/>
          <w:color w:val="000000"/>
          <w:kern w:val="0"/>
          <w:sz w:val="21"/>
          <w:szCs w:val="21"/>
        </w:rPr>
        <w:t xml:space="preserve">solo in parte compensata dal rallentamento </w:t>
      </w:r>
      <w:r w:rsidR="00D944B2">
        <w:rPr>
          <w:rFonts w:ascii="Arial" w:hAnsi="Arial" w:cs="Arial"/>
          <w:color w:val="000000"/>
          <w:kern w:val="0"/>
          <w:sz w:val="21"/>
          <w:szCs w:val="21"/>
        </w:rPr>
        <w:t>dei prezzi del</w:t>
      </w:r>
      <w:r w:rsidR="007D0FD8">
        <w:rPr>
          <w:rFonts w:ascii="Arial" w:hAnsi="Arial" w:cs="Arial"/>
          <w:color w:val="000000"/>
          <w:kern w:val="0"/>
          <w:sz w:val="21"/>
          <w:szCs w:val="21"/>
        </w:rPr>
        <w:t xml:space="preserve"> Gasolio </w:t>
      </w:r>
      <w:r w:rsidR="00E3220C">
        <w:rPr>
          <w:rFonts w:ascii="Arial" w:hAnsi="Arial" w:cs="Arial"/>
          <w:color w:val="000000"/>
          <w:kern w:val="0"/>
          <w:sz w:val="21"/>
          <w:szCs w:val="21"/>
        </w:rPr>
        <w:t>per</w:t>
      </w:r>
      <w:r w:rsidR="007C2575">
        <w:rPr>
          <w:rFonts w:ascii="Arial" w:hAnsi="Arial" w:cs="Arial"/>
          <w:color w:val="000000"/>
          <w:kern w:val="0"/>
          <w:sz w:val="21"/>
          <w:szCs w:val="21"/>
        </w:rPr>
        <w:t xml:space="preserve"> riscaldamento (da +3,8% a +3,2%; +0</w:t>
      </w:r>
      <w:r w:rsidR="007D0FD8">
        <w:rPr>
          <w:rFonts w:ascii="Arial" w:hAnsi="Arial" w:cs="Arial"/>
          <w:color w:val="000000"/>
          <w:kern w:val="0"/>
          <w:sz w:val="21"/>
          <w:szCs w:val="21"/>
        </w:rPr>
        <w:t xml:space="preserve">,9% sul mese) </w:t>
      </w:r>
      <w:r w:rsidR="00BB58BC">
        <w:rPr>
          <w:rFonts w:ascii="Arial" w:hAnsi="Arial" w:cs="Arial"/>
          <w:color w:val="000000"/>
          <w:kern w:val="0"/>
          <w:sz w:val="21"/>
          <w:szCs w:val="21"/>
        </w:rPr>
        <w:t>e della Benzina (da +1,1</w:t>
      </w:r>
      <w:r w:rsidR="007D0FD8">
        <w:rPr>
          <w:rFonts w:ascii="Arial" w:hAnsi="Arial" w:cs="Arial"/>
          <w:color w:val="000000"/>
          <w:kern w:val="0"/>
          <w:sz w:val="21"/>
          <w:szCs w:val="21"/>
        </w:rPr>
        <w:t xml:space="preserve">% </w:t>
      </w:r>
      <w:r w:rsidR="00BB58BC">
        <w:rPr>
          <w:rFonts w:ascii="Arial" w:hAnsi="Arial" w:cs="Arial"/>
          <w:color w:val="000000"/>
          <w:kern w:val="0"/>
          <w:sz w:val="21"/>
          <w:szCs w:val="21"/>
        </w:rPr>
        <w:t>a +0,7%; +0,5</w:t>
      </w:r>
      <w:r w:rsidR="007D0FD8">
        <w:rPr>
          <w:rFonts w:ascii="Arial" w:hAnsi="Arial" w:cs="Arial"/>
          <w:color w:val="000000"/>
          <w:kern w:val="0"/>
          <w:sz w:val="21"/>
          <w:szCs w:val="21"/>
        </w:rPr>
        <w:t xml:space="preserve">% rispetto </w:t>
      </w:r>
      <w:r w:rsidR="00770ED8">
        <w:rPr>
          <w:rFonts w:ascii="Arial" w:hAnsi="Arial" w:cs="Arial"/>
          <w:color w:val="000000"/>
          <w:kern w:val="0"/>
          <w:sz w:val="21"/>
          <w:szCs w:val="21"/>
        </w:rPr>
        <w:t>a giugno</w:t>
      </w:r>
      <w:r w:rsidR="007D0FD8">
        <w:rPr>
          <w:rFonts w:ascii="Arial" w:hAnsi="Arial" w:cs="Arial"/>
          <w:color w:val="000000"/>
          <w:kern w:val="0"/>
          <w:sz w:val="21"/>
          <w:szCs w:val="21"/>
        </w:rPr>
        <w:t>).</w:t>
      </w:r>
      <w:r w:rsidR="00C169A3">
        <w:rPr>
          <w:rFonts w:ascii="Arial" w:hAnsi="Arial" w:cs="Arial"/>
          <w:color w:val="000000"/>
          <w:kern w:val="0"/>
          <w:sz w:val="21"/>
          <w:szCs w:val="21"/>
        </w:rPr>
        <w:t xml:space="preserve"> </w:t>
      </w:r>
      <w:r w:rsidR="00FC5818">
        <w:rPr>
          <w:rFonts w:ascii="Arial" w:hAnsi="Arial" w:cs="Arial"/>
          <w:color w:val="000000"/>
          <w:kern w:val="0"/>
          <w:sz w:val="21"/>
          <w:szCs w:val="21"/>
        </w:rPr>
        <w:t>Per quanto riguarda la componente regolamentata</w:t>
      </w:r>
      <w:r w:rsidR="0074205D">
        <w:rPr>
          <w:rFonts w:ascii="Arial" w:hAnsi="Arial" w:cs="Arial"/>
          <w:color w:val="000000"/>
          <w:kern w:val="0"/>
          <w:sz w:val="21"/>
          <w:szCs w:val="21"/>
        </w:rPr>
        <w:t>,</w:t>
      </w:r>
      <w:r w:rsidR="00FC5818">
        <w:rPr>
          <w:rFonts w:ascii="Arial" w:hAnsi="Arial" w:cs="Arial"/>
          <w:color w:val="000000"/>
          <w:kern w:val="0"/>
          <w:sz w:val="21"/>
          <w:szCs w:val="21"/>
        </w:rPr>
        <w:t xml:space="preserve"> </w:t>
      </w:r>
      <w:r w:rsidR="0074205D">
        <w:rPr>
          <w:rFonts w:ascii="Arial" w:hAnsi="Arial" w:cs="Arial"/>
          <w:color w:val="000000"/>
          <w:kern w:val="0"/>
          <w:sz w:val="21"/>
          <w:szCs w:val="21"/>
        </w:rPr>
        <w:t xml:space="preserve">l’accelerazione su base tendenziale dei prezzi </w:t>
      </w:r>
      <w:r w:rsidR="00BB58BC">
        <w:rPr>
          <w:rFonts w:ascii="Arial" w:hAnsi="Arial" w:cs="Arial"/>
          <w:color w:val="000000"/>
          <w:kern w:val="0"/>
          <w:sz w:val="21"/>
          <w:szCs w:val="21"/>
        </w:rPr>
        <w:t>(da +3,5% a +11,3</w:t>
      </w:r>
      <w:r w:rsidR="00FC5818">
        <w:rPr>
          <w:rFonts w:ascii="Arial" w:hAnsi="Arial" w:cs="Arial"/>
          <w:color w:val="000000"/>
          <w:kern w:val="0"/>
          <w:sz w:val="21"/>
          <w:szCs w:val="21"/>
        </w:rPr>
        <w:t xml:space="preserve">%; </w:t>
      </w:r>
      <w:r w:rsidR="00BB58BC">
        <w:rPr>
          <w:rFonts w:ascii="Arial" w:hAnsi="Arial" w:cs="Arial"/>
          <w:color w:val="000000"/>
          <w:kern w:val="0"/>
          <w:sz w:val="21"/>
          <w:szCs w:val="21"/>
        </w:rPr>
        <w:t>+5,5</w:t>
      </w:r>
      <w:r w:rsidR="00FC5818">
        <w:rPr>
          <w:rFonts w:ascii="Arial" w:hAnsi="Arial" w:cs="Arial"/>
          <w:color w:val="000000"/>
          <w:kern w:val="0"/>
          <w:sz w:val="21"/>
          <w:szCs w:val="21"/>
        </w:rPr>
        <w:t>% il congiunturale)</w:t>
      </w:r>
      <w:r w:rsidR="0074205D">
        <w:rPr>
          <w:rFonts w:ascii="Arial" w:hAnsi="Arial" w:cs="Arial"/>
          <w:color w:val="000000"/>
          <w:kern w:val="0"/>
          <w:sz w:val="21"/>
          <w:szCs w:val="21"/>
        </w:rPr>
        <w:t xml:space="preserve"> è condizionata </w:t>
      </w:r>
      <w:r w:rsidR="00BB58BC">
        <w:rPr>
          <w:rFonts w:ascii="Arial" w:hAnsi="Arial" w:cs="Arial"/>
          <w:color w:val="000000"/>
          <w:kern w:val="0"/>
          <w:sz w:val="21"/>
          <w:szCs w:val="21"/>
        </w:rPr>
        <w:t xml:space="preserve">dalla </w:t>
      </w:r>
      <w:r w:rsidR="00D944B2">
        <w:rPr>
          <w:rFonts w:ascii="Arial" w:hAnsi="Arial" w:cs="Arial"/>
          <w:color w:val="000000"/>
          <w:kern w:val="0"/>
          <w:sz w:val="21"/>
          <w:szCs w:val="21"/>
        </w:rPr>
        <w:t>forte</w:t>
      </w:r>
      <w:r w:rsidR="00BB58BC">
        <w:rPr>
          <w:rFonts w:ascii="Arial" w:hAnsi="Arial" w:cs="Arial"/>
          <w:color w:val="000000"/>
          <w:kern w:val="0"/>
          <w:sz w:val="21"/>
          <w:szCs w:val="21"/>
        </w:rPr>
        <w:t xml:space="preserve"> attenuazione della flessione</w:t>
      </w:r>
      <w:r w:rsidR="0074205D">
        <w:rPr>
          <w:rFonts w:ascii="Arial" w:hAnsi="Arial" w:cs="Arial"/>
          <w:color w:val="000000"/>
          <w:kern w:val="0"/>
          <w:sz w:val="21"/>
          <w:szCs w:val="21"/>
        </w:rPr>
        <w:t xml:space="preserve"> dei</w:t>
      </w:r>
      <w:r w:rsidR="00FC5818">
        <w:rPr>
          <w:rFonts w:ascii="Arial" w:hAnsi="Arial" w:cs="Arial"/>
          <w:color w:val="000000"/>
          <w:kern w:val="0"/>
          <w:sz w:val="21"/>
          <w:szCs w:val="21"/>
        </w:rPr>
        <w:t xml:space="preserve"> prezzi </w:t>
      </w:r>
      <w:r w:rsidR="00BB58BC">
        <w:rPr>
          <w:rFonts w:ascii="Arial" w:hAnsi="Arial" w:cs="Arial"/>
          <w:color w:val="000000"/>
          <w:kern w:val="0"/>
          <w:sz w:val="21"/>
          <w:szCs w:val="21"/>
        </w:rPr>
        <w:t xml:space="preserve">dell’Energia elettrica mercato tutelato (da -24,7% a -9,7%; +18,4% il congiunturale) e dall’accelerazione di quelli </w:t>
      </w:r>
      <w:r w:rsidR="00FC5818">
        <w:rPr>
          <w:rFonts w:ascii="Arial" w:hAnsi="Arial" w:cs="Arial"/>
          <w:color w:val="000000"/>
          <w:kern w:val="0"/>
          <w:sz w:val="21"/>
          <w:szCs w:val="21"/>
        </w:rPr>
        <w:t>del Gas di città e gas nat</w:t>
      </w:r>
      <w:r w:rsidR="00BB58BC">
        <w:rPr>
          <w:rFonts w:ascii="Arial" w:hAnsi="Arial" w:cs="Arial"/>
          <w:color w:val="000000"/>
          <w:kern w:val="0"/>
          <w:sz w:val="21"/>
          <w:szCs w:val="21"/>
        </w:rPr>
        <w:t>urale mercato tutelato (da +30,5% a +31,5</w:t>
      </w:r>
      <w:r w:rsidR="00FC5818">
        <w:rPr>
          <w:rFonts w:ascii="Arial" w:hAnsi="Arial" w:cs="Arial"/>
          <w:color w:val="000000"/>
          <w:kern w:val="0"/>
          <w:sz w:val="21"/>
          <w:szCs w:val="21"/>
        </w:rPr>
        <w:t>%;</w:t>
      </w:r>
      <w:r w:rsidR="00BB58BC">
        <w:rPr>
          <w:rFonts w:ascii="Arial" w:hAnsi="Arial" w:cs="Arial"/>
          <w:color w:val="000000"/>
          <w:kern w:val="0"/>
          <w:sz w:val="21"/>
          <w:szCs w:val="21"/>
        </w:rPr>
        <w:t xml:space="preserve"> -1,4% da giugno).</w:t>
      </w:r>
      <w:r w:rsidR="00770ED8">
        <w:rPr>
          <w:rFonts w:ascii="Arial" w:hAnsi="Arial" w:cs="Arial"/>
          <w:color w:val="000000"/>
          <w:kern w:val="0"/>
          <w:sz w:val="21"/>
          <w:szCs w:val="21"/>
        </w:rPr>
        <w:t xml:space="preserve"> </w:t>
      </w:r>
      <w:r w:rsidR="00BC50C1">
        <w:rPr>
          <w:rFonts w:ascii="Arial" w:hAnsi="Arial" w:cs="Arial"/>
          <w:color w:val="000000"/>
          <w:kern w:val="0"/>
          <w:sz w:val="21"/>
          <w:szCs w:val="21"/>
        </w:rPr>
        <w:t>L’evoluzione dei prezzi nel settore energetico, a luglio, risente anche della dinamica de</w:t>
      </w:r>
      <w:r w:rsidR="00097945">
        <w:rPr>
          <w:rFonts w:ascii="Arial" w:hAnsi="Arial" w:cs="Arial"/>
          <w:color w:val="000000"/>
          <w:kern w:val="0"/>
          <w:sz w:val="21"/>
          <w:szCs w:val="21"/>
        </w:rPr>
        <w:t xml:space="preserve">i prezzi </w:t>
      </w:r>
      <w:r w:rsidR="00220D49">
        <w:rPr>
          <w:rFonts w:ascii="Arial" w:hAnsi="Arial" w:cs="Arial"/>
          <w:color w:val="000000"/>
          <w:kern w:val="0"/>
          <w:sz w:val="21"/>
          <w:szCs w:val="21"/>
        </w:rPr>
        <w:t>dell’E</w:t>
      </w:r>
      <w:r w:rsidR="00BC50C1">
        <w:rPr>
          <w:rFonts w:ascii="Arial" w:hAnsi="Arial" w:cs="Arial"/>
          <w:color w:val="000000"/>
          <w:kern w:val="0"/>
          <w:sz w:val="21"/>
          <w:szCs w:val="21"/>
        </w:rPr>
        <w:t xml:space="preserve">nergia elettrica per le famiglie in transizione, che </w:t>
      </w:r>
      <w:r w:rsidR="00F8522C">
        <w:rPr>
          <w:rFonts w:ascii="Arial" w:hAnsi="Arial" w:cs="Arial"/>
          <w:color w:val="000000"/>
          <w:kern w:val="0"/>
          <w:sz w:val="21"/>
          <w:szCs w:val="21"/>
        </w:rPr>
        <w:t xml:space="preserve">registrano </w:t>
      </w:r>
      <w:r w:rsidR="00BC50C1">
        <w:rPr>
          <w:rFonts w:ascii="Arial" w:hAnsi="Arial" w:cs="Arial"/>
          <w:color w:val="000000"/>
          <w:kern w:val="0"/>
          <w:sz w:val="21"/>
          <w:szCs w:val="21"/>
        </w:rPr>
        <w:t xml:space="preserve">una crescita </w:t>
      </w:r>
      <w:r w:rsidR="00F8522C">
        <w:rPr>
          <w:rFonts w:ascii="Arial" w:hAnsi="Arial" w:cs="Arial"/>
          <w:color w:val="000000"/>
          <w:kern w:val="0"/>
          <w:sz w:val="21"/>
          <w:szCs w:val="21"/>
        </w:rPr>
        <w:t>del 52,6% sul mese precedente e del 7,3% rispetto a dicembre dello scorso anno.</w:t>
      </w:r>
    </w:p>
    <w:p w:rsidR="00625770" w:rsidRDefault="00625770" w:rsidP="00DB40F3">
      <w:pPr>
        <w:spacing w:before="0" w:after="120"/>
        <w:jc w:val="both"/>
        <w:rPr>
          <w:rFonts w:ascii="Arial" w:hAnsi="Arial" w:cs="Arial"/>
          <w:color w:val="000000"/>
          <w:kern w:val="0"/>
          <w:sz w:val="21"/>
          <w:szCs w:val="21"/>
        </w:rPr>
      </w:pPr>
      <w:r>
        <w:rPr>
          <w:rFonts w:ascii="Arial" w:hAnsi="Arial" w:cs="Arial"/>
          <w:color w:val="000000"/>
          <w:kern w:val="0"/>
          <w:sz w:val="21"/>
          <w:szCs w:val="21"/>
        </w:rPr>
        <w:t>I prezzi dei Beni alimentari</w:t>
      </w:r>
      <w:r w:rsidR="00FD57C7">
        <w:rPr>
          <w:rFonts w:ascii="Arial" w:hAnsi="Arial" w:cs="Arial"/>
          <w:color w:val="000000"/>
          <w:kern w:val="0"/>
          <w:sz w:val="21"/>
          <w:szCs w:val="21"/>
        </w:rPr>
        <w:t xml:space="preserve"> nel complesso</w:t>
      </w:r>
      <w:r>
        <w:rPr>
          <w:rFonts w:ascii="Arial" w:hAnsi="Arial" w:cs="Arial"/>
          <w:color w:val="000000"/>
          <w:kern w:val="0"/>
          <w:sz w:val="21"/>
          <w:szCs w:val="21"/>
        </w:rPr>
        <w:t xml:space="preserve"> </w:t>
      </w:r>
      <w:r w:rsidR="00FD57C7">
        <w:rPr>
          <w:rFonts w:ascii="Arial" w:hAnsi="Arial" w:cs="Arial"/>
          <w:color w:val="000000"/>
          <w:kern w:val="0"/>
          <w:sz w:val="21"/>
          <w:szCs w:val="21"/>
        </w:rPr>
        <w:t>tendono a</w:t>
      </w:r>
      <w:r w:rsidR="00C30E79">
        <w:rPr>
          <w:rFonts w:ascii="Arial" w:hAnsi="Arial" w:cs="Arial"/>
          <w:color w:val="000000"/>
          <w:kern w:val="0"/>
          <w:sz w:val="21"/>
          <w:szCs w:val="21"/>
        </w:rPr>
        <w:t xml:space="preserve"> decelerare lievemente (da +1,3% a +0,9</w:t>
      </w:r>
      <w:r>
        <w:rPr>
          <w:rFonts w:ascii="Arial" w:hAnsi="Arial" w:cs="Arial"/>
          <w:color w:val="000000"/>
          <w:kern w:val="0"/>
          <w:sz w:val="21"/>
          <w:szCs w:val="21"/>
        </w:rPr>
        <w:t xml:space="preserve">%; </w:t>
      </w:r>
      <w:r w:rsidR="00C30E79">
        <w:rPr>
          <w:rFonts w:ascii="Arial" w:hAnsi="Arial" w:cs="Arial"/>
          <w:color w:val="000000"/>
          <w:kern w:val="0"/>
          <w:sz w:val="21"/>
          <w:szCs w:val="21"/>
        </w:rPr>
        <w:t>-0,3%</w:t>
      </w:r>
      <w:r>
        <w:rPr>
          <w:rFonts w:ascii="Arial" w:hAnsi="Arial" w:cs="Arial"/>
          <w:color w:val="000000"/>
          <w:kern w:val="0"/>
          <w:sz w:val="21"/>
          <w:szCs w:val="21"/>
        </w:rPr>
        <w:t xml:space="preserve"> il congiunturale</w:t>
      </w:r>
      <w:r w:rsidR="00392870">
        <w:rPr>
          <w:rFonts w:ascii="Arial" w:hAnsi="Arial" w:cs="Arial"/>
          <w:color w:val="000000"/>
          <w:kern w:val="0"/>
          <w:sz w:val="21"/>
          <w:szCs w:val="21"/>
        </w:rPr>
        <w:t>)</w:t>
      </w:r>
      <w:r>
        <w:rPr>
          <w:rFonts w:ascii="Arial" w:hAnsi="Arial" w:cs="Arial"/>
          <w:color w:val="000000"/>
          <w:kern w:val="0"/>
          <w:sz w:val="21"/>
          <w:szCs w:val="21"/>
        </w:rPr>
        <w:t xml:space="preserve">, a causa </w:t>
      </w:r>
      <w:r w:rsidR="00C30E79">
        <w:rPr>
          <w:rFonts w:ascii="Arial" w:hAnsi="Arial" w:cs="Arial"/>
          <w:color w:val="000000"/>
          <w:kern w:val="0"/>
          <w:sz w:val="21"/>
          <w:szCs w:val="21"/>
        </w:rPr>
        <w:t xml:space="preserve">sia </w:t>
      </w:r>
      <w:r>
        <w:rPr>
          <w:rFonts w:ascii="Arial" w:hAnsi="Arial" w:cs="Arial"/>
          <w:color w:val="000000"/>
          <w:kern w:val="0"/>
          <w:sz w:val="21"/>
          <w:szCs w:val="21"/>
        </w:rPr>
        <w:t>della componente non lavorata (</w:t>
      </w:r>
      <w:r w:rsidR="00C30E79">
        <w:rPr>
          <w:rFonts w:ascii="Arial" w:hAnsi="Arial" w:cs="Arial"/>
          <w:color w:val="000000"/>
          <w:kern w:val="0"/>
          <w:sz w:val="21"/>
          <w:szCs w:val="21"/>
        </w:rPr>
        <w:t>con inversione di tendenza da +0,3</w:t>
      </w:r>
      <w:r>
        <w:rPr>
          <w:rFonts w:ascii="Arial" w:hAnsi="Arial" w:cs="Arial"/>
          <w:color w:val="000000"/>
          <w:kern w:val="0"/>
          <w:sz w:val="21"/>
          <w:szCs w:val="21"/>
        </w:rPr>
        <w:t xml:space="preserve">% </w:t>
      </w:r>
      <w:r w:rsidR="00C30E79">
        <w:rPr>
          <w:rFonts w:ascii="Arial" w:hAnsi="Arial" w:cs="Arial"/>
          <w:color w:val="000000"/>
          <w:kern w:val="0"/>
          <w:sz w:val="21"/>
          <w:szCs w:val="21"/>
        </w:rPr>
        <w:t>a -0,3</w:t>
      </w:r>
      <w:r w:rsidR="00FD57C7">
        <w:rPr>
          <w:rFonts w:ascii="Arial" w:hAnsi="Arial" w:cs="Arial"/>
          <w:color w:val="000000"/>
          <w:kern w:val="0"/>
          <w:sz w:val="21"/>
          <w:szCs w:val="21"/>
        </w:rPr>
        <w:t>%;           -1,4</w:t>
      </w:r>
      <w:r>
        <w:rPr>
          <w:rFonts w:ascii="Arial" w:hAnsi="Arial" w:cs="Arial"/>
          <w:color w:val="000000"/>
          <w:kern w:val="0"/>
          <w:sz w:val="21"/>
          <w:szCs w:val="21"/>
        </w:rPr>
        <w:t xml:space="preserve">% da </w:t>
      </w:r>
      <w:r w:rsidR="00FD57C7">
        <w:rPr>
          <w:rFonts w:ascii="Arial" w:hAnsi="Arial" w:cs="Arial"/>
          <w:color w:val="000000"/>
          <w:kern w:val="0"/>
          <w:sz w:val="21"/>
          <w:szCs w:val="21"/>
        </w:rPr>
        <w:t>giugno</w:t>
      </w:r>
      <w:r>
        <w:rPr>
          <w:rFonts w:ascii="Arial" w:hAnsi="Arial" w:cs="Arial"/>
          <w:color w:val="000000"/>
          <w:kern w:val="0"/>
          <w:sz w:val="21"/>
          <w:szCs w:val="21"/>
        </w:rPr>
        <w:t>)</w:t>
      </w:r>
      <w:r w:rsidR="00FD57C7">
        <w:rPr>
          <w:rFonts w:ascii="Arial" w:hAnsi="Arial" w:cs="Arial"/>
          <w:color w:val="000000"/>
          <w:kern w:val="0"/>
          <w:sz w:val="21"/>
          <w:szCs w:val="21"/>
        </w:rPr>
        <w:t xml:space="preserve"> sia di quella lavorata (da +2,0% a +1,8%; +0,3% </w:t>
      </w:r>
      <w:r w:rsidR="00770ED8">
        <w:rPr>
          <w:rFonts w:ascii="Arial" w:hAnsi="Arial" w:cs="Arial"/>
          <w:color w:val="000000"/>
          <w:kern w:val="0"/>
          <w:sz w:val="21"/>
          <w:szCs w:val="21"/>
        </w:rPr>
        <w:t>su base mensile</w:t>
      </w:r>
      <w:r w:rsidR="00FD57C7">
        <w:rPr>
          <w:rFonts w:ascii="Arial" w:hAnsi="Arial" w:cs="Arial"/>
          <w:color w:val="000000"/>
          <w:kern w:val="0"/>
          <w:sz w:val="21"/>
          <w:szCs w:val="21"/>
        </w:rPr>
        <w:t>). I</w:t>
      </w:r>
      <w:r>
        <w:rPr>
          <w:rFonts w:ascii="Arial" w:hAnsi="Arial" w:cs="Arial"/>
          <w:color w:val="000000"/>
          <w:kern w:val="0"/>
          <w:sz w:val="21"/>
          <w:szCs w:val="21"/>
        </w:rPr>
        <w:t xml:space="preserve">n particolare, </w:t>
      </w:r>
      <w:r w:rsidR="00FD57C7">
        <w:rPr>
          <w:rFonts w:ascii="Arial" w:hAnsi="Arial" w:cs="Arial"/>
          <w:color w:val="000000"/>
          <w:kern w:val="0"/>
          <w:sz w:val="21"/>
          <w:szCs w:val="21"/>
        </w:rPr>
        <w:t>per quanto riguarda il comparto del non lavorato, ampliano la flessione sia</w:t>
      </w:r>
      <w:r>
        <w:rPr>
          <w:rFonts w:ascii="Arial" w:hAnsi="Arial" w:cs="Arial"/>
          <w:color w:val="000000"/>
          <w:kern w:val="0"/>
          <w:sz w:val="21"/>
          <w:szCs w:val="21"/>
        </w:rPr>
        <w:t xml:space="preserve"> i prezzi di </w:t>
      </w:r>
      <w:r w:rsidRPr="0046700E">
        <w:rPr>
          <w:rFonts w:ascii="Arial" w:hAnsi="Arial" w:cs="Arial"/>
          <w:color w:val="000000"/>
          <w:kern w:val="0"/>
          <w:sz w:val="21"/>
          <w:szCs w:val="21"/>
        </w:rPr>
        <w:t>Frutta fresca e refrigerata</w:t>
      </w:r>
      <w:r>
        <w:rPr>
          <w:rFonts w:ascii="Arial" w:hAnsi="Arial" w:cs="Arial"/>
          <w:color w:val="000000"/>
          <w:kern w:val="0"/>
          <w:sz w:val="21"/>
          <w:szCs w:val="21"/>
        </w:rPr>
        <w:t xml:space="preserve"> (</w:t>
      </w:r>
      <w:r w:rsidR="00FD57C7">
        <w:rPr>
          <w:rFonts w:ascii="Arial" w:hAnsi="Arial" w:cs="Arial"/>
          <w:color w:val="000000"/>
          <w:kern w:val="0"/>
          <w:sz w:val="21"/>
          <w:szCs w:val="21"/>
        </w:rPr>
        <w:t>da -0,5% a -2,5%; -4,9</w:t>
      </w:r>
      <w:r>
        <w:rPr>
          <w:rFonts w:ascii="Arial" w:hAnsi="Arial" w:cs="Arial"/>
          <w:color w:val="000000"/>
          <w:kern w:val="0"/>
          <w:sz w:val="21"/>
          <w:szCs w:val="21"/>
        </w:rPr>
        <w:t xml:space="preserve">% rispetto al mese precedente) </w:t>
      </w:r>
      <w:r w:rsidR="00FD57C7">
        <w:rPr>
          <w:rFonts w:ascii="Arial" w:hAnsi="Arial" w:cs="Arial"/>
          <w:color w:val="000000"/>
          <w:kern w:val="0"/>
          <w:sz w:val="21"/>
          <w:szCs w:val="21"/>
        </w:rPr>
        <w:t>sia quelli</w:t>
      </w:r>
      <w:r>
        <w:rPr>
          <w:rFonts w:ascii="Arial" w:hAnsi="Arial" w:cs="Arial"/>
          <w:color w:val="000000"/>
          <w:kern w:val="0"/>
          <w:sz w:val="21"/>
          <w:szCs w:val="21"/>
        </w:rPr>
        <w:t xml:space="preserve"> dei </w:t>
      </w:r>
      <w:r w:rsidRPr="0046700E">
        <w:rPr>
          <w:rFonts w:ascii="Arial" w:hAnsi="Arial" w:cs="Arial"/>
          <w:color w:val="000000"/>
          <w:kern w:val="0"/>
          <w:sz w:val="21"/>
          <w:szCs w:val="21"/>
        </w:rPr>
        <w:t>Vegetali freschi o refrigerati diversi dalle patate</w:t>
      </w:r>
      <w:r>
        <w:rPr>
          <w:rFonts w:ascii="Arial" w:hAnsi="Arial" w:cs="Arial"/>
          <w:color w:val="000000"/>
          <w:kern w:val="0"/>
          <w:sz w:val="21"/>
          <w:szCs w:val="21"/>
        </w:rPr>
        <w:t xml:space="preserve"> (da </w:t>
      </w:r>
      <w:r w:rsidR="00FD57C7">
        <w:rPr>
          <w:rFonts w:ascii="Arial" w:hAnsi="Arial" w:cs="Arial"/>
          <w:color w:val="000000"/>
          <w:kern w:val="0"/>
          <w:sz w:val="21"/>
          <w:szCs w:val="21"/>
        </w:rPr>
        <w:t xml:space="preserve">     -1,9% a -3,0%; -2,2</w:t>
      </w:r>
      <w:r>
        <w:rPr>
          <w:rFonts w:ascii="Arial" w:hAnsi="Arial" w:cs="Arial"/>
          <w:color w:val="000000"/>
          <w:kern w:val="0"/>
          <w:sz w:val="21"/>
          <w:szCs w:val="21"/>
        </w:rPr>
        <w:t xml:space="preserve">% </w:t>
      </w:r>
      <w:r w:rsidR="00770ED8">
        <w:rPr>
          <w:rFonts w:ascii="Arial" w:hAnsi="Arial" w:cs="Arial"/>
          <w:color w:val="000000"/>
          <w:kern w:val="0"/>
          <w:sz w:val="21"/>
          <w:szCs w:val="21"/>
        </w:rPr>
        <w:t>il congiunturale</w:t>
      </w:r>
      <w:r>
        <w:rPr>
          <w:rFonts w:ascii="Arial" w:hAnsi="Arial" w:cs="Arial"/>
          <w:color w:val="000000"/>
          <w:kern w:val="0"/>
          <w:sz w:val="21"/>
          <w:szCs w:val="21"/>
        </w:rPr>
        <w:t>).</w:t>
      </w:r>
    </w:p>
    <w:p w:rsidR="00BA2BBA" w:rsidRDefault="0046700E" w:rsidP="00500422">
      <w:pPr>
        <w:spacing w:before="0" w:after="120"/>
        <w:jc w:val="both"/>
        <w:rPr>
          <w:rFonts w:ascii="Arial" w:hAnsi="Arial" w:cs="Arial"/>
          <w:color w:val="000000"/>
          <w:kern w:val="0"/>
          <w:sz w:val="21"/>
          <w:szCs w:val="21"/>
        </w:rPr>
      </w:pPr>
      <w:r w:rsidRPr="0046700E">
        <w:rPr>
          <w:rFonts w:ascii="Arial" w:hAnsi="Arial" w:cs="Arial"/>
          <w:color w:val="000000"/>
          <w:kern w:val="0"/>
          <w:sz w:val="21"/>
          <w:szCs w:val="21"/>
        </w:rPr>
        <w:t xml:space="preserve">Nel comparto dei servizi, il ritmo di crescita </w:t>
      </w:r>
      <w:r w:rsidR="0074205D">
        <w:rPr>
          <w:rFonts w:ascii="Arial" w:hAnsi="Arial" w:cs="Arial"/>
          <w:color w:val="000000"/>
          <w:kern w:val="0"/>
          <w:sz w:val="21"/>
          <w:szCs w:val="21"/>
        </w:rPr>
        <w:t xml:space="preserve">su base annua </w:t>
      </w:r>
      <w:r w:rsidRPr="0046700E">
        <w:rPr>
          <w:rFonts w:ascii="Arial" w:hAnsi="Arial" w:cs="Arial"/>
          <w:color w:val="000000"/>
          <w:kern w:val="0"/>
          <w:sz w:val="21"/>
          <w:szCs w:val="21"/>
        </w:rPr>
        <w:t xml:space="preserve">dei prezzi </w:t>
      </w:r>
      <w:r w:rsidR="007009DF">
        <w:rPr>
          <w:rFonts w:ascii="Arial" w:hAnsi="Arial" w:cs="Arial"/>
          <w:color w:val="000000"/>
          <w:kern w:val="0"/>
          <w:sz w:val="21"/>
          <w:szCs w:val="21"/>
        </w:rPr>
        <w:t>aumenta</w:t>
      </w:r>
      <w:r w:rsidR="00D77C25">
        <w:rPr>
          <w:rFonts w:ascii="Arial" w:hAnsi="Arial" w:cs="Arial"/>
          <w:color w:val="000000"/>
          <w:kern w:val="0"/>
          <w:sz w:val="21"/>
          <w:szCs w:val="21"/>
        </w:rPr>
        <w:t xml:space="preserve"> </w:t>
      </w:r>
      <w:r w:rsidR="007009DF">
        <w:rPr>
          <w:rFonts w:ascii="Arial" w:hAnsi="Arial" w:cs="Arial"/>
          <w:color w:val="000000"/>
          <w:kern w:val="0"/>
          <w:sz w:val="21"/>
          <w:szCs w:val="21"/>
        </w:rPr>
        <w:t>de</w:t>
      </w:r>
      <w:r w:rsidRPr="0046700E">
        <w:rPr>
          <w:rFonts w:ascii="Arial" w:hAnsi="Arial" w:cs="Arial"/>
          <w:color w:val="000000"/>
          <w:kern w:val="0"/>
          <w:sz w:val="21"/>
          <w:szCs w:val="21"/>
        </w:rPr>
        <w:t xml:space="preserve">l </w:t>
      </w:r>
      <w:r w:rsidR="007009DF">
        <w:rPr>
          <w:rFonts w:ascii="Arial" w:hAnsi="Arial" w:cs="Arial"/>
          <w:color w:val="000000"/>
          <w:kern w:val="0"/>
          <w:sz w:val="21"/>
          <w:szCs w:val="21"/>
        </w:rPr>
        <w:t>3,0</w:t>
      </w:r>
      <w:r w:rsidR="00F82FD2">
        <w:rPr>
          <w:rFonts w:ascii="Arial" w:hAnsi="Arial" w:cs="Arial"/>
          <w:color w:val="000000"/>
          <w:kern w:val="0"/>
          <w:sz w:val="21"/>
          <w:szCs w:val="21"/>
        </w:rPr>
        <w:t xml:space="preserve">% (da </w:t>
      </w:r>
      <w:r w:rsidR="007009DF">
        <w:rPr>
          <w:rFonts w:ascii="Arial" w:hAnsi="Arial" w:cs="Arial"/>
          <w:color w:val="000000"/>
          <w:kern w:val="0"/>
          <w:sz w:val="21"/>
          <w:szCs w:val="21"/>
        </w:rPr>
        <w:t>+2,8</w:t>
      </w:r>
      <w:r w:rsidRPr="0046700E">
        <w:rPr>
          <w:rFonts w:ascii="Arial" w:hAnsi="Arial" w:cs="Arial"/>
          <w:color w:val="000000"/>
          <w:kern w:val="0"/>
          <w:sz w:val="21"/>
          <w:szCs w:val="21"/>
        </w:rPr>
        <w:t>%</w:t>
      </w:r>
      <w:r w:rsidR="00F82FD2">
        <w:rPr>
          <w:rFonts w:ascii="Arial" w:hAnsi="Arial" w:cs="Arial"/>
          <w:color w:val="000000"/>
          <w:kern w:val="0"/>
          <w:sz w:val="21"/>
          <w:szCs w:val="21"/>
        </w:rPr>
        <w:t>;</w:t>
      </w:r>
      <w:r w:rsidR="00015A3B">
        <w:rPr>
          <w:rFonts w:ascii="Arial" w:hAnsi="Arial" w:cs="Arial"/>
          <w:color w:val="000000"/>
          <w:kern w:val="0"/>
          <w:sz w:val="21"/>
          <w:szCs w:val="21"/>
        </w:rPr>
        <w:t xml:space="preserve"> +0,</w:t>
      </w:r>
      <w:r w:rsidR="007009DF">
        <w:rPr>
          <w:rFonts w:ascii="Arial" w:hAnsi="Arial" w:cs="Arial"/>
          <w:color w:val="000000"/>
          <w:kern w:val="0"/>
          <w:sz w:val="21"/>
          <w:szCs w:val="21"/>
        </w:rPr>
        <w:t>4</w:t>
      </w:r>
      <w:r w:rsidRPr="0046700E">
        <w:rPr>
          <w:rFonts w:ascii="Arial" w:hAnsi="Arial" w:cs="Arial"/>
          <w:color w:val="000000"/>
          <w:kern w:val="0"/>
          <w:sz w:val="21"/>
          <w:szCs w:val="21"/>
        </w:rPr>
        <w:t xml:space="preserve">% </w:t>
      </w:r>
      <w:r w:rsidR="00C86030">
        <w:rPr>
          <w:rFonts w:ascii="Arial" w:hAnsi="Arial" w:cs="Arial"/>
          <w:color w:val="000000"/>
          <w:kern w:val="0"/>
          <w:sz w:val="21"/>
          <w:szCs w:val="21"/>
        </w:rPr>
        <w:t>sul</w:t>
      </w:r>
      <w:r w:rsidR="00C86030" w:rsidRPr="0046700E">
        <w:rPr>
          <w:rFonts w:ascii="Arial" w:hAnsi="Arial" w:cs="Arial"/>
          <w:color w:val="000000"/>
          <w:kern w:val="0"/>
          <w:sz w:val="21"/>
          <w:szCs w:val="21"/>
        </w:rPr>
        <w:t xml:space="preserve"> </w:t>
      </w:r>
      <w:r w:rsidRPr="0046700E">
        <w:rPr>
          <w:rFonts w:ascii="Arial" w:hAnsi="Arial" w:cs="Arial"/>
          <w:color w:val="000000"/>
          <w:kern w:val="0"/>
          <w:sz w:val="21"/>
          <w:szCs w:val="21"/>
        </w:rPr>
        <w:t xml:space="preserve">mese). A un maggiore livello di dettaglio, i prezzi dei Servizi </w:t>
      </w:r>
      <w:r w:rsidR="003105A2">
        <w:rPr>
          <w:rFonts w:ascii="Arial" w:hAnsi="Arial" w:cs="Arial"/>
          <w:color w:val="000000"/>
          <w:kern w:val="0"/>
          <w:sz w:val="21"/>
          <w:szCs w:val="21"/>
        </w:rPr>
        <w:t>ricreativi, cultural</w:t>
      </w:r>
      <w:r w:rsidR="007009DF">
        <w:rPr>
          <w:rFonts w:ascii="Arial" w:hAnsi="Arial" w:cs="Arial"/>
          <w:color w:val="000000"/>
          <w:kern w:val="0"/>
          <w:sz w:val="21"/>
          <w:szCs w:val="21"/>
        </w:rPr>
        <w:t>i e per la cura della persona accelerano (da +4,0% a +4,4</w:t>
      </w:r>
      <w:r w:rsidR="003105A2">
        <w:rPr>
          <w:rFonts w:ascii="Arial" w:hAnsi="Arial" w:cs="Arial"/>
          <w:color w:val="000000"/>
          <w:kern w:val="0"/>
          <w:sz w:val="21"/>
          <w:szCs w:val="21"/>
        </w:rPr>
        <w:t xml:space="preserve">%; +0,8% da </w:t>
      </w:r>
      <w:r w:rsidR="007009DF">
        <w:rPr>
          <w:rFonts w:ascii="Arial" w:hAnsi="Arial" w:cs="Arial"/>
          <w:color w:val="000000"/>
          <w:kern w:val="0"/>
          <w:sz w:val="21"/>
          <w:szCs w:val="21"/>
        </w:rPr>
        <w:t>giugno</w:t>
      </w:r>
      <w:r w:rsidR="00AB6435">
        <w:rPr>
          <w:rFonts w:ascii="Arial" w:hAnsi="Arial" w:cs="Arial"/>
          <w:color w:val="000000"/>
          <w:kern w:val="0"/>
          <w:sz w:val="21"/>
          <w:szCs w:val="21"/>
        </w:rPr>
        <w:t>, a causa per lo più di fattori stagionali</w:t>
      </w:r>
      <w:r w:rsidR="003105A2">
        <w:rPr>
          <w:rFonts w:ascii="Arial" w:hAnsi="Arial" w:cs="Arial"/>
          <w:color w:val="000000"/>
          <w:kern w:val="0"/>
          <w:sz w:val="21"/>
          <w:szCs w:val="21"/>
        </w:rPr>
        <w:t>)</w:t>
      </w:r>
      <w:r w:rsidR="00774081">
        <w:rPr>
          <w:rFonts w:ascii="Arial" w:hAnsi="Arial" w:cs="Arial"/>
          <w:color w:val="000000"/>
          <w:kern w:val="0"/>
          <w:sz w:val="21"/>
          <w:szCs w:val="21"/>
        </w:rPr>
        <w:t>,</w:t>
      </w:r>
      <w:r w:rsidR="003105A2">
        <w:rPr>
          <w:rFonts w:ascii="Arial" w:hAnsi="Arial" w:cs="Arial"/>
          <w:color w:val="000000"/>
          <w:kern w:val="0"/>
          <w:sz w:val="21"/>
          <w:szCs w:val="21"/>
        </w:rPr>
        <w:t xml:space="preserve"> </w:t>
      </w:r>
      <w:r w:rsidR="007009DF">
        <w:rPr>
          <w:rFonts w:ascii="Arial" w:hAnsi="Arial" w:cs="Arial"/>
          <w:color w:val="000000"/>
          <w:kern w:val="0"/>
          <w:sz w:val="21"/>
          <w:szCs w:val="21"/>
        </w:rPr>
        <w:t xml:space="preserve">mentre rallentano </w:t>
      </w:r>
      <w:r w:rsidR="003105A2">
        <w:rPr>
          <w:rFonts w:ascii="Arial" w:hAnsi="Arial" w:cs="Arial"/>
          <w:color w:val="000000"/>
          <w:kern w:val="0"/>
          <w:sz w:val="21"/>
          <w:szCs w:val="21"/>
        </w:rPr>
        <w:t xml:space="preserve">quelli dei Servizi </w:t>
      </w:r>
      <w:r w:rsidR="007009DF">
        <w:rPr>
          <w:rFonts w:ascii="Arial" w:hAnsi="Arial" w:cs="Arial"/>
          <w:color w:val="000000"/>
          <w:kern w:val="0"/>
          <w:sz w:val="21"/>
          <w:szCs w:val="21"/>
        </w:rPr>
        <w:t>vari (da +1,8% a +1,5%; nullo il congiunturale).</w:t>
      </w:r>
    </w:p>
    <w:p w:rsidR="00500422" w:rsidRDefault="00500422" w:rsidP="00500422">
      <w:pPr>
        <w:pStyle w:val="Corpotesto"/>
        <w:tabs>
          <w:tab w:val="left" w:pos="6237"/>
        </w:tabs>
        <w:spacing w:after="120" w:line="240" w:lineRule="exact"/>
        <w:jc w:val="both"/>
        <w:rPr>
          <w:rFonts w:ascii="Arial" w:hAnsi="Arial" w:cs="Arial"/>
          <w:iCs/>
          <w:sz w:val="21"/>
          <w:szCs w:val="21"/>
        </w:rPr>
      </w:pPr>
      <w:r w:rsidRPr="00B7443E">
        <w:rPr>
          <w:rFonts w:ascii="Arial" w:hAnsi="Arial" w:cs="Arial"/>
          <w:iCs/>
          <w:sz w:val="21"/>
          <w:szCs w:val="21"/>
        </w:rPr>
        <w:t xml:space="preserve">L’impatto dell’evoluzione dei prezzi delle diverse tipologie di prodotto sul tasso di inflazione del mese di </w:t>
      </w:r>
      <w:r w:rsidR="00F3436C">
        <w:rPr>
          <w:rFonts w:ascii="Arial" w:hAnsi="Arial" w:cs="Arial"/>
          <w:iCs/>
          <w:sz w:val="21"/>
          <w:szCs w:val="21"/>
        </w:rPr>
        <w:t>luglio</w:t>
      </w:r>
      <w:r w:rsidRPr="00516709">
        <w:rPr>
          <w:rFonts w:ascii="Arial" w:hAnsi="Arial" w:cs="Arial"/>
          <w:iCs/>
          <w:sz w:val="21"/>
          <w:szCs w:val="21"/>
        </w:rPr>
        <w:t xml:space="preserve"> </w:t>
      </w:r>
      <w:r w:rsidRPr="00F157E2">
        <w:rPr>
          <w:rFonts w:ascii="Arial" w:hAnsi="Arial" w:cs="Arial"/>
          <w:iCs/>
          <w:sz w:val="21"/>
          <w:szCs w:val="21"/>
        </w:rPr>
        <w:t xml:space="preserve">è </w:t>
      </w:r>
      <w:r>
        <w:rPr>
          <w:rFonts w:ascii="Arial" w:hAnsi="Arial" w:cs="Arial"/>
          <w:iCs/>
          <w:sz w:val="21"/>
          <w:szCs w:val="21"/>
        </w:rPr>
        <w:t>misurato</w:t>
      </w:r>
      <w:r w:rsidRPr="00F157E2">
        <w:rPr>
          <w:rFonts w:ascii="Arial" w:hAnsi="Arial" w:cs="Arial"/>
          <w:iCs/>
          <w:sz w:val="21"/>
          <w:szCs w:val="21"/>
        </w:rPr>
        <w:t xml:space="preserve"> dai contributi alla variazione </w:t>
      </w:r>
      <w:r>
        <w:rPr>
          <w:rFonts w:ascii="Arial" w:hAnsi="Arial" w:cs="Arial"/>
          <w:iCs/>
          <w:sz w:val="21"/>
          <w:szCs w:val="21"/>
        </w:rPr>
        <w:t xml:space="preserve">tendenziale </w:t>
      </w:r>
      <w:r w:rsidRPr="00F157E2">
        <w:rPr>
          <w:rFonts w:ascii="Arial" w:hAnsi="Arial" w:cs="Arial"/>
          <w:iCs/>
          <w:sz w:val="21"/>
          <w:szCs w:val="21"/>
        </w:rPr>
        <w:t xml:space="preserve">dell’indice generale dei prezzi al consumo </w:t>
      </w:r>
      <w:r w:rsidR="00C26B92">
        <w:rPr>
          <w:rFonts w:ascii="Arial" w:hAnsi="Arial" w:cs="Arial"/>
          <w:iCs/>
          <w:sz w:val="21"/>
          <w:szCs w:val="21"/>
        </w:rPr>
        <w:t>(F</w:t>
      </w:r>
      <w:r w:rsidRPr="00F157E2">
        <w:rPr>
          <w:rFonts w:ascii="Arial" w:hAnsi="Arial" w:cs="Arial"/>
          <w:iCs/>
          <w:sz w:val="21"/>
          <w:szCs w:val="21"/>
        </w:rPr>
        <w:t>igura 4</w:t>
      </w:r>
      <w:r w:rsidR="00C26B92">
        <w:rPr>
          <w:rFonts w:ascii="Arial" w:hAnsi="Arial" w:cs="Arial"/>
          <w:iCs/>
          <w:sz w:val="21"/>
          <w:szCs w:val="21"/>
        </w:rPr>
        <w:t>)</w:t>
      </w:r>
      <w:r w:rsidRPr="00F157E2">
        <w:rPr>
          <w:rFonts w:ascii="Arial" w:hAnsi="Arial" w:cs="Arial"/>
          <w:iCs/>
          <w:sz w:val="21"/>
          <w:szCs w:val="21"/>
        </w:rPr>
        <w:t>.</w:t>
      </w:r>
    </w:p>
    <w:p w:rsidR="00757437" w:rsidRDefault="00757437" w:rsidP="00500422">
      <w:pPr>
        <w:pStyle w:val="Corpotesto"/>
        <w:tabs>
          <w:tab w:val="left" w:pos="6237"/>
        </w:tabs>
        <w:spacing w:after="120" w:line="240" w:lineRule="exact"/>
        <w:jc w:val="both"/>
        <w:rPr>
          <w:rFonts w:ascii="Arial" w:hAnsi="Arial" w:cs="Arial"/>
          <w:iCs/>
          <w:sz w:val="16"/>
          <w:szCs w:val="16"/>
        </w:rPr>
      </w:pPr>
    </w:p>
    <w:p w:rsidR="0086373C" w:rsidRDefault="0086373C" w:rsidP="00500422">
      <w:pPr>
        <w:pStyle w:val="Corpotesto"/>
        <w:tabs>
          <w:tab w:val="left" w:pos="6237"/>
        </w:tabs>
        <w:spacing w:after="120" w:line="240" w:lineRule="exact"/>
        <w:jc w:val="both"/>
        <w:rPr>
          <w:rFonts w:ascii="Arial" w:hAnsi="Arial" w:cs="Arial"/>
          <w:iCs/>
          <w:sz w:val="16"/>
          <w:szCs w:val="16"/>
        </w:rPr>
      </w:pPr>
    </w:p>
    <w:p w:rsidR="0086373C" w:rsidRDefault="0086373C" w:rsidP="00500422">
      <w:pPr>
        <w:pStyle w:val="Corpotesto"/>
        <w:tabs>
          <w:tab w:val="left" w:pos="6237"/>
        </w:tabs>
        <w:spacing w:after="120" w:line="240" w:lineRule="exact"/>
        <w:jc w:val="both"/>
        <w:rPr>
          <w:rFonts w:ascii="Arial" w:hAnsi="Arial" w:cs="Arial"/>
          <w:iCs/>
          <w:sz w:val="16"/>
          <w:szCs w:val="16"/>
        </w:rPr>
      </w:pPr>
    </w:p>
    <w:p w:rsidR="0086373C" w:rsidRDefault="0086373C" w:rsidP="00500422">
      <w:pPr>
        <w:pStyle w:val="Corpotesto"/>
        <w:tabs>
          <w:tab w:val="left" w:pos="6237"/>
        </w:tabs>
        <w:spacing w:after="120" w:line="240" w:lineRule="exact"/>
        <w:jc w:val="both"/>
        <w:rPr>
          <w:rFonts w:ascii="Arial" w:hAnsi="Arial" w:cs="Arial"/>
          <w:iCs/>
          <w:sz w:val="16"/>
          <w:szCs w:val="16"/>
        </w:rPr>
      </w:pPr>
    </w:p>
    <w:p w:rsidR="0086373C" w:rsidRDefault="0086373C" w:rsidP="00500422">
      <w:pPr>
        <w:pStyle w:val="Corpotesto"/>
        <w:tabs>
          <w:tab w:val="left" w:pos="6237"/>
        </w:tabs>
        <w:spacing w:after="120" w:line="240" w:lineRule="exact"/>
        <w:jc w:val="both"/>
        <w:rPr>
          <w:rFonts w:ascii="Arial" w:hAnsi="Arial" w:cs="Arial"/>
          <w:iCs/>
          <w:sz w:val="16"/>
          <w:szCs w:val="16"/>
        </w:rPr>
      </w:pPr>
    </w:p>
    <w:p w:rsidR="0086373C" w:rsidRDefault="0086373C" w:rsidP="00500422">
      <w:pPr>
        <w:pStyle w:val="Corpotesto"/>
        <w:tabs>
          <w:tab w:val="left" w:pos="6237"/>
        </w:tabs>
        <w:spacing w:after="120" w:line="240" w:lineRule="exact"/>
        <w:jc w:val="both"/>
        <w:rPr>
          <w:rFonts w:ascii="Arial" w:hAnsi="Arial" w:cs="Arial"/>
          <w:iCs/>
          <w:sz w:val="16"/>
          <w:szCs w:val="16"/>
        </w:rPr>
      </w:pPr>
    </w:p>
    <w:p w:rsidR="0086373C" w:rsidRDefault="0086373C" w:rsidP="00500422">
      <w:pPr>
        <w:pStyle w:val="Corpotesto"/>
        <w:tabs>
          <w:tab w:val="left" w:pos="6237"/>
        </w:tabs>
        <w:spacing w:after="120" w:line="240" w:lineRule="exact"/>
        <w:jc w:val="both"/>
        <w:rPr>
          <w:rFonts w:ascii="Arial" w:hAnsi="Arial" w:cs="Arial"/>
          <w:iCs/>
          <w:sz w:val="16"/>
          <w:szCs w:val="16"/>
        </w:rPr>
      </w:pPr>
    </w:p>
    <w:p w:rsidR="0086373C" w:rsidRDefault="0086373C" w:rsidP="00500422">
      <w:pPr>
        <w:pStyle w:val="Corpotesto"/>
        <w:tabs>
          <w:tab w:val="left" w:pos="6237"/>
        </w:tabs>
        <w:spacing w:after="120" w:line="240" w:lineRule="exact"/>
        <w:jc w:val="both"/>
        <w:rPr>
          <w:rFonts w:ascii="Arial" w:hAnsi="Arial" w:cs="Arial"/>
          <w:iCs/>
          <w:sz w:val="16"/>
          <w:szCs w:val="16"/>
        </w:rPr>
      </w:pPr>
    </w:p>
    <w:p w:rsidR="0086373C" w:rsidRDefault="0086373C" w:rsidP="00500422">
      <w:pPr>
        <w:pStyle w:val="Corpotesto"/>
        <w:tabs>
          <w:tab w:val="left" w:pos="6237"/>
        </w:tabs>
        <w:spacing w:after="120" w:line="240" w:lineRule="exact"/>
        <w:jc w:val="both"/>
        <w:rPr>
          <w:rFonts w:ascii="Arial" w:hAnsi="Arial" w:cs="Arial"/>
          <w:iCs/>
          <w:sz w:val="16"/>
          <w:szCs w:val="16"/>
        </w:rPr>
      </w:pPr>
    </w:p>
    <w:p w:rsidR="0086373C" w:rsidRDefault="0086373C" w:rsidP="00500422">
      <w:pPr>
        <w:pStyle w:val="Corpotesto"/>
        <w:tabs>
          <w:tab w:val="left" w:pos="6237"/>
        </w:tabs>
        <w:spacing w:after="120" w:line="240" w:lineRule="exact"/>
        <w:jc w:val="both"/>
        <w:rPr>
          <w:rFonts w:ascii="Arial" w:hAnsi="Arial" w:cs="Arial"/>
          <w:iCs/>
          <w:sz w:val="16"/>
          <w:szCs w:val="16"/>
        </w:rPr>
      </w:pPr>
    </w:p>
    <w:p w:rsidR="0086373C" w:rsidRDefault="0086373C" w:rsidP="00500422">
      <w:pPr>
        <w:pStyle w:val="Corpotesto"/>
        <w:tabs>
          <w:tab w:val="left" w:pos="6237"/>
        </w:tabs>
        <w:spacing w:after="120" w:line="240" w:lineRule="exact"/>
        <w:jc w:val="both"/>
        <w:rPr>
          <w:rFonts w:ascii="Arial" w:hAnsi="Arial" w:cs="Arial"/>
          <w:iCs/>
          <w:sz w:val="16"/>
          <w:szCs w:val="16"/>
        </w:rPr>
      </w:pPr>
    </w:p>
    <w:p w:rsidR="0086373C" w:rsidRDefault="0086373C" w:rsidP="00500422">
      <w:pPr>
        <w:pStyle w:val="Corpotesto"/>
        <w:tabs>
          <w:tab w:val="left" w:pos="6237"/>
        </w:tabs>
        <w:spacing w:after="120" w:line="240" w:lineRule="exact"/>
        <w:jc w:val="both"/>
        <w:rPr>
          <w:rFonts w:ascii="Arial" w:hAnsi="Arial" w:cs="Arial"/>
          <w:iCs/>
          <w:sz w:val="16"/>
          <w:szCs w:val="16"/>
        </w:rPr>
      </w:pPr>
    </w:p>
    <w:p w:rsidR="0086373C" w:rsidRPr="00D7016A" w:rsidRDefault="0086373C" w:rsidP="00500422">
      <w:pPr>
        <w:pStyle w:val="Corpotesto"/>
        <w:tabs>
          <w:tab w:val="left" w:pos="6237"/>
        </w:tabs>
        <w:spacing w:after="120" w:line="240" w:lineRule="exact"/>
        <w:jc w:val="both"/>
        <w:rPr>
          <w:rFonts w:ascii="Arial" w:hAnsi="Arial" w:cs="Arial"/>
          <w:iCs/>
          <w:sz w:val="16"/>
          <w:szCs w:val="16"/>
        </w:rPr>
      </w:pPr>
    </w:p>
    <w:p w:rsidR="00253AC8" w:rsidRDefault="00EB5D65" w:rsidP="008D09D5">
      <w:pPr>
        <w:pStyle w:val="001SottotitoloGra"/>
        <w:spacing w:after="0" w:line="240" w:lineRule="auto"/>
        <w:jc w:val="both"/>
      </w:pPr>
      <w:r w:rsidRPr="00E87687">
        <w:rPr>
          <w:b/>
          <w:color w:val="E42618"/>
          <w:sz w:val="22"/>
          <w:szCs w:val="22"/>
        </w:rPr>
        <w:t>FIGURA 4</w:t>
      </w:r>
      <w:r w:rsidRPr="00E87687">
        <w:rPr>
          <w:b/>
          <w:color w:val="E42618"/>
        </w:rPr>
        <w:t>.</w:t>
      </w:r>
      <w:r w:rsidRPr="00E87687">
        <w:rPr>
          <w:b/>
        </w:rPr>
        <w:t xml:space="preserve"> </w:t>
      </w:r>
      <w:r w:rsidRPr="00E87687">
        <w:rPr>
          <w:rFonts w:cs="Calibri"/>
          <w:b/>
          <w:bCs/>
          <w:kern w:val="0"/>
          <w:sz w:val="22"/>
          <w:szCs w:val="22"/>
        </w:rPr>
        <w:t>INDICE DEI PREZZI AL CONSUMO NIC, CONTRIBUTI ALLA VARIAZIONE PERCENTUALE TENDENZIALE PER TIPOLOGIA DI PRODOTTO</w:t>
      </w:r>
      <w:r w:rsidR="008D09D5">
        <w:rPr>
          <w:rFonts w:cs="Calibri"/>
          <w:b/>
          <w:bCs/>
          <w:kern w:val="0"/>
          <w:sz w:val="22"/>
          <w:szCs w:val="22"/>
        </w:rPr>
        <w:t xml:space="preserve">. </w:t>
      </w:r>
      <w:r w:rsidR="00266BA4">
        <w:t>Luglio</w:t>
      </w:r>
      <w:r w:rsidR="005F369D" w:rsidRPr="005F369D">
        <w:t xml:space="preserve"> </w:t>
      </w:r>
      <w:r w:rsidR="002869BD">
        <w:t>202</w:t>
      </w:r>
      <w:r w:rsidR="007B4EC3">
        <w:t>4</w:t>
      </w:r>
      <w:r w:rsidR="004C0B35">
        <w:t>, punti percentuali</w:t>
      </w:r>
    </w:p>
    <w:p w:rsidR="004C0B35" w:rsidRDefault="00EC4325" w:rsidP="008D09D5">
      <w:pPr>
        <w:pStyle w:val="001SottotitoloGra"/>
        <w:spacing w:after="0" w:line="240" w:lineRule="auto"/>
        <w:jc w:val="both"/>
      </w:pPr>
      <w:r>
        <w:rPr>
          <w:noProof/>
        </w:rPr>
        <w:drawing>
          <wp:inline distT="0" distB="0" distL="0" distR="0" wp14:anchorId="0E13AAB3">
            <wp:extent cx="6682105" cy="2170430"/>
            <wp:effectExtent l="0" t="0" r="4445" b="1270"/>
            <wp:docPr id="31" name="Immagin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6682105" cy="2170430"/>
                    </a:xfrm>
                    <a:prstGeom prst="rect">
                      <a:avLst/>
                    </a:prstGeom>
                    <a:noFill/>
                  </pic:spPr>
                </pic:pic>
              </a:graphicData>
            </a:graphic>
          </wp:inline>
        </w:drawing>
      </w:r>
    </w:p>
    <w:p w:rsidR="004C0B35" w:rsidRDefault="004C0B35" w:rsidP="008D09D5">
      <w:pPr>
        <w:pStyle w:val="001SottotitoloGra"/>
        <w:spacing w:after="0" w:line="240" w:lineRule="auto"/>
        <w:jc w:val="both"/>
        <w:rPr>
          <w:rFonts w:ascii="Arial" w:hAnsi="Arial"/>
          <w:b/>
        </w:rPr>
      </w:pPr>
    </w:p>
    <w:p w:rsidR="003B6F86" w:rsidRDefault="003B6F86" w:rsidP="003B6F86">
      <w:pPr>
        <w:spacing w:before="0" w:after="120"/>
        <w:jc w:val="both"/>
        <w:rPr>
          <w:rFonts w:ascii="Arial" w:hAnsi="Arial" w:cs="Arial"/>
          <w:b/>
        </w:rPr>
        <w:sectPr w:rsidR="003B6F86" w:rsidSect="0083719A">
          <w:pgSz w:w="11907" w:h="16840" w:code="9"/>
          <w:pgMar w:top="1534" w:right="851" w:bottom="680" w:left="851" w:header="567" w:footer="567" w:gutter="0"/>
          <w:cols w:space="720"/>
          <w:noEndnote/>
          <w:docGrid w:linePitch="272"/>
        </w:sectPr>
      </w:pPr>
    </w:p>
    <w:p w:rsidR="00AE446C" w:rsidRDefault="00AE446C" w:rsidP="008153C3">
      <w:pPr>
        <w:spacing w:before="0" w:after="120"/>
        <w:jc w:val="both"/>
        <w:rPr>
          <w:rFonts w:ascii="Arial" w:hAnsi="Arial" w:cs="Arial"/>
          <w:b/>
        </w:rPr>
        <w:sectPr w:rsidR="00AE446C" w:rsidSect="00AE446C">
          <w:headerReference w:type="default" r:id="rId33"/>
          <w:footerReference w:type="default" r:id="rId34"/>
          <w:type w:val="continuous"/>
          <w:pgSz w:w="11907" w:h="16840" w:code="9"/>
          <w:pgMar w:top="1534" w:right="851" w:bottom="680" w:left="851" w:header="567" w:footer="567" w:gutter="0"/>
          <w:cols w:space="720"/>
          <w:noEndnote/>
          <w:docGrid w:linePitch="272"/>
        </w:sectPr>
      </w:pPr>
    </w:p>
    <w:p w:rsidR="007466AE" w:rsidRDefault="007466AE" w:rsidP="007466AE">
      <w:pPr>
        <w:spacing w:before="0" w:after="120"/>
        <w:jc w:val="both"/>
        <w:rPr>
          <w:rFonts w:ascii="Arial" w:hAnsi="Arial" w:cs="Arial"/>
          <w:b/>
          <w:bCs/>
        </w:rPr>
      </w:pPr>
    </w:p>
    <w:p w:rsidR="007466AE" w:rsidRPr="0052659F" w:rsidRDefault="007466AE" w:rsidP="007466AE">
      <w:pPr>
        <w:spacing w:before="0" w:after="120"/>
        <w:jc w:val="both"/>
        <w:rPr>
          <w:rFonts w:ascii="Arial" w:hAnsi="Arial" w:cs="Arial"/>
          <w:b/>
          <w:bCs/>
        </w:rPr>
      </w:pPr>
      <w:r w:rsidRPr="0052659F">
        <w:rPr>
          <w:rFonts w:ascii="Arial" w:hAnsi="Arial" w:cs="Arial"/>
          <w:b/>
          <w:bCs/>
        </w:rPr>
        <w:t>Altri beni</w:t>
      </w:r>
      <w:r w:rsidRPr="0052659F">
        <w:rPr>
          <w:rFonts w:ascii="Arial" w:hAnsi="Arial" w:cs="Arial"/>
          <w:bCs/>
        </w:rPr>
        <w:t>:</w:t>
      </w:r>
      <w:r w:rsidRPr="0052659F">
        <w:rPr>
          <w:rFonts w:ascii="Arial" w:hAnsi="Arial" w:cs="Arial"/>
          <w:b/>
          <w:bCs/>
        </w:rPr>
        <w:t xml:space="preserve"> </w:t>
      </w:r>
      <w:r w:rsidRPr="0052659F">
        <w:rPr>
          <w:rFonts w:ascii="Arial" w:hAnsi="Arial" w:cs="Arial"/>
          <w:bCs/>
        </w:rPr>
        <w:t>comprendono i beni di consumo ad esclusione dei beni alimentari, dei beni energetici e dei tabacchi.</w:t>
      </w:r>
    </w:p>
    <w:p w:rsidR="007466AE" w:rsidRPr="0052659F" w:rsidRDefault="007466AE" w:rsidP="007466AE">
      <w:pPr>
        <w:spacing w:before="0" w:after="120"/>
        <w:jc w:val="both"/>
        <w:rPr>
          <w:rFonts w:ascii="Arial" w:hAnsi="Arial" w:cs="Arial"/>
          <w:bCs/>
        </w:rPr>
      </w:pPr>
      <w:r w:rsidRPr="0052659F">
        <w:rPr>
          <w:rFonts w:ascii="Arial" w:hAnsi="Arial" w:cs="Arial"/>
          <w:b/>
          <w:bCs/>
        </w:rPr>
        <w:t>Altri beni regolamentati</w:t>
      </w:r>
      <w:r w:rsidRPr="0052659F">
        <w:rPr>
          <w:rFonts w:ascii="Arial" w:hAnsi="Arial" w:cs="Arial"/>
          <w:bCs/>
        </w:rPr>
        <w:t>: comprendono l’acqua potabile e i medicinali.</w:t>
      </w:r>
    </w:p>
    <w:p w:rsidR="007466AE" w:rsidRPr="000F531B" w:rsidRDefault="007466AE" w:rsidP="007466AE">
      <w:pPr>
        <w:spacing w:before="0" w:after="120"/>
        <w:jc w:val="both"/>
        <w:rPr>
          <w:rFonts w:ascii="Arial" w:hAnsi="Arial" w:cs="Arial"/>
          <w:bCs/>
        </w:rPr>
      </w:pPr>
      <w:r w:rsidRPr="0052659F">
        <w:rPr>
          <w:rFonts w:ascii="Arial" w:hAnsi="Arial" w:cs="Arial"/>
          <w:b/>
          <w:bCs/>
        </w:rPr>
        <w:t>Beni alimentari</w:t>
      </w:r>
      <w:r w:rsidRPr="0052659F">
        <w:rPr>
          <w:rFonts w:ascii="Arial" w:hAnsi="Arial" w:cs="Arial"/>
          <w:bCs/>
        </w:rPr>
        <w:t>: comprendono oltre ai generi alimentari (come, ad esempio, il pane, la carne, i formaggi), le bevande</w:t>
      </w:r>
      <w:r w:rsidRPr="000F531B">
        <w:rPr>
          <w:rFonts w:ascii="Arial" w:hAnsi="Arial" w:cs="Arial"/>
          <w:bCs/>
        </w:rPr>
        <w:t xml:space="preserve"> analcoliche e quelle alcoliche.</w:t>
      </w:r>
    </w:p>
    <w:p w:rsidR="007466AE" w:rsidRPr="000F531B" w:rsidRDefault="007466AE" w:rsidP="007466AE">
      <w:pPr>
        <w:spacing w:before="0" w:after="120"/>
        <w:jc w:val="both"/>
        <w:rPr>
          <w:rFonts w:ascii="Arial" w:hAnsi="Arial" w:cs="Arial"/>
          <w:bCs/>
        </w:rPr>
      </w:pPr>
      <w:r w:rsidRPr="000F531B">
        <w:rPr>
          <w:rFonts w:ascii="Arial" w:hAnsi="Arial" w:cs="Arial"/>
          <w:bCs/>
        </w:rPr>
        <w:t xml:space="preserve">Si definiscono </w:t>
      </w:r>
      <w:r w:rsidRPr="000F531B">
        <w:rPr>
          <w:rFonts w:ascii="Arial" w:hAnsi="Arial" w:cs="Arial"/>
          <w:bCs/>
          <w:i/>
        </w:rPr>
        <w:t>lavorati</w:t>
      </w:r>
      <w:r w:rsidRPr="000F531B">
        <w:rPr>
          <w:rFonts w:ascii="Arial" w:hAnsi="Arial" w:cs="Arial"/>
          <w:bCs/>
        </w:rPr>
        <w:t xml:space="preserve"> i beni alimentari destinati al consumo finale che sono il risultato di un processo di trasformazione industriale (come</w:t>
      </w:r>
      <w:r>
        <w:rPr>
          <w:rFonts w:ascii="Arial" w:hAnsi="Arial" w:cs="Arial"/>
          <w:bCs/>
        </w:rPr>
        <w:t>,</w:t>
      </w:r>
      <w:r w:rsidRPr="000F531B">
        <w:rPr>
          <w:rFonts w:ascii="Arial" w:hAnsi="Arial" w:cs="Arial"/>
          <w:bCs/>
        </w:rPr>
        <w:t xml:space="preserve"> ad esempio</w:t>
      </w:r>
      <w:r>
        <w:rPr>
          <w:rFonts w:ascii="Arial" w:hAnsi="Arial" w:cs="Arial"/>
          <w:bCs/>
        </w:rPr>
        <w:t>,</w:t>
      </w:r>
      <w:r w:rsidRPr="000F531B">
        <w:rPr>
          <w:rFonts w:ascii="Arial" w:hAnsi="Arial" w:cs="Arial"/>
          <w:bCs/>
        </w:rPr>
        <w:t xml:space="preserve"> i succhi di frutta, gli insaccati, i prodotti surgelati). Si dicono </w:t>
      </w:r>
      <w:r w:rsidRPr="000F531B">
        <w:rPr>
          <w:rFonts w:ascii="Arial" w:hAnsi="Arial" w:cs="Arial"/>
          <w:bCs/>
          <w:i/>
        </w:rPr>
        <w:t>non lavorati</w:t>
      </w:r>
      <w:r w:rsidRPr="000F531B">
        <w:rPr>
          <w:rFonts w:ascii="Arial" w:hAnsi="Arial" w:cs="Arial"/>
          <w:bCs/>
        </w:rPr>
        <w:t xml:space="preserve"> i beni alimentari non trasformati (come la carne fresca, il pesce fresco, la frutta e la verdura fresca).</w:t>
      </w:r>
    </w:p>
    <w:p w:rsidR="007466AE" w:rsidRPr="000F531B" w:rsidRDefault="007466AE" w:rsidP="007466AE">
      <w:pPr>
        <w:spacing w:before="0" w:after="120"/>
        <w:jc w:val="both"/>
        <w:rPr>
          <w:rFonts w:ascii="Arial" w:hAnsi="Arial" w:cs="Arial"/>
          <w:bCs/>
        </w:rPr>
      </w:pPr>
      <w:r w:rsidRPr="000F531B">
        <w:rPr>
          <w:rFonts w:ascii="Arial" w:hAnsi="Arial" w:cs="Arial"/>
          <w:b/>
          <w:bCs/>
        </w:rPr>
        <w:t>Beni alimentari, per la cura della casa e della persona</w:t>
      </w:r>
      <w:r>
        <w:rPr>
          <w:rFonts w:ascii="Arial" w:hAnsi="Arial" w:cs="Arial"/>
          <w:b/>
          <w:bCs/>
        </w:rPr>
        <w:t xml:space="preserve"> (</w:t>
      </w:r>
      <w:r w:rsidRPr="00FC185A">
        <w:rPr>
          <w:rFonts w:ascii="Arial" w:hAnsi="Arial" w:cs="Arial"/>
          <w:b/>
          <w:bCs/>
        </w:rPr>
        <w:t>cos</w:t>
      </w:r>
      <w:r>
        <w:rPr>
          <w:rFonts w:ascii="Arial" w:hAnsi="Arial" w:cs="Arial"/>
          <w:b/>
          <w:bCs/>
        </w:rPr>
        <w:t>i</w:t>
      </w:r>
      <w:r w:rsidRPr="00FC185A">
        <w:rPr>
          <w:rFonts w:ascii="Arial" w:hAnsi="Arial" w:cs="Arial"/>
          <w:b/>
          <w:bCs/>
        </w:rPr>
        <w:t>ddetto "carrello della spesa"</w:t>
      </w:r>
      <w:r>
        <w:rPr>
          <w:rFonts w:ascii="Arial" w:hAnsi="Arial" w:cs="Arial"/>
          <w:b/>
          <w:bCs/>
        </w:rPr>
        <w:t>)</w:t>
      </w:r>
      <w:r w:rsidRPr="000F531B">
        <w:rPr>
          <w:rFonts w:ascii="Arial" w:hAnsi="Arial" w:cs="Arial"/>
          <w:bCs/>
        </w:rPr>
        <w:t>: includono, oltre ai beni alimentari, i beni per la pulizia e la manutenzione ordinaria della casa e i beni per l’igiene personale e pr</w:t>
      </w:r>
      <w:r>
        <w:rPr>
          <w:rFonts w:ascii="Arial" w:hAnsi="Arial" w:cs="Arial"/>
          <w:bCs/>
        </w:rPr>
        <w:t>odotti di bellezza.</w:t>
      </w:r>
    </w:p>
    <w:p w:rsidR="007466AE" w:rsidRDefault="007466AE" w:rsidP="007466AE">
      <w:pPr>
        <w:spacing w:before="0" w:after="120"/>
        <w:jc w:val="both"/>
        <w:rPr>
          <w:rFonts w:ascii="Arial" w:hAnsi="Arial" w:cs="Arial"/>
          <w:bCs/>
        </w:rPr>
      </w:pPr>
      <w:r w:rsidRPr="000F531B">
        <w:rPr>
          <w:rFonts w:ascii="Arial" w:hAnsi="Arial" w:cs="Arial"/>
          <w:b/>
          <w:bCs/>
        </w:rPr>
        <w:t>Beni durevoli</w:t>
      </w:r>
      <w:r w:rsidRPr="000F531B">
        <w:rPr>
          <w:rFonts w:ascii="Arial" w:hAnsi="Arial" w:cs="Arial"/>
          <w:bCs/>
        </w:rPr>
        <w:t>: includono</w:t>
      </w:r>
      <w:r>
        <w:rPr>
          <w:rFonts w:ascii="Arial" w:hAnsi="Arial" w:cs="Arial"/>
          <w:bCs/>
        </w:rPr>
        <w:t xml:space="preserve"> i beni di trasporto, gli articoli di arredamento, gli elettrodomestici, le attrezzature sanitarie e gli apparecchi terapeutici, gli apparecchi telefonici, gli apparecchi per la ricreazione, i prodotti della gioielleria e orologeria.</w:t>
      </w:r>
    </w:p>
    <w:p w:rsidR="007466AE" w:rsidRDefault="007466AE" w:rsidP="007466AE">
      <w:pPr>
        <w:spacing w:before="0" w:after="120"/>
        <w:jc w:val="both"/>
        <w:rPr>
          <w:rFonts w:ascii="Arial" w:hAnsi="Arial" w:cs="Arial"/>
          <w:bCs/>
        </w:rPr>
      </w:pPr>
      <w:r w:rsidRPr="000F531B">
        <w:rPr>
          <w:rFonts w:ascii="Arial" w:hAnsi="Arial" w:cs="Arial"/>
          <w:b/>
          <w:bCs/>
        </w:rPr>
        <w:t>Beni non durevoli</w:t>
      </w:r>
      <w:r w:rsidRPr="000F531B">
        <w:rPr>
          <w:rFonts w:ascii="Arial" w:hAnsi="Arial" w:cs="Arial"/>
          <w:bCs/>
        </w:rPr>
        <w:t>: comprendono i detergenti per la pulizia della casa, i prodotti per la c</w:t>
      </w:r>
      <w:r>
        <w:rPr>
          <w:rFonts w:ascii="Arial" w:hAnsi="Arial" w:cs="Arial"/>
          <w:bCs/>
        </w:rPr>
        <w:t>ura della persona, i medicinali, i prodotti per la riparazione e manutenzione della casa, i prodotti per il giardinaggio, i giornali e periodici, gli articoli di cancelleria.</w:t>
      </w:r>
    </w:p>
    <w:p w:rsidR="007466AE" w:rsidRPr="000F531B" w:rsidRDefault="007466AE" w:rsidP="007466AE">
      <w:pPr>
        <w:spacing w:before="0" w:after="120"/>
        <w:jc w:val="both"/>
        <w:rPr>
          <w:rFonts w:ascii="Arial" w:hAnsi="Arial" w:cs="Arial"/>
          <w:b/>
          <w:bCs/>
        </w:rPr>
      </w:pPr>
      <w:r w:rsidRPr="000F531B">
        <w:rPr>
          <w:rFonts w:ascii="Arial" w:hAnsi="Arial" w:cs="Arial"/>
          <w:b/>
          <w:bCs/>
        </w:rPr>
        <w:t>Beni semidurevoli</w:t>
      </w:r>
      <w:r w:rsidRPr="000F531B">
        <w:rPr>
          <w:rFonts w:ascii="Arial" w:hAnsi="Arial" w:cs="Arial"/>
          <w:bCs/>
        </w:rPr>
        <w:t>: comprendono i capi di abbigliamento, le calzature,</w:t>
      </w:r>
      <w:r>
        <w:rPr>
          <w:rFonts w:ascii="Arial" w:hAnsi="Arial" w:cs="Arial"/>
          <w:bCs/>
        </w:rPr>
        <w:t xml:space="preserve"> gli articoli tessili per la casa, la cristalleria, stoviglie e utensili domestici, i pezzi di ricambio e gli accessori per i mezzi di trasporto, gli accessori per gli apparecchi per la ricreazione, i giochi e i prodotti per gli hobby, i prodotti relativi agli effetti personali,</w:t>
      </w:r>
      <w:r w:rsidRPr="000F531B">
        <w:rPr>
          <w:rFonts w:ascii="Arial" w:hAnsi="Arial" w:cs="Arial"/>
          <w:bCs/>
        </w:rPr>
        <w:t xml:space="preserve"> i libri.</w:t>
      </w:r>
      <w:r w:rsidRPr="000F531B">
        <w:rPr>
          <w:rFonts w:ascii="Arial" w:hAnsi="Arial" w:cs="Arial"/>
          <w:b/>
          <w:bCs/>
        </w:rPr>
        <w:t xml:space="preserve"> </w:t>
      </w:r>
    </w:p>
    <w:p w:rsidR="007466AE" w:rsidRPr="001F4360" w:rsidRDefault="007466AE" w:rsidP="007466AE">
      <w:pPr>
        <w:spacing w:before="0" w:after="120"/>
        <w:jc w:val="both"/>
        <w:rPr>
          <w:rFonts w:ascii="Arial" w:hAnsi="Arial" w:cs="Arial"/>
          <w:bCs/>
        </w:rPr>
      </w:pPr>
      <w:r w:rsidRPr="000F531B">
        <w:rPr>
          <w:rFonts w:ascii="Arial" w:hAnsi="Arial" w:cs="Arial"/>
          <w:b/>
          <w:bCs/>
        </w:rPr>
        <w:t>Beni energetici regolamentati</w:t>
      </w:r>
      <w:r w:rsidRPr="000F531B">
        <w:rPr>
          <w:rFonts w:ascii="Arial" w:hAnsi="Arial" w:cs="Arial"/>
          <w:bCs/>
        </w:rPr>
        <w:t xml:space="preserve">: includono le tariffe per l’energia elettrica </w:t>
      </w:r>
      <w:r>
        <w:rPr>
          <w:rFonts w:ascii="Arial" w:hAnsi="Arial" w:cs="Arial"/>
          <w:bCs/>
        </w:rPr>
        <w:t xml:space="preserve">mercato tutelato </w:t>
      </w:r>
      <w:r w:rsidRPr="000F531B">
        <w:rPr>
          <w:rFonts w:ascii="Arial" w:hAnsi="Arial" w:cs="Arial"/>
          <w:bCs/>
        </w:rPr>
        <w:t xml:space="preserve">e il gas di rete per uso </w:t>
      </w:r>
      <w:r w:rsidRPr="001F4360">
        <w:rPr>
          <w:rFonts w:ascii="Arial" w:hAnsi="Arial" w:cs="Arial"/>
          <w:bCs/>
        </w:rPr>
        <w:t>domestico mercato tutelato.</w:t>
      </w:r>
    </w:p>
    <w:p w:rsidR="007466AE" w:rsidRDefault="007466AE" w:rsidP="007466AE">
      <w:pPr>
        <w:spacing w:before="0" w:after="120"/>
        <w:jc w:val="both"/>
        <w:rPr>
          <w:rFonts w:ascii="Arial" w:hAnsi="Arial" w:cs="Arial"/>
          <w:bCs/>
        </w:rPr>
      </w:pPr>
      <w:r w:rsidRPr="001F4360">
        <w:rPr>
          <w:rFonts w:ascii="Arial" w:hAnsi="Arial" w:cs="Arial"/>
          <w:b/>
          <w:bCs/>
        </w:rPr>
        <w:t>Beni energetici non regolamentati</w:t>
      </w:r>
      <w:r w:rsidRPr="001F4360">
        <w:rPr>
          <w:rFonts w:ascii="Arial" w:hAnsi="Arial" w:cs="Arial"/>
          <w:bCs/>
        </w:rPr>
        <w:t>: comprendono i carburanti per gli autoveicoli, i lubrificanti, la ricarica elettrica per auto, i combustibili per uso domestico non regolamentati, il gas di rete per uso domestico mercato libero, l’energia elettrica mercato libe</w:t>
      </w:r>
      <w:r w:rsidR="00324F83" w:rsidRPr="001F4360">
        <w:rPr>
          <w:rFonts w:ascii="Arial" w:hAnsi="Arial" w:cs="Arial"/>
          <w:bCs/>
        </w:rPr>
        <w:t xml:space="preserve">ro, l’energia elettrica </w:t>
      </w:r>
      <w:r w:rsidR="00C516B9">
        <w:rPr>
          <w:rFonts w:ascii="Arial" w:hAnsi="Arial" w:cs="Arial"/>
          <w:bCs/>
        </w:rPr>
        <w:t xml:space="preserve">e </w:t>
      </w:r>
      <w:r w:rsidR="001F4360" w:rsidRPr="001F4360">
        <w:rPr>
          <w:rFonts w:ascii="Arial" w:hAnsi="Arial" w:cs="Arial"/>
          <w:bCs/>
        </w:rPr>
        <w:t xml:space="preserve">gas di città e gas naturale </w:t>
      </w:r>
      <w:r w:rsidR="00324F83" w:rsidRPr="001F4360">
        <w:rPr>
          <w:rFonts w:ascii="Arial" w:hAnsi="Arial" w:cs="Arial"/>
          <w:bCs/>
        </w:rPr>
        <w:t>per le famiglie in transizione dal mercato tutelato al mercato libero.</w:t>
      </w:r>
    </w:p>
    <w:p w:rsidR="007466AE" w:rsidRPr="000F531B" w:rsidRDefault="007466AE" w:rsidP="007466AE">
      <w:pPr>
        <w:spacing w:before="0" w:after="120"/>
        <w:jc w:val="both"/>
        <w:rPr>
          <w:rFonts w:ascii="Arial" w:hAnsi="Arial" w:cs="Arial"/>
          <w:bCs/>
        </w:rPr>
      </w:pPr>
      <w:r w:rsidRPr="000F531B">
        <w:rPr>
          <w:rFonts w:ascii="Arial" w:hAnsi="Arial" w:cs="Arial"/>
          <w:b/>
          <w:bCs/>
        </w:rPr>
        <w:t>Beni regolamentati</w:t>
      </w:r>
      <w:r w:rsidRPr="000F531B">
        <w:rPr>
          <w:rFonts w:ascii="Arial" w:hAnsi="Arial" w:cs="Arial"/>
          <w:bCs/>
        </w:rPr>
        <w:t>: includono i beni energetici regolamentati e gli altri beni regolamentati.</w:t>
      </w:r>
    </w:p>
    <w:p w:rsidR="007466AE" w:rsidRPr="000F531B" w:rsidRDefault="007466AE" w:rsidP="007466AE">
      <w:pPr>
        <w:spacing w:before="0" w:after="120"/>
        <w:jc w:val="both"/>
        <w:rPr>
          <w:rFonts w:ascii="Arial" w:hAnsi="Arial" w:cs="Arial"/>
          <w:bCs/>
        </w:rPr>
      </w:pPr>
      <w:r w:rsidRPr="000F531B">
        <w:rPr>
          <w:rFonts w:ascii="Arial" w:hAnsi="Arial" w:cs="Arial"/>
          <w:b/>
          <w:bCs/>
        </w:rPr>
        <w:t>COICOP</w:t>
      </w:r>
      <w:r w:rsidRPr="000F531B">
        <w:rPr>
          <w:rFonts w:ascii="Arial" w:hAnsi="Arial" w:cs="Arial"/>
          <w:bCs/>
        </w:rPr>
        <w:t>: classificazione dei consumi individuali secondo l’utilizzo finale</w:t>
      </w:r>
      <w:r>
        <w:rPr>
          <w:rFonts w:ascii="Arial" w:hAnsi="Arial" w:cs="Arial"/>
          <w:bCs/>
        </w:rPr>
        <w:t>.</w:t>
      </w:r>
    </w:p>
    <w:p w:rsidR="007466AE" w:rsidRPr="000F531B" w:rsidRDefault="007466AE" w:rsidP="007466AE">
      <w:pPr>
        <w:spacing w:before="0" w:after="120"/>
        <w:jc w:val="both"/>
        <w:rPr>
          <w:rFonts w:ascii="Arial" w:hAnsi="Arial" w:cs="Arial"/>
        </w:rPr>
      </w:pPr>
      <w:r w:rsidRPr="000F531B">
        <w:rPr>
          <w:rFonts w:ascii="Arial" w:hAnsi="Arial" w:cs="Arial"/>
          <w:b/>
        </w:rPr>
        <w:t>Componente di fondo</w:t>
      </w:r>
      <w:r w:rsidRPr="000F531B">
        <w:rPr>
          <w:rFonts w:ascii="Arial" w:hAnsi="Arial" w:cs="Arial"/>
        </w:rPr>
        <w:t xml:space="preserve">: viene calcolata escludendo i beni alimentari non lavorati e i beni energetici. </w:t>
      </w:r>
    </w:p>
    <w:p w:rsidR="007466AE" w:rsidRPr="000F531B" w:rsidRDefault="007466AE" w:rsidP="007466AE">
      <w:pPr>
        <w:spacing w:before="0" w:after="120"/>
        <w:jc w:val="both"/>
        <w:rPr>
          <w:rFonts w:ascii="Arial" w:hAnsi="Arial" w:cs="Arial"/>
          <w:bCs/>
        </w:rPr>
      </w:pPr>
      <w:r w:rsidRPr="000F531B">
        <w:rPr>
          <w:rFonts w:ascii="Arial" w:hAnsi="Arial" w:cs="Arial"/>
          <w:b/>
          <w:bCs/>
        </w:rPr>
        <w:t>Contributo alla variazione tendenziale dell’indice generale</w:t>
      </w:r>
      <w:r w:rsidRPr="000F531B">
        <w:rPr>
          <w:rFonts w:ascii="Arial" w:hAnsi="Arial" w:cs="Arial"/>
          <w:bCs/>
        </w:rPr>
        <w:t>: permette di valutare l’incidenza delle variazioni di prezzo delle singole componenti sull’aumento o sulla diminuzione dell’indice aggregato. A tal fine, il tasso di variazione tendenziale dell’indice generale viene scomposto nella somma degli effetti attribuibili a ciascuna delle variazioni delle sue componenti. Poiché si tratta di un indice concatenato, il contributo della componente i-esima alla variazione dell’indice generale è funzione della dinamica di prezzo di tale componente e della modifica del suo peso relativo nei due anni a confronto. I contributi alla variazione tendenziale dell’indice generale sono calcolati a partire dagli indici elementari di prezzo dei prodotti del paniere di riferimento. Per effetto degli arrotondamenti, la loro somma può differire dalla variazione dell’indice generale.</w:t>
      </w:r>
    </w:p>
    <w:p w:rsidR="007466AE" w:rsidRPr="000F531B" w:rsidRDefault="00333381" w:rsidP="007466AE">
      <w:pPr>
        <w:spacing w:before="0" w:after="120"/>
        <w:jc w:val="both"/>
        <w:rPr>
          <w:rFonts w:ascii="Arial" w:hAnsi="Arial" w:cs="Arial"/>
          <w:b/>
          <w:bCs/>
        </w:rPr>
      </w:pPr>
      <w:hyperlink r:id="rId35" w:history="1">
        <w:r w:rsidR="007466AE" w:rsidRPr="00C55AE4">
          <w:rPr>
            <w:rStyle w:val="Collegamentoipertestuale"/>
            <w:rFonts w:ascii="Arial" w:hAnsi="Arial" w:cs="Arial"/>
            <w:b/>
            <w:bCs/>
          </w:rPr>
          <w:t>ECOICOP</w:t>
        </w:r>
      </w:hyperlink>
      <w:r w:rsidR="007466AE">
        <w:rPr>
          <w:rFonts w:ascii="Arial" w:hAnsi="Arial" w:cs="Arial"/>
          <w:bCs/>
        </w:rPr>
        <w:t xml:space="preserve">: </w:t>
      </w:r>
      <w:r w:rsidR="007466AE" w:rsidRPr="000F531B">
        <w:rPr>
          <w:rFonts w:ascii="Arial" w:hAnsi="Arial" w:cs="Arial"/>
          <w:bCs/>
        </w:rPr>
        <w:t>classificazione europea dei consumi individuali secondo l’utilizzo finale</w:t>
      </w:r>
      <w:r w:rsidR="007466AE" w:rsidRPr="00C55AE4">
        <w:rPr>
          <w:rFonts w:ascii="Arial" w:hAnsi="Arial" w:cs="Arial"/>
          <w:bCs/>
        </w:rPr>
        <w:t>, che prevede un livello di dettaglio (le sottoclassi) maggiore rispetto alla COICOP.</w:t>
      </w:r>
    </w:p>
    <w:p w:rsidR="007466AE" w:rsidRDefault="007466AE" w:rsidP="007466AE">
      <w:pPr>
        <w:spacing w:before="0" w:after="120"/>
        <w:jc w:val="both"/>
        <w:rPr>
          <w:rFonts w:ascii="Arial" w:hAnsi="Arial" w:cs="Arial"/>
          <w:bCs/>
        </w:rPr>
      </w:pPr>
      <w:r w:rsidRPr="000F531B">
        <w:rPr>
          <w:rFonts w:ascii="Arial" w:hAnsi="Arial" w:cs="Arial"/>
          <w:b/>
          <w:bCs/>
        </w:rPr>
        <w:t>FOI</w:t>
      </w:r>
      <w:r w:rsidRPr="000F531B">
        <w:rPr>
          <w:rFonts w:ascii="Arial" w:hAnsi="Arial" w:cs="Arial"/>
          <w:bCs/>
        </w:rPr>
        <w:t>: indice nazionale dei prezzi al consumo per le famiglie di operai e impiegati.</w:t>
      </w:r>
    </w:p>
    <w:p w:rsidR="007466AE" w:rsidRDefault="007466AE" w:rsidP="007466AE">
      <w:pPr>
        <w:spacing w:before="0" w:after="120"/>
        <w:jc w:val="both"/>
        <w:rPr>
          <w:rFonts w:ascii="Arial" w:hAnsi="Arial" w:cs="Arial"/>
          <w:bCs/>
        </w:rPr>
      </w:pPr>
      <w:r w:rsidRPr="00C96343">
        <w:rPr>
          <w:rFonts w:ascii="Arial" w:hAnsi="Arial" w:cs="Arial"/>
          <w:b/>
          <w:bCs/>
        </w:rPr>
        <w:t>Inflazione</w:t>
      </w:r>
      <w:r w:rsidRPr="00C96343">
        <w:rPr>
          <w:rFonts w:ascii="Arial" w:hAnsi="Arial" w:cs="Arial"/>
          <w:bCs/>
        </w:rPr>
        <w:t>: misura le variazioni nel tempo dei prezzi di un insieme di prodotti (paniere) rappresentativo di tutti i beni e servizi destinati al consumo finale delle famiglie, acquistabili sul mercato attraverso transazioni monetarie.</w:t>
      </w:r>
    </w:p>
    <w:p w:rsidR="007466AE" w:rsidRDefault="007466AE" w:rsidP="007466AE">
      <w:pPr>
        <w:spacing w:before="0" w:after="120"/>
        <w:jc w:val="both"/>
        <w:rPr>
          <w:rFonts w:ascii="Arial" w:hAnsi="Arial" w:cs="Arial"/>
          <w:bCs/>
        </w:rPr>
      </w:pPr>
      <w:r w:rsidRPr="000F531B">
        <w:rPr>
          <w:rFonts w:ascii="Arial" w:hAnsi="Arial" w:cs="Arial"/>
          <w:b/>
          <w:bCs/>
        </w:rPr>
        <w:t>Inflazione acquisita</w:t>
      </w:r>
      <w:r w:rsidRPr="000F531B">
        <w:rPr>
          <w:rFonts w:ascii="Arial" w:hAnsi="Arial" w:cs="Arial"/>
          <w:bCs/>
        </w:rPr>
        <w:t xml:space="preserve">: rappresenta la variazione media dell’indice nell’anno indicato, che si avrebbe ipotizzando che l’indice stesso rimanga al medesimo livello dell’ultimo dato mensile disponibile nella restante parte dell’anno. </w:t>
      </w:r>
    </w:p>
    <w:p w:rsidR="0052434B" w:rsidRPr="005863C9" w:rsidRDefault="0052434B" w:rsidP="0052434B">
      <w:pPr>
        <w:spacing w:before="0" w:after="120"/>
        <w:jc w:val="both"/>
        <w:rPr>
          <w:rFonts w:ascii="Arial" w:hAnsi="Arial" w:cs="Arial"/>
          <w:bCs/>
        </w:rPr>
      </w:pPr>
      <w:r>
        <w:rPr>
          <w:rFonts w:ascii="Arial" w:hAnsi="Arial" w:cs="Arial"/>
          <w:b/>
          <w:bCs/>
        </w:rPr>
        <w:t>I</w:t>
      </w:r>
      <w:r w:rsidRPr="005863C9">
        <w:rPr>
          <w:rFonts w:ascii="Arial" w:hAnsi="Arial" w:cs="Arial"/>
          <w:b/>
          <w:bCs/>
        </w:rPr>
        <w:t>nflazione “ereditat</w:t>
      </w:r>
      <w:r>
        <w:rPr>
          <w:rFonts w:ascii="Arial" w:hAnsi="Arial" w:cs="Arial"/>
          <w:b/>
          <w:bCs/>
        </w:rPr>
        <w:t>a</w:t>
      </w:r>
      <w:r w:rsidRPr="005863C9">
        <w:rPr>
          <w:rFonts w:ascii="Arial" w:hAnsi="Arial" w:cs="Arial"/>
          <w:b/>
          <w:bCs/>
        </w:rPr>
        <w:t>” nell’anno t dall’anno t-1</w:t>
      </w:r>
      <w:r w:rsidRPr="005863C9">
        <w:rPr>
          <w:rFonts w:ascii="Arial" w:hAnsi="Arial" w:cs="Arial"/>
          <w:bCs/>
        </w:rPr>
        <w:t xml:space="preserve">: variazione percentuale misurata tra il mese di dicembre dell’anno t-1 e la media dell’anno t-1. </w:t>
      </w:r>
      <w:r>
        <w:rPr>
          <w:rFonts w:ascii="Arial" w:hAnsi="Arial" w:cs="Arial"/>
          <w:bCs/>
        </w:rPr>
        <w:t>In altre parole, se nel corso dell’anno t non si verificassero variazioni congiunturali dell’indice generale dei prezzi, la sua variazione media annua risulterebbe pari all’inflazione ereditata.</w:t>
      </w:r>
    </w:p>
    <w:p w:rsidR="0052434B" w:rsidRDefault="0052434B" w:rsidP="0052434B">
      <w:pPr>
        <w:spacing w:before="0" w:after="120"/>
        <w:jc w:val="both"/>
        <w:rPr>
          <w:rFonts w:ascii="Arial" w:hAnsi="Arial" w:cs="Arial"/>
          <w:bCs/>
        </w:rPr>
      </w:pPr>
      <w:r>
        <w:rPr>
          <w:rFonts w:ascii="Arial" w:hAnsi="Arial" w:cs="Arial"/>
          <w:b/>
          <w:bCs/>
        </w:rPr>
        <w:t>Inflazione “propria</w:t>
      </w:r>
      <w:r w:rsidRPr="005863C9">
        <w:rPr>
          <w:rFonts w:ascii="Arial" w:hAnsi="Arial" w:cs="Arial"/>
          <w:b/>
          <w:bCs/>
        </w:rPr>
        <w:t>” dell’anno t</w:t>
      </w:r>
      <w:r w:rsidRPr="005863C9">
        <w:rPr>
          <w:rFonts w:ascii="Arial" w:hAnsi="Arial" w:cs="Arial"/>
          <w:bCs/>
        </w:rPr>
        <w:t xml:space="preserve">: variazione percentuale misurata tra la media dell’anno t e il dicembre dell’anno t-1. </w:t>
      </w:r>
      <w:r>
        <w:rPr>
          <w:rFonts w:ascii="Arial" w:hAnsi="Arial" w:cs="Arial"/>
          <w:bCs/>
        </w:rPr>
        <w:t>Essa rappresenta la variazione dell’indice generale dovuta alle variazioni di prezzo verificatesi nel corso dell’anno t.</w:t>
      </w:r>
    </w:p>
    <w:p w:rsidR="00A32897" w:rsidRDefault="00A32897" w:rsidP="0052434B">
      <w:pPr>
        <w:spacing w:before="0" w:after="120"/>
        <w:jc w:val="both"/>
        <w:rPr>
          <w:rFonts w:ascii="Arial" w:hAnsi="Arial" w:cs="Arial"/>
          <w:bCs/>
        </w:rPr>
      </w:pPr>
    </w:p>
    <w:p w:rsidR="00A32897" w:rsidRPr="005863C9" w:rsidRDefault="00A32897" w:rsidP="0052434B">
      <w:pPr>
        <w:spacing w:before="0" w:after="120"/>
        <w:jc w:val="both"/>
        <w:rPr>
          <w:rFonts w:ascii="Arial" w:hAnsi="Arial" w:cs="Arial"/>
          <w:bCs/>
        </w:rPr>
      </w:pPr>
    </w:p>
    <w:p w:rsidR="007466AE" w:rsidRPr="000F531B" w:rsidRDefault="007466AE" w:rsidP="007466AE">
      <w:pPr>
        <w:spacing w:before="0" w:after="120"/>
        <w:jc w:val="both"/>
        <w:rPr>
          <w:rFonts w:ascii="Arial" w:hAnsi="Arial" w:cs="Arial"/>
          <w:bCs/>
        </w:rPr>
      </w:pPr>
      <w:r w:rsidRPr="000F531B">
        <w:rPr>
          <w:rFonts w:ascii="Arial" w:hAnsi="Arial" w:cs="Arial"/>
          <w:b/>
          <w:bCs/>
        </w:rPr>
        <w:t>IPCA</w:t>
      </w:r>
      <w:r w:rsidRPr="000F531B">
        <w:rPr>
          <w:rFonts w:ascii="Arial" w:hAnsi="Arial" w:cs="Arial"/>
          <w:bCs/>
        </w:rPr>
        <w:t>: indice armonizzato dei prezzi al consumo per i Paesi dell’Unione europea.</w:t>
      </w:r>
    </w:p>
    <w:p w:rsidR="007466AE" w:rsidRPr="000F531B" w:rsidRDefault="007466AE" w:rsidP="007466AE">
      <w:pPr>
        <w:spacing w:before="0" w:after="120"/>
        <w:jc w:val="both"/>
        <w:rPr>
          <w:rFonts w:ascii="Arial" w:hAnsi="Arial" w:cs="Arial"/>
          <w:bCs/>
        </w:rPr>
      </w:pPr>
      <w:r w:rsidRPr="000F531B">
        <w:rPr>
          <w:rFonts w:ascii="Arial" w:hAnsi="Arial" w:cs="Arial"/>
          <w:b/>
          <w:bCs/>
        </w:rPr>
        <w:t>IPCA-AS</w:t>
      </w:r>
      <w:r w:rsidRPr="000F531B">
        <w:rPr>
          <w:rFonts w:ascii="Arial" w:hAnsi="Arial" w:cs="Arial"/>
          <w:bCs/>
        </w:rPr>
        <w:t>: indici armonizzati dei prezzi al consumo per aggregati speciali</w:t>
      </w:r>
      <w:r>
        <w:rPr>
          <w:rFonts w:ascii="Arial" w:hAnsi="Arial" w:cs="Arial"/>
          <w:bCs/>
        </w:rPr>
        <w:t xml:space="preserve"> s</w:t>
      </w:r>
      <w:r w:rsidRPr="000F531B">
        <w:rPr>
          <w:rFonts w:ascii="Arial" w:hAnsi="Arial" w:cs="Arial"/>
          <w:bCs/>
        </w:rPr>
        <w:t xml:space="preserve">ono indicatori costruiti secondo uno schema classificatorio </w:t>
      </w:r>
      <w:r>
        <w:rPr>
          <w:rFonts w:ascii="Arial" w:hAnsi="Arial" w:cs="Arial"/>
          <w:bCs/>
        </w:rPr>
        <w:t>diverso</w:t>
      </w:r>
      <w:r w:rsidRPr="000F531B">
        <w:rPr>
          <w:rFonts w:ascii="Arial" w:hAnsi="Arial" w:cs="Arial"/>
          <w:bCs/>
        </w:rPr>
        <w:t xml:space="preserve"> </w:t>
      </w:r>
      <w:r>
        <w:rPr>
          <w:rFonts w:ascii="Arial" w:hAnsi="Arial" w:cs="Arial"/>
          <w:bCs/>
        </w:rPr>
        <w:t>d</w:t>
      </w:r>
      <w:r w:rsidRPr="000F531B">
        <w:rPr>
          <w:rFonts w:ascii="Arial" w:hAnsi="Arial" w:cs="Arial"/>
          <w:bCs/>
        </w:rPr>
        <w:t>alla ECOICOP-IPCA e da quello utilizzato per gli indici NIC per tipologia di prodotto. L</w:t>
      </w:r>
      <w:r>
        <w:rPr>
          <w:rFonts w:ascii="Arial" w:hAnsi="Arial" w:cs="Arial"/>
          <w:bCs/>
        </w:rPr>
        <w:t>a struttura</w:t>
      </w:r>
      <w:r w:rsidRPr="000F531B">
        <w:rPr>
          <w:rFonts w:ascii="Arial" w:hAnsi="Arial" w:cs="Arial"/>
          <w:bCs/>
        </w:rPr>
        <w:t xml:space="preserve"> di classificazione </w:t>
      </w:r>
      <w:r>
        <w:rPr>
          <w:rFonts w:ascii="Arial" w:hAnsi="Arial" w:cs="Arial"/>
          <w:bCs/>
        </w:rPr>
        <w:t>e le procedure</w:t>
      </w:r>
      <w:r w:rsidRPr="000F531B">
        <w:rPr>
          <w:rFonts w:ascii="Arial" w:hAnsi="Arial" w:cs="Arial"/>
          <w:bCs/>
        </w:rPr>
        <w:t xml:space="preserve"> di calcolo sono comuni a quell</w:t>
      </w:r>
      <w:r>
        <w:rPr>
          <w:rFonts w:ascii="Arial" w:hAnsi="Arial" w:cs="Arial"/>
          <w:bCs/>
        </w:rPr>
        <w:t>e</w:t>
      </w:r>
      <w:r w:rsidRPr="000F531B">
        <w:rPr>
          <w:rFonts w:ascii="Arial" w:hAnsi="Arial" w:cs="Arial"/>
          <w:bCs/>
        </w:rPr>
        <w:t xml:space="preserve"> </w:t>
      </w:r>
      <w:r w:rsidRPr="000F531B">
        <w:rPr>
          <w:rFonts w:ascii="Arial" w:hAnsi="Arial" w:cs="Arial"/>
        </w:rPr>
        <w:t>utilizzat</w:t>
      </w:r>
      <w:r>
        <w:rPr>
          <w:rFonts w:ascii="Arial" w:hAnsi="Arial" w:cs="Arial"/>
        </w:rPr>
        <w:t>e</w:t>
      </w:r>
      <w:r w:rsidRPr="000F531B">
        <w:rPr>
          <w:rFonts w:ascii="Arial" w:hAnsi="Arial" w:cs="Arial"/>
        </w:rPr>
        <w:t xml:space="preserve"> da Eurostat</w:t>
      </w:r>
      <w:r>
        <w:rPr>
          <w:rFonts w:ascii="Arial" w:hAnsi="Arial" w:cs="Arial"/>
        </w:rPr>
        <w:t xml:space="preserve"> e ne condividono le innovazioni di carattere metodologico</w:t>
      </w:r>
      <w:r w:rsidRPr="000F531B">
        <w:rPr>
          <w:rFonts w:ascii="Arial" w:hAnsi="Arial" w:cs="Arial"/>
        </w:rPr>
        <w:t>.</w:t>
      </w:r>
      <w:r>
        <w:rPr>
          <w:rFonts w:ascii="Arial" w:hAnsi="Arial" w:cs="Arial"/>
        </w:rPr>
        <w:t xml:space="preserve"> In particolare, dalla diffusione degli indici definitivi di gennaio 2019 cambia il metodo di calcolo degli aggregati speciali dell’IPCA che sono ottenuti aggregando gli indici delle sottoclassi della ECOICOP (in precedenza, per il computo di questi indicatori erano utilizzati gli indici delle classi).</w:t>
      </w:r>
      <w:r w:rsidRPr="000F531B">
        <w:rPr>
          <w:rFonts w:ascii="Arial" w:hAnsi="Arial" w:cs="Arial"/>
          <w:bCs/>
        </w:rPr>
        <w:t xml:space="preserve"> </w:t>
      </w:r>
      <w:r>
        <w:rPr>
          <w:rFonts w:ascii="Arial" w:hAnsi="Arial" w:cs="Arial"/>
          <w:bCs/>
        </w:rPr>
        <w:t>Per una migliore fruibilità dei nuovi indicatori, le serie degli aggregati speciali, secondo il nuovo schema, sono state ricostruite per il periodo gennaio 2017 - dicembre 2018 e sostituiscono, per l’intervallo temporale in questione, quelle precedentemente diffuse, basate sulla vecchia metodologia di calcolo</w:t>
      </w:r>
      <w:r w:rsidRPr="000F531B">
        <w:rPr>
          <w:rFonts w:ascii="Arial" w:hAnsi="Arial" w:cs="Arial"/>
        </w:rPr>
        <w:t>.</w:t>
      </w:r>
      <w:r w:rsidRPr="000F531B">
        <w:rPr>
          <w:rFonts w:ascii="Arial" w:hAnsi="Arial" w:cs="Arial"/>
          <w:bCs/>
        </w:rPr>
        <w:t xml:space="preserve"> </w:t>
      </w:r>
    </w:p>
    <w:p w:rsidR="007466AE" w:rsidRPr="000F531B" w:rsidRDefault="007466AE" w:rsidP="007466AE">
      <w:pPr>
        <w:spacing w:before="0" w:after="120"/>
        <w:jc w:val="both"/>
        <w:rPr>
          <w:rFonts w:ascii="Arial" w:hAnsi="Arial" w:cs="Arial"/>
          <w:bCs/>
        </w:rPr>
      </w:pPr>
      <w:r w:rsidRPr="000F531B">
        <w:rPr>
          <w:rFonts w:ascii="Arial" w:hAnsi="Arial" w:cs="Arial"/>
          <w:b/>
          <w:bCs/>
        </w:rPr>
        <w:t>IPCA-TC</w:t>
      </w:r>
      <w:r w:rsidRPr="000F531B">
        <w:rPr>
          <w:rFonts w:ascii="Arial" w:hAnsi="Arial" w:cs="Arial"/>
          <w:bCs/>
        </w:rPr>
        <w:t>: indice armonizzato dei prezzi al consumo a tassazione costante per i Paesi dell’Unione europea.</w:t>
      </w:r>
    </w:p>
    <w:p w:rsidR="007466AE" w:rsidRPr="000F531B" w:rsidRDefault="007466AE" w:rsidP="007466AE">
      <w:pPr>
        <w:spacing w:before="0" w:after="120"/>
        <w:jc w:val="both"/>
        <w:rPr>
          <w:rFonts w:ascii="Arial" w:hAnsi="Arial" w:cs="Arial"/>
        </w:rPr>
      </w:pPr>
      <w:r w:rsidRPr="000F531B">
        <w:rPr>
          <w:rFonts w:ascii="Arial" w:hAnsi="Arial" w:cs="Arial"/>
          <w:b/>
        </w:rPr>
        <w:t>NIC</w:t>
      </w:r>
      <w:r w:rsidRPr="000F531B">
        <w:rPr>
          <w:rFonts w:ascii="Arial" w:hAnsi="Arial" w:cs="Arial"/>
        </w:rPr>
        <w:t>: indice nazionale dei prezzi al consumo per l’intera collettività.</w:t>
      </w:r>
    </w:p>
    <w:p w:rsidR="007466AE" w:rsidRPr="000F531B" w:rsidRDefault="007466AE" w:rsidP="007466AE">
      <w:pPr>
        <w:widowControl/>
        <w:overflowPunct/>
        <w:autoSpaceDE/>
        <w:adjustRightInd/>
        <w:spacing w:before="0" w:after="120"/>
        <w:jc w:val="both"/>
        <w:rPr>
          <w:rFonts w:ascii="Arial" w:hAnsi="Arial" w:cs="Arial"/>
        </w:rPr>
      </w:pPr>
      <w:r w:rsidRPr="000F531B">
        <w:rPr>
          <w:rFonts w:ascii="Arial" w:hAnsi="Arial" w:cs="Arial"/>
          <w:b/>
        </w:rPr>
        <w:t>Prodotti ad alta frequenza di acquisto</w:t>
      </w:r>
      <w:r w:rsidRPr="000F531B">
        <w:rPr>
          <w:rFonts w:ascii="Arial" w:hAnsi="Arial" w:cs="Arial"/>
        </w:rPr>
        <w:t>: includono, oltre ai generi alimentari, le bevande alcoliche e analcoliche, i tabacchi, le spese per l’affitto, i beni non durevoli per la casa, i servizi per la pulizia e manutenzione della casa, i carburanti, i trasporti urbani, i giornali e i periodici, i servizi di ristorazione, le spese di assistenza.</w:t>
      </w:r>
    </w:p>
    <w:p w:rsidR="007466AE" w:rsidRPr="000F531B" w:rsidRDefault="007466AE" w:rsidP="007466AE">
      <w:pPr>
        <w:spacing w:before="0" w:after="120"/>
        <w:ind w:right="38"/>
        <w:jc w:val="both"/>
        <w:rPr>
          <w:rFonts w:ascii="Arial" w:hAnsi="Arial" w:cs="Arial"/>
        </w:rPr>
      </w:pPr>
      <w:r w:rsidRPr="000F531B">
        <w:rPr>
          <w:rFonts w:ascii="Arial" w:hAnsi="Arial" w:cs="Arial"/>
          <w:b/>
        </w:rPr>
        <w:t>Prodotti a media frequenza</w:t>
      </w:r>
      <w:r w:rsidRPr="000F531B">
        <w:rPr>
          <w:rFonts w:ascii="Arial" w:hAnsi="Arial" w:cs="Arial"/>
        </w:rPr>
        <w:t xml:space="preserve"> </w:t>
      </w:r>
      <w:r w:rsidRPr="000F531B">
        <w:rPr>
          <w:rFonts w:ascii="Arial" w:hAnsi="Arial" w:cs="Arial"/>
          <w:b/>
        </w:rPr>
        <w:t>di acquisto</w:t>
      </w:r>
      <w:r w:rsidRPr="000F531B">
        <w:rPr>
          <w:rFonts w:ascii="Arial" w:hAnsi="Arial" w:cs="Arial"/>
        </w:rPr>
        <w:t xml:space="preserve">: comprendono, </w:t>
      </w:r>
      <w:r w:rsidRPr="00642DBC">
        <w:rPr>
          <w:rFonts w:ascii="Arial" w:hAnsi="Arial" w:cs="Arial"/>
        </w:rPr>
        <w:t>tra gli altri,</w:t>
      </w:r>
      <w:r w:rsidRPr="000F531B">
        <w:rPr>
          <w:rFonts w:ascii="Arial" w:hAnsi="Arial" w:cs="Arial"/>
        </w:rPr>
        <w:t xml:space="preserve"> le spese di abbigliamento, le tariffe elettriche e quelle relative all’acqua potabile e lo smaltimento dei rifiuti, i medicinali, i servizi medici e quelli dentistici, i trasporti stradali, ferroviari marittimi e aerei, i servizi postali e telefonici, i servizi ricreativi e culturali, i pacchetti vacanze, i libri, gli alberghi e gli altri servizi di alloggio.</w:t>
      </w:r>
    </w:p>
    <w:p w:rsidR="007466AE" w:rsidRPr="000F531B" w:rsidRDefault="007466AE" w:rsidP="007466AE">
      <w:pPr>
        <w:spacing w:before="0" w:after="120"/>
        <w:jc w:val="both"/>
        <w:rPr>
          <w:rFonts w:ascii="Arial" w:hAnsi="Arial" w:cs="Arial"/>
        </w:rPr>
      </w:pPr>
      <w:r w:rsidRPr="000F531B">
        <w:rPr>
          <w:rFonts w:ascii="Arial" w:hAnsi="Arial" w:cs="Arial"/>
          <w:b/>
        </w:rPr>
        <w:t>Prodotti a bassa frequenza di acquisto</w:t>
      </w:r>
      <w:r w:rsidRPr="000F531B">
        <w:rPr>
          <w:rFonts w:ascii="Arial" w:hAnsi="Arial" w:cs="Arial"/>
        </w:rPr>
        <w:t>: comprendono gli elettrodomestici, i servizi ospedalieri, l’acquisto dei mezzi di trasporto, i servizi di trasloco, gli apparecchi audiovisivi, fotografici e informatici, gli articoli sportivi.</w:t>
      </w:r>
    </w:p>
    <w:p w:rsidR="007466AE" w:rsidRDefault="007466AE" w:rsidP="007466AE">
      <w:pPr>
        <w:spacing w:before="0" w:after="120"/>
        <w:jc w:val="both"/>
        <w:rPr>
          <w:rFonts w:ascii="Arial" w:hAnsi="Arial" w:cs="Arial"/>
        </w:rPr>
      </w:pPr>
      <w:r w:rsidRPr="000F531B">
        <w:rPr>
          <w:rFonts w:ascii="Arial" w:hAnsi="Arial" w:cs="Arial"/>
          <w:b/>
        </w:rPr>
        <w:t>Servizi regolamentati</w:t>
      </w:r>
      <w:r w:rsidRPr="000F531B">
        <w:rPr>
          <w:rFonts w:ascii="Arial" w:hAnsi="Arial" w:cs="Arial"/>
        </w:rPr>
        <w:t xml:space="preserve">: tipologie di servizio i cui prezzi sono stabiliti da amministrazioni nazionali o locali e da servizi di pubblica utilità soggetti a regolamentazione da parte di specifiche Agenzie (Authority). Comprendono i certificati, </w:t>
      </w:r>
      <w:r>
        <w:rPr>
          <w:rFonts w:ascii="Arial" w:hAnsi="Arial" w:cs="Arial"/>
        </w:rPr>
        <w:t>i documenti di riconoscimento</w:t>
      </w:r>
      <w:r w:rsidRPr="000F531B">
        <w:rPr>
          <w:rFonts w:ascii="Arial" w:hAnsi="Arial" w:cs="Arial"/>
        </w:rPr>
        <w:t xml:space="preserve">, la tariffa per i rifiuti solidi, la tariffa per la raccolta di acque reflue, l’istruzione secondaria, le mense scolastiche, i trasporti urbani unimodali e multimodali (biglietti e abbonamenti), il trasporto extra-urbano su bus e multimodale, i taxi, i trasporti ferroviari regionali, i pedaggi autostradali, </w:t>
      </w:r>
      <w:r>
        <w:rPr>
          <w:rFonts w:ascii="Arial" w:hAnsi="Arial" w:cs="Arial"/>
        </w:rPr>
        <w:t>i musei, i giochi lotterie e scommesse, la revisione auto, alcuni servizi postali, i nidi d’infanzia comunali, i servizi di alloggio universitario.</w:t>
      </w:r>
    </w:p>
    <w:p w:rsidR="007466AE" w:rsidRDefault="007466AE" w:rsidP="007466AE">
      <w:pPr>
        <w:spacing w:before="0" w:after="120"/>
        <w:jc w:val="both"/>
        <w:rPr>
          <w:rFonts w:ascii="Arial" w:hAnsi="Arial" w:cs="Arial"/>
        </w:rPr>
      </w:pPr>
      <w:r w:rsidRPr="000F531B">
        <w:rPr>
          <w:rFonts w:ascii="Arial" w:hAnsi="Arial" w:cs="Arial"/>
          <w:b/>
        </w:rPr>
        <w:t>Servizi relativi ai trasporti</w:t>
      </w:r>
      <w:r w:rsidRPr="000F531B">
        <w:rPr>
          <w:rFonts w:ascii="Arial" w:hAnsi="Arial" w:cs="Arial"/>
        </w:rPr>
        <w:t>: comprendono i traspor</w:t>
      </w:r>
      <w:r>
        <w:rPr>
          <w:rFonts w:ascii="Arial" w:hAnsi="Arial" w:cs="Arial"/>
        </w:rPr>
        <w:t>ti aerei, marittimi, ferroviari</w:t>
      </w:r>
      <w:r w:rsidRPr="000F531B">
        <w:rPr>
          <w:rFonts w:ascii="Arial" w:hAnsi="Arial" w:cs="Arial"/>
        </w:rPr>
        <w:t xml:space="preserve"> e stradali, i servizi di manutenzione e riparazione di mezzi di trasporto, le assicurazioni sui mezzi di trasporto.</w:t>
      </w:r>
    </w:p>
    <w:p w:rsidR="007466AE" w:rsidRDefault="007466AE" w:rsidP="007466AE">
      <w:pPr>
        <w:spacing w:before="0" w:after="120"/>
        <w:jc w:val="both"/>
        <w:rPr>
          <w:rFonts w:ascii="Arial" w:hAnsi="Arial" w:cs="Arial"/>
        </w:rPr>
      </w:pPr>
      <w:r w:rsidRPr="000F531B">
        <w:rPr>
          <w:rFonts w:ascii="Arial" w:hAnsi="Arial" w:cs="Arial"/>
          <w:b/>
        </w:rPr>
        <w:t>Servizi relativi all’abitazione</w:t>
      </w:r>
      <w:r w:rsidRPr="000F531B">
        <w:rPr>
          <w:rFonts w:ascii="Arial" w:hAnsi="Arial" w:cs="Arial"/>
        </w:rPr>
        <w:t>: comprendono i servizi di riparazione, la pulizia e la manutenzione della casa, la tariffa per i rifiuti solidi, la tariffa per la raccolta acque reflue, il canone d</w:t>
      </w:r>
      <w:r>
        <w:rPr>
          <w:rFonts w:ascii="Arial" w:hAnsi="Arial" w:cs="Arial"/>
        </w:rPr>
        <w:t>’affitto, le spese condominiali, i servizi assicurativi connessi all’abitazione.</w:t>
      </w:r>
    </w:p>
    <w:p w:rsidR="007466AE" w:rsidRPr="000F531B" w:rsidRDefault="007466AE" w:rsidP="007466AE">
      <w:pPr>
        <w:spacing w:before="0" w:after="120"/>
        <w:jc w:val="both"/>
        <w:rPr>
          <w:rFonts w:ascii="Arial" w:hAnsi="Arial" w:cs="Arial"/>
        </w:rPr>
      </w:pPr>
      <w:r w:rsidRPr="000F531B">
        <w:rPr>
          <w:rFonts w:ascii="Arial" w:hAnsi="Arial" w:cs="Arial"/>
          <w:b/>
        </w:rPr>
        <w:t>Servizi relativi alle comunicazioni</w:t>
      </w:r>
      <w:r w:rsidRPr="000F531B">
        <w:rPr>
          <w:rFonts w:ascii="Arial" w:hAnsi="Arial" w:cs="Arial"/>
        </w:rPr>
        <w:t>: comprendono i servizi di telefonia e i servizi postali.</w:t>
      </w:r>
    </w:p>
    <w:p w:rsidR="007466AE" w:rsidRDefault="007466AE" w:rsidP="007466AE">
      <w:pPr>
        <w:spacing w:before="0" w:after="120"/>
        <w:jc w:val="both"/>
        <w:rPr>
          <w:rFonts w:ascii="Arial" w:hAnsi="Arial" w:cs="Arial"/>
        </w:rPr>
      </w:pPr>
      <w:r w:rsidRPr="000F531B">
        <w:rPr>
          <w:rFonts w:ascii="Arial" w:hAnsi="Arial" w:cs="Arial"/>
          <w:b/>
        </w:rPr>
        <w:t>Servizi ricreativi, culturali e per la cura della persona</w:t>
      </w:r>
      <w:r w:rsidRPr="000F531B">
        <w:rPr>
          <w:rFonts w:ascii="Arial" w:hAnsi="Arial" w:cs="Arial"/>
        </w:rPr>
        <w:t>: comprendono i pacchetti vacanza, i servizi di alloggio, i ristoranti, bar e simili, le mense, la riparazione di apparecchi audiovisivi, fotografici e informatici, i servizi per l'abbigliamento, i servizi per l</w:t>
      </w:r>
      <w:r>
        <w:rPr>
          <w:rFonts w:ascii="Arial" w:hAnsi="Arial" w:cs="Arial"/>
        </w:rPr>
        <w:t>’</w:t>
      </w:r>
      <w:r w:rsidRPr="000F531B">
        <w:rPr>
          <w:rFonts w:ascii="Arial" w:hAnsi="Arial" w:cs="Arial"/>
        </w:rPr>
        <w:t xml:space="preserve">igiene personale, i servizi ricreativi e culturali vari, </w:t>
      </w:r>
      <w:r>
        <w:rPr>
          <w:rFonts w:ascii="Arial" w:hAnsi="Arial" w:cs="Arial"/>
        </w:rPr>
        <w:t>i giochi lotterie e scommesse</w:t>
      </w:r>
      <w:r w:rsidRPr="000F531B">
        <w:rPr>
          <w:rFonts w:ascii="Arial" w:hAnsi="Arial" w:cs="Arial"/>
        </w:rPr>
        <w:t>.</w:t>
      </w:r>
    </w:p>
    <w:p w:rsidR="007466AE" w:rsidRDefault="007466AE" w:rsidP="007466AE">
      <w:pPr>
        <w:spacing w:before="0" w:after="120"/>
        <w:jc w:val="both"/>
        <w:rPr>
          <w:rFonts w:ascii="Arial" w:hAnsi="Arial" w:cs="Arial"/>
        </w:rPr>
      </w:pPr>
      <w:r w:rsidRPr="000F531B">
        <w:rPr>
          <w:rFonts w:ascii="Arial" w:hAnsi="Arial" w:cs="Arial"/>
          <w:b/>
        </w:rPr>
        <w:t>Servizi vari</w:t>
      </w:r>
      <w:r w:rsidRPr="000F531B">
        <w:rPr>
          <w:rFonts w:ascii="Arial" w:hAnsi="Arial" w:cs="Arial"/>
        </w:rPr>
        <w:t>:</w:t>
      </w:r>
      <w:r w:rsidRPr="000F531B">
        <w:rPr>
          <w:rFonts w:ascii="Arial" w:hAnsi="Arial" w:cs="Arial"/>
          <w:b/>
        </w:rPr>
        <w:t xml:space="preserve"> </w:t>
      </w:r>
      <w:r w:rsidRPr="000F531B">
        <w:rPr>
          <w:rFonts w:ascii="Arial" w:hAnsi="Arial" w:cs="Arial"/>
        </w:rPr>
        <w:t>comprendono l’istruzione, i servizi medici, i servizi per l’assistenza, i servizi finanziari</w:t>
      </w:r>
      <w:r>
        <w:rPr>
          <w:rFonts w:ascii="Arial" w:hAnsi="Arial" w:cs="Arial"/>
        </w:rPr>
        <w:t>, professioni liberali, servizio funebre,</w:t>
      </w:r>
      <w:r w:rsidRPr="000F531B">
        <w:rPr>
          <w:rFonts w:ascii="Arial" w:hAnsi="Arial" w:cs="Arial"/>
        </w:rPr>
        <w:t xml:space="preserve"> </w:t>
      </w:r>
      <w:r>
        <w:rPr>
          <w:rFonts w:ascii="Arial" w:hAnsi="Arial" w:cs="Arial"/>
        </w:rPr>
        <w:t>servizi veterinari, servizi assicurativi privati connessi alla salute</w:t>
      </w:r>
      <w:r w:rsidRPr="000F531B">
        <w:rPr>
          <w:rFonts w:ascii="Arial" w:hAnsi="Arial" w:cs="Arial"/>
        </w:rPr>
        <w:t>.</w:t>
      </w:r>
    </w:p>
    <w:p w:rsidR="006775E2" w:rsidRPr="00431E4B" w:rsidRDefault="006775E2" w:rsidP="006775E2">
      <w:pPr>
        <w:spacing w:before="0" w:after="120"/>
        <w:jc w:val="both"/>
        <w:rPr>
          <w:rFonts w:ascii="Arial" w:hAnsi="Arial" w:cs="Arial"/>
          <w:bCs/>
        </w:rPr>
      </w:pPr>
      <w:r w:rsidRPr="00431E4B">
        <w:rPr>
          <w:rFonts w:ascii="Arial" w:hAnsi="Arial" w:cs="Arial"/>
          <w:b/>
          <w:bCs/>
        </w:rPr>
        <w:t>Trascinamento all’anno t+1</w:t>
      </w:r>
      <w:r w:rsidRPr="00431E4B">
        <w:rPr>
          <w:rFonts w:ascii="Arial" w:hAnsi="Arial" w:cs="Arial"/>
          <w:bCs/>
        </w:rPr>
        <w:t>: variazione percentuale misurata tra il mese di dicembre dell’anno t e la media dell’anno t</w:t>
      </w:r>
      <w:r>
        <w:rPr>
          <w:rFonts w:ascii="Arial" w:hAnsi="Arial" w:cs="Arial"/>
          <w:bCs/>
        </w:rPr>
        <w:t>. In altre parole, il trascinamento non è altro che l’eredità, in termini di inflazione, che l’anno t lascia all’anno t+1.</w:t>
      </w:r>
    </w:p>
    <w:p w:rsidR="007466AE" w:rsidRPr="000F531B" w:rsidRDefault="007466AE" w:rsidP="007466AE">
      <w:pPr>
        <w:spacing w:before="0" w:after="120"/>
        <w:jc w:val="both"/>
        <w:rPr>
          <w:rFonts w:ascii="Arial" w:hAnsi="Arial" w:cs="Arial"/>
          <w:bCs/>
        </w:rPr>
      </w:pPr>
      <w:r w:rsidRPr="000F531B">
        <w:rPr>
          <w:rFonts w:ascii="Arial" w:hAnsi="Arial" w:cs="Arial"/>
          <w:b/>
          <w:bCs/>
        </w:rPr>
        <w:t>Variazione congiunturale</w:t>
      </w:r>
      <w:r w:rsidRPr="000F531B">
        <w:rPr>
          <w:rFonts w:ascii="Arial" w:hAnsi="Arial" w:cs="Arial"/>
          <w:bCs/>
        </w:rPr>
        <w:t>: variazione rispetto al periodo precedente.</w:t>
      </w:r>
    </w:p>
    <w:p w:rsidR="007466AE" w:rsidRPr="0049298E" w:rsidRDefault="007466AE" w:rsidP="007466AE">
      <w:pPr>
        <w:spacing w:before="0" w:after="120"/>
        <w:jc w:val="both"/>
        <w:rPr>
          <w:rFonts w:ascii="Arial" w:hAnsi="Arial" w:cs="Arial"/>
          <w:bCs/>
        </w:rPr>
      </w:pPr>
      <w:r w:rsidRPr="000F531B">
        <w:rPr>
          <w:rFonts w:ascii="Arial" w:hAnsi="Arial" w:cs="Arial"/>
          <w:b/>
          <w:bCs/>
        </w:rPr>
        <w:t>Variazione tendenziale</w:t>
      </w:r>
      <w:r w:rsidRPr="0049298E">
        <w:rPr>
          <w:rFonts w:ascii="Arial" w:hAnsi="Arial" w:cs="Arial"/>
          <w:b/>
          <w:bCs/>
        </w:rPr>
        <w:t>:</w:t>
      </w:r>
      <w:r w:rsidRPr="000F531B">
        <w:rPr>
          <w:rFonts w:ascii="Arial" w:hAnsi="Arial" w:cs="Arial"/>
          <w:b/>
          <w:bCs/>
        </w:rPr>
        <w:t xml:space="preserve"> </w:t>
      </w:r>
      <w:r w:rsidRPr="0049298E">
        <w:rPr>
          <w:rFonts w:ascii="Arial" w:hAnsi="Arial" w:cs="Arial"/>
          <w:bCs/>
        </w:rPr>
        <w:t>variazione rispetto allo stesso periodo dell’anno precedente.</w:t>
      </w:r>
    </w:p>
    <w:p w:rsidR="007466AE" w:rsidRDefault="007466AE" w:rsidP="007466AE">
      <w:pPr>
        <w:pStyle w:val="Corpodeltesto2"/>
        <w:tabs>
          <w:tab w:val="left" w:pos="0"/>
          <w:tab w:val="left" w:pos="6300"/>
        </w:tabs>
        <w:spacing w:line="240" w:lineRule="auto"/>
        <w:jc w:val="both"/>
        <w:rPr>
          <w:rFonts w:ascii="Arial" w:hAnsi="Arial" w:cs="Arial"/>
          <w:bCs/>
        </w:rPr>
      </w:pPr>
    </w:p>
    <w:p w:rsidR="002C01C5" w:rsidRDefault="002C01C5" w:rsidP="002C01C5">
      <w:pPr>
        <w:pStyle w:val="Corpodeltesto2"/>
        <w:tabs>
          <w:tab w:val="left" w:pos="0"/>
          <w:tab w:val="left" w:pos="6300"/>
        </w:tabs>
        <w:spacing w:line="240" w:lineRule="auto"/>
        <w:jc w:val="both"/>
        <w:rPr>
          <w:rFonts w:ascii="Arial" w:hAnsi="Arial" w:cs="Arial"/>
          <w:bCs/>
        </w:rPr>
      </w:pPr>
    </w:p>
    <w:p w:rsidR="002C01C5" w:rsidRDefault="002C01C5" w:rsidP="002C01C5">
      <w:pPr>
        <w:pStyle w:val="Corpodeltesto2"/>
        <w:tabs>
          <w:tab w:val="left" w:pos="0"/>
          <w:tab w:val="left" w:pos="6300"/>
        </w:tabs>
        <w:spacing w:line="240" w:lineRule="auto"/>
        <w:jc w:val="both"/>
        <w:rPr>
          <w:rFonts w:ascii="Arial" w:hAnsi="Arial" w:cs="Arial"/>
          <w:bCs/>
        </w:rPr>
      </w:pPr>
    </w:p>
    <w:p w:rsidR="002C01C5" w:rsidRDefault="002C01C5" w:rsidP="002C01C5">
      <w:pPr>
        <w:widowControl/>
        <w:overflowPunct/>
        <w:autoSpaceDE/>
        <w:autoSpaceDN/>
        <w:adjustRightInd/>
        <w:spacing w:before="0" w:after="0"/>
        <w:rPr>
          <w:rFonts w:ascii="Arial" w:hAnsi="Arial" w:cs="Arial"/>
          <w:iCs/>
          <w:sz w:val="21"/>
          <w:szCs w:val="21"/>
        </w:rPr>
      </w:pPr>
      <w:r>
        <w:rPr>
          <w:rFonts w:ascii="Arial" w:hAnsi="Arial" w:cs="Arial"/>
          <w:bCs/>
        </w:rPr>
        <w:br w:type="page"/>
      </w:r>
    </w:p>
    <w:p w:rsidR="002C01C5" w:rsidRPr="00C8504B" w:rsidRDefault="002C01C5" w:rsidP="002C01C5">
      <w:pPr>
        <w:pStyle w:val="Corpodeltesto2"/>
        <w:tabs>
          <w:tab w:val="left" w:pos="0"/>
          <w:tab w:val="left" w:pos="6300"/>
        </w:tabs>
        <w:spacing w:line="240" w:lineRule="auto"/>
        <w:jc w:val="both"/>
        <w:rPr>
          <w:rFonts w:ascii="Arial" w:hAnsi="Arial" w:cs="Arial"/>
          <w:iCs/>
          <w:sz w:val="21"/>
          <w:szCs w:val="21"/>
        </w:rPr>
        <w:sectPr w:rsidR="002C01C5" w:rsidRPr="00C8504B" w:rsidSect="002C01C5">
          <w:headerReference w:type="default" r:id="rId36"/>
          <w:pgSz w:w="11907" w:h="16840" w:code="9"/>
          <w:pgMar w:top="1537" w:right="851" w:bottom="680" w:left="851" w:header="567" w:footer="567" w:gutter="0"/>
          <w:cols w:space="720"/>
          <w:noEndnote/>
          <w:docGrid w:linePitch="272"/>
        </w:sectPr>
      </w:pPr>
    </w:p>
    <w:p w:rsidR="00945580" w:rsidRPr="001969C1" w:rsidRDefault="00945580" w:rsidP="00945580">
      <w:pPr>
        <w:spacing w:before="0" w:after="120"/>
        <w:jc w:val="both"/>
        <w:rPr>
          <w:rFonts w:ascii="Arial" w:hAnsi="Arial" w:cs="Arial"/>
          <w:b/>
          <w:sz w:val="18"/>
          <w:szCs w:val="22"/>
        </w:rPr>
      </w:pPr>
    </w:p>
    <w:p w:rsidR="00945580" w:rsidRPr="006C5085" w:rsidRDefault="00945580" w:rsidP="00945580">
      <w:pPr>
        <w:spacing w:before="0" w:after="120"/>
        <w:jc w:val="both"/>
        <w:rPr>
          <w:rFonts w:ascii="Arial" w:hAnsi="Arial" w:cs="Arial"/>
          <w:b/>
          <w:sz w:val="22"/>
          <w:szCs w:val="22"/>
        </w:rPr>
      </w:pPr>
      <w:r w:rsidRPr="006C5085">
        <w:rPr>
          <w:rFonts w:ascii="Arial" w:hAnsi="Arial" w:cs="Arial"/>
          <w:b/>
          <w:sz w:val="22"/>
          <w:szCs w:val="22"/>
        </w:rPr>
        <w:t>Introduzione e quadro normativo</w:t>
      </w:r>
    </w:p>
    <w:p w:rsidR="00945580" w:rsidRPr="006C5085" w:rsidRDefault="00945580" w:rsidP="00945580">
      <w:pPr>
        <w:tabs>
          <w:tab w:val="left" w:pos="1843"/>
        </w:tabs>
        <w:spacing w:before="0" w:after="120"/>
        <w:jc w:val="both"/>
        <w:rPr>
          <w:rFonts w:ascii="Arial" w:hAnsi="Arial" w:cs="Arial"/>
          <w:szCs w:val="21"/>
          <w:highlight w:val="yellow"/>
        </w:rPr>
      </w:pPr>
      <w:r w:rsidRPr="006C5085">
        <w:rPr>
          <w:rFonts w:ascii="Arial" w:hAnsi="Arial" w:cs="Arial"/>
          <w:szCs w:val="21"/>
        </w:rPr>
        <w:t>Gli indici dei prezzi al consumo misurano le variazioni nel tempo dei prezzi di un insieme di prodotti (paniere) rappresentativo di tutti i beni e servizi destinati al consumo finale delle famiglie, acquistabili sul mercato attraverso transazioni monetarie (sono escluse le transazioni a titolo gratuito, gli autoconsumi, i fitti figurativi, ecc.). Gli indici dei prezzi al consumo sono calcolati utilizzando l’indice a catena del tipo Laspeyres, in cui sia il paniere dei prodotti sia il sistema dei pesi vengono aggiornati con cadenza annuale. In particolare, a dicembre di ogni anno, nel corso delle attività di ribasamento, si rinnova il paniere di prodotti e la struttura di ponderazione, ossia gli elementi di base per il calcolo degli indici dell’anno successivo.</w:t>
      </w:r>
    </w:p>
    <w:p w:rsidR="00945580" w:rsidRPr="006C5085" w:rsidRDefault="00945580" w:rsidP="00945580">
      <w:pPr>
        <w:tabs>
          <w:tab w:val="left" w:pos="1843"/>
        </w:tabs>
        <w:spacing w:before="0" w:after="120"/>
        <w:jc w:val="both"/>
        <w:rPr>
          <w:rFonts w:ascii="Arial" w:hAnsi="Arial" w:cs="Arial"/>
          <w:szCs w:val="21"/>
        </w:rPr>
      </w:pPr>
      <w:r w:rsidRPr="006C5085">
        <w:rPr>
          <w:rFonts w:ascii="Arial" w:hAnsi="Arial" w:cs="Arial"/>
          <w:szCs w:val="21"/>
        </w:rPr>
        <w:t xml:space="preserve">Il sistema degli indici dei prezzi al consumo è articolato in tre diversi indicatori: </w:t>
      </w:r>
    </w:p>
    <w:p w:rsidR="00945580" w:rsidRPr="006C5085" w:rsidRDefault="00945580" w:rsidP="00945580">
      <w:pPr>
        <w:numPr>
          <w:ilvl w:val="0"/>
          <w:numId w:val="11"/>
        </w:numPr>
        <w:tabs>
          <w:tab w:val="left" w:pos="284"/>
          <w:tab w:val="left" w:pos="851"/>
          <w:tab w:val="left" w:pos="1843"/>
          <w:tab w:val="left" w:pos="2127"/>
          <w:tab w:val="left" w:pos="2410"/>
        </w:tabs>
        <w:spacing w:before="0" w:after="120"/>
        <w:ind w:left="0" w:firstLine="0"/>
        <w:jc w:val="both"/>
        <w:rPr>
          <w:rFonts w:ascii="Arial" w:hAnsi="Arial" w:cs="Arial"/>
          <w:szCs w:val="21"/>
        </w:rPr>
      </w:pPr>
      <w:r w:rsidRPr="006C5085">
        <w:rPr>
          <w:rFonts w:ascii="Arial" w:hAnsi="Arial" w:cs="Arial"/>
          <w:b/>
          <w:bCs/>
          <w:szCs w:val="21"/>
        </w:rPr>
        <w:t xml:space="preserve">l’indice nazionale dei prezzi al consumo per l’intera collettività (NIC) </w:t>
      </w:r>
      <w:r w:rsidRPr="006C5085">
        <w:rPr>
          <w:rFonts w:ascii="Arial" w:hAnsi="Arial" w:cs="Arial"/>
          <w:szCs w:val="21"/>
        </w:rPr>
        <w:t xml:space="preserve">è utilizzato come misura dell’inflazione per l’intero sistema economico; in altre parole, si considera la collettività nazionale come un’unica grande famiglia di consumatori sebbene caratterizzata, al suo interno, da abitudini di spesa molto differenziate; </w:t>
      </w:r>
    </w:p>
    <w:p w:rsidR="00945580" w:rsidRPr="006C5085" w:rsidRDefault="00945580" w:rsidP="00945580">
      <w:pPr>
        <w:numPr>
          <w:ilvl w:val="0"/>
          <w:numId w:val="11"/>
        </w:numPr>
        <w:tabs>
          <w:tab w:val="left" w:pos="284"/>
          <w:tab w:val="left" w:pos="851"/>
          <w:tab w:val="left" w:pos="1843"/>
          <w:tab w:val="left" w:pos="2127"/>
          <w:tab w:val="left" w:pos="2410"/>
        </w:tabs>
        <w:spacing w:before="0" w:after="120"/>
        <w:ind w:left="0" w:firstLine="0"/>
        <w:jc w:val="both"/>
        <w:rPr>
          <w:rFonts w:ascii="Arial" w:hAnsi="Arial" w:cs="Arial"/>
          <w:szCs w:val="21"/>
        </w:rPr>
      </w:pPr>
      <w:r w:rsidRPr="006C5085">
        <w:rPr>
          <w:rFonts w:ascii="Arial" w:hAnsi="Arial" w:cs="Arial"/>
          <w:b/>
          <w:bCs/>
          <w:szCs w:val="21"/>
        </w:rPr>
        <w:t xml:space="preserve">l’indice dei prezzi al consumo per le famiglie di operai e impiegati (FOI) </w:t>
      </w:r>
      <w:r w:rsidRPr="006C5085">
        <w:rPr>
          <w:rFonts w:ascii="Arial" w:hAnsi="Arial" w:cs="Arial"/>
          <w:szCs w:val="21"/>
        </w:rPr>
        <w:t xml:space="preserve">si riferisce ai consumi dell’insieme delle famiglie che fanno capo ad un lavoratore dipendente; è l’indice usato per adeguare periodicamente valori monetari, quali i canoni di affitto o gli assegni dovuti al coniuge separato; </w:t>
      </w:r>
    </w:p>
    <w:p w:rsidR="00945580" w:rsidRPr="006C5085" w:rsidRDefault="00945580" w:rsidP="00945580">
      <w:pPr>
        <w:numPr>
          <w:ilvl w:val="0"/>
          <w:numId w:val="11"/>
        </w:numPr>
        <w:tabs>
          <w:tab w:val="left" w:pos="284"/>
          <w:tab w:val="left" w:pos="851"/>
          <w:tab w:val="left" w:pos="1843"/>
          <w:tab w:val="left" w:pos="2127"/>
          <w:tab w:val="left" w:pos="2410"/>
        </w:tabs>
        <w:spacing w:before="0" w:after="120"/>
        <w:ind w:left="0" w:firstLine="0"/>
        <w:jc w:val="both"/>
        <w:rPr>
          <w:rFonts w:ascii="Arial" w:hAnsi="Arial" w:cs="Arial"/>
          <w:szCs w:val="21"/>
        </w:rPr>
      </w:pPr>
      <w:r w:rsidRPr="006C5085">
        <w:rPr>
          <w:rFonts w:ascii="Arial" w:hAnsi="Arial" w:cs="Arial"/>
          <w:b/>
          <w:bCs/>
          <w:szCs w:val="21"/>
        </w:rPr>
        <w:t xml:space="preserve">l’indice dei prezzi al consumo armonizzato per i paesi dell’Unione europea (IPCA) </w:t>
      </w:r>
      <w:r w:rsidRPr="006C5085">
        <w:rPr>
          <w:rFonts w:ascii="Arial" w:hAnsi="Arial" w:cs="Arial"/>
          <w:iCs/>
          <w:szCs w:val="21"/>
        </w:rPr>
        <w:t>assicura una misura dell’inflazione comparabile tra i diversi paesi europei, attraverso l’adozione di un impianto concettuale, metodologico e tecnico condiviso; viene quindi assunto come indicatore per verificare la convergenza delle economie dei paesi membri dell’Unione europea; l’indice viene calcolato, pubblicato e inviato mensilmente dall’Istat a Eurostat secondo un calendario prefissato. Eurostat, a sua volta, diffonde gli indici armonizzati dei singoli paesi dell’Ue, sulla base dei quali elabora e diffonde l’indice sintetico europeo; l’indice IPCA è elaborato anche nella versione “a tassazione costante (IPCA-TC)”.</w:t>
      </w:r>
    </w:p>
    <w:p w:rsidR="00945580" w:rsidRPr="006C5085" w:rsidRDefault="00945580" w:rsidP="00945580">
      <w:pPr>
        <w:spacing w:before="0" w:after="120"/>
        <w:jc w:val="both"/>
        <w:rPr>
          <w:rFonts w:ascii="Arial" w:hAnsi="Arial" w:cs="Arial"/>
          <w:szCs w:val="21"/>
        </w:rPr>
      </w:pPr>
      <w:r w:rsidRPr="006C5085">
        <w:rPr>
          <w:rFonts w:ascii="Arial" w:hAnsi="Arial" w:cs="Arial"/>
          <w:szCs w:val="21"/>
        </w:rPr>
        <w:t xml:space="preserve">Le serie degli indici nazionali NIC e FOI hanno base di riferimento 2015=100. Anche l’indice IPCA è calcolato e diffuso con base di riferimento 2015=100, in linea con gli altri Paesi dell’Unione europea e in conformità al </w:t>
      </w:r>
      <w:hyperlink r:id="rId37" w:history="1">
        <w:r w:rsidRPr="006C5085">
          <w:rPr>
            <w:rStyle w:val="Collegamentoipertestuale"/>
            <w:rFonts w:ascii="Arial" w:hAnsi="Arial" w:cs="Arial"/>
            <w:b/>
            <w:szCs w:val="21"/>
          </w:rPr>
          <w:t>Regolamento (UE) n. 2016/792</w:t>
        </w:r>
      </w:hyperlink>
      <w:r w:rsidRPr="006C5085">
        <w:rPr>
          <w:rFonts w:ascii="Arial" w:hAnsi="Arial" w:cs="Arial"/>
          <w:szCs w:val="21"/>
        </w:rPr>
        <w:t xml:space="preserve"> del Parlamento e del Consiglio</w:t>
      </w:r>
      <w:r w:rsidRPr="006C5085">
        <w:t xml:space="preserve"> </w:t>
      </w:r>
      <w:r w:rsidRPr="006C5085">
        <w:rPr>
          <w:rFonts w:ascii="Arial" w:hAnsi="Arial" w:cs="Arial"/>
          <w:szCs w:val="21"/>
        </w:rPr>
        <w:t xml:space="preserve">e con il </w:t>
      </w:r>
      <w:hyperlink r:id="rId38" w:history="1">
        <w:r w:rsidRPr="006C5085">
          <w:rPr>
            <w:rStyle w:val="Collegamentoipertestuale"/>
            <w:rFonts w:ascii="Arial" w:hAnsi="Arial" w:cs="Arial"/>
            <w:b/>
            <w:szCs w:val="21"/>
          </w:rPr>
          <w:t>Regolamento di Esecuzione (UE) n. 2020/1148</w:t>
        </w:r>
      </w:hyperlink>
      <w:r w:rsidRPr="006C5085">
        <w:rPr>
          <w:rFonts w:ascii="Arial" w:hAnsi="Arial" w:cs="Arial"/>
          <w:szCs w:val="21"/>
        </w:rPr>
        <w:t xml:space="preserve"> della Commissione del 31 luglio 2020.</w:t>
      </w:r>
    </w:p>
    <w:p w:rsidR="00945580" w:rsidRPr="006C5085" w:rsidRDefault="00945580" w:rsidP="00945580">
      <w:pPr>
        <w:spacing w:before="0" w:after="120"/>
        <w:jc w:val="both"/>
        <w:rPr>
          <w:rFonts w:ascii="Arial" w:hAnsi="Arial" w:cs="Arial"/>
          <w:szCs w:val="21"/>
        </w:rPr>
      </w:pPr>
      <w:r w:rsidRPr="006C5085">
        <w:rPr>
          <w:rFonts w:ascii="Arial" w:hAnsi="Arial" w:cs="Arial"/>
          <w:szCs w:val="21"/>
        </w:rPr>
        <w:t>La rilevazione dei prezzi al consumo è disciplinata anche da diverse leggi e regolamenti che definiscono i soggetti coinvolti (l’Istituto nazionale di statistica e i Comuni) e le relative funzioni:</w:t>
      </w:r>
    </w:p>
    <w:p w:rsidR="00945580" w:rsidRPr="006C5085" w:rsidRDefault="00945580" w:rsidP="00945580">
      <w:pPr>
        <w:numPr>
          <w:ilvl w:val="0"/>
          <w:numId w:val="28"/>
        </w:numPr>
        <w:spacing w:before="0" w:after="0"/>
        <w:ind w:left="426" w:hanging="284"/>
        <w:jc w:val="both"/>
        <w:rPr>
          <w:rFonts w:ascii="Arial" w:hAnsi="Arial" w:cs="Arial"/>
          <w:spacing w:val="-4"/>
          <w:szCs w:val="21"/>
        </w:rPr>
      </w:pPr>
      <w:r w:rsidRPr="006C5085">
        <w:rPr>
          <w:rFonts w:ascii="Arial" w:hAnsi="Arial" w:cs="Arial"/>
          <w:szCs w:val="21"/>
        </w:rPr>
        <w:t xml:space="preserve">il </w:t>
      </w:r>
      <w:r w:rsidRPr="006C5085">
        <w:rPr>
          <w:rFonts w:ascii="Arial" w:hAnsi="Arial" w:cs="Arial"/>
          <w:b/>
          <w:szCs w:val="21"/>
        </w:rPr>
        <w:t xml:space="preserve">Regio Decreto Legge </w:t>
      </w:r>
      <w:r w:rsidRPr="006C5085">
        <w:rPr>
          <w:rFonts w:ascii="Arial" w:hAnsi="Arial" w:cs="Arial"/>
          <w:b/>
          <w:iCs/>
          <w:szCs w:val="21"/>
        </w:rPr>
        <w:t>n. 222/1927</w:t>
      </w:r>
      <w:r w:rsidRPr="006C5085">
        <w:rPr>
          <w:rFonts w:ascii="Arial" w:hAnsi="Arial" w:cs="Arial"/>
          <w:szCs w:val="21"/>
        </w:rPr>
        <w:t>, che</w:t>
      </w:r>
      <w:r w:rsidRPr="006C5085">
        <w:rPr>
          <w:rFonts w:ascii="Arial" w:hAnsi="Arial" w:cs="Arial"/>
          <w:i/>
          <w:iCs/>
          <w:szCs w:val="21"/>
        </w:rPr>
        <w:t xml:space="preserve"> </w:t>
      </w:r>
      <w:r w:rsidRPr="006C5085">
        <w:rPr>
          <w:rFonts w:ascii="Arial" w:hAnsi="Arial" w:cs="Arial"/>
          <w:szCs w:val="21"/>
        </w:rPr>
        <w:t>conferisce l’incarico all’Istituto centrale di statistica di promuovere la formazione di indici del costo della vita in tutti i comuni con più di 100.000 abitanti e in altri, preferibilmente scelti tra i capoluoghi di provincia o tra quelli con più di 50.000 abitanti che abbiano uffici di statistica idonei;</w:t>
      </w:r>
    </w:p>
    <w:p w:rsidR="00945580" w:rsidRPr="006C5085" w:rsidRDefault="00945580" w:rsidP="00945580">
      <w:pPr>
        <w:numPr>
          <w:ilvl w:val="0"/>
          <w:numId w:val="28"/>
        </w:numPr>
        <w:spacing w:before="0" w:after="0"/>
        <w:ind w:left="426" w:hanging="284"/>
        <w:jc w:val="both"/>
        <w:rPr>
          <w:rFonts w:ascii="Arial" w:hAnsi="Arial" w:cs="Arial"/>
          <w:spacing w:val="-4"/>
          <w:szCs w:val="21"/>
        </w:rPr>
      </w:pPr>
      <w:r w:rsidRPr="006C5085">
        <w:rPr>
          <w:rFonts w:ascii="Arial" w:hAnsi="Arial" w:cs="Arial"/>
          <w:color w:val="000000"/>
          <w:szCs w:val="21"/>
        </w:rPr>
        <w:t xml:space="preserve">la </w:t>
      </w:r>
      <w:r w:rsidRPr="006C5085">
        <w:rPr>
          <w:rFonts w:ascii="Arial" w:hAnsi="Arial" w:cs="Arial"/>
          <w:b/>
          <w:iCs/>
          <w:szCs w:val="21"/>
        </w:rPr>
        <w:t>Legge n. 621/1975</w:t>
      </w:r>
      <w:r w:rsidRPr="006C5085">
        <w:rPr>
          <w:rFonts w:ascii="Arial" w:hAnsi="Arial" w:cs="Arial"/>
          <w:i/>
          <w:iCs/>
          <w:szCs w:val="21"/>
        </w:rPr>
        <w:t xml:space="preserve"> </w:t>
      </w:r>
      <w:r w:rsidRPr="006C5085">
        <w:rPr>
          <w:rFonts w:ascii="Arial" w:hAnsi="Arial" w:cs="Arial"/>
          <w:color w:val="000000"/>
          <w:szCs w:val="21"/>
        </w:rPr>
        <w:t>modifica come di seguito il regio decreto relativamente ai comuni cui spetta l’obbligo di condurre l’indagine sui prezzi al consumo: “tra i comuni di cui all’art. 1 … devono intendersi compresi tutti i comuni capoluogo di provincia e quelli con oltre 30.000 abitanti che abbiano un ufficio di statistica idoneo”;</w:t>
      </w:r>
    </w:p>
    <w:p w:rsidR="00945580" w:rsidRPr="006C5085" w:rsidRDefault="00945580" w:rsidP="00945580">
      <w:pPr>
        <w:numPr>
          <w:ilvl w:val="0"/>
          <w:numId w:val="28"/>
        </w:numPr>
        <w:spacing w:before="0" w:after="0"/>
        <w:ind w:left="426" w:hanging="284"/>
        <w:jc w:val="both"/>
        <w:rPr>
          <w:rFonts w:ascii="Arial" w:hAnsi="Arial" w:cs="Arial"/>
          <w:spacing w:val="-4"/>
          <w:szCs w:val="21"/>
        </w:rPr>
      </w:pPr>
      <w:r w:rsidRPr="006C5085">
        <w:rPr>
          <w:rFonts w:ascii="Arial" w:hAnsi="Arial" w:cs="Arial"/>
          <w:szCs w:val="21"/>
        </w:rPr>
        <w:t xml:space="preserve">il </w:t>
      </w:r>
      <w:hyperlink r:id="rId39" w:history="1">
        <w:r w:rsidRPr="006C5085">
          <w:rPr>
            <w:rStyle w:val="Collegamentoipertestuale"/>
            <w:rFonts w:ascii="Arial" w:hAnsi="Arial" w:cs="Arial"/>
            <w:b/>
            <w:szCs w:val="21"/>
          </w:rPr>
          <w:t>D.lgs n. 322/1989</w:t>
        </w:r>
      </w:hyperlink>
      <w:r w:rsidRPr="006C5085">
        <w:rPr>
          <w:rFonts w:ascii="Arial" w:hAnsi="Arial" w:cs="Arial"/>
          <w:color w:val="000000"/>
          <w:szCs w:val="21"/>
        </w:rPr>
        <w:t>,</w:t>
      </w:r>
      <w:r w:rsidRPr="006C5085">
        <w:rPr>
          <w:rFonts w:ascii="Arial" w:hAnsi="Arial" w:cs="Arial"/>
          <w:i/>
          <w:iCs/>
          <w:szCs w:val="21"/>
        </w:rPr>
        <w:t xml:space="preserve"> </w:t>
      </w:r>
      <w:r w:rsidRPr="006C5085">
        <w:rPr>
          <w:rFonts w:ascii="Arial" w:hAnsi="Arial" w:cs="Arial"/>
          <w:color w:val="000000"/>
          <w:szCs w:val="21"/>
        </w:rPr>
        <w:t>che disciplina le attività di rilevazione, elaborazione, analisi e diffusione e archiviazione dei dati statistici svolte dagli enti e organismi pubblici di informazione statistica, al fine di realizzare l’unità di indirizzo, l’omogeneità organizzativa e la razionalizzazione dei flussi a livello centrale e locale.</w:t>
      </w:r>
    </w:p>
    <w:p w:rsidR="00945580" w:rsidRPr="002C252F" w:rsidRDefault="00945580" w:rsidP="00945580">
      <w:pPr>
        <w:spacing w:before="0" w:after="120"/>
        <w:jc w:val="both"/>
        <w:rPr>
          <w:rFonts w:ascii="Arial" w:hAnsi="Arial" w:cs="Arial"/>
          <w:b/>
          <w:sz w:val="18"/>
          <w:szCs w:val="22"/>
        </w:rPr>
      </w:pPr>
    </w:p>
    <w:p w:rsidR="00945580" w:rsidRPr="002C252F" w:rsidRDefault="00945580" w:rsidP="00945580">
      <w:pPr>
        <w:spacing w:before="0" w:after="120"/>
        <w:jc w:val="both"/>
        <w:rPr>
          <w:rFonts w:ascii="Arial" w:hAnsi="Arial" w:cs="Arial"/>
          <w:b/>
          <w:sz w:val="22"/>
          <w:szCs w:val="22"/>
        </w:rPr>
      </w:pPr>
      <w:r w:rsidRPr="002C252F">
        <w:rPr>
          <w:rFonts w:ascii="Arial" w:hAnsi="Arial" w:cs="Arial"/>
          <w:b/>
          <w:sz w:val="22"/>
          <w:szCs w:val="22"/>
        </w:rPr>
        <w:t xml:space="preserve">Copertura dell’indagine e organizzazione della rilevazione </w:t>
      </w:r>
    </w:p>
    <w:p w:rsidR="00945580" w:rsidRPr="002C252F" w:rsidRDefault="00945580" w:rsidP="00945580">
      <w:pPr>
        <w:spacing w:before="0" w:after="80"/>
        <w:jc w:val="both"/>
        <w:rPr>
          <w:rFonts w:ascii="Arial" w:hAnsi="Arial" w:cs="Arial"/>
          <w:szCs w:val="21"/>
        </w:rPr>
      </w:pPr>
      <w:r w:rsidRPr="002C252F">
        <w:rPr>
          <w:rFonts w:ascii="Arial" w:hAnsi="Arial" w:cs="Arial"/>
          <w:szCs w:val="21"/>
        </w:rPr>
        <w:t xml:space="preserve">I dati che concorrono alla costruzione degli indici mensili dei prezzi al consumo sono raccolti attraverso l’utilizzo di una pluralità di fonti: la </w:t>
      </w:r>
      <w:r w:rsidRPr="002C252F">
        <w:rPr>
          <w:rFonts w:ascii="Arial" w:hAnsi="Arial" w:cs="Arial"/>
          <w:i/>
          <w:szCs w:val="21"/>
        </w:rPr>
        <w:t>rilevazione territoriale</w:t>
      </w:r>
      <w:r w:rsidRPr="002C252F">
        <w:rPr>
          <w:rFonts w:ascii="Arial" w:hAnsi="Arial" w:cs="Arial"/>
          <w:szCs w:val="21"/>
        </w:rPr>
        <w:t xml:space="preserve">, condotta dagli Uffici comunali di statistica (UCS); la </w:t>
      </w:r>
      <w:r w:rsidRPr="002C252F">
        <w:rPr>
          <w:rFonts w:ascii="Arial" w:hAnsi="Arial" w:cs="Arial"/>
          <w:i/>
          <w:szCs w:val="21"/>
        </w:rPr>
        <w:t>rilevazione centralizzata</w:t>
      </w:r>
      <w:r w:rsidRPr="002C252F">
        <w:rPr>
          <w:rFonts w:ascii="Arial" w:hAnsi="Arial" w:cs="Arial"/>
          <w:szCs w:val="21"/>
        </w:rPr>
        <w:t xml:space="preserve">, condotta dall’Istat direttamente o attraverso la collaborazione con grandi fornitori di dati; </w:t>
      </w:r>
      <w:r w:rsidRPr="00705AA4">
        <w:rPr>
          <w:rFonts w:ascii="Arial" w:hAnsi="Arial" w:cs="Arial"/>
          <w:i/>
          <w:szCs w:val="21"/>
        </w:rPr>
        <w:t>gli scanner data</w:t>
      </w:r>
      <w:r w:rsidRPr="002C252F">
        <w:rPr>
          <w:rFonts w:ascii="Arial" w:hAnsi="Arial" w:cs="Arial"/>
          <w:szCs w:val="21"/>
        </w:rPr>
        <w:t xml:space="preserve"> provenienti dalla Grande Distribuzione Organizzata (GDO); </w:t>
      </w:r>
      <w:r w:rsidRPr="00705AA4">
        <w:rPr>
          <w:rFonts w:ascii="Arial" w:hAnsi="Arial" w:cs="Arial"/>
          <w:i/>
          <w:szCs w:val="21"/>
        </w:rPr>
        <w:t>la fonte amministrativa</w:t>
      </w:r>
      <w:r w:rsidRPr="002C252F">
        <w:rPr>
          <w:rFonts w:ascii="Arial" w:hAnsi="Arial" w:cs="Arial"/>
          <w:szCs w:val="21"/>
        </w:rPr>
        <w:t xml:space="preserve">. </w:t>
      </w:r>
    </w:p>
    <w:p w:rsidR="00945580" w:rsidRDefault="00945580" w:rsidP="00945580">
      <w:pPr>
        <w:jc w:val="both"/>
        <w:rPr>
          <w:rFonts w:ascii="Arial" w:hAnsi="Arial" w:cs="Arial"/>
          <w:szCs w:val="21"/>
        </w:rPr>
      </w:pPr>
      <w:r w:rsidRPr="006E14F1">
        <w:rPr>
          <w:rFonts w:ascii="Arial" w:hAnsi="Arial" w:cs="Arial"/>
          <w:szCs w:val="21"/>
        </w:rPr>
        <w:t xml:space="preserve">Nel 2024, i prodotti rilevati in modo esclusivo mediante la rilevazione territoriale ammontano, in </w:t>
      </w:r>
      <w:r>
        <w:rPr>
          <w:rFonts w:ascii="Arial" w:hAnsi="Arial" w:cs="Arial"/>
          <w:szCs w:val="21"/>
        </w:rPr>
        <w:t>termini di peso, a circa il 50,3% del paniere, contro il 25,6</w:t>
      </w:r>
      <w:r w:rsidRPr="006E14F1">
        <w:rPr>
          <w:rFonts w:ascii="Arial" w:hAnsi="Arial" w:cs="Arial"/>
          <w:szCs w:val="21"/>
        </w:rPr>
        <w:t>% dei beni e servizi a rilevazione esclusivamente centralizzata. Tramite l’acquisizione dei dati scanner dalla GDO vengono rilevati tutti i prodotti cosiddetti grocery (beni alimentari confezionati e beni per la cura della casa e della persona) e alcuni prodotti relativi alla frutta e verdura fresca a peso imposto, che rappresentano il 13,6% in termini di peso. A queste tre modalità si aggiunge l’utilizzo delle fonti amministrative: la base dati del Ministero delle imprese e del made in Italy (MIMIT, ex MISE Ministero dello Sviluppo Economico) dei prezzi dei</w:t>
      </w:r>
      <w:r>
        <w:rPr>
          <w:rFonts w:ascii="Arial" w:hAnsi="Arial" w:cs="Arial"/>
          <w:szCs w:val="21"/>
        </w:rPr>
        <w:t xml:space="preserve"> carburanti, che pesa per il 6,2</w:t>
      </w:r>
      <w:r w:rsidRPr="006E14F1">
        <w:rPr>
          <w:rFonts w:ascii="Arial" w:hAnsi="Arial" w:cs="Arial"/>
          <w:szCs w:val="21"/>
        </w:rPr>
        <w:t>% sul paniere, i dati forniti dall’Osservatorio immobiliare dell’Agenzia delle entrate per la rilevazione dei prezzi degli Affitti reali per abitazion</w:t>
      </w:r>
      <w:r>
        <w:rPr>
          <w:rFonts w:ascii="Arial" w:hAnsi="Arial" w:cs="Arial"/>
          <w:szCs w:val="21"/>
        </w:rPr>
        <w:t>i di privati che pesa per il 2,3</w:t>
      </w:r>
      <w:r w:rsidRPr="006E14F1">
        <w:rPr>
          <w:rFonts w:ascii="Arial" w:hAnsi="Arial" w:cs="Arial"/>
          <w:szCs w:val="21"/>
        </w:rPr>
        <w:t>% e l’Agenzia delle dogane e dei monopoli per la rilevazione dei tabacchi che incide sul paniere per il 2,0%.</w:t>
      </w:r>
    </w:p>
    <w:p w:rsidR="00945580" w:rsidRDefault="00945580" w:rsidP="00945580">
      <w:pPr>
        <w:tabs>
          <w:tab w:val="left" w:pos="5812"/>
        </w:tabs>
        <w:spacing w:before="0" w:after="120"/>
        <w:jc w:val="both"/>
        <w:rPr>
          <w:rFonts w:ascii="Arial" w:hAnsi="Arial" w:cs="Arial"/>
          <w:szCs w:val="21"/>
        </w:rPr>
      </w:pPr>
    </w:p>
    <w:p w:rsidR="00945580" w:rsidRDefault="00945580" w:rsidP="00945580">
      <w:pPr>
        <w:tabs>
          <w:tab w:val="left" w:pos="5812"/>
        </w:tabs>
        <w:spacing w:before="0" w:after="120"/>
        <w:jc w:val="both"/>
        <w:rPr>
          <w:rFonts w:ascii="Arial" w:hAnsi="Arial" w:cs="Arial"/>
        </w:rPr>
      </w:pPr>
      <w:r w:rsidRPr="009F011E">
        <w:rPr>
          <w:rFonts w:ascii="Arial" w:hAnsi="Arial" w:cs="Arial"/>
          <w:szCs w:val="21"/>
        </w:rPr>
        <w:t>Nel 202</w:t>
      </w:r>
      <w:r>
        <w:rPr>
          <w:rFonts w:ascii="Arial" w:hAnsi="Arial" w:cs="Arial"/>
          <w:szCs w:val="21"/>
        </w:rPr>
        <w:t>4</w:t>
      </w:r>
      <w:r w:rsidRPr="009F011E">
        <w:rPr>
          <w:rFonts w:ascii="Arial" w:hAnsi="Arial" w:cs="Arial"/>
          <w:szCs w:val="21"/>
        </w:rPr>
        <w:t xml:space="preserve"> i comuni che concorrono al calcolo degli indici per tutti gli aggregati di prodotto del paniere sono 79 (di cui 19 capoluoghi di regione, 59 capoluoghi di provincia</w:t>
      </w:r>
      <w:r w:rsidRPr="009F011E">
        <w:rPr>
          <w:rStyle w:val="Rimandonotaapidipagina"/>
          <w:rFonts w:ascii="Arial" w:hAnsi="Arial" w:cs="Arial"/>
          <w:szCs w:val="21"/>
        </w:rPr>
        <w:footnoteReference w:id="2"/>
      </w:r>
      <w:r w:rsidRPr="009F011E">
        <w:rPr>
          <w:rFonts w:ascii="Arial" w:hAnsi="Arial" w:cs="Arial"/>
          <w:szCs w:val="21"/>
        </w:rPr>
        <w:t>, 1 comune non capoluogo con più di 30.000 abitanti</w:t>
      </w:r>
      <w:r w:rsidRPr="009F011E">
        <w:rPr>
          <w:rStyle w:val="Rimandonotaapidipagina"/>
          <w:rFonts w:ascii="Arial" w:hAnsi="Arial" w:cs="Arial"/>
          <w:szCs w:val="21"/>
        </w:rPr>
        <w:footnoteReference w:id="3"/>
      </w:r>
      <w:r w:rsidRPr="009F011E">
        <w:rPr>
          <w:rFonts w:ascii="Arial" w:hAnsi="Arial" w:cs="Arial"/>
          <w:szCs w:val="21"/>
        </w:rPr>
        <w:t>); sono invece 12 i comuni</w:t>
      </w:r>
      <w:r w:rsidRPr="009F011E">
        <w:rPr>
          <w:rStyle w:val="Rimandonotaapidipagina"/>
          <w:rFonts w:ascii="Arial" w:hAnsi="Arial"/>
          <w:szCs w:val="21"/>
        </w:rPr>
        <w:footnoteReference w:id="4"/>
      </w:r>
      <w:r w:rsidRPr="009F011E">
        <w:rPr>
          <w:rFonts w:ascii="Arial" w:hAnsi="Arial" w:cs="Arial"/>
          <w:szCs w:val="21"/>
        </w:rPr>
        <w:t xml:space="preserve"> che partecipano al calcolo degli indici per un sottoinsieme di prodotti (</w:t>
      </w:r>
      <w:r w:rsidRPr="009F011E">
        <w:rPr>
          <w:rFonts w:ascii="Arial" w:hAnsi="Arial" w:cs="Arial"/>
        </w:rPr>
        <w:t xml:space="preserve">tariffe locali quali fornitura acqua, raccolta rifiuti, raccolta acque reflue, </w:t>
      </w:r>
      <w:r>
        <w:rPr>
          <w:rFonts w:ascii="Arial" w:hAnsi="Arial" w:cs="Arial"/>
        </w:rPr>
        <w:t xml:space="preserve">trasporti urbani, taxi, mense </w:t>
      </w:r>
      <w:r w:rsidRPr="009F011E">
        <w:rPr>
          <w:rFonts w:ascii="Arial" w:hAnsi="Arial" w:cs="Arial"/>
        </w:rPr>
        <w:t>scolastiche, nido d’infanzia comunale, e altri servizi come manifestazioni sportive, cinema, spettacoli teatrali, istruzione secondaria superiore, mense universitarie, ecc.).</w:t>
      </w:r>
    </w:p>
    <w:p w:rsidR="00945580" w:rsidRPr="009F011E" w:rsidRDefault="00945580" w:rsidP="00945580">
      <w:pPr>
        <w:tabs>
          <w:tab w:val="left" w:pos="5812"/>
        </w:tabs>
        <w:spacing w:before="0" w:after="120"/>
        <w:jc w:val="both"/>
        <w:rPr>
          <w:rFonts w:ascii="Arial" w:hAnsi="Arial" w:cs="Arial"/>
        </w:rPr>
      </w:pPr>
      <w:r w:rsidRPr="000C2436">
        <w:rPr>
          <w:rFonts w:ascii="Arial" w:hAnsi="Arial" w:cs="Arial"/>
        </w:rPr>
        <w:t>Nei 91 comuni si contano circa 44mila unità di rilevazione (tra punti vendita, imprese e istituzioni) dove gli Uffici comunali di statistica monitorano il prezzo di almeno un prodotto; a queste si aggiungono circa 2.</w:t>
      </w:r>
      <w:r>
        <w:rPr>
          <w:rFonts w:ascii="Arial" w:hAnsi="Arial" w:cs="Arial"/>
        </w:rPr>
        <w:t>8</w:t>
      </w:r>
      <w:r w:rsidRPr="000C2436">
        <w:rPr>
          <w:rFonts w:ascii="Arial" w:hAnsi="Arial" w:cs="Arial"/>
        </w:rPr>
        <w:t>00 abitazioni per la rilevazione dei canoni di affitto di abitazioni di Enti pubblici</w:t>
      </w:r>
      <w:r w:rsidRPr="009F011E">
        <w:rPr>
          <w:rStyle w:val="Rimandonotaapidipagina"/>
          <w:rFonts w:ascii="Arial" w:hAnsi="Arial"/>
          <w:szCs w:val="21"/>
        </w:rPr>
        <w:footnoteReference w:id="5"/>
      </w:r>
      <w:r w:rsidRPr="009F011E">
        <w:rPr>
          <w:rFonts w:ascii="Arial" w:hAnsi="Arial" w:cs="Arial"/>
          <w:szCs w:val="21"/>
        </w:rPr>
        <w:t>.</w:t>
      </w:r>
      <w:r>
        <w:rPr>
          <w:rFonts w:ascii="Arial" w:hAnsi="Arial" w:cs="Arial"/>
          <w:szCs w:val="21"/>
        </w:rPr>
        <w:t xml:space="preserve"> </w:t>
      </w:r>
      <w:r w:rsidRPr="006E14F1">
        <w:rPr>
          <w:rFonts w:ascii="Arial" w:hAnsi="Arial" w:cs="Arial"/>
        </w:rPr>
        <w:t xml:space="preserve">Nel complesso sono </w:t>
      </w:r>
      <w:r>
        <w:rPr>
          <w:rFonts w:ascii="Arial" w:hAnsi="Arial" w:cs="Arial"/>
        </w:rPr>
        <w:t>quasi</w:t>
      </w:r>
      <w:r w:rsidRPr="006E14F1">
        <w:rPr>
          <w:rFonts w:ascii="Arial" w:hAnsi="Arial" w:cs="Arial"/>
        </w:rPr>
        <w:t xml:space="preserve"> 385mila le quotazioni che contribuiscono al calcolo dell’inflazione, inviate mensilmente all’Istat dagli Uffici comunali di statistica (erano 398mila del 2023); il minore numero di quotazioni è imputabile al passaggio alla rilevazione centralizzata delle assicurazioni auto e delle spese condominiali. A seguito dell’aggiornamento annuale dei piani di rilevazione comunali sono nuove il 5,6% delle attuali referenze di prodotto (10,2% nel 2023): di queste, il 1,7% sono referenze di prodotti nuovi mentre nel restante 3,9% si tratta di referenze di prodotti già presenti nel paniere dello scorso anno.</w:t>
      </w:r>
    </w:p>
    <w:p w:rsidR="00945580" w:rsidRDefault="00945580" w:rsidP="00945580">
      <w:pPr>
        <w:widowControl/>
        <w:overflowPunct/>
        <w:spacing w:before="120" w:after="60"/>
        <w:jc w:val="both"/>
        <w:rPr>
          <w:rFonts w:ascii="Arial" w:hAnsi="Arial" w:cs="Arial"/>
        </w:rPr>
      </w:pPr>
      <w:r w:rsidRPr="009F011E">
        <w:rPr>
          <w:rFonts w:ascii="Arial" w:hAnsi="Arial" w:cs="Arial"/>
        </w:rPr>
        <w:t>Nel 202</w:t>
      </w:r>
      <w:r>
        <w:rPr>
          <w:rFonts w:ascii="Arial" w:hAnsi="Arial" w:cs="Arial"/>
        </w:rPr>
        <w:t>4</w:t>
      </w:r>
      <w:r w:rsidRPr="009F011E">
        <w:rPr>
          <w:rFonts w:ascii="Arial" w:hAnsi="Arial" w:cs="Arial"/>
        </w:rPr>
        <w:t xml:space="preserve">, </w:t>
      </w:r>
      <w:r>
        <w:rPr>
          <w:rFonts w:ascii="Arial" w:hAnsi="Arial" w:cs="Arial"/>
        </w:rPr>
        <w:t>sono quasi 233</w:t>
      </w:r>
      <w:r w:rsidRPr="006E14F1">
        <w:rPr>
          <w:rFonts w:ascii="Arial" w:hAnsi="Arial" w:cs="Arial"/>
        </w:rPr>
        <w:t xml:space="preserve">mila le quotazioni di prezzo raccolte ogni mese centralmente dall’Istat, a cui si aggiungono, 80 milioni di dati utilizzati, rilevati tramite tecniche di scraping relativamente al trasporto aereo passeggeri. </w:t>
      </w:r>
      <w:r w:rsidRPr="009F011E">
        <w:rPr>
          <w:rFonts w:ascii="Arial" w:hAnsi="Arial" w:cs="Arial"/>
          <w:szCs w:val="21"/>
        </w:rPr>
        <w:t>Inoltre</w:t>
      </w:r>
      <w:r>
        <w:rPr>
          <w:rFonts w:ascii="Arial" w:hAnsi="Arial" w:cs="Arial"/>
          <w:szCs w:val="21"/>
        </w:rPr>
        <w:t xml:space="preserve"> </w:t>
      </w:r>
      <w:r w:rsidRPr="009F011E">
        <w:rPr>
          <w:rFonts w:ascii="Arial" w:hAnsi="Arial" w:cs="Arial"/>
          <w:szCs w:val="21"/>
        </w:rPr>
        <w:t xml:space="preserve">circa 400 </w:t>
      </w:r>
      <w:r>
        <w:rPr>
          <w:rFonts w:ascii="Arial" w:hAnsi="Arial" w:cs="Arial"/>
          <w:szCs w:val="21"/>
        </w:rPr>
        <w:t xml:space="preserve">vengono </w:t>
      </w:r>
      <w:r w:rsidRPr="009F011E">
        <w:rPr>
          <w:rFonts w:ascii="Arial" w:hAnsi="Arial" w:cs="Arial"/>
          <w:szCs w:val="21"/>
        </w:rPr>
        <w:t xml:space="preserve">rilevate </w:t>
      </w:r>
      <w:r w:rsidRPr="00990771">
        <w:rPr>
          <w:rFonts w:ascii="Arial" w:hAnsi="Arial" w:cs="Arial"/>
          <w:szCs w:val="21"/>
        </w:rPr>
        <w:t>mediante indagine diretta, condotta presso un campione di imprese di assicurazione le quali forniscono i prezzi relativi a tre profili assicurativi riconducibili alla copertura dei rischi contro incendio, furto e danneggiament</w:t>
      </w:r>
      <w:r>
        <w:rPr>
          <w:rFonts w:ascii="Arial" w:hAnsi="Arial" w:cs="Arial"/>
          <w:szCs w:val="21"/>
        </w:rPr>
        <w:t xml:space="preserve">o del contenuto dell’abitazione </w:t>
      </w:r>
      <w:r>
        <w:rPr>
          <w:rFonts w:ascii="Arial" w:hAnsi="Arial" w:cs="Arial"/>
        </w:rPr>
        <w:t xml:space="preserve">e </w:t>
      </w:r>
      <w:r w:rsidRPr="009F011E">
        <w:rPr>
          <w:rFonts w:ascii="Arial" w:hAnsi="Arial" w:cs="Arial"/>
        </w:rPr>
        <w:t xml:space="preserve">oltre </w:t>
      </w:r>
      <w:r>
        <w:rPr>
          <w:rFonts w:ascii="Arial" w:hAnsi="Arial" w:cs="Arial"/>
        </w:rPr>
        <w:t>1500</w:t>
      </w:r>
      <w:r w:rsidRPr="009F011E">
        <w:rPr>
          <w:rFonts w:ascii="Arial" w:hAnsi="Arial" w:cs="Arial"/>
        </w:rPr>
        <w:t xml:space="preserve"> </w:t>
      </w:r>
      <w:r>
        <w:rPr>
          <w:rFonts w:ascii="Arial" w:hAnsi="Arial" w:cs="Arial"/>
        </w:rPr>
        <w:t xml:space="preserve">sono </w:t>
      </w:r>
      <w:r w:rsidRPr="009F011E">
        <w:rPr>
          <w:rFonts w:ascii="Arial" w:hAnsi="Arial" w:cs="Arial"/>
        </w:rPr>
        <w:t xml:space="preserve">rilevate da fonti interne. </w:t>
      </w:r>
    </w:p>
    <w:p w:rsidR="00945580" w:rsidRDefault="00945580" w:rsidP="00945580">
      <w:pPr>
        <w:widowControl/>
        <w:overflowPunct/>
        <w:spacing w:before="120" w:after="60"/>
        <w:jc w:val="both"/>
        <w:rPr>
          <w:rFonts w:ascii="Arial" w:hAnsi="Arial" w:cs="Arial"/>
          <w:szCs w:val="21"/>
        </w:rPr>
      </w:pPr>
      <w:r w:rsidRPr="00990771">
        <w:rPr>
          <w:rFonts w:ascii="Arial" w:hAnsi="Arial" w:cs="Arial"/>
        </w:rPr>
        <w:t xml:space="preserve">La rilevazione dei prezzi al consumo tramite scanner data interessa cinque tipologie distributive della Grande Distribuzione Organizzata: ipermercati, supermercati, discount, piccole superfici di vendita (note anche come “libero servizio”, punti vendita con superficie compresa tra i 100 e i 400 mq) e specialist drug (specialisti dei prodotti per la cura della casa e della persona). Nel complesso, la rilevazione dei prezzi tramite scanner data interessa 105 aggregati di prodotto, appartenenti a sei divisioni della ECOICOP (Prodotti alimentari e bevande analcoliche, Bevande alcoliche e tabacchi, Mobili articoli e servizi per la casa, Servizi sanitari e spese per la salute, Ricreazione spettacoli e cultura, Altri beni e servizi). </w:t>
      </w:r>
      <w:r>
        <w:rPr>
          <w:rFonts w:ascii="Arial" w:hAnsi="Arial" w:cs="Arial"/>
        </w:rPr>
        <w:t xml:space="preserve"> </w:t>
      </w:r>
      <w:r w:rsidRPr="00990771">
        <w:rPr>
          <w:rFonts w:ascii="Arial" w:hAnsi="Arial" w:cs="Arial"/>
          <w:szCs w:val="21"/>
        </w:rPr>
        <w:t>A partire da gennaio 2024, nell’insieme dei prodotti alimentari, vengono rilevati tramite scanner data ulteriori 2 aggregati di prodotto relativi ai Preparati con carne macinata e ai Pesci e frutti di mare secchi, affumicati o salati, che si affiancano alla rilevazione tradizionale effettuata dagli Uffici Comunali di Statistica.</w:t>
      </w:r>
      <w:r>
        <w:rPr>
          <w:rFonts w:ascii="Arial" w:hAnsi="Arial" w:cs="Arial"/>
          <w:szCs w:val="21"/>
        </w:rPr>
        <w:t xml:space="preserve"> </w:t>
      </w:r>
      <w:r w:rsidRPr="00990771">
        <w:rPr>
          <w:rFonts w:ascii="Arial" w:hAnsi="Arial" w:cs="Arial"/>
          <w:szCs w:val="21"/>
        </w:rPr>
        <w:t>L’utilizzo stabile di informazioni provenienti dalle casse della GDO per la stima dell’inflazione si è reso possibile grazie a una proficua collaborazione dell’Istat con l’Associazione della Distribuzione moderna (ADM) e i rappresentanti delle principali catene operanti in Italia. L’accordo prevede che i dati vengano acquisiti dall’Istat per il tramite della società A.C. Nielsen, previa autorizzazione all’utilizzo dei dati da parte delle catene della Grande Distribuzione. L’Istat acquisisce i dati settimanali di fatturato e quantità distinti per punto vendita e per GTIN (codice a barre), per singolo punto vendita di 19 grandi gruppi della GDO in Italia per tutte le 107 province del territorio nazionale. Il campione dei punti vendita è rappresentativo di tutto l’universo delle cinque tipologie distributive della GDO e comprende circa 4.300 punti vendita distribuiti sull’intero territorio nazionale.</w:t>
      </w:r>
      <w:r>
        <w:rPr>
          <w:rFonts w:ascii="Arial" w:hAnsi="Arial" w:cs="Arial"/>
          <w:szCs w:val="21"/>
        </w:rPr>
        <w:t xml:space="preserve"> </w:t>
      </w:r>
      <w:r w:rsidRPr="00990771">
        <w:rPr>
          <w:rFonts w:ascii="Arial" w:hAnsi="Arial" w:cs="Arial"/>
          <w:szCs w:val="21"/>
        </w:rPr>
        <w:t>L’individuazione delle referenze che entrano nel calcolo dell’indice avviene tramite i codici a barre (GTIN), che identificano univocamente i prodotti sull’intero territorio nazionale. Il valore unitario del prezzo per ciascun codice a barre è la media dei prezzi effettivamente pagati dai consumatori per quei prodotti.</w:t>
      </w:r>
      <w:r>
        <w:rPr>
          <w:rFonts w:ascii="Arial" w:hAnsi="Arial" w:cs="Arial"/>
          <w:szCs w:val="21"/>
        </w:rPr>
        <w:t xml:space="preserve"> </w:t>
      </w:r>
      <w:r w:rsidRPr="00990771">
        <w:rPr>
          <w:rFonts w:ascii="Arial" w:hAnsi="Arial" w:cs="Arial"/>
          <w:szCs w:val="21"/>
        </w:rPr>
        <w:t>Per la selezione delle referenze, l’Istat utilizza un approccio di tipo dinamico che implica una selezione del campione di referenze in ciascun mese. L’approccio dinamico permette di utilizzare l’informazione proveniente dall’universo dei GTIN venduti in ciascun punto vendita e di seguire l’evoluzione dei prodotti che entrano ed escono dal mercato nei dodici mesi dell’anno.</w:t>
      </w:r>
      <w:r>
        <w:rPr>
          <w:rFonts w:ascii="Arial" w:hAnsi="Arial" w:cs="Arial"/>
          <w:szCs w:val="21"/>
        </w:rPr>
        <w:t xml:space="preserve"> </w:t>
      </w:r>
      <w:r w:rsidRPr="00990771">
        <w:rPr>
          <w:rFonts w:ascii="Arial" w:hAnsi="Arial" w:cs="Arial"/>
          <w:szCs w:val="21"/>
        </w:rPr>
        <w:t>Nel complesso, per ciascuna settimana, si utilizzano per il calcolo degli indici oltre 20 milioni di referenze il cui prezzo settimanale viene calcolato sulla base dei dati di fatturato e quantità vendute in ciascun punto vendita e relative a oltre 260mila GTIN distinti. A seguito della selezione dinamica contribuiscono quindi mediamente ogni mese al calcolo degli indici oltre 12 milioni di referenze, per un totale di circa 33 milioni di quotazioni di prezzo.</w:t>
      </w:r>
    </w:p>
    <w:p w:rsidR="00945580" w:rsidRDefault="00945580" w:rsidP="00945580">
      <w:pPr>
        <w:widowControl/>
        <w:overflowPunct/>
        <w:spacing w:before="0" w:after="120"/>
        <w:jc w:val="both"/>
        <w:rPr>
          <w:rFonts w:ascii="Arial" w:hAnsi="Arial" w:cs="Arial"/>
        </w:rPr>
      </w:pPr>
      <w:r w:rsidRPr="00990771">
        <w:rPr>
          <w:rFonts w:ascii="Arial" w:hAnsi="Arial" w:cs="Arial"/>
        </w:rPr>
        <w:t>Le rilevazioni di fonte amministrativa per il calcolo dei prezzi al consumo sono diverse. Tra queste rientrano quelle relative ai Tabacchi i cui dati sono forniti dall’Agenzia delle dogane e dei monopoli (ADM). Gli indici calcolati sono relativi a tre aggregati di prodotto: Sigarette, Sigari e sigaretti e Altri tabacchi (trinciati per sigarette, tabacco da fiuto e da mastico, altri tabacchi da fumo, tabacchi da inalazione). Il campione e il sistema di ponderazione sono ottenuti sulla base del valore annuo delle vendite dei principali tabacchi lavorati in commercio.</w:t>
      </w:r>
      <w:r>
        <w:rPr>
          <w:rFonts w:ascii="Arial" w:hAnsi="Arial" w:cs="Arial"/>
        </w:rPr>
        <w:t xml:space="preserve"> </w:t>
      </w:r>
    </w:p>
    <w:p w:rsidR="00945580" w:rsidRPr="00990771" w:rsidRDefault="00945580" w:rsidP="00945580">
      <w:pPr>
        <w:widowControl/>
        <w:overflowPunct/>
        <w:spacing w:before="0" w:after="120"/>
        <w:jc w:val="both"/>
        <w:rPr>
          <w:rFonts w:ascii="Arial" w:hAnsi="Arial" w:cs="Arial"/>
        </w:rPr>
      </w:pPr>
      <w:r w:rsidRPr="00990771">
        <w:rPr>
          <w:rFonts w:ascii="Arial" w:hAnsi="Arial" w:cs="Arial"/>
        </w:rPr>
        <w:t>Dal 2017 anche per i prezzi al consumo dei carburanti si utilizzano dati di fonte amministrativa, grazie a un accordo siglato con il MIMIT (ex MISE) che, in ottemperanza alla normativa vigente, raccoglie i dati sui prezzi di ques</w:t>
      </w:r>
      <w:r>
        <w:rPr>
          <w:rFonts w:ascii="Arial" w:hAnsi="Arial" w:cs="Arial"/>
        </w:rPr>
        <w:t>ti prodotti</w:t>
      </w:r>
      <w:r w:rsidRPr="00990771">
        <w:rPr>
          <w:rFonts w:ascii="Arial" w:hAnsi="Arial" w:cs="Arial"/>
        </w:rPr>
        <w:t>. In particolare, nel 2023, gli indici dei prezzi dei carburanti sono calcolati attraverso l’elaborazione di oltre 157mila osservazioni di prezzo al mese, provenienti da oltre 15.300 impianti, pari al 68,7% di quelli attivi e presenti nella banca dati del MIMIT. La copertura dei distributori di carburanti per area territoriale comprende oltre 3.600 impianti nel Nord-Ovest, quasi 3.200 nel Nord-Est, quasi 3.400 al Centro, quasi 3.500 al Sud e circa 1.650 nelle Isole.</w:t>
      </w:r>
    </w:p>
    <w:p w:rsidR="00945580" w:rsidRPr="00990771" w:rsidRDefault="00945580" w:rsidP="00945580">
      <w:pPr>
        <w:widowControl/>
        <w:overflowPunct/>
        <w:spacing w:before="0" w:after="120"/>
        <w:jc w:val="both"/>
        <w:rPr>
          <w:rFonts w:ascii="Arial" w:hAnsi="Arial" w:cs="Arial"/>
        </w:rPr>
      </w:pPr>
      <w:r w:rsidRPr="00990771">
        <w:rPr>
          <w:rFonts w:ascii="Arial" w:hAnsi="Arial" w:cs="Arial"/>
        </w:rPr>
        <w:t>I dati del Ministero dello Sviluppo economico coprono i quattro aggregati di prodotto riferiti ai carburanti per autotrazione che compongono il paniere: Benzina, Gasolio per mezzi di trasporto, Gas GPL e Gas metano per autotrazione.</w:t>
      </w:r>
    </w:p>
    <w:p w:rsidR="00945580" w:rsidRDefault="00945580" w:rsidP="00945580">
      <w:pPr>
        <w:widowControl/>
        <w:overflowPunct/>
        <w:spacing w:before="0" w:after="120"/>
        <w:jc w:val="both"/>
        <w:rPr>
          <w:rFonts w:ascii="Arial" w:hAnsi="Arial" w:cs="Arial"/>
        </w:rPr>
      </w:pPr>
      <w:r w:rsidRPr="00990771">
        <w:rPr>
          <w:rFonts w:ascii="Arial" w:hAnsi="Arial" w:cs="Arial"/>
        </w:rPr>
        <w:t>Infine, dal 2022 la rilevazione sui canoni di affitto per le abitazioni di proprietà privata viene effettuata dall’Istat utilizzando la base dati delle locazioni immobiliari dell’Osservatorio del mercato immobiliare dell’Agenzia delle entrate. In seguito alla operazione di validazione dei dati, sono circa un milione e mezzo i canoni di affitto utilizzabili per il calcolo dell’indice mensile.</w:t>
      </w:r>
    </w:p>
    <w:p w:rsidR="00314F1F" w:rsidRDefault="00314F1F" w:rsidP="00945580">
      <w:pPr>
        <w:widowControl/>
        <w:overflowPunct/>
        <w:spacing w:before="0" w:after="120"/>
        <w:jc w:val="both"/>
        <w:rPr>
          <w:rFonts w:ascii="Arial" w:hAnsi="Arial" w:cs="Arial"/>
        </w:rPr>
      </w:pPr>
    </w:p>
    <w:p w:rsidR="00945580" w:rsidRPr="00C8504B" w:rsidRDefault="00945580" w:rsidP="00945580">
      <w:pPr>
        <w:spacing w:before="0" w:after="120"/>
        <w:jc w:val="both"/>
        <w:rPr>
          <w:rFonts w:ascii="Arial" w:hAnsi="Arial" w:cs="Arial"/>
          <w:b/>
          <w:sz w:val="6"/>
          <w:szCs w:val="6"/>
        </w:rPr>
      </w:pPr>
      <w:r w:rsidRPr="00C8504B">
        <w:rPr>
          <w:rFonts w:ascii="Arial" w:hAnsi="Arial" w:cs="Arial"/>
          <w:b/>
          <w:sz w:val="22"/>
          <w:szCs w:val="22"/>
        </w:rPr>
        <w:t>Metodologia di calcolo degli indici e delle variazioni</w:t>
      </w:r>
    </w:p>
    <w:p w:rsidR="00945580" w:rsidRPr="00C8504B" w:rsidRDefault="00945580" w:rsidP="00945580">
      <w:pPr>
        <w:spacing w:before="0" w:after="120"/>
        <w:jc w:val="both"/>
        <w:rPr>
          <w:rFonts w:ascii="Arial" w:hAnsi="Arial" w:cs="Arial"/>
          <w:b/>
          <w:sz w:val="18"/>
          <w:szCs w:val="18"/>
        </w:rPr>
      </w:pPr>
      <w:r w:rsidRPr="00C8504B">
        <w:rPr>
          <w:rFonts w:ascii="Arial" w:hAnsi="Arial" w:cs="Arial"/>
          <w:b/>
        </w:rPr>
        <w:t xml:space="preserve">Struttura di ponderazione </w:t>
      </w:r>
    </w:p>
    <w:p w:rsidR="00945580" w:rsidRDefault="00945580" w:rsidP="00945580">
      <w:pPr>
        <w:tabs>
          <w:tab w:val="left" w:pos="10206"/>
        </w:tabs>
        <w:spacing w:before="0" w:after="120"/>
        <w:jc w:val="both"/>
        <w:rPr>
          <w:rFonts w:ascii="Arial" w:hAnsi="Arial" w:cs="Arial"/>
          <w:szCs w:val="21"/>
        </w:rPr>
      </w:pPr>
      <w:r w:rsidRPr="002C252F">
        <w:rPr>
          <w:rFonts w:ascii="Arial" w:hAnsi="Arial" w:cs="Arial"/>
          <w:szCs w:val="21"/>
        </w:rPr>
        <w:t>Non tutti i beni e i servizi che entrano nel paniere hanno la stessa importanza nei consumi della popolazione. L’esigenza di misurare il livello dei prezzi e la loro dinamica temporale attraverso indicatori di sintesi richiede la definizione di un sistema</w:t>
      </w:r>
      <w:r w:rsidRPr="00C43F15">
        <w:rPr>
          <w:rFonts w:ascii="Arial" w:hAnsi="Arial" w:cs="Arial"/>
          <w:szCs w:val="21"/>
        </w:rPr>
        <w:t xml:space="preserve"> di ponderazione che consenta di elaborare tali indicatori tenendo conto della diversa rilevanza che i singoli prodotti assumono sulla spesa complessiva per consumi delle famiglie. </w:t>
      </w:r>
    </w:p>
    <w:p w:rsidR="00945580" w:rsidRDefault="00945580" w:rsidP="00945580">
      <w:pPr>
        <w:tabs>
          <w:tab w:val="left" w:pos="10206"/>
        </w:tabs>
        <w:spacing w:before="0" w:after="120"/>
        <w:jc w:val="both"/>
        <w:rPr>
          <w:rFonts w:ascii="Arial" w:hAnsi="Arial" w:cs="Arial"/>
          <w:szCs w:val="21"/>
        </w:rPr>
      </w:pPr>
      <w:r w:rsidRPr="00CB741B">
        <w:rPr>
          <w:rFonts w:ascii="Arial" w:hAnsi="Arial" w:cs="Arial"/>
          <w:szCs w:val="21"/>
        </w:rPr>
        <w:t xml:space="preserve">Ogni anno i coefficienti di ponderazione degli indici sono aggiornati per tener conto dell’evoluzione dei consumi finali delle famiglie, come risulta dalle stime della Contabilità nazionale dell’Istat e dell’indagine sulle Spese delle famiglie, oltre che dai dati provenienti da altre fonti ausiliarie interne ed esterne all’Istituto (tra queste ultime le basi dati di importanti società di analisi e ricerche di mercato, quali </w:t>
      </w:r>
      <w:r w:rsidRPr="00464FBB">
        <w:rPr>
          <w:rFonts w:ascii="Arial" w:hAnsi="Arial" w:cs="Arial"/>
          <w:szCs w:val="21"/>
        </w:rPr>
        <w:t xml:space="preserve">A.C. Nielsen, Banca d’Italia, GfK Italia S.r.l., </w:t>
      </w:r>
      <w:r>
        <w:rPr>
          <w:rFonts w:ascii="Arial" w:hAnsi="Arial" w:cs="Arial"/>
          <w:szCs w:val="21"/>
        </w:rPr>
        <w:t xml:space="preserve">IQVIA Solutions Italy S.r.l., </w:t>
      </w:r>
      <w:r w:rsidRPr="00464FBB">
        <w:rPr>
          <w:rFonts w:ascii="Arial" w:hAnsi="Arial" w:cs="Arial"/>
          <w:szCs w:val="21"/>
        </w:rPr>
        <w:t>Studi di settore dell’Agenzia delle entrate</w:t>
      </w:r>
      <w:r w:rsidRPr="00CB741B">
        <w:rPr>
          <w:rFonts w:ascii="Arial" w:hAnsi="Arial" w:cs="Arial"/>
          <w:szCs w:val="21"/>
        </w:rPr>
        <w:t>).</w:t>
      </w:r>
      <w:r>
        <w:rPr>
          <w:rFonts w:ascii="Arial" w:hAnsi="Arial" w:cs="Arial"/>
          <w:szCs w:val="21"/>
        </w:rPr>
        <w:t xml:space="preserve"> </w:t>
      </w:r>
      <w:r w:rsidRPr="00CB741B">
        <w:rPr>
          <w:rFonts w:ascii="Arial" w:hAnsi="Arial" w:cs="Arial"/>
          <w:szCs w:val="21"/>
        </w:rPr>
        <w:t>Tale operazione garantisce che il sistema dei pesi utilizzato per la stima dell’inflazione mantenga elevato nel tempo il grado di rappresentatività delle quote di spesa che i consumatori destinano all’acquisto dei beni e servizi finali.</w:t>
      </w:r>
    </w:p>
    <w:p w:rsidR="00945580" w:rsidRDefault="00945580" w:rsidP="00945580">
      <w:pPr>
        <w:tabs>
          <w:tab w:val="left" w:pos="10206"/>
        </w:tabs>
        <w:spacing w:before="0" w:after="120"/>
        <w:jc w:val="both"/>
        <w:rPr>
          <w:rFonts w:ascii="Arial" w:hAnsi="Arial" w:cs="Arial"/>
        </w:rPr>
      </w:pPr>
      <w:r w:rsidRPr="00863C89">
        <w:rPr>
          <w:rFonts w:ascii="Arial" w:hAnsi="Arial" w:cs="Arial"/>
          <w:caps/>
        </w:rPr>
        <w:t>è</w:t>
      </w:r>
      <w:r w:rsidRPr="004E5BD7">
        <w:rPr>
          <w:rFonts w:ascii="Arial" w:hAnsi="Arial" w:cs="Arial"/>
        </w:rPr>
        <w:t xml:space="preserve"> da rilevare che </w:t>
      </w:r>
      <w:r>
        <w:rPr>
          <w:rFonts w:ascii="Arial" w:hAnsi="Arial" w:cs="Arial"/>
        </w:rPr>
        <w:t>dal 2021, per tener conto delle mutate abitudini di consumo derivanti dall’emergenza sanitaria dovuta al Covid-19</w:t>
      </w:r>
      <w:r w:rsidRPr="004E5BD7">
        <w:rPr>
          <w:rFonts w:ascii="Arial" w:hAnsi="Arial" w:cs="Arial"/>
        </w:rPr>
        <w:t>, al fine di salvaguardare la coerenza tra la struttura di ponderazione degli indici e quella dei bilanci delle famiglie, e nel rispetto delle linee guida Eurostat, per la revisione dei pesi sono stati utilizzati i dati delle principali fonti int</w:t>
      </w:r>
      <w:r>
        <w:rPr>
          <w:rFonts w:ascii="Arial" w:hAnsi="Arial" w:cs="Arial"/>
        </w:rPr>
        <w:t>erne più recenti a disposizione relative sia al</w:t>
      </w:r>
      <w:r w:rsidRPr="004E5BD7">
        <w:rPr>
          <w:rFonts w:ascii="Arial" w:hAnsi="Arial" w:cs="Arial"/>
        </w:rPr>
        <w:t xml:space="preserve">le stime della Contabilità nazionale </w:t>
      </w:r>
      <w:r>
        <w:rPr>
          <w:rFonts w:ascii="Arial" w:hAnsi="Arial" w:cs="Arial"/>
        </w:rPr>
        <w:t>sia al</w:t>
      </w:r>
      <w:r w:rsidRPr="004E5BD7">
        <w:rPr>
          <w:rFonts w:ascii="Arial" w:hAnsi="Arial" w:cs="Arial"/>
        </w:rPr>
        <w:t>le informazioni della indagine sulle Spese del famiglie</w:t>
      </w:r>
      <w:r>
        <w:rPr>
          <w:rFonts w:ascii="Arial" w:hAnsi="Arial" w:cs="Arial"/>
        </w:rPr>
        <w:t xml:space="preserve">. Questa scelta è stata confermata anche per il paniere 2024 le cui spese di riferimento sono, per entrambe le fonti, quelle </w:t>
      </w:r>
      <w:r w:rsidRPr="004E5BD7">
        <w:rPr>
          <w:rFonts w:ascii="Arial" w:hAnsi="Arial" w:cs="Arial"/>
        </w:rPr>
        <w:t>relative al 202</w:t>
      </w:r>
      <w:r>
        <w:rPr>
          <w:rFonts w:ascii="Arial" w:hAnsi="Arial" w:cs="Arial"/>
        </w:rPr>
        <w:t>3</w:t>
      </w:r>
      <w:r w:rsidRPr="004E5BD7">
        <w:rPr>
          <w:rFonts w:ascii="Arial" w:hAnsi="Arial" w:cs="Arial"/>
        </w:rPr>
        <w:t xml:space="preserve">. </w:t>
      </w:r>
    </w:p>
    <w:p w:rsidR="00945580" w:rsidRDefault="00945580" w:rsidP="00945580">
      <w:pPr>
        <w:tabs>
          <w:tab w:val="left" w:pos="10206"/>
        </w:tabs>
        <w:spacing w:before="0" w:after="120"/>
        <w:jc w:val="both"/>
        <w:rPr>
          <w:rFonts w:ascii="Arial" w:hAnsi="Arial" w:cs="Arial"/>
        </w:rPr>
      </w:pPr>
      <w:r w:rsidRPr="009E5858">
        <w:rPr>
          <w:rFonts w:ascii="Arial" w:hAnsi="Arial" w:cs="Arial"/>
        </w:rPr>
        <w:t xml:space="preserve">Nel Prospetto 1 è riportata la versione </w:t>
      </w:r>
      <w:r>
        <w:rPr>
          <w:rFonts w:ascii="Arial" w:hAnsi="Arial" w:cs="Arial"/>
        </w:rPr>
        <w:t>finale</w:t>
      </w:r>
      <w:r w:rsidRPr="009E5858">
        <w:rPr>
          <w:rFonts w:ascii="Arial" w:hAnsi="Arial" w:cs="Arial"/>
        </w:rPr>
        <w:t xml:space="preserve"> della struttura dei pesi per divisione di spesa utilizzata per il calcolo dei tre indici dei prezzi al consumo (NIC, IPCA e FOI).</w:t>
      </w:r>
    </w:p>
    <w:p w:rsidR="00945580" w:rsidRPr="00881841" w:rsidRDefault="00945580" w:rsidP="00945580">
      <w:pPr>
        <w:pStyle w:val="001TitoGra"/>
        <w:spacing w:after="120" w:line="240" w:lineRule="auto"/>
        <w:jc w:val="both"/>
        <w:rPr>
          <w:b w:val="0"/>
          <w:sz w:val="20"/>
          <w:szCs w:val="20"/>
        </w:rPr>
      </w:pPr>
      <w:r w:rsidRPr="001611C8">
        <w:rPr>
          <w:rStyle w:val="001TitoGraRed"/>
        </w:rPr>
        <w:t xml:space="preserve">PROSPETTO </w:t>
      </w:r>
      <w:r>
        <w:rPr>
          <w:rStyle w:val="001TitoGraRed"/>
        </w:rPr>
        <w:t>1</w:t>
      </w:r>
      <w:r w:rsidRPr="001611C8">
        <w:rPr>
          <w:rStyle w:val="001TitoGraRed"/>
        </w:rPr>
        <w:t>.</w:t>
      </w:r>
      <w:r w:rsidRPr="00703E31">
        <w:t xml:space="preserve"> PESI UTILIZZATI PER IL CALCOLO DEGLI INDICI NAZIONALI DEI PREZZI AL CONSUMO, PER DIVISIONI DI SPESA</w:t>
      </w:r>
      <w:r>
        <w:t>.</w:t>
      </w:r>
      <w:r w:rsidRPr="00E95D57">
        <w:rPr>
          <w:b w:val="0"/>
        </w:rPr>
        <w:t xml:space="preserve"> </w:t>
      </w:r>
      <w:r>
        <w:rPr>
          <w:b w:val="0"/>
          <w:sz w:val="20"/>
          <w:szCs w:val="20"/>
        </w:rPr>
        <w:t>Anno 2024</w:t>
      </w:r>
      <w:r w:rsidRPr="00881841">
        <w:rPr>
          <w:b w:val="0"/>
          <w:sz w:val="20"/>
          <w:szCs w:val="20"/>
        </w:rPr>
        <w:t xml:space="preserve">, valori percentuali </w:t>
      </w:r>
    </w:p>
    <w:tbl>
      <w:tblPr>
        <w:tblW w:w="10206" w:type="dxa"/>
        <w:tblInd w:w="70" w:type="dxa"/>
        <w:tblBorders>
          <w:top w:val="single" w:sz="4" w:space="0" w:color="auto"/>
          <w:bottom w:val="single" w:sz="4" w:space="0" w:color="auto"/>
          <w:insideH w:val="single" w:sz="4" w:space="0" w:color="auto"/>
        </w:tblBorders>
        <w:tblCellMar>
          <w:left w:w="70" w:type="dxa"/>
          <w:right w:w="70" w:type="dxa"/>
        </w:tblCellMar>
        <w:tblLook w:val="00A0" w:firstRow="1" w:lastRow="0" w:firstColumn="1" w:lastColumn="0" w:noHBand="0" w:noVBand="0"/>
      </w:tblPr>
      <w:tblGrid>
        <w:gridCol w:w="4872"/>
        <w:gridCol w:w="1778"/>
        <w:gridCol w:w="1778"/>
        <w:gridCol w:w="1778"/>
      </w:tblGrid>
      <w:tr w:rsidR="00945580" w:rsidRPr="00881841" w:rsidTr="00DC53EC">
        <w:trPr>
          <w:trHeight w:val="255"/>
        </w:trPr>
        <w:tc>
          <w:tcPr>
            <w:tcW w:w="4872" w:type="dxa"/>
            <w:vMerge w:val="restart"/>
            <w:shd w:val="clear" w:color="auto" w:fill="FFFFFF"/>
            <w:vAlign w:val="center"/>
            <w:hideMark/>
          </w:tcPr>
          <w:p w:rsidR="00945580" w:rsidRPr="0046573B" w:rsidRDefault="00945580" w:rsidP="00DC53EC">
            <w:pPr>
              <w:widowControl/>
              <w:overflowPunct/>
              <w:autoSpaceDE/>
              <w:adjustRightInd/>
              <w:spacing w:before="0" w:after="0"/>
              <w:rPr>
                <w:rFonts w:ascii="Arial Narrow" w:hAnsi="Arial Narrow" w:cs="Calibri"/>
                <w:b/>
                <w:bCs/>
                <w:color w:val="000000"/>
                <w:kern w:val="0"/>
                <w:sz w:val="18"/>
                <w:szCs w:val="18"/>
              </w:rPr>
            </w:pPr>
            <w:r w:rsidRPr="0046573B">
              <w:rPr>
                <w:rFonts w:ascii="Arial Narrow" w:hAnsi="Arial Narrow" w:cs="Calibri"/>
                <w:b/>
                <w:bCs/>
                <w:color w:val="000000"/>
                <w:kern w:val="0"/>
                <w:sz w:val="18"/>
                <w:szCs w:val="18"/>
              </w:rPr>
              <w:t>DIVISIONI DI SPESA</w:t>
            </w:r>
          </w:p>
        </w:tc>
        <w:tc>
          <w:tcPr>
            <w:tcW w:w="5334" w:type="dxa"/>
            <w:gridSpan w:val="3"/>
            <w:shd w:val="clear" w:color="auto" w:fill="D9D9D9"/>
            <w:vAlign w:val="center"/>
            <w:hideMark/>
          </w:tcPr>
          <w:p w:rsidR="00945580" w:rsidRPr="00881841" w:rsidRDefault="00945580" w:rsidP="00DC53EC">
            <w:pPr>
              <w:spacing w:before="0" w:after="0"/>
              <w:jc w:val="center"/>
              <w:rPr>
                <w:rFonts w:ascii="Arial Narrow" w:hAnsi="Arial Narrow" w:cs="Arial"/>
                <w:b/>
                <w:sz w:val="18"/>
                <w:szCs w:val="18"/>
              </w:rPr>
            </w:pPr>
            <w:r w:rsidRPr="0046573B">
              <w:rPr>
                <w:rFonts w:ascii="Arial Narrow" w:hAnsi="Arial Narrow" w:cs="Calibri"/>
                <w:b/>
                <w:bCs/>
                <w:color w:val="000000"/>
                <w:kern w:val="0"/>
                <w:sz w:val="18"/>
                <w:szCs w:val="18"/>
              </w:rPr>
              <w:t>Pesi</w:t>
            </w:r>
          </w:p>
        </w:tc>
      </w:tr>
      <w:tr w:rsidR="00945580" w:rsidRPr="00881841" w:rsidTr="00DC53EC">
        <w:trPr>
          <w:trHeight w:val="255"/>
        </w:trPr>
        <w:tc>
          <w:tcPr>
            <w:tcW w:w="4872" w:type="dxa"/>
            <w:vMerge/>
            <w:vAlign w:val="center"/>
            <w:hideMark/>
          </w:tcPr>
          <w:p w:rsidR="00945580" w:rsidRPr="0046573B" w:rsidRDefault="00945580" w:rsidP="00DC53EC">
            <w:pPr>
              <w:widowControl/>
              <w:overflowPunct/>
              <w:autoSpaceDE/>
              <w:autoSpaceDN/>
              <w:adjustRightInd/>
              <w:spacing w:before="0" w:after="0"/>
              <w:rPr>
                <w:rFonts w:ascii="Arial Narrow" w:hAnsi="Arial Narrow" w:cs="Calibri"/>
                <w:b/>
                <w:bCs/>
                <w:color w:val="000000"/>
                <w:kern w:val="0"/>
                <w:sz w:val="18"/>
                <w:szCs w:val="18"/>
              </w:rPr>
            </w:pPr>
          </w:p>
        </w:tc>
        <w:tc>
          <w:tcPr>
            <w:tcW w:w="1778" w:type="dxa"/>
            <w:shd w:val="clear" w:color="auto" w:fill="auto"/>
            <w:vAlign w:val="center"/>
            <w:hideMark/>
          </w:tcPr>
          <w:p w:rsidR="00945580" w:rsidRPr="0046573B" w:rsidRDefault="00945580" w:rsidP="00DC53EC">
            <w:pPr>
              <w:widowControl/>
              <w:overflowPunct/>
              <w:autoSpaceDE/>
              <w:adjustRightInd/>
              <w:spacing w:before="0" w:after="0"/>
              <w:jc w:val="center"/>
              <w:rPr>
                <w:rFonts w:ascii="Arial Narrow" w:hAnsi="Arial Narrow" w:cs="Calibri"/>
                <w:b/>
                <w:bCs/>
                <w:color w:val="000000"/>
                <w:kern w:val="0"/>
                <w:sz w:val="18"/>
                <w:szCs w:val="18"/>
              </w:rPr>
            </w:pPr>
            <w:r w:rsidRPr="0046573B">
              <w:rPr>
                <w:rFonts w:ascii="Arial Narrow" w:hAnsi="Arial Narrow" w:cs="Calibri"/>
                <w:b/>
                <w:bCs/>
                <w:color w:val="000000"/>
                <w:kern w:val="0"/>
                <w:sz w:val="18"/>
                <w:szCs w:val="18"/>
              </w:rPr>
              <w:t>NIC</w:t>
            </w:r>
          </w:p>
        </w:tc>
        <w:tc>
          <w:tcPr>
            <w:tcW w:w="1778" w:type="dxa"/>
            <w:shd w:val="clear" w:color="auto" w:fill="auto"/>
            <w:vAlign w:val="center"/>
            <w:hideMark/>
          </w:tcPr>
          <w:p w:rsidR="00945580" w:rsidRPr="0046573B" w:rsidRDefault="00945580" w:rsidP="00DC53EC">
            <w:pPr>
              <w:widowControl/>
              <w:overflowPunct/>
              <w:autoSpaceDE/>
              <w:adjustRightInd/>
              <w:spacing w:before="0" w:after="0"/>
              <w:jc w:val="center"/>
              <w:rPr>
                <w:rFonts w:ascii="Arial Narrow" w:hAnsi="Arial Narrow" w:cs="Calibri"/>
                <w:b/>
                <w:bCs/>
                <w:color w:val="000000"/>
                <w:kern w:val="0"/>
                <w:sz w:val="18"/>
                <w:szCs w:val="18"/>
              </w:rPr>
            </w:pPr>
            <w:r w:rsidRPr="0046573B">
              <w:rPr>
                <w:rFonts w:ascii="Arial Narrow" w:hAnsi="Arial Narrow" w:cs="Calibri"/>
                <w:b/>
                <w:bCs/>
                <w:color w:val="000000"/>
                <w:kern w:val="0"/>
                <w:sz w:val="18"/>
                <w:szCs w:val="18"/>
              </w:rPr>
              <w:t>IPCA</w:t>
            </w:r>
          </w:p>
        </w:tc>
        <w:tc>
          <w:tcPr>
            <w:tcW w:w="1778" w:type="dxa"/>
            <w:shd w:val="clear" w:color="auto" w:fill="auto"/>
            <w:vAlign w:val="center"/>
            <w:hideMark/>
          </w:tcPr>
          <w:p w:rsidR="00945580" w:rsidRPr="0046573B" w:rsidRDefault="00945580" w:rsidP="00DC53EC">
            <w:pPr>
              <w:widowControl/>
              <w:overflowPunct/>
              <w:autoSpaceDE/>
              <w:adjustRightInd/>
              <w:spacing w:before="0" w:after="0"/>
              <w:jc w:val="center"/>
              <w:rPr>
                <w:rFonts w:ascii="Arial Narrow" w:hAnsi="Arial Narrow" w:cs="Calibri"/>
                <w:b/>
                <w:bCs/>
                <w:color w:val="000000"/>
                <w:kern w:val="0"/>
                <w:sz w:val="18"/>
                <w:szCs w:val="18"/>
              </w:rPr>
            </w:pPr>
            <w:r w:rsidRPr="0046573B">
              <w:rPr>
                <w:rFonts w:ascii="Arial Narrow" w:hAnsi="Arial Narrow" w:cs="Calibri"/>
                <w:b/>
                <w:bCs/>
                <w:color w:val="000000"/>
                <w:kern w:val="0"/>
                <w:sz w:val="18"/>
                <w:szCs w:val="18"/>
              </w:rPr>
              <w:t>FOI</w:t>
            </w:r>
          </w:p>
        </w:tc>
      </w:tr>
      <w:tr w:rsidR="00945580" w:rsidRPr="00881841" w:rsidTr="00DC53EC">
        <w:trPr>
          <w:trHeight w:val="255"/>
        </w:trPr>
        <w:tc>
          <w:tcPr>
            <w:tcW w:w="4872" w:type="dxa"/>
            <w:vAlign w:val="center"/>
            <w:hideMark/>
          </w:tcPr>
          <w:p w:rsidR="00945580" w:rsidRPr="0046573B" w:rsidRDefault="00945580" w:rsidP="00DC53EC">
            <w:pPr>
              <w:widowControl/>
              <w:overflowPunct/>
              <w:autoSpaceDE/>
              <w:adjustRightInd/>
              <w:spacing w:before="0" w:after="0"/>
              <w:jc w:val="both"/>
              <w:rPr>
                <w:rFonts w:ascii="Arial Narrow" w:hAnsi="Arial Narrow" w:cs="Calibri"/>
                <w:color w:val="000000"/>
                <w:kern w:val="0"/>
                <w:sz w:val="18"/>
                <w:szCs w:val="18"/>
              </w:rPr>
            </w:pPr>
            <w:r w:rsidRPr="0046573B">
              <w:rPr>
                <w:rFonts w:ascii="Arial Narrow" w:hAnsi="Arial Narrow" w:cs="Calibri"/>
                <w:color w:val="000000"/>
                <w:kern w:val="0"/>
                <w:sz w:val="18"/>
                <w:szCs w:val="18"/>
              </w:rPr>
              <w:t>Prodotti alimentari e bevande analcoliche</w:t>
            </w:r>
          </w:p>
        </w:tc>
        <w:tc>
          <w:tcPr>
            <w:tcW w:w="1778" w:type="dxa"/>
            <w:shd w:val="clear" w:color="000000" w:fill="D9D9D9"/>
            <w:vAlign w:val="center"/>
          </w:tcPr>
          <w:p w:rsidR="00945580" w:rsidRPr="00361427" w:rsidRDefault="00945580" w:rsidP="00DC53EC">
            <w:pPr>
              <w:widowControl/>
              <w:overflowPunct/>
              <w:autoSpaceDE/>
              <w:autoSpaceDN/>
              <w:adjustRightInd/>
              <w:spacing w:before="0" w:after="0"/>
              <w:jc w:val="center"/>
              <w:rPr>
                <w:rFonts w:ascii="Arial Narrow" w:hAnsi="Arial Narrow" w:cs="Calibri"/>
                <w:color w:val="000000"/>
                <w:kern w:val="0"/>
                <w:sz w:val="18"/>
                <w:szCs w:val="18"/>
              </w:rPr>
            </w:pPr>
            <w:r>
              <w:rPr>
                <w:rFonts w:ascii="Arial Narrow" w:hAnsi="Arial Narrow" w:cs="Calibri"/>
                <w:color w:val="000000"/>
                <w:sz w:val="18"/>
                <w:szCs w:val="18"/>
              </w:rPr>
              <w:t>17,1945</w:t>
            </w:r>
          </w:p>
        </w:tc>
        <w:tc>
          <w:tcPr>
            <w:tcW w:w="1778" w:type="dxa"/>
            <w:shd w:val="clear" w:color="auto" w:fill="auto"/>
            <w:vAlign w:val="center"/>
          </w:tcPr>
          <w:p w:rsidR="00945580" w:rsidRPr="00361427" w:rsidRDefault="00945580" w:rsidP="00DC53EC">
            <w:pPr>
              <w:widowControl/>
              <w:overflowPunct/>
              <w:autoSpaceDE/>
              <w:autoSpaceDN/>
              <w:adjustRightInd/>
              <w:spacing w:before="0" w:after="0"/>
              <w:jc w:val="center"/>
              <w:rPr>
                <w:rFonts w:ascii="Arial Narrow" w:hAnsi="Arial Narrow" w:cs="Calibri"/>
                <w:color w:val="000000"/>
                <w:kern w:val="0"/>
                <w:sz w:val="18"/>
                <w:szCs w:val="18"/>
              </w:rPr>
            </w:pPr>
            <w:r>
              <w:rPr>
                <w:rFonts w:ascii="Arial Narrow" w:hAnsi="Arial Narrow" w:cs="Calibri"/>
                <w:color w:val="000000"/>
                <w:sz w:val="18"/>
                <w:szCs w:val="18"/>
              </w:rPr>
              <w:t>18,1801</w:t>
            </w:r>
          </w:p>
        </w:tc>
        <w:tc>
          <w:tcPr>
            <w:tcW w:w="1778" w:type="dxa"/>
            <w:shd w:val="clear" w:color="000000" w:fill="D9D9D9"/>
            <w:vAlign w:val="center"/>
          </w:tcPr>
          <w:p w:rsidR="00945580" w:rsidRPr="00361427" w:rsidRDefault="00945580" w:rsidP="00DC53EC">
            <w:pPr>
              <w:widowControl/>
              <w:overflowPunct/>
              <w:autoSpaceDE/>
              <w:autoSpaceDN/>
              <w:adjustRightInd/>
              <w:spacing w:before="0" w:after="0"/>
              <w:jc w:val="center"/>
              <w:rPr>
                <w:rFonts w:ascii="Arial Narrow" w:hAnsi="Arial Narrow" w:cs="Calibri"/>
                <w:color w:val="000000"/>
                <w:kern w:val="0"/>
                <w:sz w:val="18"/>
                <w:szCs w:val="18"/>
              </w:rPr>
            </w:pPr>
            <w:r>
              <w:rPr>
                <w:rFonts w:ascii="Arial Narrow" w:hAnsi="Arial Narrow" w:cs="Calibri"/>
                <w:color w:val="000000"/>
                <w:sz w:val="18"/>
                <w:szCs w:val="18"/>
              </w:rPr>
              <w:t>15,8944</w:t>
            </w:r>
          </w:p>
        </w:tc>
      </w:tr>
      <w:tr w:rsidR="00945580" w:rsidRPr="00881841" w:rsidTr="00DC53EC">
        <w:trPr>
          <w:trHeight w:val="255"/>
        </w:trPr>
        <w:tc>
          <w:tcPr>
            <w:tcW w:w="4872" w:type="dxa"/>
            <w:vAlign w:val="center"/>
            <w:hideMark/>
          </w:tcPr>
          <w:p w:rsidR="00945580" w:rsidRPr="0046573B" w:rsidRDefault="00945580" w:rsidP="00DC53EC">
            <w:pPr>
              <w:widowControl/>
              <w:overflowPunct/>
              <w:autoSpaceDE/>
              <w:adjustRightInd/>
              <w:spacing w:before="0" w:after="0"/>
              <w:jc w:val="both"/>
              <w:rPr>
                <w:rFonts w:ascii="Arial Narrow" w:hAnsi="Arial Narrow" w:cs="Calibri"/>
                <w:color w:val="000000"/>
                <w:kern w:val="0"/>
                <w:sz w:val="18"/>
                <w:szCs w:val="18"/>
              </w:rPr>
            </w:pPr>
            <w:r w:rsidRPr="0046573B">
              <w:rPr>
                <w:rFonts w:ascii="Arial Narrow" w:hAnsi="Arial Narrow" w:cs="Calibri"/>
                <w:color w:val="000000"/>
                <w:kern w:val="0"/>
                <w:sz w:val="18"/>
                <w:szCs w:val="18"/>
              </w:rPr>
              <w:t>Bevande alcoliche e tabacchi</w:t>
            </w:r>
          </w:p>
        </w:tc>
        <w:tc>
          <w:tcPr>
            <w:tcW w:w="1778" w:type="dxa"/>
            <w:shd w:val="clear" w:color="000000" w:fill="D9D9D9"/>
            <w:vAlign w:val="center"/>
          </w:tcPr>
          <w:p w:rsidR="00945580" w:rsidRPr="00361427" w:rsidRDefault="00945580" w:rsidP="00DC53EC">
            <w:pPr>
              <w:widowControl/>
              <w:overflowPunct/>
              <w:autoSpaceDE/>
              <w:autoSpaceDN/>
              <w:adjustRightInd/>
              <w:spacing w:before="0" w:after="0"/>
              <w:jc w:val="center"/>
              <w:rPr>
                <w:rFonts w:ascii="Arial Narrow" w:hAnsi="Arial Narrow" w:cs="Calibri"/>
                <w:color w:val="000000"/>
                <w:kern w:val="0"/>
                <w:sz w:val="18"/>
                <w:szCs w:val="18"/>
              </w:rPr>
            </w:pPr>
            <w:r>
              <w:rPr>
                <w:rFonts w:ascii="Arial Narrow" w:hAnsi="Arial Narrow" w:cs="Calibri"/>
                <w:color w:val="000000"/>
                <w:sz w:val="18"/>
                <w:szCs w:val="18"/>
              </w:rPr>
              <w:t>2,9033</w:t>
            </w:r>
          </w:p>
        </w:tc>
        <w:tc>
          <w:tcPr>
            <w:tcW w:w="1778" w:type="dxa"/>
            <w:shd w:val="clear" w:color="auto" w:fill="auto"/>
            <w:vAlign w:val="center"/>
          </w:tcPr>
          <w:p w:rsidR="00945580" w:rsidRPr="00361427" w:rsidRDefault="00945580" w:rsidP="00DC53EC">
            <w:pPr>
              <w:widowControl/>
              <w:overflowPunct/>
              <w:autoSpaceDE/>
              <w:autoSpaceDN/>
              <w:adjustRightInd/>
              <w:spacing w:before="0" w:after="0"/>
              <w:jc w:val="center"/>
              <w:rPr>
                <w:rFonts w:ascii="Arial Narrow" w:hAnsi="Arial Narrow" w:cs="Calibri"/>
                <w:color w:val="000000"/>
                <w:kern w:val="0"/>
                <w:sz w:val="18"/>
                <w:szCs w:val="18"/>
              </w:rPr>
            </w:pPr>
            <w:r>
              <w:rPr>
                <w:rFonts w:ascii="Arial Narrow" w:hAnsi="Arial Narrow" w:cs="Calibri"/>
                <w:color w:val="000000"/>
                <w:sz w:val="18"/>
                <w:szCs w:val="18"/>
              </w:rPr>
              <w:t>3,071</w:t>
            </w:r>
          </w:p>
        </w:tc>
        <w:tc>
          <w:tcPr>
            <w:tcW w:w="1778" w:type="dxa"/>
            <w:shd w:val="clear" w:color="000000" w:fill="D9D9D9"/>
            <w:vAlign w:val="center"/>
          </w:tcPr>
          <w:p w:rsidR="00945580" w:rsidRPr="00361427" w:rsidRDefault="00945580" w:rsidP="00DC53EC">
            <w:pPr>
              <w:widowControl/>
              <w:overflowPunct/>
              <w:autoSpaceDE/>
              <w:autoSpaceDN/>
              <w:adjustRightInd/>
              <w:spacing w:before="0" w:after="0"/>
              <w:jc w:val="center"/>
              <w:rPr>
                <w:rFonts w:ascii="Arial Narrow" w:hAnsi="Arial Narrow" w:cs="Calibri"/>
                <w:color w:val="000000"/>
                <w:kern w:val="0"/>
                <w:sz w:val="18"/>
                <w:szCs w:val="18"/>
              </w:rPr>
            </w:pPr>
            <w:r>
              <w:rPr>
                <w:rFonts w:ascii="Arial Narrow" w:hAnsi="Arial Narrow" w:cs="Calibri"/>
                <w:color w:val="000000"/>
                <w:sz w:val="18"/>
                <w:szCs w:val="18"/>
              </w:rPr>
              <w:t>3,1463</w:t>
            </w:r>
          </w:p>
        </w:tc>
      </w:tr>
      <w:tr w:rsidR="00945580" w:rsidRPr="00881841" w:rsidTr="00DC53EC">
        <w:trPr>
          <w:trHeight w:val="255"/>
        </w:trPr>
        <w:tc>
          <w:tcPr>
            <w:tcW w:w="4872" w:type="dxa"/>
            <w:vAlign w:val="center"/>
            <w:hideMark/>
          </w:tcPr>
          <w:p w:rsidR="00945580" w:rsidRPr="0046573B" w:rsidRDefault="00945580" w:rsidP="00DC53EC">
            <w:pPr>
              <w:widowControl/>
              <w:overflowPunct/>
              <w:autoSpaceDE/>
              <w:adjustRightInd/>
              <w:spacing w:before="0" w:after="0"/>
              <w:jc w:val="both"/>
              <w:rPr>
                <w:rFonts w:ascii="Arial Narrow" w:hAnsi="Arial Narrow" w:cs="Calibri"/>
                <w:color w:val="000000"/>
                <w:kern w:val="0"/>
                <w:sz w:val="18"/>
                <w:szCs w:val="18"/>
              </w:rPr>
            </w:pPr>
            <w:r w:rsidRPr="0046573B">
              <w:rPr>
                <w:rFonts w:ascii="Arial Narrow" w:hAnsi="Arial Narrow" w:cs="Calibri"/>
                <w:color w:val="000000"/>
                <w:kern w:val="0"/>
                <w:sz w:val="18"/>
                <w:szCs w:val="18"/>
              </w:rPr>
              <w:t>Abbigliamento e calzature</w:t>
            </w:r>
          </w:p>
        </w:tc>
        <w:tc>
          <w:tcPr>
            <w:tcW w:w="1778" w:type="dxa"/>
            <w:shd w:val="clear" w:color="000000" w:fill="D9D9D9"/>
            <w:vAlign w:val="center"/>
          </w:tcPr>
          <w:p w:rsidR="00945580" w:rsidRPr="00361427" w:rsidRDefault="00945580" w:rsidP="00DC53EC">
            <w:pPr>
              <w:widowControl/>
              <w:overflowPunct/>
              <w:autoSpaceDE/>
              <w:autoSpaceDN/>
              <w:adjustRightInd/>
              <w:spacing w:before="0" w:after="0"/>
              <w:jc w:val="center"/>
              <w:rPr>
                <w:rFonts w:ascii="Arial Narrow" w:hAnsi="Arial Narrow" w:cs="Calibri"/>
                <w:color w:val="000000"/>
                <w:kern w:val="0"/>
                <w:sz w:val="18"/>
                <w:szCs w:val="18"/>
              </w:rPr>
            </w:pPr>
            <w:r>
              <w:rPr>
                <w:rFonts w:ascii="Arial Narrow" w:hAnsi="Arial Narrow" w:cs="Calibri"/>
                <w:color w:val="000000"/>
                <w:sz w:val="18"/>
                <w:szCs w:val="18"/>
              </w:rPr>
              <w:t>5,9553</w:t>
            </w:r>
          </w:p>
        </w:tc>
        <w:tc>
          <w:tcPr>
            <w:tcW w:w="1778" w:type="dxa"/>
            <w:shd w:val="clear" w:color="auto" w:fill="auto"/>
            <w:vAlign w:val="center"/>
          </w:tcPr>
          <w:p w:rsidR="00945580" w:rsidRPr="00361427" w:rsidRDefault="00945580" w:rsidP="00DC53EC">
            <w:pPr>
              <w:widowControl/>
              <w:overflowPunct/>
              <w:autoSpaceDE/>
              <w:autoSpaceDN/>
              <w:adjustRightInd/>
              <w:spacing w:before="0" w:after="0"/>
              <w:jc w:val="center"/>
              <w:rPr>
                <w:rFonts w:ascii="Arial Narrow" w:hAnsi="Arial Narrow" w:cs="Calibri"/>
                <w:color w:val="000000"/>
                <w:kern w:val="0"/>
                <w:sz w:val="18"/>
                <w:szCs w:val="18"/>
              </w:rPr>
            </w:pPr>
            <w:r>
              <w:rPr>
                <w:rFonts w:ascii="Arial Narrow" w:hAnsi="Arial Narrow" w:cs="Calibri"/>
                <w:color w:val="000000"/>
                <w:sz w:val="18"/>
                <w:szCs w:val="18"/>
              </w:rPr>
              <w:t>6,8113</w:t>
            </w:r>
          </w:p>
        </w:tc>
        <w:tc>
          <w:tcPr>
            <w:tcW w:w="1778" w:type="dxa"/>
            <w:shd w:val="clear" w:color="000000" w:fill="D9D9D9"/>
            <w:vAlign w:val="center"/>
          </w:tcPr>
          <w:p w:rsidR="00945580" w:rsidRPr="00361427" w:rsidRDefault="00945580" w:rsidP="00DC53EC">
            <w:pPr>
              <w:widowControl/>
              <w:overflowPunct/>
              <w:autoSpaceDE/>
              <w:autoSpaceDN/>
              <w:adjustRightInd/>
              <w:spacing w:before="0" w:after="0"/>
              <w:jc w:val="center"/>
              <w:rPr>
                <w:rFonts w:ascii="Arial Narrow" w:hAnsi="Arial Narrow" w:cs="Calibri"/>
                <w:color w:val="000000"/>
                <w:kern w:val="0"/>
                <w:sz w:val="18"/>
                <w:szCs w:val="18"/>
              </w:rPr>
            </w:pPr>
            <w:r>
              <w:rPr>
                <w:rFonts w:ascii="Arial Narrow" w:hAnsi="Arial Narrow" w:cs="Calibri"/>
                <w:color w:val="000000"/>
                <w:sz w:val="18"/>
                <w:szCs w:val="18"/>
              </w:rPr>
              <w:t>6,3895</w:t>
            </w:r>
          </w:p>
        </w:tc>
      </w:tr>
      <w:tr w:rsidR="00945580" w:rsidRPr="00881841" w:rsidTr="00DC53EC">
        <w:trPr>
          <w:trHeight w:val="255"/>
        </w:trPr>
        <w:tc>
          <w:tcPr>
            <w:tcW w:w="4872" w:type="dxa"/>
            <w:vAlign w:val="center"/>
            <w:hideMark/>
          </w:tcPr>
          <w:p w:rsidR="00945580" w:rsidRPr="0046573B" w:rsidRDefault="00945580" w:rsidP="00DC53EC">
            <w:pPr>
              <w:widowControl/>
              <w:overflowPunct/>
              <w:autoSpaceDE/>
              <w:adjustRightInd/>
              <w:spacing w:before="0" w:after="0"/>
              <w:jc w:val="both"/>
              <w:rPr>
                <w:rFonts w:ascii="Arial Narrow" w:hAnsi="Arial Narrow" w:cs="Calibri"/>
                <w:color w:val="000000"/>
                <w:kern w:val="0"/>
                <w:sz w:val="18"/>
                <w:szCs w:val="18"/>
              </w:rPr>
            </w:pPr>
            <w:r w:rsidRPr="0046573B">
              <w:rPr>
                <w:rFonts w:ascii="Arial Narrow" w:hAnsi="Arial Narrow" w:cs="Calibri"/>
                <w:color w:val="000000"/>
                <w:kern w:val="0"/>
                <w:sz w:val="18"/>
                <w:szCs w:val="18"/>
              </w:rPr>
              <w:t>Abitazione, acqua, elettricità e combustibili</w:t>
            </w:r>
          </w:p>
        </w:tc>
        <w:tc>
          <w:tcPr>
            <w:tcW w:w="1778" w:type="dxa"/>
            <w:shd w:val="clear" w:color="000000" w:fill="D9D9D9"/>
            <w:vAlign w:val="center"/>
          </w:tcPr>
          <w:p w:rsidR="00945580" w:rsidRPr="00361427" w:rsidRDefault="00945580" w:rsidP="00DC53EC">
            <w:pPr>
              <w:widowControl/>
              <w:overflowPunct/>
              <w:autoSpaceDE/>
              <w:autoSpaceDN/>
              <w:adjustRightInd/>
              <w:spacing w:before="0" w:after="0"/>
              <w:jc w:val="center"/>
              <w:rPr>
                <w:rFonts w:ascii="Arial Narrow" w:hAnsi="Arial Narrow" w:cs="Calibri"/>
                <w:color w:val="000000"/>
                <w:kern w:val="0"/>
                <w:sz w:val="18"/>
                <w:szCs w:val="18"/>
              </w:rPr>
            </w:pPr>
            <w:r>
              <w:rPr>
                <w:rFonts w:ascii="Arial Narrow" w:hAnsi="Arial Narrow" w:cs="Calibri"/>
                <w:color w:val="000000"/>
                <w:sz w:val="18"/>
                <w:szCs w:val="18"/>
              </w:rPr>
              <w:t>11,255</w:t>
            </w:r>
          </w:p>
        </w:tc>
        <w:tc>
          <w:tcPr>
            <w:tcW w:w="1778" w:type="dxa"/>
            <w:shd w:val="clear" w:color="auto" w:fill="auto"/>
            <w:vAlign w:val="center"/>
          </w:tcPr>
          <w:p w:rsidR="00945580" w:rsidRPr="00361427" w:rsidRDefault="00945580" w:rsidP="00DC53EC">
            <w:pPr>
              <w:widowControl/>
              <w:overflowPunct/>
              <w:autoSpaceDE/>
              <w:autoSpaceDN/>
              <w:adjustRightInd/>
              <w:spacing w:before="0" w:after="0"/>
              <w:jc w:val="center"/>
              <w:rPr>
                <w:rFonts w:ascii="Arial Narrow" w:hAnsi="Arial Narrow" w:cs="Calibri"/>
                <w:color w:val="000000"/>
                <w:kern w:val="0"/>
                <w:sz w:val="18"/>
                <w:szCs w:val="18"/>
              </w:rPr>
            </w:pPr>
            <w:r>
              <w:rPr>
                <w:rFonts w:ascii="Arial Narrow" w:hAnsi="Arial Narrow" w:cs="Calibri"/>
                <w:color w:val="000000"/>
                <w:sz w:val="18"/>
                <w:szCs w:val="18"/>
              </w:rPr>
              <w:t>11,9033</w:t>
            </w:r>
          </w:p>
        </w:tc>
        <w:tc>
          <w:tcPr>
            <w:tcW w:w="1778" w:type="dxa"/>
            <w:shd w:val="clear" w:color="000000" w:fill="D9D9D9"/>
            <w:vAlign w:val="center"/>
          </w:tcPr>
          <w:p w:rsidR="00945580" w:rsidRPr="00361427" w:rsidRDefault="00945580" w:rsidP="00DC53EC">
            <w:pPr>
              <w:widowControl/>
              <w:overflowPunct/>
              <w:autoSpaceDE/>
              <w:autoSpaceDN/>
              <w:adjustRightInd/>
              <w:spacing w:before="0" w:after="0"/>
              <w:jc w:val="center"/>
              <w:rPr>
                <w:rFonts w:ascii="Arial Narrow" w:hAnsi="Arial Narrow" w:cs="Calibri"/>
                <w:color w:val="000000"/>
                <w:kern w:val="0"/>
                <w:sz w:val="18"/>
                <w:szCs w:val="18"/>
              </w:rPr>
            </w:pPr>
            <w:r>
              <w:rPr>
                <w:rFonts w:ascii="Arial Narrow" w:hAnsi="Arial Narrow" w:cs="Calibri"/>
                <w:color w:val="000000"/>
                <w:sz w:val="18"/>
                <w:szCs w:val="18"/>
              </w:rPr>
              <w:t>11,3964</w:t>
            </w:r>
          </w:p>
        </w:tc>
      </w:tr>
      <w:tr w:rsidR="00945580" w:rsidRPr="00881841" w:rsidTr="00DC53EC">
        <w:trPr>
          <w:trHeight w:val="255"/>
        </w:trPr>
        <w:tc>
          <w:tcPr>
            <w:tcW w:w="4872" w:type="dxa"/>
            <w:vAlign w:val="center"/>
            <w:hideMark/>
          </w:tcPr>
          <w:p w:rsidR="00945580" w:rsidRPr="0046573B" w:rsidRDefault="00945580" w:rsidP="00DC53EC">
            <w:pPr>
              <w:widowControl/>
              <w:overflowPunct/>
              <w:autoSpaceDE/>
              <w:adjustRightInd/>
              <w:spacing w:before="0" w:after="0"/>
              <w:jc w:val="both"/>
              <w:rPr>
                <w:rFonts w:ascii="Arial Narrow" w:hAnsi="Arial Narrow" w:cs="Calibri"/>
                <w:color w:val="000000"/>
                <w:kern w:val="0"/>
                <w:sz w:val="18"/>
                <w:szCs w:val="18"/>
              </w:rPr>
            </w:pPr>
            <w:r w:rsidRPr="0046573B">
              <w:rPr>
                <w:rFonts w:ascii="Arial Narrow" w:hAnsi="Arial Narrow" w:cs="Calibri"/>
                <w:color w:val="000000"/>
                <w:kern w:val="0"/>
                <w:sz w:val="18"/>
                <w:szCs w:val="18"/>
              </w:rPr>
              <w:t>Mobili, articoli e servizi per la casa</w:t>
            </w:r>
          </w:p>
        </w:tc>
        <w:tc>
          <w:tcPr>
            <w:tcW w:w="1778" w:type="dxa"/>
            <w:shd w:val="clear" w:color="000000" w:fill="D9D9D9"/>
            <w:vAlign w:val="center"/>
          </w:tcPr>
          <w:p w:rsidR="00945580" w:rsidRPr="00361427" w:rsidRDefault="00945580" w:rsidP="00DC53EC">
            <w:pPr>
              <w:widowControl/>
              <w:overflowPunct/>
              <w:autoSpaceDE/>
              <w:autoSpaceDN/>
              <w:adjustRightInd/>
              <w:spacing w:before="0" w:after="0"/>
              <w:jc w:val="center"/>
              <w:rPr>
                <w:rFonts w:ascii="Arial Narrow" w:hAnsi="Arial Narrow" w:cs="Calibri"/>
                <w:color w:val="000000"/>
                <w:kern w:val="0"/>
                <w:sz w:val="18"/>
                <w:szCs w:val="18"/>
              </w:rPr>
            </w:pPr>
            <w:r>
              <w:rPr>
                <w:rFonts w:ascii="Arial Narrow" w:hAnsi="Arial Narrow" w:cs="Calibri"/>
                <w:color w:val="000000"/>
                <w:sz w:val="18"/>
                <w:szCs w:val="18"/>
              </w:rPr>
              <w:t>6,9621</w:t>
            </w:r>
          </w:p>
        </w:tc>
        <w:tc>
          <w:tcPr>
            <w:tcW w:w="1778" w:type="dxa"/>
            <w:shd w:val="clear" w:color="auto" w:fill="auto"/>
            <w:vAlign w:val="center"/>
          </w:tcPr>
          <w:p w:rsidR="00945580" w:rsidRPr="00361427" w:rsidRDefault="00945580" w:rsidP="00DC53EC">
            <w:pPr>
              <w:widowControl/>
              <w:overflowPunct/>
              <w:autoSpaceDE/>
              <w:autoSpaceDN/>
              <w:adjustRightInd/>
              <w:spacing w:before="0" w:after="0"/>
              <w:jc w:val="center"/>
              <w:rPr>
                <w:rFonts w:ascii="Arial Narrow" w:hAnsi="Arial Narrow" w:cs="Calibri"/>
                <w:color w:val="000000"/>
                <w:kern w:val="0"/>
                <w:sz w:val="18"/>
                <w:szCs w:val="18"/>
              </w:rPr>
            </w:pPr>
            <w:r>
              <w:rPr>
                <w:rFonts w:ascii="Arial Narrow" w:hAnsi="Arial Narrow" w:cs="Calibri"/>
                <w:color w:val="000000"/>
                <w:sz w:val="18"/>
                <w:szCs w:val="18"/>
              </w:rPr>
              <w:t>7,3907</w:t>
            </w:r>
          </w:p>
        </w:tc>
        <w:tc>
          <w:tcPr>
            <w:tcW w:w="1778" w:type="dxa"/>
            <w:shd w:val="clear" w:color="000000" w:fill="D9D9D9"/>
            <w:vAlign w:val="center"/>
          </w:tcPr>
          <w:p w:rsidR="00945580" w:rsidRPr="00361427" w:rsidRDefault="00945580" w:rsidP="00DC53EC">
            <w:pPr>
              <w:widowControl/>
              <w:overflowPunct/>
              <w:autoSpaceDE/>
              <w:autoSpaceDN/>
              <w:adjustRightInd/>
              <w:spacing w:before="0" w:after="0"/>
              <w:jc w:val="center"/>
              <w:rPr>
                <w:rFonts w:ascii="Arial Narrow" w:hAnsi="Arial Narrow" w:cs="Calibri"/>
                <w:color w:val="000000"/>
                <w:kern w:val="0"/>
                <w:sz w:val="18"/>
                <w:szCs w:val="18"/>
              </w:rPr>
            </w:pPr>
            <w:r>
              <w:rPr>
                <w:rFonts w:ascii="Arial Narrow" w:hAnsi="Arial Narrow" w:cs="Calibri"/>
                <w:color w:val="000000"/>
                <w:sz w:val="18"/>
                <w:szCs w:val="18"/>
              </w:rPr>
              <w:t>6,9724</w:t>
            </w:r>
          </w:p>
        </w:tc>
      </w:tr>
      <w:tr w:rsidR="00945580" w:rsidRPr="00881841" w:rsidTr="00DC53EC">
        <w:trPr>
          <w:trHeight w:val="255"/>
        </w:trPr>
        <w:tc>
          <w:tcPr>
            <w:tcW w:w="4872" w:type="dxa"/>
            <w:vAlign w:val="center"/>
            <w:hideMark/>
          </w:tcPr>
          <w:p w:rsidR="00945580" w:rsidRPr="0046573B" w:rsidRDefault="00945580" w:rsidP="00DC53EC">
            <w:pPr>
              <w:widowControl/>
              <w:overflowPunct/>
              <w:autoSpaceDE/>
              <w:adjustRightInd/>
              <w:spacing w:before="0" w:after="0"/>
              <w:jc w:val="both"/>
              <w:rPr>
                <w:rFonts w:ascii="Arial Narrow" w:hAnsi="Arial Narrow" w:cs="Calibri"/>
                <w:color w:val="000000"/>
                <w:kern w:val="0"/>
                <w:sz w:val="18"/>
                <w:szCs w:val="18"/>
              </w:rPr>
            </w:pPr>
            <w:r w:rsidRPr="0046573B">
              <w:rPr>
                <w:rFonts w:ascii="Arial Narrow" w:hAnsi="Arial Narrow" w:cs="Calibri"/>
                <w:color w:val="000000"/>
                <w:kern w:val="0"/>
                <w:sz w:val="18"/>
                <w:szCs w:val="18"/>
              </w:rPr>
              <w:t>Servizi sanitari e spese per la salute</w:t>
            </w:r>
          </w:p>
        </w:tc>
        <w:tc>
          <w:tcPr>
            <w:tcW w:w="1778" w:type="dxa"/>
            <w:shd w:val="clear" w:color="000000" w:fill="D9D9D9"/>
            <w:vAlign w:val="center"/>
          </w:tcPr>
          <w:p w:rsidR="00945580" w:rsidRPr="00361427" w:rsidRDefault="00945580" w:rsidP="00DC53EC">
            <w:pPr>
              <w:widowControl/>
              <w:overflowPunct/>
              <w:autoSpaceDE/>
              <w:autoSpaceDN/>
              <w:adjustRightInd/>
              <w:spacing w:before="0" w:after="0"/>
              <w:jc w:val="center"/>
              <w:rPr>
                <w:rFonts w:ascii="Arial Narrow" w:hAnsi="Arial Narrow" w:cs="Calibri"/>
                <w:color w:val="000000"/>
                <w:kern w:val="0"/>
                <w:sz w:val="18"/>
                <w:szCs w:val="18"/>
              </w:rPr>
            </w:pPr>
            <w:r>
              <w:rPr>
                <w:rFonts w:ascii="Arial Narrow" w:hAnsi="Arial Narrow" w:cs="Calibri"/>
                <w:color w:val="000000"/>
                <w:sz w:val="18"/>
                <w:szCs w:val="18"/>
              </w:rPr>
              <w:t>8,2746</w:t>
            </w:r>
          </w:p>
        </w:tc>
        <w:tc>
          <w:tcPr>
            <w:tcW w:w="1778" w:type="dxa"/>
            <w:shd w:val="clear" w:color="auto" w:fill="auto"/>
            <w:vAlign w:val="center"/>
          </w:tcPr>
          <w:p w:rsidR="00945580" w:rsidRPr="00361427" w:rsidRDefault="00945580" w:rsidP="00DC53EC">
            <w:pPr>
              <w:widowControl/>
              <w:overflowPunct/>
              <w:autoSpaceDE/>
              <w:autoSpaceDN/>
              <w:adjustRightInd/>
              <w:spacing w:before="0" w:after="0"/>
              <w:jc w:val="center"/>
              <w:rPr>
                <w:rFonts w:ascii="Arial Narrow" w:hAnsi="Arial Narrow" w:cs="Calibri"/>
                <w:color w:val="000000"/>
                <w:kern w:val="0"/>
                <w:sz w:val="18"/>
                <w:szCs w:val="18"/>
              </w:rPr>
            </w:pPr>
            <w:r>
              <w:rPr>
                <w:rFonts w:ascii="Arial Narrow" w:hAnsi="Arial Narrow" w:cs="Calibri"/>
                <w:color w:val="000000"/>
                <w:sz w:val="18"/>
                <w:szCs w:val="18"/>
              </w:rPr>
              <w:t>4,1976</w:t>
            </w:r>
          </w:p>
        </w:tc>
        <w:tc>
          <w:tcPr>
            <w:tcW w:w="1778" w:type="dxa"/>
            <w:shd w:val="clear" w:color="000000" w:fill="D9D9D9"/>
            <w:vAlign w:val="center"/>
          </w:tcPr>
          <w:p w:rsidR="00945580" w:rsidRPr="00361427" w:rsidRDefault="00945580" w:rsidP="00DC53EC">
            <w:pPr>
              <w:widowControl/>
              <w:overflowPunct/>
              <w:autoSpaceDE/>
              <w:autoSpaceDN/>
              <w:adjustRightInd/>
              <w:spacing w:before="0" w:after="0"/>
              <w:jc w:val="center"/>
              <w:rPr>
                <w:rFonts w:ascii="Arial Narrow" w:hAnsi="Arial Narrow" w:cs="Calibri"/>
                <w:color w:val="000000"/>
                <w:kern w:val="0"/>
                <w:sz w:val="18"/>
                <w:szCs w:val="18"/>
              </w:rPr>
            </w:pPr>
            <w:r>
              <w:rPr>
                <w:rFonts w:ascii="Arial Narrow" w:hAnsi="Arial Narrow" w:cs="Calibri"/>
                <w:color w:val="000000"/>
                <w:sz w:val="18"/>
                <w:szCs w:val="18"/>
              </w:rPr>
              <w:t>7,0089</w:t>
            </w:r>
          </w:p>
        </w:tc>
      </w:tr>
      <w:tr w:rsidR="00945580" w:rsidRPr="00881841" w:rsidTr="00DC53EC">
        <w:trPr>
          <w:trHeight w:val="255"/>
        </w:trPr>
        <w:tc>
          <w:tcPr>
            <w:tcW w:w="4872" w:type="dxa"/>
            <w:vAlign w:val="center"/>
            <w:hideMark/>
          </w:tcPr>
          <w:p w:rsidR="00945580" w:rsidRPr="0046573B" w:rsidRDefault="00945580" w:rsidP="00DC53EC">
            <w:pPr>
              <w:widowControl/>
              <w:overflowPunct/>
              <w:autoSpaceDE/>
              <w:adjustRightInd/>
              <w:spacing w:before="0" w:after="0"/>
              <w:jc w:val="both"/>
              <w:rPr>
                <w:rFonts w:ascii="Arial Narrow" w:hAnsi="Arial Narrow" w:cs="Calibri"/>
                <w:color w:val="000000"/>
                <w:kern w:val="0"/>
                <w:sz w:val="18"/>
                <w:szCs w:val="18"/>
              </w:rPr>
            </w:pPr>
            <w:r w:rsidRPr="0046573B">
              <w:rPr>
                <w:rFonts w:ascii="Arial Narrow" w:hAnsi="Arial Narrow" w:cs="Calibri"/>
                <w:color w:val="000000"/>
                <w:kern w:val="0"/>
                <w:sz w:val="18"/>
                <w:szCs w:val="18"/>
              </w:rPr>
              <w:t>Trasporti</w:t>
            </w:r>
          </w:p>
        </w:tc>
        <w:tc>
          <w:tcPr>
            <w:tcW w:w="1778" w:type="dxa"/>
            <w:shd w:val="clear" w:color="000000" w:fill="D9D9D9"/>
            <w:vAlign w:val="center"/>
          </w:tcPr>
          <w:p w:rsidR="00945580" w:rsidRPr="00361427" w:rsidRDefault="00945580" w:rsidP="00DC53EC">
            <w:pPr>
              <w:widowControl/>
              <w:overflowPunct/>
              <w:autoSpaceDE/>
              <w:autoSpaceDN/>
              <w:adjustRightInd/>
              <w:spacing w:before="0" w:after="0"/>
              <w:jc w:val="center"/>
              <w:rPr>
                <w:rFonts w:ascii="Arial Narrow" w:hAnsi="Arial Narrow" w:cs="Calibri"/>
                <w:color w:val="000000"/>
                <w:kern w:val="0"/>
                <w:sz w:val="18"/>
                <w:szCs w:val="18"/>
              </w:rPr>
            </w:pPr>
            <w:r>
              <w:rPr>
                <w:rFonts w:ascii="Arial Narrow" w:hAnsi="Arial Narrow" w:cs="Calibri"/>
                <w:color w:val="000000"/>
                <w:sz w:val="18"/>
                <w:szCs w:val="18"/>
              </w:rPr>
              <w:t>14,7401</w:t>
            </w:r>
          </w:p>
        </w:tc>
        <w:tc>
          <w:tcPr>
            <w:tcW w:w="1778" w:type="dxa"/>
            <w:shd w:val="clear" w:color="auto" w:fill="auto"/>
            <w:vAlign w:val="center"/>
          </w:tcPr>
          <w:p w:rsidR="00945580" w:rsidRPr="00361427" w:rsidRDefault="00945580" w:rsidP="00DC53EC">
            <w:pPr>
              <w:widowControl/>
              <w:overflowPunct/>
              <w:autoSpaceDE/>
              <w:autoSpaceDN/>
              <w:adjustRightInd/>
              <w:spacing w:before="0" w:after="0"/>
              <w:jc w:val="center"/>
              <w:rPr>
                <w:rFonts w:ascii="Arial Narrow" w:hAnsi="Arial Narrow" w:cs="Calibri"/>
                <w:color w:val="000000"/>
                <w:kern w:val="0"/>
                <w:sz w:val="18"/>
                <w:szCs w:val="18"/>
              </w:rPr>
            </w:pPr>
            <w:r>
              <w:rPr>
                <w:rFonts w:ascii="Arial Narrow" w:hAnsi="Arial Narrow" w:cs="Calibri"/>
                <w:color w:val="000000"/>
                <w:sz w:val="18"/>
                <w:szCs w:val="18"/>
              </w:rPr>
              <w:t>15,5471</w:t>
            </w:r>
          </w:p>
        </w:tc>
        <w:tc>
          <w:tcPr>
            <w:tcW w:w="1778" w:type="dxa"/>
            <w:shd w:val="clear" w:color="000000" w:fill="D9D9D9"/>
            <w:vAlign w:val="center"/>
          </w:tcPr>
          <w:p w:rsidR="00945580" w:rsidRPr="00361427" w:rsidRDefault="00945580" w:rsidP="00DC53EC">
            <w:pPr>
              <w:widowControl/>
              <w:overflowPunct/>
              <w:autoSpaceDE/>
              <w:autoSpaceDN/>
              <w:adjustRightInd/>
              <w:spacing w:before="0" w:after="0"/>
              <w:jc w:val="center"/>
              <w:rPr>
                <w:rFonts w:ascii="Arial Narrow" w:hAnsi="Arial Narrow" w:cs="Calibri"/>
                <w:color w:val="000000"/>
                <w:kern w:val="0"/>
                <w:sz w:val="18"/>
                <w:szCs w:val="18"/>
              </w:rPr>
            </w:pPr>
            <w:r>
              <w:rPr>
                <w:rFonts w:ascii="Arial Narrow" w:hAnsi="Arial Narrow" w:cs="Calibri"/>
                <w:color w:val="000000"/>
                <w:sz w:val="18"/>
                <w:szCs w:val="18"/>
              </w:rPr>
              <w:t>16,4576</w:t>
            </w:r>
          </w:p>
        </w:tc>
      </w:tr>
      <w:tr w:rsidR="00945580" w:rsidRPr="00881841" w:rsidTr="00DC53EC">
        <w:trPr>
          <w:trHeight w:val="255"/>
        </w:trPr>
        <w:tc>
          <w:tcPr>
            <w:tcW w:w="4872" w:type="dxa"/>
            <w:vAlign w:val="center"/>
            <w:hideMark/>
          </w:tcPr>
          <w:p w:rsidR="00945580" w:rsidRPr="0046573B" w:rsidRDefault="00945580" w:rsidP="00DC53EC">
            <w:pPr>
              <w:widowControl/>
              <w:overflowPunct/>
              <w:autoSpaceDE/>
              <w:adjustRightInd/>
              <w:spacing w:before="0" w:after="0"/>
              <w:jc w:val="both"/>
              <w:rPr>
                <w:rFonts w:ascii="Arial Narrow" w:hAnsi="Arial Narrow" w:cs="Calibri"/>
                <w:color w:val="000000"/>
                <w:kern w:val="0"/>
                <w:sz w:val="18"/>
                <w:szCs w:val="18"/>
              </w:rPr>
            </w:pPr>
            <w:r w:rsidRPr="0046573B">
              <w:rPr>
                <w:rFonts w:ascii="Arial Narrow" w:hAnsi="Arial Narrow" w:cs="Calibri"/>
                <w:color w:val="000000"/>
                <w:kern w:val="0"/>
                <w:sz w:val="18"/>
                <w:szCs w:val="18"/>
              </w:rPr>
              <w:t>Comunicazioni</w:t>
            </w:r>
          </w:p>
        </w:tc>
        <w:tc>
          <w:tcPr>
            <w:tcW w:w="1778" w:type="dxa"/>
            <w:shd w:val="clear" w:color="000000" w:fill="D9D9D9"/>
            <w:vAlign w:val="center"/>
          </w:tcPr>
          <w:p w:rsidR="00945580" w:rsidRPr="00361427" w:rsidRDefault="00945580" w:rsidP="00DC53EC">
            <w:pPr>
              <w:widowControl/>
              <w:overflowPunct/>
              <w:autoSpaceDE/>
              <w:autoSpaceDN/>
              <w:adjustRightInd/>
              <w:spacing w:before="0" w:after="0"/>
              <w:jc w:val="center"/>
              <w:rPr>
                <w:rFonts w:ascii="Arial Narrow" w:hAnsi="Arial Narrow" w:cs="Calibri"/>
                <w:color w:val="000000"/>
                <w:kern w:val="0"/>
                <w:sz w:val="18"/>
                <w:szCs w:val="18"/>
              </w:rPr>
            </w:pPr>
            <w:r>
              <w:rPr>
                <w:rFonts w:ascii="Arial Narrow" w:hAnsi="Arial Narrow" w:cs="Calibri"/>
                <w:color w:val="000000"/>
                <w:sz w:val="18"/>
                <w:szCs w:val="18"/>
              </w:rPr>
              <w:t>2,1835</w:t>
            </w:r>
          </w:p>
        </w:tc>
        <w:tc>
          <w:tcPr>
            <w:tcW w:w="1778" w:type="dxa"/>
            <w:shd w:val="clear" w:color="auto" w:fill="auto"/>
            <w:vAlign w:val="center"/>
          </w:tcPr>
          <w:p w:rsidR="00945580" w:rsidRPr="00361427" w:rsidRDefault="00945580" w:rsidP="00DC53EC">
            <w:pPr>
              <w:widowControl/>
              <w:overflowPunct/>
              <w:autoSpaceDE/>
              <w:autoSpaceDN/>
              <w:adjustRightInd/>
              <w:spacing w:before="0" w:after="0"/>
              <w:jc w:val="center"/>
              <w:rPr>
                <w:rFonts w:ascii="Arial Narrow" w:hAnsi="Arial Narrow" w:cs="Calibri"/>
                <w:color w:val="000000"/>
                <w:kern w:val="0"/>
                <w:sz w:val="18"/>
                <w:szCs w:val="18"/>
              </w:rPr>
            </w:pPr>
            <w:r>
              <w:rPr>
                <w:rFonts w:ascii="Arial Narrow" w:hAnsi="Arial Narrow" w:cs="Calibri"/>
                <w:color w:val="000000"/>
                <w:sz w:val="18"/>
                <w:szCs w:val="18"/>
              </w:rPr>
              <w:t>2,3103</w:t>
            </w:r>
          </w:p>
        </w:tc>
        <w:tc>
          <w:tcPr>
            <w:tcW w:w="1778" w:type="dxa"/>
            <w:shd w:val="clear" w:color="000000" w:fill="D9D9D9"/>
            <w:vAlign w:val="center"/>
          </w:tcPr>
          <w:p w:rsidR="00945580" w:rsidRPr="00361427" w:rsidRDefault="00945580" w:rsidP="00DC53EC">
            <w:pPr>
              <w:widowControl/>
              <w:overflowPunct/>
              <w:autoSpaceDE/>
              <w:autoSpaceDN/>
              <w:adjustRightInd/>
              <w:spacing w:before="0" w:after="0"/>
              <w:jc w:val="center"/>
              <w:rPr>
                <w:rFonts w:ascii="Arial Narrow" w:hAnsi="Arial Narrow" w:cs="Calibri"/>
                <w:color w:val="000000"/>
                <w:kern w:val="0"/>
                <w:sz w:val="18"/>
                <w:szCs w:val="18"/>
              </w:rPr>
            </w:pPr>
            <w:r>
              <w:rPr>
                <w:rFonts w:ascii="Arial Narrow" w:hAnsi="Arial Narrow" w:cs="Calibri"/>
                <w:color w:val="000000"/>
                <w:sz w:val="18"/>
                <w:szCs w:val="18"/>
              </w:rPr>
              <w:t>2,5902</w:t>
            </w:r>
          </w:p>
        </w:tc>
      </w:tr>
      <w:tr w:rsidR="00945580" w:rsidRPr="00881841" w:rsidTr="00DC53EC">
        <w:trPr>
          <w:trHeight w:val="255"/>
        </w:trPr>
        <w:tc>
          <w:tcPr>
            <w:tcW w:w="4872" w:type="dxa"/>
            <w:vAlign w:val="center"/>
            <w:hideMark/>
          </w:tcPr>
          <w:p w:rsidR="00945580" w:rsidRPr="0046573B" w:rsidRDefault="00945580" w:rsidP="00DC53EC">
            <w:pPr>
              <w:widowControl/>
              <w:overflowPunct/>
              <w:autoSpaceDE/>
              <w:adjustRightInd/>
              <w:spacing w:before="0" w:after="0"/>
              <w:jc w:val="both"/>
              <w:rPr>
                <w:rFonts w:ascii="Arial Narrow" w:hAnsi="Arial Narrow" w:cs="Calibri"/>
                <w:color w:val="000000"/>
                <w:kern w:val="0"/>
                <w:sz w:val="18"/>
                <w:szCs w:val="18"/>
              </w:rPr>
            </w:pPr>
            <w:r w:rsidRPr="0046573B">
              <w:rPr>
                <w:rFonts w:ascii="Arial Narrow" w:hAnsi="Arial Narrow" w:cs="Calibri"/>
                <w:color w:val="000000"/>
                <w:kern w:val="0"/>
                <w:sz w:val="18"/>
                <w:szCs w:val="18"/>
              </w:rPr>
              <w:t>Ricreazione, spettacoli e cultura</w:t>
            </w:r>
          </w:p>
        </w:tc>
        <w:tc>
          <w:tcPr>
            <w:tcW w:w="1778" w:type="dxa"/>
            <w:shd w:val="clear" w:color="000000" w:fill="D9D9D9"/>
            <w:vAlign w:val="center"/>
          </w:tcPr>
          <w:p w:rsidR="00945580" w:rsidRPr="00361427" w:rsidRDefault="00945580" w:rsidP="00DC53EC">
            <w:pPr>
              <w:widowControl/>
              <w:overflowPunct/>
              <w:autoSpaceDE/>
              <w:autoSpaceDN/>
              <w:adjustRightInd/>
              <w:spacing w:before="0" w:after="0"/>
              <w:jc w:val="center"/>
              <w:rPr>
                <w:rFonts w:ascii="Arial Narrow" w:hAnsi="Arial Narrow" w:cs="Calibri"/>
                <w:color w:val="000000"/>
                <w:kern w:val="0"/>
                <w:sz w:val="18"/>
                <w:szCs w:val="18"/>
              </w:rPr>
            </w:pPr>
            <w:r>
              <w:rPr>
                <w:rFonts w:ascii="Arial Narrow" w:hAnsi="Arial Narrow" w:cs="Calibri"/>
                <w:color w:val="000000"/>
                <w:sz w:val="18"/>
                <w:szCs w:val="18"/>
              </w:rPr>
              <w:t>8,1071</w:t>
            </w:r>
          </w:p>
        </w:tc>
        <w:tc>
          <w:tcPr>
            <w:tcW w:w="1778" w:type="dxa"/>
            <w:shd w:val="clear" w:color="auto" w:fill="auto"/>
            <w:vAlign w:val="center"/>
          </w:tcPr>
          <w:p w:rsidR="00945580" w:rsidRPr="00361427" w:rsidRDefault="00945580" w:rsidP="00DC53EC">
            <w:pPr>
              <w:widowControl/>
              <w:overflowPunct/>
              <w:autoSpaceDE/>
              <w:autoSpaceDN/>
              <w:adjustRightInd/>
              <w:spacing w:before="0" w:after="0"/>
              <w:jc w:val="center"/>
              <w:rPr>
                <w:rFonts w:ascii="Arial Narrow" w:hAnsi="Arial Narrow" w:cs="Calibri"/>
                <w:color w:val="000000"/>
                <w:kern w:val="0"/>
                <w:sz w:val="18"/>
                <w:szCs w:val="18"/>
              </w:rPr>
            </w:pPr>
            <w:r>
              <w:rPr>
                <w:rFonts w:ascii="Arial Narrow" w:hAnsi="Arial Narrow" w:cs="Calibri"/>
                <w:color w:val="000000"/>
                <w:sz w:val="18"/>
                <w:szCs w:val="18"/>
              </w:rPr>
              <w:t>6,8446</w:t>
            </w:r>
          </w:p>
        </w:tc>
        <w:tc>
          <w:tcPr>
            <w:tcW w:w="1778" w:type="dxa"/>
            <w:shd w:val="clear" w:color="000000" w:fill="D9D9D9"/>
            <w:vAlign w:val="center"/>
          </w:tcPr>
          <w:p w:rsidR="00945580" w:rsidRPr="00361427" w:rsidRDefault="00945580" w:rsidP="00DC53EC">
            <w:pPr>
              <w:widowControl/>
              <w:overflowPunct/>
              <w:autoSpaceDE/>
              <w:autoSpaceDN/>
              <w:adjustRightInd/>
              <w:spacing w:before="0" w:after="0"/>
              <w:jc w:val="center"/>
              <w:rPr>
                <w:rFonts w:ascii="Arial Narrow" w:hAnsi="Arial Narrow" w:cs="Calibri"/>
                <w:color w:val="000000"/>
                <w:kern w:val="0"/>
                <w:sz w:val="18"/>
                <w:szCs w:val="18"/>
              </w:rPr>
            </w:pPr>
            <w:r>
              <w:rPr>
                <w:rFonts w:ascii="Arial Narrow" w:hAnsi="Arial Narrow" w:cs="Calibri"/>
                <w:color w:val="000000"/>
                <w:sz w:val="18"/>
                <w:szCs w:val="18"/>
              </w:rPr>
              <w:t>8,4301</w:t>
            </w:r>
          </w:p>
        </w:tc>
      </w:tr>
      <w:tr w:rsidR="00945580" w:rsidRPr="00881841" w:rsidTr="00DC53EC">
        <w:trPr>
          <w:trHeight w:val="255"/>
        </w:trPr>
        <w:tc>
          <w:tcPr>
            <w:tcW w:w="4872" w:type="dxa"/>
            <w:vAlign w:val="center"/>
            <w:hideMark/>
          </w:tcPr>
          <w:p w:rsidR="00945580" w:rsidRPr="0046573B" w:rsidRDefault="00945580" w:rsidP="00DC53EC">
            <w:pPr>
              <w:widowControl/>
              <w:overflowPunct/>
              <w:autoSpaceDE/>
              <w:adjustRightInd/>
              <w:spacing w:before="0" w:after="0"/>
              <w:jc w:val="both"/>
              <w:rPr>
                <w:rFonts w:ascii="Arial Narrow" w:hAnsi="Arial Narrow" w:cs="Calibri"/>
                <w:color w:val="000000"/>
                <w:kern w:val="0"/>
                <w:sz w:val="18"/>
                <w:szCs w:val="18"/>
              </w:rPr>
            </w:pPr>
            <w:r w:rsidRPr="0046573B">
              <w:rPr>
                <w:rFonts w:ascii="Arial Narrow" w:hAnsi="Arial Narrow" w:cs="Calibri"/>
                <w:color w:val="000000"/>
                <w:kern w:val="0"/>
                <w:sz w:val="18"/>
                <w:szCs w:val="18"/>
              </w:rPr>
              <w:t>Istruzione</w:t>
            </w:r>
          </w:p>
        </w:tc>
        <w:tc>
          <w:tcPr>
            <w:tcW w:w="1778" w:type="dxa"/>
            <w:shd w:val="clear" w:color="000000" w:fill="D9D9D9"/>
            <w:vAlign w:val="center"/>
          </w:tcPr>
          <w:p w:rsidR="00945580" w:rsidRPr="00361427" w:rsidRDefault="00945580" w:rsidP="00DC53EC">
            <w:pPr>
              <w:widowControl/>
              <w:overflowPunct/>
              <w:autoSpaceDE/>
              <w:autoSpaceDN/>
              <w:adjustRightInd/>
              <w:spacing w:before="0" w:after="0"/>
              <w:jc w:val="center"/>
              <w:rPr>
                <w:rFonts w:ascii="Arial Narrow" w:hAnsi="Arial Narrow" w:cs="Calibri"/>
                <w:color w:val="000000"/>
                <w:kern w:val="0"/>
                <w:sz w:val="18"/>
                <w:szCs w:val="18"/>
              </w:rPr>
            </w:pPr>
            <w:r>
              <w:rPr>
                <w:rFonts w:ascii="Arial Narrow" w:hAnsi="Arial Narrow" w:cs="Calibri"/>
                <w:color w:val="000000"/>
                <w:sz w:val="18"/>
                <w:szCs w:val="18"/>
              </w:rPr>
              <w:t>0,8932</w:t>
            </w:r>
          </w:p>
        </w:tc>
        <w:tc>
          <w:tcPr>
            <w:tcW w:w="1778" w:type="dxa"/>
            <w:shd w:val="clear" w:color="auto" w:fill="auto"/>
            <w:vAlign w:val="center"/>
          </w:tcPr>
          <w:p w:rsidR="00945580" w:rsidRPr="00361427" w:rsidRDefault="00945580" w:rsidP="00DC53EC">
            <w:pPr>
              <w:widowControl/>
              <w:overflowPunct/>
              <w:autoSpaceDE/>
              <w:autoSpaceDN/>
              <w:adjustRightInd/>
              <w:spacing w:before="0" w:after="0"/>
              <w:jc w:val="center"/>
              <w:rPr>
                <w:rFonts w:ascii="Arial Narrow" w:hAnsi="Arial Narrow" w:cs="Calibri"/>
                <w:color w:val="000000"/>
                <w:kern w:val="0"/>
                <w:sz w:val="18"/>
                <w:szCs w:val="18"/>
              </w:rPr>
            </w:pPr>
            <w:r>
              <w:rPr>
                <w:rFonts w:ascii="Arial Narrow" w:hAnsi="Arial Narrow" w:cs="Calibri"/>
                <w:color w:val="000000"/>
                <w:sz w:val="18"/>
                <w:szCs w:val="18"/>
              </w:rPr>
              <w:t>0,945</w:t>
            </w:r>
          </w:p>
        </w:tc>
        <w:tc>
          <w:tcPr>
            <w:tcW w:w="1778" w:type="dxa"/>
            <w:shd w:val="clear" w:color="000000" w:fill="D9D9D9"/>
            <w:vAlign w:val="center"/>
          </w:tcPr>
          <w:p w:rsidR="00945580" w:rsidRPr="00361427" w:rsidRDefault="00945580" w:rsidP="00DC53EC">
            <w:pPr>
              <w:widowControl/>
              <w:overflowPunct/>
              <w:autoSpaceDE/>
              <w:autoSpaceDN/>
              <w:adjustRightInd/>
              <w:spacing w:before="0" w:after="0"/>
              <w:jc w:val="center"/>
              <w:rPr>
                <w:rFonts w:ascii="Arial Narrow" w:hAnsi="Arial Narrow" w:cs="Calibri"/>
                <w:color w:val="000000"/>
                <w:kern w:val="0"/>
                <w:sz w:val="18"/>
                <w:szCs w:val="18"/>
              </w:rPr>
            </w:pPr>
            <w:r>
              <w:rPr>
                <w:rFonts w:ascii="Arial Narrow" w:hAnsi="Arial Narrow" w:cs="Calibri"/>
                <w:color w:val="000000"/>
                <w:sz w:val="18"/>
                <w:szCs w:val="18"/>
              </w:rPr>
              <w:t>1,1058</w:t>
            </w:r>
          </w:p>
        </w:tc>
      </w:tr>
      <w:tr w:rsidR="00945580" w:rsidRPr="00881841" w:rsidTr="00DC53EC">
        <w:trPr>
          <w:trHeight w:val="255"/>
        </w:trPr>
        <w:tc>
          <w:tcPr>
            <w:tcW w:w="4872" w:type="dxa"/>
            <w:vAlign w:val="center"/>
            <w:hideMark/>
          </w:tcPr>
          <w:p w:rsidR="00945580" w:rsidRPr="0046573B" w:rsidRDefault="00945580" w:rsidP="00DC53EC">
            <w:pPr>
              <w:widowControl/>
              <w:overflowPunct/>
              <w:autoSpaceDE/>
              <w:adjustRightInd/>
              <w:spacing w:before="0" w:after="0"/>
              <w:jc w:val="both"/>
              <w:rPr>
                <w:rFonts w:ascii="Arial Narrow" w:hAnsi="Arial Narrow" w:cs="Calibri"/>
                <w:color w:val="000000"/>
                <w:kern w:val="0"/>
                <w:sz w:val="18"/>
                <w:szCs w:val="18"/>
              </w:rPr>
            </w:pPr>
            <w:r w:rsidRPr="0046573B">
              <w:rPr>
                <w:rFonts w:ascii="Arial Narrow" w:hAnsi="Arial Narrow" w:cs="Calibri"/>
                <w:color w:val="000000"/>
                <w:kern w:val="0"/>
                <w:sz w:val="18"/>
                <w:szCs w:val="18"/>
              </w:rPr>
              <w:t>Servizi ricettivi e di ristorazione</w:t>
            </w:r>
          </w:p>
        </w:tc>
        <w:tc>
          <w:tcPr>
            <w:tcW w:w="1778" w:type="dxa"/>
            <w:shd w:val="clear" w:color="000000" w:fill="D9D9D9"/>
            <w:vAlign w:val="center"/>
          </w:tcPr>
          <w:p w:rsidR="00945580" w:rsidRPr="00361427" w:rsidRDefault="00945580" w:rsidP="00DC53EC">
            <w:pPr>
              <w:widowControl/>
              <w:overflowPunct/>
              <w:autoSpaceDE/>
              <w:autoSpaceDN/>
              <w:adjustRightInd/>
              <w:spacing w:before="0" w:after="0"/>
              <w:jc w:val="center"/>
              <w:rPr>
                <w:rFonts w:ascii="Arial Narrow" w:hAnsi="Arial Narrow" w:cs="Calibri"/>
                <w:color w:val="000000"/>
                <w:kern w:val="0"/>
                <w:sz w:val="18"/>
                <w:szCs w:val="18"/>
              </w:rPr>
            </w:pPr>
            <w:r>
              <w:rPr>
                <w:rFonts w:ascii="Arial Narrow" w:hAnsi="Arial Narrow" w:cs="Calibri"/>
                <w:color w:val="000000"/>
                <w:sz w:val="18"/>
                <w:szCs w:val="18"/>
              </w:rPr>
              <w:t>11,795</w:t>
            </w:r>
          </w:p>
        </w:tc>
        <w:tc>
          <w:tcPr>
            <w:tcW w:w="1778" w:type="dxa"/>
            <w:shd w:val="clear" w:color="auto" w:fill="auto"/>
            <w:vAlign w:val="center"/>
          </w:tcPr>
          <w:p w:rsidR="00945580" w:rsidRPr="00361427" w:rsidRDefault="00945580" w:rsidP="00DC53EC">
            <w:pPr>
              <w:widowControl/>
              <w:overflowPunct/>
              <w:autoSpaceDE/>
              <w:autoSpaceDN/>
              <w:adjustRightInd/>
              <w:spacing w:before="0" w:after="0"/>
              <w:jc w:val="center"/>
              <w:rPr>
                <w:rFonts w:ascii="Arial Narrow" w:hAnsi="Arial Narrow" w:cs="Calibri"/>
                <w:color w:val="000000"/>
                <w:kern w:val="0"/>
                <w:sz w:val="18"/>
                <w:szCs w:val="18"/>
              </w:rPr>
            </w:pPr>
            <w:r>
              <w:rPr>
                <w:rFonts w:ascii="Arial Narrow" w:hAnsi="Arial Narrow" w:cs="Calibri"/>
                <w:color w:val="000000"/>
                <w:sz w:val="18"/>
                <w:szCs w:val="18"/>
              </w:rPr>
              <w:t>12,4756</w:t>
            </w:r>
          </w:p>
        </w:tc>
        <w:tc>
          <w:tcPr>
            <w:tcW w:w="1778" w:type="dxa"/>
            <w:shd w:val="clear" w:color="000000" w:fill="D9D9D9"/>
            <w:vAlign w:val="center"/>
          </w:tcPr>
          <w:p w:rsidR="00945580" w:rsidRPr="00361427" w:rsidRDefault="00945580" w:rsidP="00DC53EC">
            <w:pPr>
              <w:widowControl/>
              <w:overflowPunct/>
              <w:autoSpaceDE/>
              <w:autoSpaceDN/>
              <w:adjustRightInd/>
              <w:spacing w:before="0" w:after="0"/>
              <w:jc w:val="center"/>
              <w:rPr>
                <w:rFonts w:ascii="Arial Narrow" w:hAnsi="Arial Narrow" w:cs="Calibri"/>
                <w:color w:val="000000"/>
                <w:kern w:val="0"/>
                <w:sz w:val="18"/>
                <w:szCs w:val="18"/>
              </w:rPr>
            </w:pPr>
            <w:r>
              <w:rPr>
                <w:rFonts w:ascii="Arial Narrow" w:hAnsi="Arial Narrow" w:cs="Calibri"/>
                <w:color w:val="000000"/>
                <w:sz w:val="18"/>
                <w:szCs w:val="18"/>
              </w:rPr>
              <w:t>11,3416</w:t>
            </w:r>
          </w:p>
        </w:tc>
      </w:tr>
      <w:tr w:rsidR="00945580" w:rsidRPr="00881841" w:rsidTr="00DC53EC">
        <w:trPr>
          <w:trHeight w:val="255"/>
        </w:trPr>
        <w:tc>
          <w:tcPr>
            <w:tcW w:w="4872" w:type="dxa"/>
            <w:vAlign w:val="center"/>
            <w:hideMark/>
          </w:tcPr>
          <w:p w:rsidR="00945580" w:rsidRPr="0046573B" w:rsidRDefault="00945580" w:rsidP="00DC53EC">
            <w:pPr>
              <w:widowControl/>
              <w:overflowPunct/>
              <w:autoSpaceDE/>
              <w:adjustRightInd/>
              <w:spacing w:before="0" w:after="0"/>
              <w:jc w:val="both"/>
              <w:rPr>
                <w:rFonts w:ascii="Arial Narrow" w:hAnsi="Arial Narrow" w:cs="Calibri"/>
                <w:color w:val="000000"/>
                <w:kern w:val="0"/>
                <w:sz w:val="18"/>
                <w:szCs w:val="18"/>
              </w:rPr>
            </w:pPr>
            <w:r w:rsidRPr="0046573B">
              <w:rPr>
                <w:rFonts w:ascii="Arial Narrow" w:hAnsi="Arial Narrow" w:cs="Calibri"/>
                <w:color w:val="000000"/>
                <w:kern w:val="0"/>
                <w:sz w:val="18"/>
                <w:szCs w:val="18"/>
              </w:rPr>
              <w:t xml:space="preserve">Altri beni e servizi </w:t>
            </w:r>
          </w:p>
        </w:tc>
        <w:tc>
          <w:tcPr>
            <w:tcW w:w="1778" w:type="dxa"/>
            <w:shd w:val="clear" w:color="000000" w:fill="D9D9D9"/>
            <w:vAlign w:val="center"/>
          </w:tcPr>
          <w:p w:rsidR="00945580" w:rsidRPr="00361427" w:rsidRDefault="00945580" w:rsidP="00DC53EC">
            <w:pPr>
              <w:widowControl/>
              <w:overflowPunct/>
              <w:autoSpaceDE/>
              <w:autoSpaceDN/>
              <w:adjustRightInd/>
              <w:spacing w:before="0" w:after="0"/>
              <w:jc w:val="center"/>
              <w:rPr>
                <w:rFonts w:ascii="Arial Narrow" w:hAnsi="Arial Narrow" w:cs="Calibri"/>
                <w:color w:val="000000"/>
                <w:kern w:val="0"/>
                <w:sz w:val="18"/>
                <w:szCs w:val="18"/>
              </w:rPr>
            </w:pPr>
            <w:r>
              <w:rPr>
                <w:rFonts w:ascii="Arial Narrow" w:hAnsi="Arial Narrow" w:cs="Calibri"/>
                <w:color w:val="000000"/>
                <w:sz w:val="18"/>
                <w:szCs w:val="18"/>
              </w:rPr>
              <w:t>9,7363</w:t>
            </w:r>
          </w:p>
        </w:tc>
        <w:tc>
          <w:tcPr>
            <w:tcW w:w="1778" w:type="dxa"/>
            <w:shd w:val="clear" w:color="auto" w:fill="auto"/>
            <w:vAlign w:val="center"/>
          </w:tcPr>
          <w:p w:rsidR="00945580" w:rsidRPr="00361427" w:rsidRDefault="00945580" w:rsidP="00DC53EC">
            <w:pPr>
              <w:widowControl/>
              <w:overflowPunct/>
              <w:autoSpaceDE/>
              <w:autoSpaceDN/>
              <w:adjustRightInd/>
              <w:spacing w:before="0" w:after="0"/>
              <w:jc w:val="center"/>
              <w:rPr>
                <w:rFonts w:ascii="Arial Narrow" w:hAnsi="Arial Narrow" w:cs="Calibri"/>
                <w:color w:val="000000"/>
                <w:kern w:val="0"/>
                <w:sz w:val="18"/>
                <w:szCs w:val="18"/>
              </w:rPr>
            </w:pPr>
            <w:r>
              <w:rPr>
                <w:rFonts w:ascii="Arial Narrow" w:hAnsi="Arial Narrow" w:cs="Calibri"/>
                <w:color w:val="000000"/>
                <w:sz w:val="18"/>
                <w:szCs w:val="18"/>
              </w:rPr>
              <w:t>10,3234</w:t>
            </w:r>
          </w:p>
        </w:tc>
        <w:tc>
          <w:tcPr>
            <w:tcW w:w="1778" w:type="dxa"/>
            <w:shd w:val="clear" w:color="000000" w:fill="D9D9D9"/>
            <w:vAlign w:val="center"/>
          </w:tcPr>
          <w:p w:rsidR="00945580" w:rsidRPr="00361427" w:rsidRDefault="00945580" w:rsidP="00DC53EC">
            <w:pPr>
              <w:widowControl/>
              <w:overflowPunct/>
              <w:autoSpaceDE/>
              <w:autoSpaceDN/>
              <w:adjustRightInd/>
              <w:spacing w:before="0" w:after="0"/>
              <w:jc w:val="center"/>
              <w:rPr>
                <w:rFonts w:ascii="Arial Narrow" w:hAnsi="Arial Narrow" w:cs="Calibri"/>
                <w:color w:val="000000"/>
                <w:kern w:val="0"/>
                <w:sz w:val="18"/>
                <w:szCs w:val="18"/>
              </w:rPr>
            </w:pPr>
            <w:r>
              <w:rPr>
                <w:rFonts w:ascii="Arial Narrow" w:hAnsi="Arial Narrow" w:cs="Calibri"/>
                <w:color w:val="000000"/>
                <w:sz w:val="18"/>
                <w:szCs w:val="18"/>
              </w:rPr>
              <w:t>9,2668</w:t>
            </w:r>
          </w:p>
        </w:tc>
      </w:tr>
      <w:tr w:rsidR="00945580" w:rsidRPr="00881841" w:rsidTr="00DC53EC">
        <w:trPr>
          <w:trHeight w:val="255"/>
        </w:trPr>
        <w:tc>
          <w:tcPr>
            <w:tcW w:w="4872" w:type="dxa"/>
            <w:shd w:val="clear" w:color="auto" w:fill="E31C18"/>
            <w:vAlign w:val="center"/>
            <w:hideMark/>
          </w:tcPr>
          <w:p w:rsidR="00945580" w:rsidRPr="0046573B" w:rsidRDefault="00945580" w:rsidP="00DC53EC">
            <w:pPr>
              <w:widowControl/>
              <w:overflowPunct/>
              <w:autoSpaceDE/>
              <w:adjustRightInd/>
              <w:spacing w:before="0" w:after="0"/>
              <w:rPr>
                <w:rFonts w:ascii="Arial Narrow" w:hAnsi="Arial Narrow" w:cs="Calibri"/>
                <w:b/>
                <w:bCs/>
                <w:color w:val="FFFFFF"/>
                <w:kern w:val="0"/>
                <w:sz w:val="18"/>
                <w:szCs w:val="18"/>
              </w:rPr>
            </w:pPr>
            <w:r w:rsidRPr="0046573B">
              <w:rPr>
                <w:rFonts w:ascii="Arial Narrow" w:hAnsi="Arial Narrow" w:cs="Calibri"/>
                <w:b/>
                <w:bCs/>
                <w:color w:val="FFFFFF"/>
                <w:kern w:val="0"/>
                <w:sz w:val="18"/>
                <w:szCs w:val="18"/>
              </w:rPr>
              <w:t>Indice generale</w:t>
            </w:r>
          </w:p>
        </w:tc>
        <w:tc>
          <w:tcPr>
            <w:tcW w:w="1778" w:type="dxa"/>
            <w:shd w:val="clear" w:color="auto" w:fill="E31C18"/>
            <w:vAlign w:val="center"/>
          </w:tcPr>
          <w:p w:rsidR="00945580" w:rsidRPr="00881705" w:rsidRDefault="00945580" w:rsidP="00DC53EC">
            <w:pPr>
              <w:widowControl/>
              <w:overflowPunct/>
              <w:autoSpaceDE/>
              <w:autoSpaceDN/>
              <w:adjustRightInd/>
              <w:spacing w:before="0" w:after="0"/>
              <w:jc w:val="center"/>
              <w:rPr>
                <w:rFonts w:ascii="Arial Narrow" w:hAnsi="Arial Narrow" w:cs="Calibri"/>
                <w:b/>
                <w:bCs/>
                <w:color w:val="FFFFFF"/>
                <w:kern w:val="0"/>
                <w:sz w:val="18"/>
                <w:szCs w:val="18"/>
              </w:rPr>
            </w:pPr>
            <w:r w:rsidRPr="00881705">
              <w:rPr>
                <w:rFonts w:ascii="Arial Narrow" w:hAnsi="Arial Narrow" w:cs="Calibri"/>
                <w:b/>
                <w:bCs/>
                <w:color w:val="FFFFFF"/>
                <w:kern w:val="0"/>
                <w:sz w:val="18"/>
                <w:szCs w:val="18"/>
              </w:rPr>
              <w:t>100,0000</w:t>
            </w:r>
          </w:p>
        </w:tc>
        <w:tc>
          <w:tcPr>
            <w:tcW w:w="1778" w:type="dxa"/>
            <w:shd w:val="clear" w:color="auto" w:fill="E31C18"/>
            <w:vAlign w:val="center"/>
          </w:tcPr>
          <w:p w:rsidR="00945580" w:rsidRPr="00881705" w:rsidRDefault="00945580" w:rsidP="00DC53EC">
            <w:pPr>
              <w:widowControl/>
              <w:overflowPunct/>
              <w:autoSpaceDE/>
              <w:autoSpaceDN/>
              <w:adjustRightInd/>
              <w:spacing w:before="0" w:after="0"/>
              <w:jc w:val="center"/>
              <w:rPr>
                <w:rFonts w:ascii="Arial Narrow" w:hAnsi="Arial Narrow" w:cs="Calibri"/>
                <w:b/>
                <w:bCs/>
                <w:color w:val="FFFFFF"/>
                <w:kern w:val="0"/>
                <w:sz w:val="18"/>
                <w:szCs w:val="18"/>
              </w:rPr>
            </w:pPr>
            <w:r w:rsidRPr="00881705">
              <w:rPr>
                <w:rFonts w:ascii="Arial Narrow" w:hAnsi="Arial Narrow" w:cs="Calibri"/>
                <w:b/>
                <w:bCs/>
                <w:color w:val="FFFFFF"/>
                <w:kern w:val="0"/>
                <w:sz w:val="18"/>
                <w:szCs w:val="18"/>
              </w:rPr>
              <w:t>100,0000</w:t>
            </w:r>
          </w:p>
        </w:tc>
        <w:tc>
          <w:tcPr>
            <w:tcW w:w="1778" w:type="dxa"/>
            <w:shd w:val="clear" w:color="auto" w:fill="E31C18"/>
            <w:vAlign w:val="center"/>
          </w:tcPr>
          <w:p w:rsidR="00945580" w:rsidRPr="00881705" w:rsidRDefault="00945580" w:rsidP="00DC53EC">
            <w:pPr>
              <w:widowControl/>
              <w:overflowPunct/>
              <w:autoSpaceDE/>
              <w:autoSpaceDN/>
              <w:adjustRightInd/>
              <w:spacing w:before="0" w:after="0"/>
              <w:jc w:val="center"/>
              <w:rPr>
                <w:rFonts w:ascii="Arial Narrow" w:hAnsi="Arial Narrow" w:cs="Calibri"/>
                <w:b/>
                <w:bCs/>
                <w:color w:val="FFFFFF"/>
                <w:kern w:val="0"/>
                <w:sz w:val="18"/>
                <w:szCs w:val="18"/>
              </w:rPr>
            </w:pPr>
            <w:r w:rsidRPr="00881705">
              <w:rPr>
                <w:rFonts w:ascii="Arial Narrow" w:hAnsi="Arial Narrow" w:cs="Calibri"/>
                <w:b/>
                <w:bCs/>
                <w:color w:val="FFFFFF"/>
                <w:kern w:val="0"/>
                <w:sz w:val="18"/>
                <w:szCs w:val="18"/>
              </w:rPr>
              <w:t>100,0000</w:t>
            </w:r>
          </w:p>
        </w:tc>
      </w:tr>
    </w:tbl>
    <w:p w:rsidR="00945580" w:rsidRDefault="00945580" w:rsidP="00945580">
      <w:pPr>
        <w:tabs>
          <w:tab w:val="left" w:pos="10206"/>
        </w:tabs>
        <w:spacing w:before="0" w:after="120"/>
        <w:jc w:val="both"/>
        <w:rPr>
          <w:rFonts w:ascii="Arial" w:hAnsi="Arial" w:cs="Arial"/>
          <w:szCs w:val="21"/>
        </w:rPr>
      </w:pPr>
    </w:p>
    <w:p w:rsidR="00314F1F" w:rsidRDefault="00314F1F" w:rsidP="00945580">
      <w:pPr>
        <w:pStyle w:val="Titolo4"/>
        <w:spacing w:before="0" w:after="120"/>
        <w:rPr>
          <w:rFonts w:ascii="Arial" w:hAnsi="Arial" w:cs="Arial"/>
          <w:bCs w:val="0"/>
          <w:i w:val="0"/>
          <w:color w:val="auto"/>
          <w:szCs w:val="22"/>
        </w:rPr>
      </w:pPr>
    </w:p>
    <w:p w:rsidR="00945580" w:rsidRPr="00C8504B" w:rsidRDefault="00945580" w:rsidP="00945580">
      <w:pPr>
        <w:pStyle w:val="Titolo4"/>
        <w:spacing w:before="0" w:after="120"/>
        <w:rPr>
          <w:rFonts w:ascii="Arial" w:hAnsi="Arial" w:cs="Arial"/>
          <w:bCs w:val="0"/>
          <w:i w:val="0"/>
          <w:color w:val="auto"/>
          <w:szCs w:val="22"/>
        </w:rPr>
      </w:pPr>
      <w:r w:rsidRPr="00C8504B">
        <w:rPr>
          <w:rFonts w:ascii="Arial" w:hAnsi="Arial" w:cs="Arial"/>
          <w:bCs w:val="0"/>
          <w:i w:val="0"/>
          <w:color w:val="auto"/>
          <w:szCs w:val="22"/>
        </w:rPr>
        <w:t xml:space="preserve">Indici nazionali e territoriali </w:t>
      </w:r>
    </w:p>
    <w:p w:rsidR="00945580" w:rsidRDefault="00945580" w:rsidP="00945580">
      <w:pPr>
        <w:spacing w:before="0" w:after="120"/>
        <w:jc w:val="both"/>
        <w:rPr>
          <w:rFonts w:ascii="Arial" w:hAnsi="Arial" w:cs="Arial"/>
          <w:szCs w:val="21"/>
        </w:rPr>
      </w:pPr>
      <w:r w:rsidRPr="002875F7">
        <w:rPr>
          <w:rFonts w:ascii="Arial" w:hAnsi="Arial" w:cs="Arial"/>
          <w:szCs w:val="21"/>
        </w:rPr>
        <w:t xml:space="preserve">La metodologia di calcolo degli indici dei prezzi al consumo prevede quattro diversi processi di aggregazione degli indici di ciascun aggregato di prodotto calcolati per ogni capoluogo di provincia. </w:t>
      </w:r>
    </w:p>
    <w:p w:rsidR="00945580" w:rsidRPr="002875F7" w:rsidRDefault="00945580" w:rsidP="00945580">
      <w:pPr>
        <w:spacing w:before="0" w:after="120"/>
        <w:jc w:val="both"/>
        <w:rPr>
          <w:rFonts w:ascii="Arial" w:hAnsi="Arial" w:cs="Arial"/>
          <w:szCs w:val="21"/>
        </w:rPr>
      </w:pPr>
      <w:r w:rsidRPr="002875F7">
        <w:rPr>
          <w:rFonts w:ascii="Arial" w:hAnsi="Arial" w:cs="Arial"/>
          <w:bCs/>
          <w:szCs w:val="21"/>
        </w:rPr>
        <w:t>L’</w:t>
      </w:r>
      <w:r w:rsidRPr="002875F7">
        <w:rPr>
          <w:rFonts w:ascii="Arial" w:hAnsi="Arial" w:cs="Arial"/>
          <w:bCs/>
          <w:i/>
          <w:szCs w:val="21"/>
        </w:rPr>
        <w:t>indice nazionale</w:t>
      </w:r>
      <w:r w:rsidRPr="002875F7">
        <w:rPr>
          <w:rFonts w:ascii="Arial" w:hAnsi="Arial" w:cs="Arial"/>
          <w:bCs/>
          <w:szCs w:val="21"/>
        </w:rPr>
        <w:t xml:space="preserve"> si ottiene nel modo seguente</w:t>
      </w:r>
      <w:r w:rsidRPr="002875F7">
        <w:rPr>
          <w:rFonts w:ascii="Arial" w:hAnsi="Arial" w:cs="Arial"/>
          <w:szCs w:val="21"/>
        </w:rPr>
        <w:t>:</w:t>
      </w:r>
    </w:p>
    <w:p w:rsidR="00945580" w:rsidRPr="002875F7" w:rsidRDefault="00945580" w:rsidP="00945580">
      <w:pPr>
        <w:widowControl/>
        <w:numPr>
          <w:ilvl w:val="0"/>
          <w:numId w:val="27"/>
        </w:numPr>
        <w:tabs>
          <w:tab w:val="clear" w:pos="720"/>
          <w:tab w:val="num" w:pos="502"/>
        </w:tabs>
        <w:spacing w:before="0" w:after="120"/>
        <w:ind w:left="284" w:hanging="284"/>
        <w:jc w:val="both"/>
        <w:rPr>
          <w:rFonts w:ascii="Arial" w:hAnsi="Arial" w:cs="Arial"/>
          <w:szCs w:val="21"/>
        </w:rPr>
      </w:pPr>
      <w:r w:rsidRPr="002875F7">
        <w:rPr>
          <w:rFonts w:ascii="Arial" w:hAnsi="Arial" w:cs="Arial"/>
          <w:szCs w:val="21"/>
        </w:rPr>
        <w:t xml:space="preserve">si aggregano tra loro gli indici provinciali di aggregato di prodotto per costruire l’indice regionale di aggregato di prodotto; per quanto riguarda i beni alimentari (esclusi i prodotti freschi) e per la cura della casa e della persona, gli indici regionali di aggregato di prodotto sono calcolati tendendo distinte le diverse tipologie distributive (ipermercati, supermercati, discount, libero servizio, specialist drug) per i quali si utilizzano le informazioni provenienti dai registratori elettronici di cassa (scanner data); per un numero limitato di aggregati, l’indice viene calcolato integrando le informazioni provenienti dagli scanner data con quelle rilevate direttamente dagli Uffici Comunali di Statistica; i coefficienti di ponderazione adoperati per le sintesi degli indici provinciali si basano, in generale, sul peso di ciascun capoluogo di provincia in termini di popolazione residente; </w:t>
      </w:r>
    </w:p>
    <w:p w:rsidR="00945580" w:rsidRPr="002875F7" w:rsidRDefault="00945580" w:rsidP="00945580">
      <w:pPr>
        <w:widowControl/>
        <w:numPr>
          <w:ilvl w:val="0"/>
          <w:numId w:val="27"/>
        </w:numPr>
        <w:tabs>
          <w:tab w:val="clear" w:pos="720"/>
          <w:tab w:val="num" w:pos="502"/>
        </w:tabs>
        <w:spacing w:before="0" w:after="120"/>
        <w:ind w:left="284" w:hanging="284"/>
        <w:jc w:val="both"/>
        <w:rPr>
          <w:rFonts w:ascii="Arial" w:hAnsi="Arial" w:cs="Arial"/>
          <w:szCs w:val="21"/>
        </w:rPr>
      </w:pPr>
      <w:r w:rsidRPr="002875F7">
        <w:rPr>
          <w:rFonts w:ascii="Arial" w:hAnsi="Arial" w:cs="Arial"/>
          <w:szCs w:val="21"/>
        </w:rPr>
        <w:t xml:space="preserve">si aggregano tra loro gli indici regionali di aggregato di prodotto per costruire l’indice nazionale di aggregato di prodotto; i coefficienti di ponderazione utilizzati si basano sul peso di ciascuna regione in termini di consumi delle famiglie; </w:t>
      </w:r>
    </w:p>
    <w:p w:rsidR="00945580" w:rsidRPr="002875F7" w:rsidRDefault="00945580" w:rsidP="00945580">
      <w:pPr>
        <w:widowControl/>
        <w:numPr>
          <w:ilvl w:val="0"/>
          <w:numId w:val="27"/>
        </w:numPr>
        <w:tabs>
          <w:tab w:val="clear" w:pos="720"/>
          <w:tab w:val="num" w:pos="502"/>
        </w:tabs>
        <w:spacing w:before="0" w:after="120"/>
        <w:ind w:left="284" w:hanging="284"/>
        <w:jc w:val="both"/>
        <w:rPr>
          <w:rFonts w:ascii="Arial" w:hAnsi="Arial" w:cs="Arial"/>
          <w:szCs w:val="21"/>
        </w:rPr>
      </w:pPr>
      <w:r w:rsidRPr="002875F7">
        <w:rPr>
          <w:rFonts w:ascii="Arial" w:hAnsi="Arial" w:cs="Arial"/>
          <w:szCs w:val="21"/>
        </w:rPr>
        <w:t xml:space="preserve">l’indice generale nazionale dei prezzi al consumo si ottiene come media ponderata degli indici nazionali di aggregato di prodotto. I coefficienti di ponderazione utilizzati si basano sul peso di ciascun aggregato di prodotto in termini di consumi delle famiglie. </w:t>
      </w:r>
    </w:p>
    <w:p w:rsidR="00945580" w:rsidRPr="002875F7" w:rsidRDefault="00945580" w:rsidP="00945580">
      <w:pPr>
        <w:tabs>
          <w:tab w:val="left" w:pos="2098"/>
        </w:tabs>
        <w:spacing w:before="0" w:after="120"/>
        <w:jc w:val="both"/>
        <w:rPr>
          <w:rFonts w:ascii="Arial" w:hAnsi="Arial" w:cs="Arial"/>
          <w:szCs w:val="21"/>
        </w:rPr>
      </w:pPr>
      <w:r w:rsidRPr="002875F7">
        <w:rPr>
          <w:rFonts w:ascii="Arial" w:hAnsi="Arial" w:cs="Arial"/>
          <w:bCs/>
          <w:szCs w:val="21"/>
        </w:rPr>
        <w:t xml:space="preserve">Gli </w:t>
      </w:r>
      <w:r w:rsidRPr="002875F7">
        <w:rPr>
          <w:rFonts w:ascii="Arial" w:hAnsi="Arial" w:cs="Arial"/>
          <w:i/>
          <w:szCs w:val="21"/>
        </w:rPr>
        <w:t xml:space="preserve">indici per </w:t>
      </w:r>
      <w:r w:rsidRPr="002875F7">
        <w:rPr>
          <w:rFonts w:ascii="Arial" w:hAnsi="Arial" w:cs="Arial"/>
          <w:bCs/>
          <w:i/>
          <w:szCs w:val="21"/>
        </w:rPr>
        <w:t>capoluogo di provincia, regione e</w:t>
      </w:r>
      <w:r w:rsidRPr="002875F7">
        <w:rPr>
          <w:rFonts w:ascii="Arial" w:hAnsi="Arial" w:cs="Arial"/>
          <w:bCs/>
          <w:szCs w:val="21"/>
        </w:rPr>
        <w:t xml:space="preserve"> </w:t>
      </w:r>
      <w:r w:rsidRPr="002875F7">
        <w:rPr>
          <w:rFonts w:ascii="Arial" w:hAnsi="Arial" w:cs="Arial"/>
          <w:i/>
          <w:szCs w:val="21"/>
        </w:rPr>
        <w:t>ripartizione geografica</w:t>
      </w:r>
      <w:r w:rsidRPr="002875F7">
        <w:rPr>
          <w:rFonts w:ascii="Arial" w:hAnsi="Arial" w:cs="Arial"/>
          <w:szCs w:val="21"/>
        </w:rPr>
        <w:t xml:space="preserve"> si ottengono come segue:</w:t>
      </w:r>
    </w:p>
    <w:p w:rsidR="00945580" w:rsidRPr="002875F7" w:rsidRDefault="00945580" w:rsidP="00945580">
      <w:pPr>
        <w:widowControl/>
        <w:numPr>
          <w:ilvl w:val="0"/>
          <w:numId w:val="27"/>
        </w:numPr>
        <w:tabs>
          <w:tab w:val="clear" w:pos="720"/>
          <w:tab w:val="num" w:pos="502"/>
        </w:tabs>
        <w:spacing w:before="0" w:after="120"/>
        <w:ind w:left="284" w:hanging="284"/>
        <w:jc w:val="both"/>
        <w:rPr>
          <w:rFonts w:ascii="Arial" w:hAnsi="Arial" w:cs="Arial"/>
          <w:szCs w:val="21"/>
        </w:rPr>
      </w:pPr>
      <w:r w:rsidRPr="002875F7">
        <w:rPr>
          <w:rFonts w:ascii="Arial" w:hAnsi="Arial" w:cs="Arial"/>
          <w:szCs w:val="21"/>
        </w:rPr>
        <w:t>l’indice generale per regione e per ripartizione geografica dei prezzi sono calcolati rispettivamente come media ponderata degli indici regionali e ripartizionali di aggregato di prodotto</w:t>
      </w:r>
      <w:r>
        <w:rPr>
          <w:rFonts w:ascii="Arial" w:hAnsi="Arial" w:cs="Arial"/>
          <w:szCs w:val="21"/>
        </w:rPr>
        <w:t>; i</w:t>
      </w:r>
      <w:r w:rsidRPr="002875F7">
        <w:rPr>
          <w:rFonts w:ascii="Arial" w:hAnsi="Arial" w:cs="Arial"/>
          <w:szCs w:val="21"/>
        </w:rPr>
        <w:t xml:space="preserve"> coefficienti di ponderazione utilizzati si basano sul peso di ciascun aggregato di prodotto in te</w:t>
      </w:r>
      <w:r>
        <w:rPr>
          <w:rFonts w:ascii="Arial" w:hAnsi="Arial" w:cs="Arial"/>
          <w:szCs w:val="21"/>
        </w:rPr>
        <w:t>rmini di consumi delle famiglie;</w:t>
      </w:r>
    </w:p>
    <w:p w:rsidR="00945580" w:rsidRPr="002875F7" w:rsidRDefault="00945580" w:rsidP="00945580">
      <w:pPr>
        <w:widowControl/>
        <w:numPr>
          <w:ilvl w:val="0"/>
          <w:numId w:val="27"/>
        </w:numPr>
        <w:tabs>
          <w:tab w:val="clear" w:pos="720"/>
          <w:tab w:val="num" w:pos="502"/>
        </w:tabs>
        <w:spacing w:before="0" w:after="120"/>
        <w:ind w:left="284" w:hanging="284"/>
        <w:jc w:val="both"/>
        <w:rPr>
          <w:rFonts w:ascii="Arial" w:hAnsi="Arial" w:cs="Arial"/>
          <w:szCs w:val="21"/>
        </w:rPr>
      </w:pPr>
      <w:r w:rsidRPr="002875F7">
        <w:rPr>
          <w:rFonts w:ascii="Arial" w:hAnsi="Arial" w:cs="Arial"/>
          <w:szCs w:val="21"/>
        </w:rPr>
        <w:t>l’indice generale provinciale si ottiene come media aritmetica ponderata degli aggregati di prodotto calcolati a livello di capoluogo di provincia</w:t>
      </w:r>
      <w:r>
        <w:rPr>
          <w:rFonts w:ascii="Arial" w:hAnsi="Arial" w:cs="Arial"/>
          <w:szCs w:val="21"/>
        </w:rPr>
        <w:t>; i</w:t>
      </w:r>
      <w:r w:rsidRPr="002875F7">
        <w:rPr>
          <w:rFonts w:ascii="Arial" w:hAnsi="Arial" w:cs="Arial"/>
          <w:szCs w:val="21"/>
        </w:rPr>
        <w:t xml:space="preserve"> coefficienti di ponderazione utilizzati si basano sul peso di ciascun aggregato di prodotto in termini di consumi delle famiglie. La struttura di ponderazione utilizzata è quella definita a livello regionale.</w:t>
      </w:r>
    </w:p>
    <w:p w:rsidR="00945580" w:rsidRPr="002875F7" w:rsidRDefault="00945580" w:rsidP="00945580">
      <w:pPr>
        <w:widowControl/>
        <w:spacing w:before="0" w:after="120"/>
        <w:jc w:val="both"/>
        <w:rPr>
          <w:rFonts w:ascii="Arial" w:hAnsi="Arial" w:cs="Arial"/>
          <w:bCs/>
          <w:szCs w:val="21"/>
          <w:highlight w:val="yellow"/>
        </w:rPr>
      </w:pPr>
      <w:r w:rsidRPr="002875F7">
        <w:rPr>
          <w:rFonts w:ascii="Arial" w:hAnsi="Arial" w:cs="Arial"/>
          <w:bCs/>
          <w:szCs w:val="21"/>
        </w:rPr>
        <w:t>Il calcolo degli indici sintetici (per ogni livello di sintesi degli aggregati) avviene applicando la formula dell’indice a catena di Laspeyres; pertanto, gli indici mensili dell’anno corrente sono calcolati con riferimento al mese di dicembre dell’anno precedente (base di calcolo) e successivamente raccordati al periodo scelto come base di riferimento dell’indice per misurare la dinamica dei prezzi su un periodo di tempo pluriennale.</w:t>
      </w:r>
    </w:p>
    <w:p w:rsidR="00945580" w:rsidRPr="00963ACB" w:rsidRDefault="00945580" w:rsidP="00945580">
      <w:pPr>
        <w:widowControl/>
        <w:tabs>
          <w:tab w:val="left" w:pos="284"/>
        </w:tabs>
        <w:spacing w:before="0" w:after="120"/>
        <w:jc w:val="both"/>
        <w:rPr>
          <w:rFonts w:ascii="Arial" w:hAnsi="Arial" w:cs="Arial"/>
          <w:szCs w:val="21"/>
        </w:rPr>
      </w:pPr>
    </w:p>
    <w:p w:rsidR="00945580" w:rsidRPr="00833545" w:rsidRDefault="00945580" w:rsidP="00945580">
      <w:pPr>
        <w:tabs>
          <w:tab w:val="left" w:pos="10206"/>
        </w:tabs>
        <w:spacing w:before="0" w:after="120"/>
        <w:jc w:val="both"/>
        <w:rPr>
          <w:rFonts w:ascii="Arial" w:hAnsi="Arial" w:cs="Arial"/>
          <w:b/>
          <w:sz w:val="22"/>
          <w:szCs w:val="22"/>
        </w:rPr>
      </w:pPr>
      <w:r w:rsidRPr="00833545">
        <w:rPr>
          <w:rFonts w:ascii="Arial" w:hAnsi="Arial" w:cs="Arial"/>
          <w:b/>
          <w:sz w:val="22"/>
          <w:szCs w:val="22"/>
        </w:rPr>
        <w:t>Classificazione degli indici dei prezzi al consumo</w:t>
      </w:r>
    </w:p>
    <w:p w:rsidR="00945580" w:rsidRPr="00747050" w:rsidRDefault="00945580" w:rsidP="00945580">
      <w:pPr>
        <w:widowControl/>
        <w:tabs>
          <w:tab w:val="left" w:pos="10206"/>
        </w:tabs>
        <w:overflowPunct/>
        <w:spacing w:before="0" w:after="120"/>
        <w:jc w:val="both"/>
        <w:rPr>
          <w:rFonts w:ascii="Arial" w:hAnsi="Arial" w:cs="Arial"/>
          <w:szCs w:val="21"/>
        </w:rPr>
      </w:pPr>
      <w:r w:rsidRPr="00747050">
        <w:rPr>
          <w:rFonts w:ascii="Arial" w:hAnsi="Arial" w:cs="Arial"/>
          <w:szCs w:val="21"/>
        </w:rPr>
        <w:t xml:space="preserve">La classificazione adottata per gli indici dei prezzi al consumo è la </w:t>
      </w:r>
      <w:r w:rsidRPr="00747050">
        <w:rPr>
          <w:rFonts w:ascii="Arial" w:hAnsi="Arial" w:cs="Arial"/>
          <w:i/>
          <w:szCs w:val="21"/>
        </w:rPr>
        <w:t xml:space="preserve">European </w:t>
      </w:r>
      <w:r w:rsidRPr="00747050">
        <w:rPr>
          <w:rFonts w:ascii="Arial" w:hAnsi="Arial" w:cs="Arial"/>
          <w:i/>
          <w:iCs/>
          <w:szCs w:val="21"/>
        </w:rPr>
        <w:t>Classification of Individual Consumption by Purpose</w:t>
      </w:r>
      <w:r w:rsidRPr="00747050">
        <w:rPr>
          <w:rFonts w:ascii="Arial" w:hAnsi="Arial" w:cs="Arial"/>
          <w:szCs w:val="21"/>
        </w:rPr>
        <w:t xml:space="preserve"> (ECOICOP), allegata al nuovo Regolamento quadro europeo degli indici dei prezzi al consumo armonizzati e dell’indice dei prezzi delle abitazioni (</w:t>
      </w:r>
      <w:r w:rsidRPr="00747050">
        <w:rPr>
          <w:rFonts w:ascii="Arial" w:hAnsi="Arial" w:cs="Arial"/>
          <w:b/>
          <w:szCs w:val="21"/>
        </w:rPr>
        <w:t>Reg. n. 2016/792</w:t>
      </w:r>
      <w:r w:rsidRPr="00747050">
        <w:rPr>
          <w:rFonts w:ascii="Arial" w:hAnsi="Arial" w:cs="Arial"/>
          <w:szCs w:val="21"/>
        </w:rPr>
        <w:t>). La struttura gerarchica prevista secondo la classificazione ECOICOP presenta quattro livelli di disaggregazione: Divisioni di spesa, Gruppi di prodotto, Classi di prodotto e Sottoclassi di prodotto (in luogo dei primi tre livelli della classificazione COICOP vigente fino a dicembre 2015).</w:t>
      </w:r>
    </w:p>
    <w:p w:rsidR="00945580" w:rsidRPr="00747050" w:rsidRDefault="00945580" w:rsidP="00945580">
      <w:pPr>
        <w:widowControl/>
        <w:tabs>
          <w:tab w:val="left" w:pos="10206"/>
        </w:tabs>
        <w:overflowPunct/>
        <w:spacing w:before="0" w:after="120"/>
        <w:jc w:val="both"/>
        <w:rPr>
          <w:rFonts w:ascii="Arial" w:hAnsi="Arial" w:cs="Arial"/>
          <w:szCs w:val="21"/>
        </w:rPr>
      </w:pPr>
      <w:r w:rsidRPr="00747050">
        <w:rPr>
          <w:rFonts w:ascii="Arial" w:hAnsi="Arial" w:cs="Arial"/>
          <w:szCs w:val="21"/>
        </w:rPr>
        <w:t>Ai fini del calcolo degli indici dei prezzi al consumo, le Sottoclassi di prodotto sono ulteriormente disaggregate in Segmenti di consumo.</w:t>
      </w:r>
    </w:p>
    <w:p w:rsidR="00945580" w:rsidRPr="00747050" w:rsidRDefault="00945580" w:rsidP="00945580">
      <w:pPr>
        <w:widowControl/>
        <w:tabs>
          <w:tab w:val="left" w:pos="10206"/>
        </w:tabs>
        <w:overflowPunct/>
        <w:spacing w:before="0" w:after="120"/>
        <w:jc w:val="both"/>
        <w:rPr>
          <w:rFonts w:ascii="Arial" w:hAnsi="Arial" w:cs="Arial"/>
          <w:szCs w:val="21"/>
        </w:rPr>
      </w:pPr>
      <w:r w:rsidRPr="00747050">
        <w:rPr>
          <w:rFonts w:ascii="Arial" w:hAnsi="Arial" w:cs="Arial"/>
          <w:szCs w:val="21"/>
        </w:rPr>
        <w:t>In base alla struttura di classificazione degli indici e al dettaglio territoriale, gli indici NIC sono pubblicati fino al livello dei segmenti di consumo se riferiti all’intero territorio nazionale</w:t>
      </w:r>
      <w:r w:rsidRPr="00747050">
        <w:rPr>
          <w:rFonts w:ascii="Arial" w:hAnsi="Arial"/>
          <w:szCs w:val="21"/>
          <w:vertAlign w:val="superscript"/>
        </w:rPr>
        <w:footnoteReference w:id="6"/>
      </w:r>
      <w:r w:rsidRPr="00747050">
        <w:rPr>
          <w:rFonts w:ascii="Arial" w:hAnsi="Arial" w:cs="Arial"/>
          <w:szCs w:val="21"/>
        </w:rPr>
        <w:t xml:space="preserve">, fino a quello dei gruppi di prodotto se riferiti a ripartizione, regione e provincia. Gli indici FOI sono diffusi a livello nazionale e provinciale fino alle divisioni di spesa. </w:t>
      </w:r>
    </w:p>
    <w:p w:rsidR="00945580" w:rsidRPr="00747050" w:rsidRDefault="00945580" w:rsidP="00945580">
      <w:pPr>
        <w:widowControl/>
        <w:overflowPunct/>
        <w:spacing w:before="0" w:after="120"/>
        <w:jc w:val="both"/>
        <w:rPr>
          <w:rFonts w:ascii="Arial" w:hAnsi="Arial" w:cs="Arial"/>
        </w:rPr>
      </w:pPr>
      <w:r w:rsidRPr="00747050">
        <w:rPr>
          <w:rFonts w:ascii="Arial" w:hAnsi="Arial" w:cs="Arial"/>
        </w:rPr>
        <w:t>In aggiunta, sia con riferimento all’indice NIC sia all’IPCA, vengono calcolati indici dei prezzi basati su schemi classificatori alternativi alla classificazione ECOICOP, rispettivamente gli indici per tipologia di prodotto e quelli degli aggregati speciali (IPCA-AS). In particolare,</w:t>
      </w:r>
      <w:r w:rsidRPr="00747050">
        <w:rPr>
          <w:rFonts w:ascii="Arial" w:hAnsi="Arial" w:cs="Arial"/>
          <w:szCs w:val="21"/>
        </w:rPr>
        <w:t xml:space="preserve"> </w:t>
      </w:r>
      <w:r w:rsidRPr="00747050">
        <w:rPr>
          <w:rFonts w:ascii="Arial" w:hAnsi="Arial" w:cs="Arial"/>
        </w:rPr>
        <w:t>gli IPCA-AS sono elaborati adottando lo stesso metodo di calcolo utilizzato da Eurostat (diverso da quello adottato per le tipologie di prodotto del NIC), al fine di permettere la piena comparabilità tra gli indici italiani e quelli elaborati da Eurostat per l’Ue, la zona euro e gli altri Paesi europei</w:t>
      </w:r>
      <w:r w:rsidRPr="00747050">
        <w:rPr>
          <w:rFonts w:ascii="Arial" w:hAnsi="Arial"/>
          <w:vertAlign w:val="superscript"/>
        </w:rPr>
        <w:footnoteReference w:id="7"/>
      </w:r>
      <w:r w:rsidRPr="00747050">
        <w:rPr>
          <w:rFonts w:ascii="Arial" w:hAnsi="Arial" w:cs="Arial"/>
        </w:rPr>
        <w:t>. Gli IPCA-AS a partire dai dati definitivi di gennaio 2019 sono calcolati aggregando gli indici delle sottoclassi della ECOICOP (in precedenza, per il computo di questi indicatori erano utilizzati gli indici delle classi). Per una migliore fruibilità dei nuovi indicatori, le serie degli aggregati speciali, secondo il nuovo schema, sono state ricostruite per il periodo gennaio 2017 - dicembre 2018.</w:t>
      </w:r>
    </w:p>
    <w:p w:rsidR="00945580" w:rsidRPr="008E006C" w:rsidRDefault="00945580" w:rsidP="00945580">
      <w:pPr>
        <w:widowControl/>
        <w:tabs>
          <w:tab w:val="left" w:pos="10206"/>
        </w:tabs>
        <w:overflowPunct/>
        <w:spacing w:before="0" w:after="120"/>
        <w:jc w:val="both"/>
        <w:rPr>
          <w:rFonts w:ascii="Arial" w:hAnsi="Arial" w:cs="Arial"/>
          <w:szCs w:val="21"/>
        </w:rPr>
      </w:pPr>
    </w:p>
    <w:p w:rsidR="00945580" w:rsidRPr="00833545" w:rsidRDefault="00945580" w:rsidP="00945580">
      <w:pPr>
        <w:pStyle w:val="Rientrocorpodeltesto"/>
        <w:spacing w:before="0"/>
        <w:ind w:left="0" w:hanging="1"/>
        <w:rPr>
          <w:rFonts w:ascii="Arial" w:hAnsi="Arial" w:cs="Arial"/>
          <w:b/>
          <w:bCs/>
          <w:szCs w:val="22"/>
        </w:rPr>
      </w:pPr>
      <w:r w:rsidRPr="00833545">
        <w:rPr>
          <w:rFonts w:ascii="Arial" w:hAnsi="Arial" w:cs="Arial"/>
          <w:b/>
          <w:bCs/>
          <w:szCs w:val="22"/>
        </w:rPr>
        <w:t>Rilevazione e calcolo degli indici dei prezzi dei prodotti stagionali</w:t>
      </w:r>
    </w:p>
    <w:p w:rsidR="00945580" w:rsidRPr="00747050" w:rsidRDefault="00945580" w:rsidP="00945580">
      <w:pPr>
        <w:spacing w:before="0" w:after="120"/>
        <w:jc w:val="both"/>
        <w:rPr>
          <w:rFonts w:ascii="Arial" w:hAnsi="Arial" w:cs="Arial"/>
        </w:rPr>
      </w:pPr>
      <w:r w:rsidRPr="00747050">
        <w:rPr>
          <w:rFonts w:ascii="Arial" w:hAnsi="Arial" w:cs="Arial"/>
        </w:rPr>
        <w:t xml:space="preserve">Dai dati di gennaio 2011 viene adottata la metodologia di rilevazione e calcolo degli indici dei prezzi dei prodotti stagionali, conforme alle norme previste prima dal Regolamento (CE) n. 330/2009 del 22 aprile 2009 e poi dal Regolamento di Esecuzione (UE) n. 2020/1148 della Commissione del 31 luglio 2020 (che ha abrogato il Regolamento 330/2009), per i prodotti stagionali appartenenti ai gruppi e classi di prodotto </w:t>
      </w:r>
      <w:r w:rsidRPr="00747050">
        <w:rPr>
          <w:rFonts w:ascii="Arial" w:hAnsi="Arial" w:cs="Arial"/>
          <w:i/>
        </w:rPr>
        <w:t>Frutta,</w:t>
      </w:r>
      <w:r w:rsidRPr="00747050">
        <w:rPr>
          <w:rFonts w:ascii="Arial" w:hAnsi="Arial" w:cs="Arial"/>
        </w:rPr>
        <w:t xml:space="preserve"> </w:t>
      </w:r>
      <w:r w:rsidRPr="00747050">
        <w:rPr>
          <w:rFonts w:ascii="Arial" w:hAnsi="Arial" w:cs="Arial"/>
          <w:i/>
        </w:rPr>
        <w:t>Vegetali</w:t>
      </w:r>
      <w:r w:rsidRPr="00747050">
        <w:rPr>
          <w:rFonts w:ascii="Arial" w:hAnsi="Arial" w:cs="Arial"/>
        </w:rPr>
        <w:t xml:space="preserve">, </w:t>
      </w:r>
      <w:r w:rsidRPr="00747050">
        <w:rPr>
          <w:rFonts w:ascii="Arial" w:hAnsi="Arial" w:cs="Arial"/>
          <w:i/>
        </w:rPr>
        <w:t>Abbigliamento e Calzature</w:t>
      </w:r>
      <w:r w:rsidRPr="00747050">
        <w:rPr>
          <w:rFonts w:ascii="Arial" w:hAnsi="Arial" w:cs="Arial"/>
        </w:rPr>
        <w:t>. La metodologia è adottata per i tre indici NIC, FOI e IPCA.</w:t>
      </w:r>
    </w:p>
    <w:p w:rsidR="00945580" w:rsidRPr="00747050" w:rsidRDefault="00945580" w:rsidP="00945580">
      <w:pPr>
        <w:spacing w:before="0" w:after="120"/>
        <w:jc w:val="both"/>
        <w:rPr>
          <w:rFonts w:ascii="Arial" w:hAnsi="Arial" w:cs="Arial"/>
        </w:rPr>
      </w:pPr>
      <w:r w:rsidRPr="00747050">
        <w:rPr>
          <w:rFonts w:ascii="Arial" w:hAnsi="Arial" w:cs="Arial"/>
        </w:rPr>
        <w:t xml:space="preserve">Secondo il citato Regolamento si definisce </w:t>
      </w:r>
      <w:r w:rsidRPr="00747050">
        <w:rPr>
          <w:rFonts w:ascii="Arial" w:hAnsi="Arial" w:cs="Arial"/>
          <w:i/>
        </w:rPr>
        <w:t>prodotto stagionale</w:t>
      </w:r>
      <w:r w:rsidRPr="00747050">
        <w:rPr>
          <w:rFonts w:ascii="Arial" w:hAnsi="Arial" w:cs="Arial"/>
        </w:rPr>
        <w:t xml:space="preserve"> un singolo prodotto acquistabile o acquistato in quantità significative solo durante una parte dell’anno secondo uno schema ricorrente. </w:t>
      </w:r>
    </w:p>
    <w:p w:rsidR="00945580" w:rsidRPr="00747050" w:rsidRDefault="00945580" w:rsidP="00945580">
      <w:pPr>
        <w:pStyle w:val="Default"/>
        <w:spacing w:after="120"/>
        <w:jc w:val="both"/>
        <w:rPr>
          <w:rFonts w:ascii="Arial" w:hAnsi="Arial" w:cs="Arial"/>
          <w:sz w:val="20"/>
          <w:szCs w:val="20"/>
        </w:rPr>
      </w:pPr>
      <w:r w:rsidRPr="00747050">
        <w:rPr>
          <w:rFonts w:ascii="Arial" w:hAnsi="Arial" w:cs="Arial"/>
          <w:sz w:val="20"/>
          <w:szCs w:val="20"/>
        </w:rPr>
        <w:t>Il Regolamento stabilisce, inoltre, che, in un dato mese, i prodotti stagionali siano considerati “in stagione” o “fuori stagione”. Sulla base di tale norma, ogni anno, l’Istat provvede alla definizione del calendario mensile valido per tutto l’anno, che stabilisce in un dato mese quando ogni specifico prodotto, appartenente alle suddette categorie o ai suddetti gruppi, deve essere considerato “</w:t>
      </w:r>
      <w:r w:rsidRPr="00747050">
        <w:rPr>
          <w:rFonts w:ascii="Arial" w:hAnsi="Arial" w:cs="Arial"/>
          <w:i/>
          <w:sz w:val="20"/>
          <w:szCs w:val="20"/>
        </w:rPr>
        <w:t>in stagione”</w:t>
      </w:r>
      <w:r w:rsidRPr="00747050">
        <w:rPr>
          <w:rFonts w:ascii="Arial" w:hAnsi="Arial" w:cs="Arial"/>
          <w:sz w:val="20"/>
          <w:szCs w:val="20"/>
        </w:rPr>
        <w:t xml:space="preserve"> oppure “</w:t>
      </w:r>
      <w:r w:rsidRPr="00747050">
        <w:rPr>
          <w:rFonts w:ascii="Arial" w:hAnsi="Arial" w:cs="Arial"/>
          <w:i/>
          <w:sz w:val="20"/>
          <w:szCs w:val="20"/>
        </w:rPr>
        <w:t>fuori stagione”</w:t>
      </w:r>
      <w:r w:rsidRPr="00747050">
        <w:rPr>
          <w:rFonts w:ascii="Arial" w:hAnsi="Arial" w:cs="Arial"/>
          <w:sz w:val="20"/>
          <w:szCs w:val="20"/>
        </w:rPr>
        <w:t>. L’adozione di un calendario della stagionalità comporta che la rilevazione territoriale dei prezzi al consumo sia effettuata solo nei mesi in cui il prodotto in questione è definito “</w:t>
      </w:r>
      <w:r w:rsidRPr="00747050">
        <w:rPr>
          <w:rFonts w:ascii="Arial" w:hAnsi="Arial" w:cs="Arial"/>
          <w:i/>
          <w:sz w:val="20"/>
          <w:szCs w:val="20"/>
        </w:rPr>
        <w:t>in stagione</w:t>
      </w:r>
      <w:r w:rsidRPr="00747050">
        <w:rPr>
          <w:rFonts w:ascii="Arial" w:hAnsi="Arial" w:cs="Arial"/>
          <w:sz w:val="20"/>
          <w:szCs w:val="20"/>
        </w:rPr>
        <w:t>”, mentre i prezzi dei prodotti “</w:t>
      </w:r>
      <w:r w:rsidRPr="00747050">
        <w:rPr>
          <w:rFonts w:ascii="Arial" w:hAnsi="Arial" w:cs="Arial"/>
          <w:i/>
          <w:sz w:val="20"/>
          <w:szCs w:val="20"/>
        </w:rPr>
        <w:t>fuori stagione</w:t>
      </w:r>
      <w:r w:rsidRPr="00747050">
        <w:rPr>
          <w:rFonts w:ascii="Arial" w:hAnsi="Arial" w:cs="Arial"/>
          <w:sz w:val="20"/>
          <w:szCs w:val="20"/>
        </w:rPr>
        <w:t>” sono stimati sulla base di una metodologia coerente con le indicazioni contenute nel Regolamento europeo.</w:t>
      </w:r>
    </w:p>
    <w:p w:rsidR="00945580" w:rsidRDefault="00945580" w:rsidP="00945580">
      <w:pPr>
        <w:pStyle w:val="Default"/>
        <w:spacing w:after="120"/>
        <w:jc w:val="both"/>
        <w:rPr>
          <w:rFonts w:ascii="Arial" w:hAnsi="Arial" w:cs="Arial"/>
          <w:sz w:val="20"/>
          <w:szCs w:val="20"/>
        </w:rPr>
      </w:pPr>
    </w:p>
    <w:p w:rsidR="00945580" w:rsidRPr="001D642A" w:rsidRDefault="00945580" w:rsidP="00945580">
      <w:pPr>
        <w:spacing w:before="0" w:after="120"/>
        <w:jc w:val="both"/>
        <w:rPr>
          <w:rFonts w:ascii="Arial" w:hAnsi="Arial" w:cs="Arial"/>
          <w:b/>
          <w:szCs w:val="22"/>
        </w:rPr>
      </w:pPr>
      <w:r w:rsidRPr="001D642A">
        <w:rPr>
          <w:rFonts w:ascii="Arial" w:hAnsi="Arial" w:cs="Arial"/>
          <w:b/>
          <w:szCs w:val="22"/>
        </w:rPr>
        <w:t>Stim</w:t>
      </w:r>
      <w:r>
        <w:rPr>
          <w:rFonts w:ascii="Arial" w:hAnsi="Arial" w:cs="Arial"/>
          <w:b/>
          <w:szCs w:val="22"/>
        </w:rPr>
        <w:t>a</w:t>
      </w:r>
      <w:r w:rsidRPr="001D642A">
        <w:rPr>
          <w:rFonts w:ascii="Arial" w:hAnsi="Arial" w:cs="Arial"/>
          <w:b/>
          <w:szCs w:val="22"/>
        </w:rPr>
        <w:t xml:space="preserve"> delle </w:t>
      </w:r>
      <w:r>
        <w:rPr>
          <w:rFonts w:ascii="Arial" w:hAnsi="Arial" w:cs="Arial"/>
          <w:b/>
          <w:szCs w:val="22"/>
        </w:rPr>
        <w:t>osservazioni</w:t>
      </w:r>
      <w:r w:rsidRPr="001D642A">
        <w:rPr>
          <w:rFonts w:ascii="Arial" w:hAnsi="Arial" w:cs="Arial"/>
          <w:b/>
          <w:szCs w:val="22"/>
        </w:rPr>
        <w:t xml:space="preserve"> </w:t>
      </w:r>
      <w:r>
        <w:rPr>
          <w:rFonts w:ascii="Arial" w:hAnsi="Arial" w:cs="Arial"/>
          <w:b/>
          <w:szCs w:val="22"/>
        </w:rPr>
        <w:t xml:space="preserve">mancanti </w:t>
      </w:r>
      <w:r w:rsidRPr="001D642A">
        <w:rPr>
          <w:rFonts w:ascii="Arial" w:hAnsi="Arial" w:cs="Arial"/>
          <w:b/>
          <w:szCs w:val="22"/>
        </w:rPr>
        <w:t>negli indici dei prezzi al consumo</w:t>
      </w:r>
    </w:p>
    <w:p w:rsidR="00945580" w:rsidRPr="002875F7" w:rsidRDefault="00945580" w:rsidP="00945580">
      <w:pPr>
        <w:pStyle w:val="Default"/>
        <w:spacing w:after="120"/>
        <w:jc w:val="both"/>
        <w:rPr>
          <w:rFonts w:ascii="Arial" w:hAnsi="Arial" w:cs="Arial"/>
          <w:sz w:val="20"/>
          <w:szCs w:val="20"/>
        </w:rPr>
      </w:pPr>
      <w:r w:rsidRPr="002875F7">
        <w:rPr>
          <w:rFonts w:ascii="Arial" w:hAnsi="Arial" w:cs="Arial"/>
          <w:sz w:val="20"/>
          <w:szCs w:val="20"/>
        </w:rPr>
        <w:t>Le procedure di imputazione delle osservazioni mancanti adottate dall’Istat per la stima dell’inflazione sono coerenti con l’impianto metodologico indicato da Eurostat e condiviso con gli Stati membri dell’Unione europea</w:t>
      </w:r>
      <w:r w:rsidRPr="002875F7">
        <w:rPr>
          <w:rStyle w:val="Rimandonotaapidipagina"/>
          <w:rFonts w:ascii="Arial" w:hAnsi="Arial"/>
          <w:sz w:val="20"/>
          <w:szCs w:val="20"/>
        </w:rPr>
        <w:footnoteReference w:id="8"/>
      </w:r>
      <w:r w:rsidRPr="002875F7">
        <w:rPr>
          <w:rFonts w:ascii="Arial" w:hAnsi="Arial" w:cs="Arial"/>
          <w:sz w:val="20"/>
          <w:szCs w:val="20"/>
        </w:rPr>
        <w:t xml:space="preserve">. </w:t>
      </w:r>
    </w:p>
    <w:p w:rsidR="00945580" w:rsidRPr="002875F7" w:rsidRDefault="00945580" w:rsidP="00945580">
      <w:pPr>
        <w:pStyle w:val="Default"/>
        <w:spacing w:after="120"/>
        <w:jc w:val="both"/>
        <w:rPr>
          <w:rFonts w:ascii="Arial" w:hAnsi="Arial" w:cs="Arial"/>
          <w:sz w:val="20"/>
          <w:szCs w:val="20"/>
        </w:rPr>
      </w:pPr>
      <w:r w:rsidRPr="002875F7">
        <w:rPr>
          <w:rFonts w:ascii="Arial" w:hAnsi="Arial" w:cs="Arial"/>
          <w:sz w:val="20"/>
          <w:szCs w:val="20"/>
        </w:rPr>
        <w:t xml:space="preserve">Questo impianto, che riguarda tutti e tre gli indici (NIC, FOI e IPCA), si basa su tre principi: </w:t>
      </w:r>
    </w:p>
    <w:p w:rsidR="00945580" w:rsidRPr="002875F7" w:rsidRDefault="00945580" w:rsidP="00945580">
      <w:pPr>
        <w:pStyle w:val="Default"/>
        <w:spacing w:after="120"/>
        <w:ind w:left="284"/>
        <w:jc w:val="both"/>
        <w:rPr>
          <w:rFonts w:ascii="Arial" w:hAnsi="Arial" w:cs="Arial"/>
          <w:sz w:val="20"/>
          <w:szCs w:val="20"/>
        </w:rPr>
      </w:pPr>
      <w:r w:rsidRPr="002875F7">
        <w:rPr>
          <w:rFonts w:ascii="Arial" w:hAnsi="Arial" w:cs="Arial"/>
          <w:sz w:val="20"/>
          <w:szCs w:val="20"/>
        </w:rPr>
        <w:t>1.</w:t>
      </w:r>
      <w:r w:rsidRPr="002875F7">
        <w:rPr>
          <w:rFonts w:ascii="Arial" w:hAnsi="Arial" w:cs="Arial"/>
          <w:sz w:val="20"/>
          <w:szCs w:val="20"/>
        </w:rPr>
        <w:tab/>
        <w:t>stabilità dei pesi degli aggregati di prodotto che compongono il paniere,</w:t>
      </w:r>
    </w:p>
    <w:p w:rsidR="00945580" w:rsidRPr="002875F7" w:rsidRDefault="00945580" w:rsidP="00945580">
      <w:pPr>
        <w:pStyle w:val="Default"/>
        <w:spacing w:after="120"/>
        <w:ind w:left="284"/>
        <w:jc w:val="both"/>
        <w:rPr>
          <w:rFonts w:ascii="Arial" w:hAnsi="Arial" w:cs="Arial"/>
          <w:sz w:val="20"/>
          <w:szCs w:val="20"/>
        </w:rPr>
      </w:pPr>
      <w:r w:rsidRPr="002875F7">
        <w:rPr>
          <w:rFonts w:ascii="Arial" w:hAnsi="Arial" w:cs="Arial"/>
          <w:sz w:val="20"/>
          <w:szCs w:val="20"/>
        </w:rPr>
        <w:t>2.</w:t>
      </w:r>
      <w:r w:rsidRPr="002875F7">
        <w:rPr>
          <w:rFonts w:ascii="Arial" w:hAnsi="Arial" w:cs="Arial"/>
          <w:sz w:val="20"/>
          <w:szCs w:val="20"/>
        </w:rPr>
        <w:tab/>
        <w:t>calcolo degli indici per tutti gli aggregati di prodotto e i diversi livelli di disaggregazione previsti dalla ECOICOP,</w:t>
      </w:r>
    </w:p>
    <w:p w:rsidR="00945580" w:rsidRPr="002875F7" w:rsidRDefault="00945580" w:rsidP="00945580">
      <w:pPr>
        <w:pStyle w:val="Default"/>
        <w:spacing w:after="120"/>
        <w:ind w:left="284"/>
        <w:jc w:val="both"/>
        <w:rPr>
          <w:rFonts w:ascii="Arial" w:hAnsi="Arial" w:cs="Arial"/>
          <w:sz w:val="20"/>
          <w:szCs w:val="20"/>
        </w:rPr>
      </w:pPr>
      <w:r w:rsidRPr="002875F7">
        <w:rPr>
          <w:rFonts w:ascii="Arial" w:hAnsi="Arial" w:cs="Arial"/>
          <w:sz w:val="20"/>
          <w:szCs w:val="20"/>
        </w:rPr>
        <w:t>3.</w:t>
      </w:r>
      <w:r w:rsidRPr="002875F7">
        <w:rPr>
          <w:rFonts w:ascii="Arial" w:hAnsi="Arial" w:cs="Arial"/>
          <w:sz w:val="20"/>
          <w:szCs w:val="20"/>
        </w:rPr>
        <w:tab/>
        <w:t>minimizzazione del numero di prezzi imputati</w:t>
      </w:r>
      <w:r w:rsidRPr="002875F7">
        <w:rPr>
          <w:rStyle w:val="Rimandonotaapidipagina"/>
          <w:rFonts w:ascii="Arial" w:hAnsi="Arial"/>
          <w:sz w:val="20"/>
          <w:szCs w:val="20"/>
        </w:rPr>
        <w:footnoteReference w:id="9"/>
      </w:r>
      <w:r w:rsidRPr="002875F7">
        <w:rPr>
          <w:rFonts w:ascii="Arial" w:hAnsi="Arial" w:cs="Arial"/>
          <w:sz w:val="20"/>
          <w:szCs w:val="20"/>
        </w:rPr>
        <w:t>.</w:t>
      </w:r>
    </w:p>
    <w:p w:rsidR="00945580" w:rsidRPr="002875F7" w:rsidRDefault="00945580" w:rsidP="00945580">
      <w:pPr>
        <w:pStyle w:val="Default"/>
        <w:spacing w:after="120"/>
        <w:jc w:val="both"/>
        <w:rPr>
          <w:rFonts w:ascii="Arial" w:hAnsi="Arial" w:cs="Arial"/>
          <w:sz w:val="20"/>
          <w:szCs w:val="20"/>
        </w:rPr>
      </w:pPr>
      <w:r w:rsidRPr="002875F7">
        <w:rPr>
          <w:rFonts w:ascii="Arial" w:hAnsi="Arial" w:cs="Arial"/>
          <w:sz w:val="20"/>
          <w:szCs w:val="20"/>
        </w:rPr>
        <w:t xml:space="preserve">Le regole di imputazione si applicano sia ai casi in cui non è possibile rilevare il prezzo di un prodotto, sia ai casi nei quali l’assenza del prezzo deriva dalla sua indisponibilità nel mercato, e comportano l’applicazione di procedure di ricostruzione del prezzo mancante della referenza, basate prevalentemente sulla variazione del prezzo rispetto al mese precedente. </w:t>
      </w:r>
    </w:p>
    <w:p w:rsidR="00945580" w:rsidRPr="002875F7" w:rsidRDefault="00945580" w:rsidP="00945580">
      <w:pPr>
        <w:pStyle w:val="Default"/>
        <w:spacing w:after="120"/>
        <w:jc w:val="both"/>
        <w:rPr>
          <w:rFonts w:ascii="Arial" w:hAnsi="Arial" w:cs="Arial"/>
          <w:sz w:val="20"/>
          <w:szCs w:val="20"/>
        </w:rPr>
      </w:pPr>
      <w:r w:rsidRPr="002875F7">
        <w:rPr>
          <w:rFonts w:ascii="Arial" w:hAnsi="Arial" w:cs="Arial"/>
          <w:sz w:val="20"/>
          <w:szCs w:val="20"/>
        </w:rPr>
        <w:t xml:space="preserve">L’individuazione della variazione congiunturale più idonea per la procedura di imputazione non è univocamente determinata, ma dipende da diversi fattori (tra i quali la quota di mancate rilevazioni per prodotto, la sua posizione nella struttura gerarchica, il suo grado di volatilità mensile e il carattere stagionale della dinamica dei prezzi). </w:t>
      </w:r>
    </w:p>
    <w:p w:rsidR="00945580" w:rsidRPr="002875F7" w:rsidRDefault="00945580" w:rsidP="00945580">
      <w:pPr>
        <w:pStyle w:val="Default"/>
        <w:spacing w:after="120"/>
        <w:jc w:val="both"/>
        <w:rPr>
          <w:rFonts w:ascii="Arial" w:hAnsi="Arial" w:cs="Arial"/>
          <w:sz w:val="20"/>
          <w:szCs w:val="20"/>
        </w:rPr>
      </w:pPr>
      <w:r w:rsidRPr="002875F7">
        <w:rPr>
          <w:rFonts w:ascii="Arial" w:hAnsi="Arial" w:cs="Arial"/>
          <w:sz w:val="20"/>
          <w:szCs w:val="20"/>
        </w:rPr>
        <w:t>Le regole di imputazione delle mancate rilevazioni dei prezzi applicate ai prodotti delle diverse categorie merceologiche, sono di seguito elencate:</w:t>
      </w:r>
    </w:p>
    <w:p w:rsidR="00945580" w:rsidRPr="002875F7" w:rsidRDefault="00945580" w:rsidP="00945580">
      <w:pPr>
        <w:pStyle w:val="Default"/>
        <w:numPr>
          <w:ilvl w:val="0"/>
          <w:numId w:val="37"/>
        </w:numPr>
        <w:ind w:left="567" w:hanging="357"/>
        <w:jc w:val="both"/>
        <w:rPr>
          <w:rFonts w:ascii="Arial" w:hAnsi="Arial" w:cs="Arial"/>
          <w:sz w:val="20"/>
          <w:szCs w:val="20"/>
        </w:rPr>
      </w:pPr>
      <w:r w:rsidRPr="002875F7">
        <w:rPr>
          <w:rFonts w:ascii="Arial" w:hAnsi="Arial" w:cs="Arial"/>
          <w:sz w:val="20"/>
          <w:szCs w:val="20"/>
        </w:rPr>
        <w:t>Per i prodotti grocery rilevati tramite scanner data, nell’ambito dell’approccio dinamico utilizzato per il calcolo degli indici e in accordo con le linee guida dell’Eurostat, i prezzi delle referenze (GTIN) temporaneamente assenti (per cause stagionali o accidentali) vengono imputati per un massimo di 14 mesi consecutivi.</w:t>
      </w:r>
    </w:p>
    <w:p w:rsidR="00945580" w:rsidRDefault="00945580" w:rsidP="00945580">
      <w:pPr>
        <w:pStyle w:val="Default"/>
        <w:spacing w:before="120"/>
        <w:ind w:left="567"/>
        <w:jc w:val="both"/>
        <w:rPr>
          <w:rFonts w:ascii="Arial" w:hAnsi="Arial" w:cs="Arial"/>
          <w:sz w:val="20"/>
          <w:szCs w:val="20"/>
        </w:rPr>
      </w:pPr>
    </w:p>
    <w:p w:rsidR="00945580" w:rsidRPr="002875F7" w:rsidRDefault="00945580" w:rsidP="00945580">
      <w:pPr>
        <w:pStyle w:val="Default"/>
        <w:spacing w:before="120"/>
        <w:ind w:left="567"/>
        <w:jc w:val="both"/>
        <w:rPr>
          <w:rFonts w:ascii="Arial" w:hAnsi="Arial" w:cs="Arial"/>
          <w:sz w:val="20"/>
          <w:szCs w:val="20"/>
        </w:rPr>
      </w:pPr>
      <w:r w:rsidRPr="002875F7">
        <w:rPr>
          <w:rFonts w:ascii="Arial" w:hAnsi="Arial" w:cs="Arial"/>
          <w:sz w:val="20"/>
          <w:szCs w:val="20"/>
        </w:rPr>
        <w:t>In particolare, qualora i prezzi mensili di alcune referenze di un determinato aggregato di prodotto risultino mancanti (come nel caso di assenza di vendite di un prodotto), essi vengono imputati per variazione, utilizzando il tasso di crescita su base mensile delle altre referenze, tenendo conto delle regole di aggregazione, per step successivi, adottate per la sintesi degli indici</w:t>
      </w:r>
      <w:r w:rsidRPr="002875F7">
        <w:rPr>
          <w:rStyle w:val="Rimandonotaapidipagina"/>
          <w:rFonts w:ascii="Arial" w:hAnsi="Arial"/>
          <w:sz w:val="20"/>
          <w:szCs w:val="20"/>
        </w:rPr>
        <w:footnoteReference w:id="10"/>
      </w:r>
      <w:r w:rsidRPr="002875F7">
        <w:rPr>
          <w:rFonts w:ascii="Arial" w:hAnsi="Arial" w:cs="Arial"/>
          <w:sz w:val="20"/>
          <w:szCs w:val="20"/>
        </w:rPr>
        <w:t xml:space="preserve">. </w:t>
      </w:r>
    </w:p>
    <w:p w:rsidR="00945580" w:rsidRPr="002875F7" w:rsidRDefault="00945580" w:rsidP="00945580">
      <w:pPr>
        <w:pStyle w:val="Default"/>
        <w:spacing w:before="120"/>
        <w:ind w:left="567"/>
        <w:jc w:val="both"/>
        <w:rPr>
          <w:rFonts w:ascii="Arial" w:hAnsi="Arial" w:cs="Arial"/>
          <w:sz w:val="20"/>
          <w:szCs w:val="20"/>
        </w:rPr>
      </w:pPr>
      <w:r w:rsidRPr="002875F7">
        <w:rPr>
          <w:rFonts w:ascii="Arial" w:hAnsi="Arial" w:cs="Arial"/>
          <w:sz w:val="20"/>
          <w:szCs w:val="20"/>
        </w:rPr>
        <w:t>Più in dettaglio, i prezzi mancanti vengono imputati all’interno di ciascun punto vendita stimando l’evoluzione dei prezzi dei GTIN effettivamente venduti nel mercato ECR cui il GTIN mancante appartiene. Per i GTIN che non trovano donatori all’interno del mercato ECR si considera lo strato cui appartiene il punto vendita e i prezzi mancanti vengono stimati seguendo l’evoluzione dei prezzi dello stesso mercato nello strato. Qualora non esistano donatori la procedura di stima sale di livello (provincia/aggregato di prodotto) fino ad imputare tutti i prezzi delle referenze mancanti. La metodologia implementata garantisce che la variazione degli aggregati di prodotto tenga conto delle sole informazioni effettivamente disponibili (l’imputazione è neutrale rispetto all’aggregazione).</w:t>
      </w:r>
    </w:p>
    <w:p w:rsidR="00945580" w:rsidRPr="002875F7" w:rsidRDefault="00945580" w:rsidP="00945580">
      <w:pPr>
        <w:pStyle w:val="Default"/>
        <w:spacing w:before="120"/>
        <w:ind w:left="567"/>
        <w:jc w:val="both"/>
        <w:rPr>
          <w:rFonts w:ascii="Arial" w:hAnsi="Arial" w:cs="Arial"/>
          <w:sz w:val="20"/>
          <w:szCs w:val="20"/>
        </w:rPr>
      </w:pPr>
      <w:r w:rsidRPr="002875F7">
        <w:rPr>
          <w:rFonts w:ascii="Arial" w:hAnsi="Arial" w:cs="Arial"/>
          <w:sz w:val="20"/>
          <w:szCs w:val="20"/>
        </w:rPr>
        <w:t>Le stesse regole di imputazione valgono nel caso in cui l’indisponibilità delle informazioni è dovuta alla chiusura del punto vendita. In tal caso vengono imputati i prezzi di tutte le corrispondenti referenze.</w:t>
      </w:r>
    </w:p>
    <w:p w:rsidR="00945580" w:rsidRPr="002875F7" w:rsidRDefault="00945580" w:rsidP="00945580">
      <w:pPr>
        <w:pStyle w:val="Default"/>
        <w:numPr>
          <w:ilvl w:val="0"/>
          <w:numId w:val="37"/>
        </w:numPr>
        <w:spacing w:before="120" w:after="120"/>
        <w:ind w:left="568" w:hanging="284"/>
        <w:jc w:val="both"/>
        <w:rPr>
          <w:rFonts w:ascii="Arial" w:hAnsi="Arial" w:cs="Arial"/>
          <w:sz w:val="20"/>
          <w:szCs w:val="20"/>
        </w:rPr>
      </w:pPr>
      <w:r w:rsidRPr="002875F7">
        <w:rPr>
          <w:rFonts w:ascii="Arial" w:hAnsi="Arial" w:cs="Arial"/>
          <w:sz w:val="20"/>
          <w:szCs w:val="20"/>
        </w:rPr>
        <w:t>Nel settore dell’abbigliamento e calzature e per i prodotti alimentari freschi, quali frutta e vegetali freschi, per i quali è prevista la rilevazione bimensile, nel caso in cui non siano disponibili i prezzi per entrambe le date di rilevazione, le mancate risposte sono imputate per variazione dei prezzi delle referenze che sono state rilevate per lo stesso prodotto nel capoluogo di provincia, oppure nella regione o a livello nazionale, applicando le consuete procedure per la stima dei prezzi dei prodotti stagionali.</w:t>
      </w:r>
    </w:p>
    <w:p w:rsidR="00945580" w:rsidRPr="002875F7" w:rsidRDefault="00945580" w:rsidP="00945580">
      <w:pPr>
        <w:pStyle w:val="Default"/>
        <w:numPr>
          <w:ilvl w:val="0"/>
          <w:numId w:val="37"/>
        </w:numPr>
        <w:spacing w:after="120"/>
        <w:ind w:left="567"/>
        <w:jc w:val="both"/>
        <w:rPr>
          <w:rFonts w:ascii="Arial" w:hAnsi="Arial" w:cs="Arial"/>
          <w:sz w:val="20"/>
          <w:szCs w:val="20"/>
        </w:rPr>
      </w:pPr>
      <w:r w:rsidRPr="002875F7">
        <w:rPr>
          <w:rFonts w:ascii="Arial" w:hAnsi="Arial" w:cs="Arial"/>
          <w:sz w:val="20"/>
          <w:szCs w:val="20"/>
        </w:rPr>
        <w:t>Per la stima dei prezzi dei prodotti alimentari freschi (per i quali è prevista la rilevazione mensile), dei prodotti ittici freschi (per i quali è prevista la rilevazione bimensile, nel caso in cui non siano disponibili i prezzi per entrambe le date di rilevazione), le mancate risposte sono imputate per variazione dei prezzi delle referenze rilevate per lo stesso prodotto nel capoluogo di provincia, oppure nella regione o a livello nazionale.</w:t>
      </w:r>
    </w:p>
    <w:p w:rsidR="00945580" w:rsidRPr="002875F7" w:rsidRDefault="00945580" w:rsidP="00945580">
      <w:pPr>
        <w:pStyle w:val="Default"/>
        <w:numPr>
          <w:ilvl w:val="0"/>
          <w:numId w:val="37"/>
        </w:numPr>
        <w:spacing w:after="120"/>
        <w:ind w:left="567" w:hanging="283"/>
        <w:jc w:val="both"/>
        <w:rPr>
          <w:rFonts w:ascii="Arial" w:hAnsi="Arial" w:cs="Arial"/>
          <w:sz w:val="20"/>
          <w:szCs w:val="20"/>
        </w:rPr>
      </w:pPr>
      <w:r w:rsidRPr="002875F7">
        <w:rPr>
          <w:rFonts w:ascii="Arial" w:hAnsi="Arial" w:cs="Arial"/>
          <w:sz w:val="20"/>
          <w:szCs w:val="20"/>
        </w:rPr>
        <w:t>Per i prodotti (definiti in base alla categoria) che compongono l’aggregato camera d’albergo, a partire da gennaio 2022, le mancate risposte imputate utilizzando la variazione congiunturale dei prezzi degli alberghi rilevati nella provincia per la stessa categoria di alberghi, oppure nello stesso aggregato o, se il numero di osservazioni disponibili nel mese di riferimento non lo consente, la variazione congiunturale osservata nella provincia nello stesso mese dell’anno precedente, al fine di preservare la dinamica stagionale dell’aggregato.</w:t>
      </w:r>
    </w:p>
    <w:p w:rsidR="00945580" w:rsidRPr="002875F7" w:rsidRDefault="00945580" w:rsidP="00945580">
      <w:pPr>
        <w:pStyle w:val="Default"/>
        <w:numPr>
          <w:ilvl w:val="0"/>
          <w:numId w:val="37"/>
        </w:numPr>
        <w:spacing w:after="120"/>
        <w:ind w:left="567" w:hanging="283"/>
        <w:jc w:val="both"/>
        <w:rPr>
          <w:rFonts w:ascii="Arial" w:hAnsi="Arial" w:cs="Arial"/>
          <w:sz w:val="20"/>
          <w:szCs w:val="20"/>
        </w:rPr>
      </w:pPr>
      <w:r w:rsidRPr="002875F7">
        <w:rPr>
          <w:rFonts w:ascii="Arial" w:hAnsi="Arial" w:cs="Arial"/>
          <w:sz w:val="20"/>
          <w:szCs w:val="20"/>
        </w:rPr>
        <w:t xml:space="preserve">Per i prezzi dei prodotti di arredamento e dei prodotti per la casa si applica il metodo del </w:t>
      </w:r>
      <w:r w:rsidRPr="002875F7">
        <w:rPr>
          <w:rFonts w:ascii="Arial" w:hAnsi="Arial" w:cs="Arial"/>
          <w:i/>
          <w:sz w:val="20"/>
          <w:szCs w:val="20"/>
        </w:rPr>
        <w:t>carry forward</w:t>
      </w:r>
      <w:r w:rsidRPr="002875F7">
        <w:rPr>
          <w:rFonts w:ascii="Arial" w:hAnsi="Arial" w:cs="Arial"/>
          <w:sz w:val="20"/>
          <w:szCs w:val="20"/>
        </w:rPr>
        <w:t xml:space="preserve"> (ripetizione del prezzo del mese precedente), data la limitata variabilità temporale dei prezzi di questa categoria di prodotti.</w:t>
      </w:r>
    </w:p>
    <w:p w:rsidR="00945580" w:rsidRPr="002875F7" w:rsidRDefault="00945580" w:rsidP="00945580">
      <w:pPr>
        <w:pStyle w:val="Default"/>
        <w:numPr>
          <w:ilvl w:val="0"/>
          <w:numId w:val="37"/>
        </w:numPr>
        <w:spacing w:after="120"/>
        <w:ind w:left="567" w:hanging="283"/>
        <w:jc w:val="both"/>
        <w:rPr>
          <w:rFonts w:ascii="Arial" w:hAnsi="Arial" w:cs="Arial"/>
          <w:sz w:val="20"/>
          <w:szCs w:val="20"/>
        </w:rPr>
      </w:pPr>
      <w:r w:rsidRPr="002875F7">
        <w:rPr>
          <w:rFonts w:ascii="Arial" w:hAnsi="Arial" w:cs="Arial"/>
          <w:sz w:val="20"/>
          <w:szCs w:val="20"/>
        </w:rPr>
        <w:t xml:space="preserve">Analogamente il metodo del </w:t>
      </w:r>
      <w:r w:rsidRPr="002875F7">
        <w:rPr>
          <w:rFonts w:ascii="Arial" w:hAnsi="Arial" w:cs="Arial"/>
          <w:i/>
          <w:sz w:val="20"/>
          <w:szCs w:val="20"/>
        </w:rPr>
        <w:t>carry forward</w:t>
      </w:r>
      <w:r w:rsidRPr="002875F7">
        <w:rPr>
          <w:rFonts w:ascii="Arial" w:hAnsi="Arial" w:cs="Arial"/>
          <w:sz w:val="20"/>
          <w:szCs w:val="20"/>
        </w:rPr>
        <w:t xml:space="preserve"> viene adottato per i prezzi dei servizi di ristorazione e dei servizi culturali e di intrattenimento.</w:t>
      </w:r>
    </w:p>
    <w:p w:rsidR="00945580" w:rsidRDefault="00945580" w:rsidP="00945580">
      <w:pPr>
        <w:pStyle w:val="Default"/>
        <w:numPr>
          <w:ilvl w:val="0"/>
          <w:numId w:val="37"/>
        </w:numPr>
        <w:spacing w:after="120"/>
        <w:ind w:left="567" w:hanging="283"/>
        <w:jc w:val="both"/>
        <w:rPr>
          <w:rFonts w:ascii="Arial" w:hAnsi="Arial" w:cs="Arial"/>
          <w:sz w:val="20"/>
          <w:szCs w:val="20"/>
        </w:rPr>
      </w:pPr>
      <w:r w:rsidRPr="002875F7">
        <w:rPr>
          <w:rFonts w:ascii="Arial" w:hAnsi="Arial" w:cs="Arial"/>
          <w:sz w:val="20"/>
          <w:szCs w:val="20"/>
        </w:rPr>
        <w:t>Per i prodotti rilevati centralmente dall’Istat ogni quotazione mancante viene stimata utilizzando la variazione congiunturale degli indici che appartengono allo stesso strato; qualora i prezzi di uno strato risultino completamente assenti, la procedura di stima è basata sulla variazione degli indici di strato superiori.</w:t>
      </w:r>
    </w:p>
    <w:p w:rsidR="00945580" w:rsidRPr="00BC2BB0" w:rsidRDefault="00945580" w:rsidP="00945580">
      <w:pPr>
        <w:pStyle w:val="Default"/>
        <w:numPr>
          <w:ilvl w:val="0"/>
          <w:numId w:val="37"/>
        </w:numPr>
        <w:spacing w:after="120"/>
        <w:ind w:left="567" w:hanging="283"/>
        <w:jc w:val="both"/>
        <w:rPr>
          <w:rFonts w:ascii="Arial" w:hAnsi="Arial" w:cs="Arial"/>
          <w:sz w:val="20"/>
          <w:szCs w:val="20"/>
        </w:rPr>
      </w:pPr>
      <w:r w:rsidRPr="00BC2BB0">
        <w:rPr>
          <w:rFonts w:ascii="Arial" w:hAnsi="Arial" w:cs="Arial"/>
          <w:sz w:val="20"/>
          <w:szCs w:val="20"/>
        </w:rPr>
        <w:t>Per i prodotti indisponibili alla fruizione da parte delle famiglie (come accaduto nei periodi di lockdown durante la pandemia causata dal Covid-19) e che presentano un chiaro profilo stagionale, viene utilizzata la variazione dell’indice generale calcolata al netto di questi stessi prodotti.</w:t>
      </w:r>
    </w:p>
    <w:p w:rsidR="00945580" w:rsidRPr="002875F7" w:rsidRDefault="00945580" w:rsidP="00945580">
      <w:pPr>
        <w:pStyle w:val="Default"/>
        <w:spacing w:after="120"/>
        <w:jc w:val="both"/>
        <w:rPr>
          <w:rFonts w:ascii="Arial" w:hAnsi="Arial" w:cs="Arial"/>
          <w:sz w:val="20"/>
          <w:szCs w:val="20"/>
        </w:rPr>
      </w:pPr>
      <w:r w:rsidRPr="002875F7">
        <w:rPr>
          <w:rFonts w:ascii="Arial" w:hAnsi="Arial" w:cs="Arial"/>
          <w:sz w:val="20"/>
          <w:szCs w:val="20"/>
        </w:rPr>
        <w:t>Gli indici ai diversi livelli di aggregazione qualora abbiano una quota di imputazioni superiore al 50% (in termini di prezzi mancanti e/o di peso) sono segnalate, sulla base delle indicazioni di Eurostat, mediante l’utilizzo del flag “i” (dato imputato) sia nelle tabelle del Comunicato stampa, sia su I</w:t>
      </w:r>
      <w:r w:rsidR="006B342C">
        <w:rPr>
          <w:rFonts w:ascii="Arial" w:hAnsi="Arial" w:cs="Arial"/>
          <w:sz w:val="20"/>
          <w:szCs w:val="20"/>
        </w:rPr>
        <w:t>statData</w:t>
      </w:r>
      <w:r w:rsidRPr="002875F7">
        <w:rPr>
          <w:rFonts w:ascii="Arial" w:hAnsi="Arial" w:cs="Arial"/>
          <w:sz w:val="20"/>
          <w:szCs w:val="20"/>
        </w:rPr>
        <w:t xml:space="preserve"> e nelle altre pubblicazioni. Per quanto riguarda gli indici diffusi su Rivaluta, in occasione del rilascio dei dati definitivi, quelli che presentano una quota di imputazioni superiore al 50% (in termini di prezzi mancanti e/o di peso) non sono resi disponibili.</w:t>
      </w:r>
    </w:p>
    <w:p w:rsidR="00945580" w:rsidRPr="001D642A" w:rsidRDefault="00945580" w:rsidP="00945580">
      <w:pPr>
        <w:pStyle w:val="Default"/>
        <w:spacing w:after="120"/>
        <w:jc w:val="both"/>
        <w:rPr>
          <w:rFonts w:ascii="Arial" w:hAnsi="Arial" w:cs="Arial"/>
          <w:sz w:val="20"/>
          <w:szCs w:val="20"/>
        </w:rPr>
      </w:pPr>
    </w:p>
    <w:p w:rsidR="00945580" w:rsidRPr="001D642A" w:rsidRDefault="00945580" w:rsidP="00945580">
      <w:pPr>
        <w:spacing w:before="0" w:after="120"/>
        <w:jc w:val="both"/>
        <w:rPr>
          <w:rFonts w:ascii="Arial" w:hAnsi="Arial" w:cs="Arial"/>
          <w:b/>
          <w:sz w:val="22"/>
          <w:szCs w:val="22"/>
        </w:rPr>
      </w:pPr>
      <w:r w:rsidRPr="001D642A">
        <w:rPr>
          <w:rFonts w:ascii="Arial" w:hAnsi="Arial" w:cs="Arial"/>
          <w:b/>
          <w:sz w:val="22"/>
          <w:szCs w:val="22"/>
        </w:rPr>
        <w:t>Stima preliminare degli indici dei prezzi al consumo IPCA: accuratezza e metodologia di calcolo</w:t>
      </w:r>
    </w:p>
    <w:p w:rsidR="00945580" w:rsidRPr="002875F7" w:rsidRDefault="00945580" w:rsidP="00945580">
      <w:pPr>
        <w:widowControl/>
        <w:overflowPunct/>
        <w:spacing w:before="0" w:after="120"/>
        <w:jc w:val="both"/>
        <w:rPr>
          <w:rFonts w:ascii="Arial" w:hAnsi="Arial" w:cs="Arial"/>
          <w:kern w:val="0"/>
        </w:rPr>
      </w:pPr>
      <w:r w:rsidRPr="002875F7">
        <w:rPr>
          <w:rFonts w:ascii="Arial" w:hAnsi="Arial" w:cs="Arial"/>
          <w:kern w:val="0"/>
        </w:rPr>
        <w:t xml:space="preserve">La diffusione degli indici dei prezzi al consumo avviene in due successivi istanti temporali secondo una diversa modalità di rilascio dei dati: prima come stima provvisoria, poi come stima definitiva. La diffusione della stima provvisoria degli indici IPCA (e degli indici NIC) avviene alla fine del mese di riferimento nel rispetto del calendario Eurostat di diffusione della stima anticipata dell’inflazione nell’area euro. Il rilascio dei dati definitivi avviene intorno alla metà del mese successivo a quello di riferimento. </w:t>
      </w:r>
    </w:p>
    <w:p w:rsidR="00945580" w:rsidRDefault="00945580" w:rsidP="00945580">
      <w:pPr>
        <w:spacing w:before="0" w:after="120"/>
        <w:jc w:val="both"/>
        <w:rPr>
          <w:rFonts w:ascii="Arial" w:hAnsi="Arial" w:cs="Arial"/>
        </w:rPr>
      </w:pPr>
    </w:p>
    <w:p w:rsidR="00945580" w:rsidRPr="002875F7" w:rsidRDefault="00945580" w:rsidP="00945580">
      <w:pPr>
        <w:spacing w:before="0" w:after="120"/>
        <w:jc w:val="both"/>
        <w:rPr>
          <w:rFonts w:ascii="Arial" w:hAnsi="Arial" w:cs="Arial"/>
        </w:rPr>
      </w:pPr>
      <w:r w:rsidRPr="002875F7">
        <w:rPr>
          <w:rFonts w:ascii="Arial" w:hAnsi="Arial" w:cs="Arial"/>
        </w:rPr>
        <w:t>La finalità della diffusione dei dati provvisori, sia dell’indice IPCA sia dall’indice NIC, è quella di fornire informazioni più tempestive sull’andamento dei prezzi al consumo, stimando nel modo più accurato possibile il dato definitivo dell’inflazione rilasciato circa due settimane dopo. In questo contesto, l’analisi delle revisioni delle stime provvisorie dei tassi tendenziali rappresenta un importante strumento per valutare il corretto bilanciamento tra le due dimensioni della qualità dei dati, tempestività e accuratezza.</w:t>
      </w:r>
    </w:p>
    <w:p w:rsidR="00945580" w:rsidRPr="002875F7" w:rsidRDefault="00945580" w:rsidP="00945580">
      <w:pPr>
        <w:spacing w:before="0" w:after="120"/>
        <w:jc w:val="both"/>
        <w:rPr>
          <w:rFonts w:ascii="Arial" w:hAnsi="Arial" w:cs="Arial"/>
          <w:szCs w:val="21"/>
        </w:rPr>
      </w:pPr>
      <w:r w:rsidRPr="002875F7">
        <w:rPr>
          <w:rFonts w:ascii="Arial" w:hAnsi="Arial" w:cs="Arial"/>
        </w:rPr>
        <w:t>In linea con la politica di diffusione di Eurostat, che pubblica mensilmente una nota sull’accuratezza della stima anticipata dell’inflazione per l’area euro, questa sezione è dedicata all’</w:t>
      </w:r>
      <w:r w:rsidRPr="002875F7">
        <w:rPr>
          <w:rFonts w:ascii="Arial" w:hAnsi="Arial" w:cs="Arial"/>
          <w:szCs w:val="21"/>
        </w:rPr>
        <w:t>analisi dell’accuratezza e alla metodologia utilizzata per il calcolo della stima preliminare dell’indice IPCA.</w:t>
      </w:r>
    </w:p>
    <w:p w:rsidR="00266BA4" w:rsidRPr="001D642A" w:rsidRDefault="00266BA4" w:rsidP="00266BA4">
      <w:pPr>
        <w:spacing w:before="0" w:after="120"/>
        <w:jc w:val="both"/>
        <w:rPr>
          <w:rFonts w:ascii="Arial" w:hAnsi="Arial" w:cs="Arial"/>
        </w:rPr>
      </w:pPr>
    </w:p>
    <w:p w:rsidR="00266BA4" w:rsidRPr="001D642A" w:rsidRDefault="00266BA4" w:rsidP="00266BA4">
      <w:pPr>
        <w:pStyle w:val="Rientrocorpodeltesto"/>
        <w:spacing w:before="0"/>
        <w:ind w:left="0" w:hanging="1"/>
        <w:rPr>
          <w:rFonts w:ascii="Arial" w:hAnsi="Arial" w:cs="Arial"/>
          <w:b/>
          <w:bCs/>
          <w:szCs w:val="22"/>
        </w:rPr>
      </w:pPr>
      <w:r w:rsidRPr="001D642A">
        <w:rPr>
          <w:rFonts w:ascii="Arial" w:hAnsi="Arial" w:cs="Arial"/>
          <w:b/>
          <w:bCs/>
          <w:szCs w:val="22"/>
        </w:rPr>
        <w:t>Accuratezza delle stime preliminari</w:t>
      </w:r>
    </w:p>
    <w:p w:rsidR="00266BA4" w:rsidRDefault="00266BA4" w:rsidP="00266BA4">
      <w:pPr>
        <w:widowControl/>
        <w:overflowPunct/>
        <w:spacing w:before="0" w:after="120"/>
        <w:jc w:val="both"/>
        <w:rPr>
          <w:rFonts w:ascii="Arial" w:hAnsi="Arial" w:cs="Arial"/>
        </w:rPr>
      </w:pPr>
      <w:r w:rsidRPr="001D642A">
        <w:rPr>
          <w:rFonts w:ascii="Arial" w:hAnsi="Arial" w:cs="Arial"/>
        </w:rPr>
        <w:t>Nel Prospetto 2 sono confrontati i tassi di variazione tendenziale definitivi e provvisori dell’indice generale IPCA e dei principali aggregati speciali per gli ultimi tredici mesi. In questo arco temporale, la differenza maggiore tra la stima definitiva e quella provvisoria del tasso tendenziale dell’</w:t>
      </w:r>
      <w:r>
        <w:rPr>
          <w:rFonts w:ascii="Arial" w:hAnsi="Arial" w:cs="Arial"/>
        </w:rPr>
        <w:t>indice generale è stata pari a -0,1</w:t>
      </w:r>
      <w:r w:rsidRPr="001D642A">
        <w:rPr>
          <w:rFonts w:ascii="Arial" w:hAnsi="Arial" w:cs="Arial"/>
        </w:rPr>
        <w:t xml:space="preserve"> punti perce</w:t>
      </w:r>
      <w:r>
        <w:rPr>
          <w:rFonts w:ascii="Arial" w:hAnsi="Arial" w:cs="Arial"/>
        </w:rPr>
        <w:t>ntuali, osservata a luglio, settembre, ottobre e novembre 2023 e a febbraio, marzo e aprile 2024</w:t>
      </w:r>
      <w:r w:rsidRPr="001D642A">
        <w:rPr>
          <w:rFonts w:ascii="Arial" w:hAnsi="Arial" w:cs="Arial"/>
        </w:rPr>
        <w:t>. Con riferimento ai principali aggregati speciali, le differenze maggiori tra la stima definitiva e quella provvisoria in termini di tassi tendenziali hanno interessato l’aggregato dell’Ene</w:t>
      </w:r>
      <w:r>
        <w:rPr>
          <w:rFonts w:ascii="Arial" w:hAnsi="Arial" w:cs="Arial"/>
        </w:rPr>
        <w:t>rgia (+0,7 a gennaio 2024</w:t>
      </w:r>
      <w:r w:rsidRPr="001D642A">
        <w:rPr>
          <w:rFonts w:ascii="Arial" w:hAnsi="Arial" w:cs="Arial"/>
        </w:rPr>
        <w:t>)</w:t>
      </w:r>
      <w:r>
        <w:rPr>
          <w:rFonts w:ascii="Arial" w:hAnsi="Arial" w:cs="Arial"/>
        </w:rPr>
        <w:t xml:space="preserve">, </w:t>
      </w:r>
      <w:r w:rsidRPr="001D642A">
        <w:rPr>
          <w:rFonts w:ascii="Arial" w:hAnsi="Arial" w:cs="Arial"/>
        </w:rPr>
        <w:t>quello degli Alimentari lavorati</w:t>
      </w:r>
      <w:r>
        <w:rPr>
          <w:rFonts w:ascii="Arial" w:hAnsi="Arial" w:cs="Arial"/>
        </w:rPr>
        <w:t xml:space="preserve"> (-0,3 sia giugno sia a luglio 2023; -0,5 a novembre 2023 e a marzo 2024; -0,3 a maggio 2024</w:t>
      </w:r>
      <w:r w:rsidRPr="001D642A">
        <w:rPr>
          <w:rFonts w:ascii="Arial" w:hAnsi="Arial" w:cs="Arial"/>
        </w:rPr>
        <w:t>)</w:t>
      </w:r>
      <w:r>
        <w:rPr>
          <w:rFonts w:ascii="Arial" w:hAnsi="Arial" w:cs="Arial"/>
        </w:rPr>
        <w:t xml:space="preserve"> e quello degli Alimentari non lavorati (-0,4 a giugno 2023)</w:t>
      </w:r>
      <w:r w:rsidRPr="001D642A">
        <w:rPr>
          <w:rFonts w:ascii="Arial" w:hAnsi="Arial" w:cs="Arial"/>
        </w:rPr>
        <w:t>.</w:t>
      </w:r>
    </w:p>
    <w:p w:rsidR="00266BA4" w:rsidRDefault="00266BA4" w:rsidP="00266BA4">
      <w:pPr>
        <w:widowControl/>
        <w:overflowPunct/>
        <w:spacing w:before="0" w:after="120"/>
        <w:jc w:val="both"/>
        <w:rPr>
          <w:rFonts w:ascii="Arial" w:hAnsi="Arial" w:cs="Arial"/>
        </w:rPr>
      </w:pPr>
      <w:r w:rsidRPr="001D642A">
        <w:rPr>
          <w:rFonts w:ascii="Arial" w:hAnsi="Arial" w:cs="Arial"/>
        </w:rPr>
        <w:t>La più elevata frequenza delle revisioni è osservata negli aggregati dei Beni alimentari lavorati (</w:t>
      </w:r>
      <w:r>
        <w:rPr>
          <w:rFonts w:ascii="Arial" w:hAnsi="Arial" w:cs="Arial"/>
        </w:rPr>
        <w:t>13</w:t>
      </w:r>
      <w:r w:rsidRPr="001D642A">
        <w:rPr>
          <w:rFonts w:ascii="Arial" w:hAnsi="Arial" w:cs="Arial"/>
        </w:rPr>
        <w:t xml:space="preserve"> mesi sui 13 in esame, imputabile in larga parte all’utilizzo, per la stima preliminare, degli scanner data, riferiti ai prezzi dei prodotti grocery provenienti dalla GDO, di una/due settimane rispetto alle tre incluse nell’indice definitivo)</w:t>
      </w:r>
      <w:r>
        <w:rPr>
          <w:rFonts w:ascii="Arial" w:hAnsi="Arial" w:cs="Arial"/>
        </w:rPr>
        <w:t xml:space="preserve">, di Beni alimentari non lavorati (11 mesi su 13), </w:t>
      </w:r>
      <w:r w:rsidRPr="001D642A">
        <w:rPr>
          <w:rFonts w:ascii="Arial" w:hAnsi="Arial" w:cs="Arial"/>
        </w:rPr>
        <w:t xml:space="preserve">dei Beni industriali </w:t>
      </w:r>
      <w:r>
        <w:rPr>
          <w:rFonts w:ascii="Arial" w:hAnsi="Arial" w:cs="Arial"/>
        </w:rPr>
        <w:t>non energetici (8</w:t>
      </w:r>
      <w:r w:rsidRPr="001D642A">
        <w:rPr>
          <w:rFonts w:ascii="Arial" w:hAnsi="Arial" w:cs="Arial"/>
        </w:rPr>
        <w:t xml:space="preserve"> mesi su 13, da ascrivere principalmente alla dinamica dei saldi dell’Abbigliamento e calzature e alla disponibilità per la stima preliminare, con riferimento ad alcune categorie di Beni durevoli,</w:t>
      </w:r>
      <w:r w:rsidRPr="001D642A">
        <w:t xml:space="preserve"> </w:t>
      </w:r>
      <w:r w:rsidRPr="001D642A">
        <w:rPr>
          <w:rFonts w:ascii="Arial" w:hAnsi="Arial" w:cs="Arial"/>
        </w:rPr>
        <w:t>dei dati riferiti a una/due settimane rispetto alle tre incluse nell’indice definitivo)</w:t>
      </w:r>
      <w:r>
        <w:rPr>
          <w:rFonts w:ascii="Arial" w:hAnsi="Arial" w:cs="Arial"/>
        </w:rPr>
        <w:t xml:space="preserve"> e di Energia (6 mesi su 13)</w:t>
      </w:r>
      <w:r w:rsidRPr="001D642A">
        <w:rPr>
          <w:rFonts w:ascii="Arial" w:hAnsi="Arial" w:cs="Arial"/>
        </w:rPr>
        <w:t>; l’incompletezza delle informazioni utilizzate per il calcolo ha un impatto maggiore sulle stime provvisorie di questi aggregati speciali che, di conseguenza, risultano essere meno accurate</w:t>
      </w:r>
      <w:r>
        <w:rPr>
          <w:rFonts w:ascii="Arial" w:hAnsi="Arial" w:cs="Arial"/>
        </w:rPr>
        <w:t>.</w:t>
      </w:r>
    </w:p>
    <w:p w:rsidR="00266BA4" w:rsidRPr="001D642A" w:rsidRDefault="00266BA4" w:rsidP="00266BA4">
      <w:pPr>
        <w:widowControl/>
        <w:overflowPunct/>
        <w:spacing w:before="0" w:after="120"/>
        <w:jc w:val="both"/>
        <w:rPr>
          <w:rFonts w:ascii="Arial" w:hAnsi="Arial" w:cs="Arial"/>
        </w:rPr>
      </w:pPr>
    </w:p>
    <w:p w:rsidR="00266BA4" w:rsidRPr="001D642A" w:rsidRDefault="00266BA4" w:rsidP="00266BA4">
      <w:pPr>
        <w:pStyle w:val="001TitoGra"/>
        <w:spacing w:after="120" w:line="240" w:lineRule="auto"/>
        <w:jc w:val="both"/>
        <w:rPr>
          <w:vertAlign w:val="superscript"/>
        </w:rPr>
      </w:pPr>
      <w:r w:rsidRPr="001D642A">
        <w:rPr>
          <w:rStyle w:val="001TitoGraRed"/>
        </w:rPr>
        <w:t>PROSPETTO 2.</w:t>
      </w:r>
      <w:r w:rsidRPr="001D642A">
        <w:t xml:space="preserve"> STIME PRELIMINARI E DEFINITIVE DEGLI INDICI DEI PREZZI AL CONSUMO IPCA E DEI PRINCIPALI AGGREGATI SPECIALI</w:t>
      </w:r>
      <w:r w:rsidRPr="001D642A">
        <w:rPr>
          <w:b w:val="0"/>
          <w:sz w:val="20"/>
          <w:szCs w:val="20"/>
        </w:rPr>
        <w:t xml:space="preserve">. </w:t>
      </w:r>
      <w:r w:rsidRPr="00C8504B">
        <w:rPr>
          <w:b w:val="0"/>
        </w:rPr>
        <w:br/>
      </w:r>
      <w:r>
        <w:rPr>
          <w:b w:val="0"/>
          <w:sz w:val="20"/>
          <w:szCs w:val="20"/>
        </w:rPr>
        <w:t>Giugno 2023</w:t>
      </w:r>
      <w:r w:rsidRPr="001D642A">
        <w:rPr>
          <w:b w:val="0"/>
          <w:sz w:val="20"/>
          <w:szCs w:val="20"/>
        </w:rPr>
        <w:t xml:space="preserve"> – </w:t>
      </w:r>
      <w:r w:rsidR="00C163AE">
        <w:rPr>
          <w:b w:val="0"/>
          <w:sz w:val="20"/>
          <w:szCs w:val="20"/>
        </w:rPr>
        <w:t>g</w:t>
      </w:r>
      <w:r>
        <w:rPr>
          <w:b w:val="0"/>
          <w:sz w:val="20"/>
          <w:szCs w:val="20"/>
        </w:rPr>
        <w:t>iugno 2024</w:t>
      </w:r>
      <w:r w:rsidRPr="001D642A">
        <w:rPr>
          <w:b w:val="0"/>
          <w:sz w:val="20"/>
          <w:szCs w:val="20"/>
        </w:rPr>
        <w:t>, valori percentuali tendenziali (base 2015=100)</w:t>
      </w:r>
    </w:p>
    <w:tbl>
      <w:tblPr>
        <w:tblW w:w="10205" w:type="dxa"/>
        <w:jc w:val="center"/>
        <w:tblCellMar>
          <w:left w:w="70" w:type="dxa"/>
          <w:right w:w="70" w:type="dxa"/>
        </w:tblCellMar>
        <w:tblLook w:val="04A0" w:firstRow="1" w:lastRow="0" w:firstColumn="1" w:lastColumn="0" w:noHBand="0" w:noVBand="1"/>
      </w:tblPr>
      <w:tblGrid>
        <w:gridCol w:w="3262"/>
        <w:gridCol w:w="286"/>
        <w:gridCol w:w="500"/>
        <w:gridCol w:w="500"/>
        <w:gridCol w:w="500"/>
        <w:gridCol w:w="501"/>
        <w:gridCol w:w="501"/>
        <w:gridCol w:w="501"/>
        <w:gridCol w:w="501"/>
        <w:gridCol w:w="501"/>
        <w:gridCol w:w="501"/>
        <w:gridCol w:w="552"/>
        <w:gridCol w:w="552"/>
        <w:gridCol w:w="525"/>
        <w:gridCol w:w="522"/>
      </w:tblGrid>
      <w:tr w:rsidR="00266BA4" w:rsidRPr="00313984" w:rsidTr="00747E56">
        <w:trPr>
          <w:trHeight w:val="316"/>
          <w:jc w:val="center"/>
        </w:trPr>
        <w:tc>
          <w:tcPr>
            <w:tcW w:w="3262" w:type="dxa"/>
            <w:tcBorders>
              <w:top w:val="single" w:sz="4" w:space="0" w:color="auto"/>
              <w:left w:val="nil"/>
              <w:bottom w:val="single" w:sz="4" w:space="0" w:color="auto"/>
              <w:right w:val="nil"/>
            </w:tcBorders>
            <w:shd w:val="clear" w:color="000000" w:fill="FFFFFF"/>
            <w:noWrap/>
            <w:vAlign w:val="center"/>
            <w:hideMark/>
          </w:tcPr>
          <w:p w:rsidR="00266BA4" w:rsidRPr="00363206" w:rsidRDefault="00266BA4" w:rsidP="00747E56">
            <w:pPr>
              <w:ind w:right="-13"/>
              <w:rPr>
                <w:rFonts w:ascii="Arial Narrow" w:hAnsi="Arial Narrow"/>
                <w:b/>
                <w:bCs/>
                <w:color w:val="000000"/>
                <w:kern w:val="0"/>
                <w:sz w:val="16"/>
                <w:szCs w:val="18"/>
              </w:rPr>
            </w:pPr>
            <w:r w:rsidRPr="00363206">
              <w:rPr>
                <w:rFonts w:ascii="Arial Narrow" w:hAnsi="Arial Narrow"/>
                <w:b/>
                <w:bCs/>
                <w:color w:val="000000"/>
                <w:kern w:val="0"/>
                <w:sz w:val="16"/>
                <w:szCs w:val="18"/>
              </w:rPr>
              <w:t>Aggregati speciali</w:t>
            </w:r>
          </w:p>
        </w:tc>
        <w:tc>
          <w:tcPr>
            <w:tcW w:w="286" w:type="dxa"/>
            <w:tcBorders>
              <w:top w:val="single" w:sz="4" w:space="0" w:color="auto"/>
              <w:left w:val="nil"/>
              <w:bottom w:val="single" w:sz="4" w:space="0" w:color="auto"/>
              <w:right w:val="nil"/>
            </w:tcBorders>
            <w:shd w:val="clear" w:color="000000" w:fill="FFFFFF"/>
            <w:noWrap/>
            <w:vAlign w:val="center"/>
            <w:hideMark/>
          </w:tcPr>
          <w:p w:rsidR="00266BA4" w:rsidRPr="00363206" w:rsidRDefault="00266BA4" w:rsidP="00747E56">
            <w:pPr>
              <w:ind w:left="-153" w:right="-13"/>
              <w:jc w:val="right"/>
              <w:rPr>
                <w:rFonts w:ascii="Arial Narrow" w:hAnsi="Arial Narrow"/>
                <w:b/>
                <w:bCs/>
                <w:color w:val="000000"/>
                <w:kern w:val="0"/>
                <w:sz w:val="16"/>
                <w:szCs w:val="18"/>
              </w:rPr>
            </w:pPr>
            <w:r w:rsidRPr="00363206">
              <w:rPr>
                <w:rFonts w:ascii="Arial Narrow" w:hAnsi="Arial Narrow"/>
                <w:b/>
                <w:bCs/>
                <w:color w:val="000000"/>
                <w:kern w:val="0"/>
                <w:sz w:val="16"/>
                <w:szCs w:val="18"/>
              </w:rPr>
              <w:t> </w:t>
            </w:r>
          </w:p>
        </w:tc>
        <w:tc>
          <w:tcPr>
            <w:tcW w:w="500" w:type="dxa"/>
            <w:tcBorders>
              <w:top w:val="single" w:sz="4" w:space="0" w:color="auto"/>
              <w:left w:val="nil"/>
              <w:bottom w:val="single" w:sz="4" w:space="0" w:color="auto"/>
              <w:right w:val="nil"/>
            </w:tcBorders>
            <w:shd w:val="clear" w:color="000000" w:fill="FFFFFF"/>
            <w:vAlign w:val="center"/>
          </w:tcPr>
          <w:p w:rsidR="00266BA4" w:rsidRPr="00363206" w:rsidRDefault="00266BA4" w:rsidP="00747E56">
            <w:pPr>
              <w:ind w:left="-153" w:right="-13"/>
              <w:jc w:val="right"/>
              <w:rPr>
                <w:rFonts w:ascii="Arial Narrow" w:hAnsi="Arial Narrow"/>
                <w:b/>
                <w:bCs/>
                <w:color w:val="000000"/>
                <w:kern w:val="0"/>
                <w:sz w:val="16"/>
                <w:szCs w:val="18"/>
              </w:rPr>
            </w:pPr>
            <w:r>
              <w:rPr>
                <w:rFonts w:ascii="Arial Narrow" w:hAnsi="Arial Narrow"/>
                <w:b/>
                <w:bCs/>
                <w:color w:val="000000"/>
                <w:kern w:val="0"/>
                <w:sz w:val="16"/>
                <w:szCs w:val="18"/>
              </w:rPr>
              <w:t>giu-23</w:t>
            </w:r>
          </w:p>
        </w:tc>
        <w:tc>
          <w:tcPr>
            <w:tcW w:w="500" w:type="dxa"/>
            <w:tcBorders>
              <w:top w:val="single" w:sz="4" w:space="0" w:color="auto"/>
              <w:left w:val="nil"/>
              <w:bottom w:val="single" w:sz="4" w:space="0" w:color="auto"/>
              <w:right w:val="nil"/>
            </w:tcBorders>
            <w:shd w:val="clear" w:color="000000" w:fill="FFFFFF"/>
            <w:vAlign w:val="center"/>
          </w:tcPr>
          <w:p w:rsidR="00266BA4" w:rsidRPr="00363206" w:rsidRDefault="00266BA4" w:rsidP="00747E56">
            <w:pPr>
              <w:ind w:left="-153" w:right="-13"/>
              <w:jc w:val="right"/>
              <w:rPr>
                <w:rFonts w:ascii="Arial Narrow" w:hAnsi="Arial Narrow"/>
                <w:b/>
                <w:bCs/>
                <w:color w:val="000000"/>
                <w:kern w:val="0"/>
                <w:sz w:val="16"/>
                <w:szCs w:val="18"/>
              </w:rPr>
            </w:pPr>
            <w:r>
              <w:rPr>
                <w:rFonts w:ascii="Arial Narrow" w:hAnsi="Arial Narrow"/>
                <w:b/>
                <w:bCs/>
                <w:color w:val="000000"/>
                <w:kern w:val="0"/>
                <w:sz w:val="16"/>
                <w:szCs w:val="18"/>
              </w:rPr>
              <w:t>lug-23</w:t>
            </w:r>
          </w:p>
        </w:tc>
        <w:tc>
          <w:tcPr>
            <w:tcW w:w="500" w:type="dxa"/>
            <w:tcBorders>
              <w:top w:val="single" w:sz="4" w:space="0" w:color="auto"/>
              <w:left w:val="nil"/>
              <w:bottom w:val="single" w:sz="4" w:space="0" w:color="auto"/>
              <w:right w:val="nil"/>
            </w:tcBorders>
            <w:shd w:val="clear" w:color="000000" w:fill="FFFFFF"/>
            <w:vAlign w:val="center"/>
          </w:tcPr>
          <w:p w:rsidR="00266BA4" w:rsidRPr="00363206" w:rsidRDefault="00266BA4" w:rsidP="00747E56">
            <w:pPr>
              <w:ind w:left="-153" w:right="-13"/>
              <w:jc w:val="right"/>
              <w:rPr>
                <w:rFonts w:ascii="Arial Narrow" w:hAnsi="Arial Narrow"/>
                <w:b/>
                <w:bCs/>
                <w:color w:val="000000"/>
                <w:kern w:val="0"/>
                <w:sz w:val="16"/>
                <w:szCs w:val="18"/>
              </w:rPr>
            </w:pPr>
            <w:r>
              <w:rPr>
                <w:rFonts w:ascii="Arial Narrow" w:hAnsi="Arial Narrow"/>
                <w:b/>
                <w:bCs/>
                <w:color w:val="000000"/>
                <w:kern w:val="0"/>
                <w:sz w:val="16"/>
                <w:szCs w:val="18"/>
              </w:rPr>
              <w:t>ago-23</w:t>
            </w:r>
          </w:p>
        </w:tc>
        <w:tc>
          <w:tcPr>
            <w:tcW w:w="501" w:type="dxa"/>
            <w:tcBorders>
              <w:top w:val="single" w:sz="4" w:space="0" w:color="auto"/>
              <w:left w:val="nil"/>
              <w:bottom w:val="single" w:sz="4" w:space="0" w:color="auto"/>
              <w:right w:val="nil"/>
            </w:tcBorders>
            <w:shd w:val="clear" w:color="000000" w:fill="FFFFFF"/>
          </w:tcPr>
          <w:p w:rsidR="00266BA4" w:rsidRDefault="00266BA4" w:rsidP="00747E56">
            <w:pPr>
              <w:ind w:left="-153" w:right="-13"/>
              <w:jc w:val="right"/>
              <w:rPr>
                <w:rFonts w:ascii="Arial Narrow" w:hAnsi="Arial Narrow"/>
                <w:b/>
                <w:bCs/>
                <w:color w:val="000000"/>
                <w:kern w:val="0"/>
                <w:sz w:val="16"/>
                <w:szCs w:val="18"/>
              </w:rPr>
            </w:pPr>
            <w:r>
              <w:rPr>
                <w:rFonts w:ascii="Arial Narrow" w:hAnsi="Arial Narrow"/>
                <w:b/>
                <w:bCs/>
                <w:color w:val="000000"/>
                <w:kern w:val="0"/>
                <w:sz w:val="16"/>
                <w:szCs w:val="18"/>
              </w:rPr>
              <w:t>set-23</w:t>
            </w:r>
          </w:p>
        </w:tc>
        <w:tc>
          <w:tcPr>
            <w:tcW w:w="501" w:type="dxa"/>
            <w:tcBorders>
              <w:top w:val="single" w:sz="4" w:space="0" w:color="auto"/>
              <w:left w:val="nil"/>
              <w:bottom w:val="single" w:sz="4" w:space="0" w:color="auto"/>
              <w:right w:val="nil"/>
            </w:tcBorders>
            <w:shd w:val="clear" w:color="000000" w:fill="FFFFFF"/>
          </w:tcPr>
          <w:p w:rsidR="00266BA4" w:rsidRDefault="00266BA4" w:rsidP="00747E56">
            <w:pPr>
              <w:ind w:left="-153" w:right="-13"/>
              <w:jc w:val="right"/>
              <w:rPr>
                <w:rFonts w:ascii="Arial Narrow" w:hAnsi="Arial Narrow"/>
                <w:b/>
                <w:bCs/>
                <w:color w:val="000000"/>
                <w:kern w:val="0"/>
                <w:sz w:val="16"/>
                <w:szCs w:val="18"/>
              </w:rPr>
            </w:pPr>
            <w:r>
              <w:rPr>
                <w:rFonts w:ascii="Arial Narrow" w:hAnsi="Arial Narrow"/>
                <w:b/>
                <w:bCs/>
                <w:color w:val="000000"/>
                <w:kern w:val="0"/>
                <w:sz w:val="16"/>
                <w:szCs w:val="18"/>
              </w:rPr>
              <w:t>ott-23</w:t>
            </w:r>
          </w:p>
        </w:tc>
        <w:tc>
          <w:tcPr>
            <w:tcW w:w="501" w:type="dxa"/>
            <w:tcBorders>
              <w:top w:val="single" w:sz="4" w:space="0" w:color="auto"/>
              <w:left w:val="nil"/>
              <w:bottom w:val="single" w:sz="4" w:space="0" w:color="auto"/>
              <w:right w:val="nil"/>
            </w:tcBorders>
            <w:shd w:val="clear" w:color="000000" w:fill="FFFFFF"/>
          </w:tcPr>
          <w:p w:rsidR="00266BA4" w:rsidRDefault="00266BA4" w:rsidP="00747E56">
            <w:pPr>
              <w:ind w:left="-153" w:right="-13"/>
              <w:jc w:val="right"/>
              <w:rPr>
                <w:rFonts w:ascii="Arial Narrow" w:hAnsi="Arial Narrow"/>
                <w:b/>
                <w:bCs/>
                <w:color w:val="000000"/>
                <w:kern w:val="0"/>
                <w:sz w:val="16"/>
                <w:szCs w:val="18"/>
              </w:rPr>
            </w:pPr>
            <w:r>
              <w:rPr>
                <w:rFonts w:ascii="Arial Narrow" w:hAnsi="Arial Narrow"/>
                <w:b/>
                <w:bCs/>
                <w:color w:val="000000"/>
                <w:kern w:val="0"/>
                <w:sz w:val="16"/>
                <w:szCs w:val="18"/>
              </w:rPr>
              <w:t>nov-23</w:t>
            </w:r>
          </w:p>
        </w:tc>
        <w:tc>
          <w:tcPr>
            <w:tcW w:w="501" w:type="dxa"/>
            <w:tcBorders>
              <w:top w:val="single" w:sz="4" w:space="0" w:color="auto"/>
              <w:left w:val="nil"/>
              <w:bottom w:val="single" w:sz="4" w:space="0" w:color="auto"/>
              <w:right w:val="nil"/>
            </w:tcBorders>
            <w:shd w:val="clear" w:color="000000" w:fill="FFFFFF"/>
          </w:tcPr>
          <w:p w:rsidR="00266BA4" w:rsidRDefault="00266BA4" w:rsidP="00747E56">
            <w:pPr>
              <w:ind w:left="-153" w:right="-13"/>
              <w:jc w:val="right"/>
              <w:rPr>
                <w:rFonts w:ascii="Arial Narrow" w:hAnsi="Arial Narrow"/>
                <w:b/>
                <w:bCs/>
                <w:color w:val="000000"/>
                <w:kern w:val="0"/>
                <w:sz w:val="16"/>
                <w:szCs w:val="18"/>
              </w:rPr>
            </w:pPr>
            <w:r>
              <w:rPr>
                <w:rFonts w:ascii="Arial Narrow" w:hAnsi="Arial Narrow"/>
                <w:b/>
                <w:bCs/>
                <w:color w:val="000000"/>
                <w:kern w:val="0"/>
                <w:sz w:val="16"/>
                <w:szCs w:val="18"/>
              </w:rPr>
              <w:t>dic-23</w:t>
            </w:r>
          </w:p>
        </w:tc>
        <w:tc>
          <w:tcPr>
            <w:tcW w:w="501" w:type="dxa"/>
            <w:tcBorders>
              <w:top w:val="single" w:sz="4" w:space="0" w:color="auto"/>
              <w:left w:val="nil"/>
              <w:bottom w:val="single" w:sz="4" w:space="0" w:color="auto"/>
              <w:right w:val="nil"/>
            </w:tcBorders>
            <w:shd w:val="clear" w:color="000000" w:fill="FFFFFF"/>
          </w:tcPr>
          <w:p w:rsidR="00266BA4" w:rsidRDefault="00266BA4" w:rsidP="00747E56">
            <w:pPr>
              <w:ind w:left="-153" w:right="-13"/>
              <w:jc w:val="right"/>
              <w:rPr>
                <w:rFonts w:ascii="Arial Narrow" w:hAnsi="Arial Narrow"/>
                <w:b/>
                <w:bCs/>
                <w:color w:val="000000"/>
                <w:kern w:val="0"/>
                <w:sz w:val="16"/>
                <w:szCs w:val="18"/>
              </w:rPr>
            </w:pPr>
            <w:r>
              <w:rPr>
                <w:rFonts w:ascii="Arial Narrow" w:hAnsi="Arial Narrow"/>
                <w:b/>
                <w:bCs/>
                <w:color w:val="000000"/>
                <w:kern w:val="0"/>
                <w:sz w:val="16"/>
                <w:szCs w:val="18"/>
              </w:rPr>
              <w:t>gen-24</w:t>
            </w:r>
          </w:p>
        </w:tc>
        <w:tc>
          <w:tcPr>
            <w:tcW w:w="501" w:type="dxa"/>
            <w:tcBorders>
              <w:top w:val="single" w:sz="4" w:space="0" w:color="auto"/>
              <w:left w:val="nil"/>
              <w:bottom w:val="single" w:sz="4" w:space="0" w:color="auto"/>
              <w:right w:val="nil"/>
            </w:tcBorders>
            <w:shd w:val="clear" w:color="000000" w:fill="FFFFFF"/>
          </w:tcPr>
          <w:p w:rsidR="00266BA4" w:rsidRDefault="00266BA4" w:rsidP="00747E56">
            <w:pPr>
              <w:ind w:left="-153" w:right="-13"/>
              <w:jc w:val="right"/>
              <w:rPr>
                <w:rFonts w:ascii="Arial Narrow" w:hAnsi="Arial Narrow"/>
                <w:b/>
                <w:bCs/>
                <w:color w:val="000000"/>
                <w:kern w:val="0"/>
                <w:sz w:val="16"/>
                <w:szCs w:val="18"/>
              </w:rPr>
            </w:pPr>
            <w:r>
              <w:rPr>
                <w:rFonts w:ascii="Arial Narrow" w:hAnsi="Arial Narrow"/>
                <w:b/>
                <w:bCs/>
                <w:color w:val="000000"/>
                <w:kern w:val="0"/>
                <w:sz w:val="16"/>
                <w:szCs w:val="18"/>
              </w:rPr>
              <w:t>feb-24</w:t>
            </w:r>
          </w:p>
        </w:tc>
        <w:tc>
          <w:tcPr>
            <w:tcW w:w="552" w:type="dxa"/>
            <w:tcBorders>
              <w:top w:val="single" w:sz="4" w:space="0" w:color="auto"/>
              <w:left w:val="nil"/>
              <w:bottom w:val="single" w:sz="4" w:space="0" w:color="auto"/>
              <w:right w:val="nil"/>
            </w:tcBorders>
            <w:shd w:val="clear" w:color="000000" w:fill="FFFFFF"/>
          </w:tcPr>
          <w:p w:rsidR="00266BA4" w:rsidRDefault="00266BA4" w:rsidP="00747E56">
            <w:pPr>
              <w:ind w:left="-153" w:right="-13"/>
              <w:jc w:val="right"/>
              <w:rPr>
                <w:rFonts w:ascii="Arial Narrow" w:hAnsi="Arial Narrow"/>
                <w:b/>
                <w:bCs/>
                <w:color w:val="000000"/>
                <w:kern w:val="0"/>
                <w:sz w:val="16"/>
                <w:szCs w:val="18"/>
              </w:rPr>
            </w:pPr>
            <w:r>
              <w:rPr>
                <w:rFonts w:ascii="Arial Narrow" w:hAnsi="Arial Narrow"/>
                <w:b/>
                <w:bCs/>
                <w:color w:val="000000"/>
                <w:kern w:val="0"/>
                <w:sz w:val="16"/>
                <w:szCs w:val="18"/>
              </w:rPr>
              <w:t>mar-24</w:t>
            </w:r>
          </w:p>
        </w:tc>
        <w:tc>
          <w:tcPr>
            <w:tcW w:w="552" w:type="dxa"/>
            <w:tcBorders>
              <w:top w:val="single" w:sz="4" w:space="0" w:color="auto"/>
              <w:left w:val="nil"/>
              <w:bottom w:val="single" w:sz="4" w:space="0" w:color="auto"/>
              <w:right w:val="nil"/>
            </w:tcBorders>
            <w:shd w:val="clear" w:color="000000" w:fill="FFFFFF"/>
          </w:tcPr>
          <w:p w:rsidR="00266BA4" w:rsidRDefault="00266BA4" w:rsidP="00747E56">
            <w:pPr>
              <w:ind w:left="-153" w:right="-13"/>
              <w:jc w:val="right"/>
              <w:rPr>
                <w:rFonts w:ascii="Arial Narrow" w:hAnsi="Arial Narrow"/>
                <w:b/>
                <w:bCs/>
                <w:color w:val="000000"/>
                <w:kern w:val="0"/>
                <w:sz w:val="16"/>
                <w:szCs w:val="18"/>
              </w:rPr>
            </w:pPr>
            <w:r>
              <w:rPr>
                <w:rFonts w:ascii="Arial Narrow" w:hAnsi="Arial Narrow"/>
                <w:b/>
                <w:bCs/>
                <w:color w:val="000000"/>
                <w:kern w:val="0"/>
                <w:sz w:val="16"/>
                <w:szCs w:val="18"/>
              </w:rPr>
              <w:t>apr-24</w:t>
            </w:r>
          </w:p>
        </w:tc>
        <w:tc>
          <w:tcPr>
            <w:tcW w:w="525" w:type="dxa"/>
            <w:tcBorders>
              <w:top w:val="single" w:sz="4" w:space="0" w:color="auto"/>
              <w:left w:val="nil"/>
              <w:bottom w:val="single" w:sz="4" w:space="0" w:color="auto"/>
              <w:right w:val="nil"/>
            </w:tcBorders>
            <w:shd w:val="clear" w:color="000000" w:fill="FFFFFF"/>
          </w:tcPr>
          <w:p w:rsidR="00266BA4" w:rsidRDefault="00266BA4" w:rsidP="00747E56">
            <w:pPr>
              <w:ind w:left="-153" w:right="-13"/>
              <w:jc w:val="right"/>
              <w:rPr>
                <w:rFonts w:ascii="Arial Narrow" w:hAnsi="Arial Narrow"/>
                <w:b/>
                <w:bCs/>
                <w:color w:val="000000"/>
                <w:kern w:val="0"/>
                <w:sz w:val="16"/>
                <w:szCs w:val="18"/>
              </w:rPr>
            </w:pPr>
            <w:r>
              <w:rPr>
                <w:rFonts w:ascii="Arial Narrow" w:hAnsi="Arial Narrow"/>
                <w:b/>
                <w:bCs/>
                <w:color w:val="000000"/>
                <w:kern w:val="0"/>
                <w:sz w:val="16"/>
                <w:szCs w:val="18"/>
              </w:rPr>
              <w:t>mag-24</w:t>
            </w:r>
          </w:p>
        </w:tc>
        <w:tc>
          <w:tcPr>
            <w:tcW w:w="522" w:type="dxa"/>
            <w:tcBorders>
              <w:top w:val="single" w:sz="4" w:space="0" w:color="auto"/>
              <w:left w:val="nil"/>
              <w:bottom w:val="single" w:sz="4" w:space="0" w:color="auto"/>
              <w:right w:val="nil"/>
            </w:tcBorders>
            <w:shd w:val="clear" w:color="000000" w:fill="FFFFFF"/>
          </w:tcPr>
          <w:p w:rsidR="00266BA4" w:rsidRDefault="00266BA4" w:rsidP="00747E56">
            <w:pPr>
              <w:ind w:left="-153" w:right="-13"/>
              <w:jc w:val="right"/>
              <w:rPr>
                <w:rFonts w:ascii="Arial Narrow" w:hAnsi="Arial Narrow"/>
                <w:b/>
                <w:bCs/>
                <w:color w:val="000000"/>
                <w:kern w:val="0"/>
                <w:sz w:val="16"/>
                <w:szCs w:val="18"/>
              </w:rPr>
            </w:pPr>
            <w:r>
              <w:rPr>
                <w:rFonts w:ascii="Arial Narrow" w:hAnsi="Arial Narrow"/>
                <w:b/>
                <w:bCs/>
                <w:color w:val="000000"/>
                <w:kern w:val="0"/>
                <w:sz w:val="16"/>
                <w:szCs w:val="18"/>
              </w:rPr>
              <w:t>giu-24</w:t>
            </w:r>
          </w:p>
        </w:tc>
      </w:tr>
      <w:tr w:rsidR="00266BA4" w:rsidRPr="001D642A" w:rsidTr="00747E56">
        <w:trPr>
          <w:trHeight w:val="255"/>
          <w:jc w:val="center"/>
        </w:trPr>
        <w:tc>
          <w:tcPr>
            <w:tcW w:w="3262" w:type="dxa"/>
            <w:vMerge w:val="restart"/>
            <w:tcBorders>
              <w:top w:val="nil"/>
              <w:left w:val="nil"/>
              <w:bottom w:val="single" w:sz="4" w:space="0" w:color="000000"/>
              <w:right w:val="nil"/>
            </w:tcBorders>
            <w:shd w:val="clear" w:color="000000" w:fill="FFFFFF"/>
            <w:vAlign w:val="center"/>
            <w:hideMark/>
          </w:tcPr>
          <w:p w:rsidR="00266BA4" w:rsidRPr="001D642A" w:rsidRDefault="00266BA4" w:rsidP="00747E56">
            <w:pPr>
              <w:widowControl/>
              <w:overflowPunct/>
              <w:autoSpaceDE/>
              <w:autoSpaceDN/>
              <w:adjustRightInd/>
              <w:spacing w:before="0" w:after="0"/>
              <w:rPr>
                <w:rFonts w:ascii="Arial Narrow" w:hAnsi="Arial Narrow"/>
                <w:color w:val="000000"/>
                <w:kern w:val="0"/>
                <w:sz w:val="18"/>
                <w:szCs w:val="18"/>
              </w:rPr>
            </w:pPr>
            <w:r w:rsidRPr="001D642A">
              <w:rPr>
                <w:rFonts w:ascii="Arial Narrow" w:hAnsi="Arial Narrow"/>
                <w:color w:val="000000"/>
                <w:kern w:val="0"/>
                <w:sz w:val="18"/>
                <w:szCs w:val="18"/>
              </w:rPr>
              <w:t>Beni alimentari (incluse bevande alcoliche) e tabacchi, di cui:</w:t>
            </w:r>
          </w:p>
        </w:tc>
        <w:tc>
          <w:tcPr>
            <w:tcW w:w="286" w:type="dxa"/>
            <w:tcBorders>
              <w:top w:val="nil"/>
              <w:left w:val="nil"/>
              <w:bottom w:val="single" w:sz="4" w:space="0" w:color="auto"/>
              <w:right w:val="nil"/>
            </w:tcBorders>
            <w:shd w:val="clear" w:color="000000" w:fill="FFFFFF"/>
            <w:noWrap/>
            <w:vAlign w:val="center"/>
            <w:hideMark/>
          </w:tcPr>
          <w:p w:rsidR="00266BA4" w:rsidRPr="001D642A" w:rsidRDefault="00266BA4" w:rsidP="00747E56">
            <w:pPr>
              <w:widowControl/>
              <w:overflowPunct/>
              <w:autoSpaceDE/>
              <w:autoSpaceDN/>
              <w:adjustRightInd/>
              <w:spacing w:before="0" w:after="0"/>
              <w:jc w:val="center"/>
              <w:rPr>
                <w:rFonts w:ascii="Arial Narrow" w:hAnsi="Arial Narrow"/>
                <w:b/>
                <w:bCs/>
                <w:color w:val="000000"/>
                <w:kern w:val="0"/>
                <w:sz w:val="17"/>
                <w:szCs w:val="17"/>
              </w:rPr>
            </w:pPr>
            <w:r w:rsidRPr="001D642A">
              <w:rPr>
                <w:rFonts w:ascii="Arial Narrow" w:hAnsi="Arial Narrow"/>
                <w:b/>
                <w:bCs/>
                <w:color w:val="000000"/>
                <w:kern w:val="0"/>
                <w:sz w:val="17"/>
                <w:szCs w:val="17"/>
              </w:rPr>
              <w:t>P</w:t>
            </w:r>
          </w:p>
        </w:tc>
        <w:tc>
          <w:tcPr>
            <w:tcW w:w="500" w:type="dxa"/>
            <w:tcBorders>
              <w:top w:val="nil"/>
              <w:left w:val="nil"/>
              <w:bottom w:val="single" w:sz="4" w:space="0" w:color="auto"/>
              <w:right w:val="nil"/>
            </w:tcBorders>
            <w:shd w:val="clear" w:color="000000" w:fill="FFFFFF"/>
            <w:vAlign w:val="center"/>
          </w:tcPr>
          <w:p w:rsidR="00266BA4" w:rsidRPr="00A00F0F" w:rsidRDefault="00266BA4" w:rsidP="00747E56">
            <w:pPr>
              <w:spacing w:before="0" w:after="0"/>
              <w:jc w:val="right"/>
              <w:rPr>
                <w:rFonts w:ascii="Arial Narrow" w:hAnsi="Arial Narrow" w:cs="Calibri"/>
                <w:color w:val="000000"/>
                <w:sz w:val="18"/>
                <w:szCs w:val="18"/>
              </w:rPr>
            </w:pPr>
            <w:r w:rsidRPr="00A00F0F">
              <w:rPr>
                <w:rFonts w:ascii="Arial Narrow" w:hAnsi="Arial Narrow" w:cs="Calibri"/>
                <w:color w:val="000000"/>
                <w:sz w:val="18"/>
                <w:szCs w:val="18"/>
              </w:rPr>
              <w:t>10</w:t>
            </w:r>
            <w:r>
              <w:rPr>
                <w:rFonts w:ascii="Arial Narrow" w:hAnsi="Arial Narrow" w:cs="Calibri"/>
                <w:color w:val="000000"/>
                <w:sz w:val="18"/>
                <w:szCs w:val="18"/>
              </w:rPr>
              <w:t>,</w:t>
            </w:r>
            <w:r w:rsidRPr="00A00F0F">
              <w:rPr>
                <w:rFonts w:ascii="Arial Narrow" w:hAnsi="Arial Narrow" w:cs="Calibri"/>
                <w:color w:val="000000"/>
                <w:sz w:val="18"/>
                <w:szCs w:val="18"/>
              </w:rPr>
              <w:t>4</w:t>
            </w:r>
          </w:p>
        </w:tc>
        <w:tc>
          <w:tcPr>
            <w:tcW w:w="500" w:type="dxa"/>
            <w:tcBorders>
              <w:top w:val="nil"/>
              <w:left w:val="nil"/>
              <w:bottom w:val="single" w:sz="4" w:space="0" w:color="auto"/>
              <w:right w:val="nil"/>
            </w:tcBorders>
            <w:shd w:val="clear" w:color="000000" w:fill="FFFFFF"/>
            <w:vAlign w:val="center"/>
          </w:tcPr>
          <w:p w:rsidR="00266BA4" w:rsidRPr="00A00F0F" w:rsidRDefault="00266BA4" w:rsidP="00747E56">
            <w:pPr>
              <w:spacing w:before="0" w:after="0"/>
              <w:jc w:val="right"/>
              <w:rPr>
                <w:rFonts w:ascii="Arial Narrow" w:hAnsi="Arial Narrow" w:cs="Calibri"/>
                <w:color w:val="000000"/>
                <w:sz w:val="18"/>
                <w:szCs w:val="18"/>
              </w:rPr>
            </w:pPr>
            <w:r w:rsidRPr="00A00F0F">
              <w:rPr>
                <w:rFonts w:ascii="Arial Narrow" w:hAnsi="Arial Narrow" w:cs="Calibri"/>
                <w:color w:val="000000"/>
                <w:sz w:val="18"/>
                <w:szCs w:val="18"/>
              </w:rPr>
              <w:t>10</w:t>
            </w:r>
            <w:r>
              <w:rPr>
                <w:rFonts w:ascii="Arial Narrow" w:hAnsi="Arial Narrow" w:cs="Calibri"/>
                <w:color w:val="000000"/>
                <w:sz w:val="18"/>
                <w:szCs w:val="18"/>
              </w:rPr>
              <w:t>,0</w:t>
            </w:r>
          </w:p>
        </w:tc>
        <w:tc>
          <w:tcPr>
            <w:tcW w:w="500" w:type="dxa"/>
            <w:tcBorders>
              <w:top w:val="nil"/>
              <w:left w:val="nil"/>
              <w:bottom w:val="single" w:sz="4" w:space="0" w:color="auto"/>
              <w:right w:val="nil"/>
            </w:tcBorders>
            <w:shd w:val="clear" w:color="000000" w:fill="FFFFFF"/>
            <w:vAlign w:val="center"/>
          </w:tcPr>
          <w:p w:rsidR="00266BA4" w:rsidRPr="00A00F0F" w:rsidRDefault="00266BA4" w:rsidP="00747E56">
            <w:pPr>
              <w:spacing w:before="0" w:after="0"/>
              <w:jc w:val="right"/>
              <w:rPr>
                <w:rFonts w:ascii="Arial Narrow" w:hAnsi="Arial Narrow" w:cs="Calibri"/>
                <w:color w:val="000000"/>
                <w:sz w:val="18"/>
                <w:szCs w:val="18"/>
              </w:rPr>
            </w:pPr>
            <w:r>
              <w:rPr>
                <w:rFonts w:ascii="Arial Narrow" w:hAnsi="Arial Narrow" w:cs="Calibri"/>
                <w:color w:val="000000"/>
                <w:sz w:val="18"/>
                <w:szCs w:val="18"/>
              </w:rPr>
              <w:t>9,3</w:t>
            </w:r>
          </w:p>
        </w:tc>
        <w:tc>
          <w:tcPr>
            <w:tcW w:w="501" w:type="dxa"/>
            <w:tcBorders>
              <w:top w:val="nil"/>
              <w:left w:val="nil"/>
              <w:bottom w:val="single" w:sz="4" w:space="0" w:color="auto"/>
              <w:right w:val="nil"/>
            </w:tcBorders>
            <w:shd w:val="clear" w:color="000000" w:fill="FFFFFF"/>
            <w:vAlign w:val="center"/>
          </w:tcPr>
          <w:p w:rsidR="00266BA4" w:rsidRDefault="00266BA4" w:rsidP="00747E56">
            <w:pPr>
              <w:spacing w:before="0" w:after="0"/>
              <w:jc w:val="right"/>
              <w:rPr>
                <w:rFonts w:ascii="Arial Narrow" w:hAnsi="Arial Narrow" w:cs="Calibri"/>
                <w:color w:val="000000"/>
                <w:sz w:val="18"/>
                <w:szCs w:val="18"/>
              </w:rPr>
            </w:pPr>
            <w:r>
              <w:rPr>
                <w:rFonts w:ascii="Arial Narrow" w:hAnsi="Arial Narrow" w:cs="Calibri"/>
                <w:color w:val="000000"/>
                <w:sz w:val="18"/>
                <w:szCs w:val="18"/>
              </w:rPr>
              <w:t>8,2</w:t>
            </w:r>
          </w:p>
        </w:tc>
        <w:tc>
          <w:tcPr>
            <w:tcW w:w="501" w:type="dxa"/>
            <w:tcBorders>
              <w:top w:val="nil"/>
              <w:left w:val="nil"/>
              <w:bottom w:val="single" w:sz="4" w:space="0" w:color="auto"/>
              <w:right w:val="nil"/>
            </w:tcBorders>
            <w:shd w:val="clear" w:color="000000" w:fill="FFFFFF"/>
            <w:vAlign w:val="center"/>
          </w:tcPr>
          <w:p w:rsidR="00266BA4" w:rsidRDefault="00266BA4" w:rsidP="00747E56">
            <w:pPr>
              <w:spacing w:before="0" w:after="0"/>
              <w:jc w:val="right"/>
              <w:rPr>
                <w:rFonts w:ascii="Arial Narrow" w:hAnsi="Arial Narrow" w:cs="Calibri"/>
                <w:color w:val="000000"/>
                <w:sz w:val="18"/>
                <w:szCs w:val="18"/>
              </w:rPr>
            </w:pPr>
            <w:r>
              <w:rPr>
                <w:rFonts w:ascii="Arial Narrow" w:hAnsi="Arial Narrow" w:cs="Calibri"/>
                <w:color w:val="000000"/>
                <w:sz w:val="18"/>
                <w:szCs w:val="18"/>
              </w:rPr>
              <w:t>6,4</w:t>
            </w:r>
          </w:p>
        </w:tc>
        <w:tc>
          <w:tcPr>
            <w:tcW w:w="501" w:type="dxa"/>
            <w:tcBorders>
              <w:top w:val="nil"/>
              <w:left w:val="nil"/>
              <w:bottom w:val="single" w:sz="4" w:space="0" w:color="auto"/>
              <w:right w:val="nil"/>
            </w:tcBorders>
            <w:shd w:val="clear" w:color="000000" w:fill="FFFFFF"/>
            <w:vAlign w:val="center"/>
          </w:tcPr>
          <w:p w:rsidR="00266BA4" w:rsidRDefault="00266BA4" w:rsidP="00747E56">
            <w:pPr>
              <w:spacing w:before="0" w:after="0"/>
              <w:jc w:val="right"/>
              <w:rPr>
                <w:rFonts w:ascii="Arial Narrow" w:hAnsi="Arial Narrow" w:cs="Calibri"/>
                <w:color w:val="000000"/>
                <w:sz w:val="18"/>
                <w:szCs w:val="18"/>
              </w:rPr>
            </w:pPr>
            <w:r>
              <w:rPr>
                <w:rFonts w:ascii="Arial Narrow" w:hAnsi="Arial Narrow" w:cs="Calibri"/>
                <w:color w:val="000000"/>
                <w:sz w:val="18"/>
                <w:szCs w:val="18"/>
              </w:rPr>
              <w:t>6,0</w:t>
            </w:r>
          </w:p>
        </w:tc>
        <w:tc>
          <w:tcPr>
            <w:tcW w:w="501" w:type="dxa"/>
            <w:tcBorders>
              <w:top w:val="nil"/>
              <w:left w:val="nil"/>
              <w:bottom w:val="single" w:sz="4" w:space="0" w:color="auto"/>
              <w:right w:val="nil"/>
            </w:tcBorders>
            <w:shd w:val="clear" w:color="000000" w:fill="FFFFFF"/>
            <w:vAlign w:val="center"/>
          </w:tcPr>
          <w:p w:rsidR="00266BA4" w:rsidRDefault="00266BA4" w:rsidP="00747E56">
            <w:pPr>
              <w:spacing w:before="0" w:after="0"/>
              <w:jc w:val="right"/>
              <w:rPr>
                <w:rFonts w:ascii="Arial Narrow" w:hAnsi="Arial Narrow" w:cs="Calibri"/>
                <w:color w:val="000000"/>
                <w:sz w:val="18"/>
                <w:szCs w:val="18"/>
              </w:rPr>
            </w:pPr>
            <w:r>
              <w:rPr>
                <w:rFonts w:ascii="Arial Narrow" w:hAnsi="Arial Narrow" w:cs="Calibri"/>
                <w:color w:val="000000"/>
                <w:sz w:val="18"/>
                <w:szCs w:val="18"/>
              </w:rPr>
              <w:t>5,5</w:t>
            </w:r>
          </w:p>
        </w:tc>
        <w:tc>
          <w:tcPr>
            <w:tcW w:w="501" w:type="dxa"/>
            <w:tcBorders>
              <w:top w:val="nil"/>
              <w:left w:val="nil"/>
              <w:bottom w:val="single" w:sz="4" w:space="0" w:color="auto"/>
              <w:right w:val="nil"/>
            </w:tcBorders>
            <w:shd w:val="clear" w:color="000000" w:fill="FFFFFF"/>
            <w:vAlign w:val="center"/>
          </w:tcPr>
          <w:p w:rsidR="00266BA4" w:rsidRDefault="00266BA4" w:rsidP="00747E56">
            <w:pPr>
              <w:spacing w:before="0" w:after="0"/>
              <w:jc w:val="right"/>
              <w:rPr>
                <w:rFonts w:ascii="Arial Narrow" w:hAnsi="Arial Narrow" w:cs="Calibri"/>
                <w:color w:val="000000"/>
                <w:sz w:val="18"/>
                <w:szCs w:val="18"/>
              </w:rPr>
            </w:pPr>
            <w:r>
              <w:rPr>
                <w:rFonts w:ascii="Arial Narrow" w:hAnsi="Arial Narrow" w:cs="Calibri"/>
                <w:color w:val="000000"/>
                <w:sz w:val="18"/>
                <w:szCs w:val="18"/>
              </w:rPr>
              <w:t>5,6</w:t>
            </w:r>
          </w:p>
        </w:tc>
        <w:tc>
          <w:tcPr>
            <w:tcW w:w="501" w:type="dxa"/>
            <w:tcBorders>
              <w:top w:val="nil"/>
              <w:left w:val="nil"/>
              <w:bottom w:val="single" w:sz="4" w:space="0" w:color="auto"/>
              <w:right w:val="nil"/>
            </w:tcBorders>
            <w:shd w:val="clear" w:color="000000" w:fill="FFFFFF"/>
            <w:vAlign w:val="center"/>
          </w:tcPr>
          <w:p w:rsidR="00266BA4" w:rsidRDefault="00266BA4" w:rsidP="00747E56">
            <w:pPr>
              <w:spacing w:before="0" w:after="0"/>
              <w:jc w:val="right"/>
              <w:rPr>
                <w:rFonts w:ascii="Arial Narrow" w:hAnsi="Arial Narrow" w:cs="Calibri"/>
                <w:color w:val="000000"/>
                <w:sz w:val="18"/>
                <w:szCs w:val="18"/>
              </w:rPr>
            </w:pPr>
            <w:r>
              <w:rPr>
                <w:rFonts w:ascii="Arial Narrow" w:hAnsi="Arial Narrow" w:cs="Calibri"/>
                <w:color w:val="000000"/>
                <w:sz w:val="18"/>
                <w:szCs w:val="18"/>
              </w:rPr>
              <w:t>3,9</w:t>
            </w:r>
          </w:p>
        </w:tc>
        <w:tc>
          <w:tcPr>
            <w:tcW w:w="552" w:type="dxa"/>
            <w:tcBorders>
              <w:top w:val="nil"/>
              <w:left w:val="nil"/>
              <w:bottom w:val="single" w:sz="4" w:space="0" w:color="auto"/>
              <w:right w:val="nil"/>
            </w:tcBorders>
            <w:shd w:val="clear" w:color="000000" w:fill="FFFFFF"/>
            <w:vAlign w:val="center"/>
          </w:tcPr>
          <w:p w:rsidR="00266BA4" w:rsidRDefault="00266BA4" w:rsidP="00747E56">
            <w:pPr>
              <w:spacing w:before="0" w:after="0"/>
              <w:jc w:val="right"/>
              <w:rPr>
                <w:rFonts w:ascii="Arial Narrow" w:hAnsi="Arial Narrow" w:cs="Calibri"/>
                <w:color w:val="000000"/>
                <w:sz w:val="18"/>
                <w:szCs w:val="18"/>
              </w:rPr>
            </w:pPr>
            <w:r>
              <w:rPr>
                <w:rFonts w:ascii="Arial Narrow" w:hAnsi="Arial Narrow" w:cs="Calibri"/>
                <w:color w:val="000000"/>
                <w:sz w:val="18"/>
                <w:szCs w:val="18"/>
              </w:rPr>
              <w:t>3,1</w:t>
            </w:r>
          </w:p>
        </w:tc>
        <w:tc>
          <w:tcPr>
            <w:tcW w:w="552" w:type="dxa"/>
            <w:tcBorders>
              <w:top w:val="nil"/>
              <w:left w:val="nil"/>
              <w:bottom w:val="single" w:sz="4" w:space="0" w:color="auto"/>
              <w:right w:val="nil"/>
            </w:tcBorders>
            <w:shd w:val="clear" w:color="000000" w:fill="FFFFFF"/>
            <w:vAlign w:val="center"/>
          </w:tcPr>
          <w:p w:rsidR="00266BA4" w:rsidRDefault="00266BA4" w:rsidP="00747E56">
            <w:pPr>
              <w:spacing w:before="0" w:after="0"/>
              <w:jc w:val="right"/>
              <w:rPr>
                <w:rFonts w:ascii="Arial Narrow" w:hAnsi="Arial Narrow" w:cs="Calibri"/>
                <w:color w:val="000000"/>
                <w:sz w:val="18"/>
                <w:szCs w:val="18"/>
              </w:rPr>
            </w:pPr>
            <w:r>
              <w:rPr>
                <w:rFonts w:ascii="Arial Narrow" w:hAnsi="Arial Narrow" w:cs="Calibri"/>
                <w:color w:val="000000"/>
                <w:sz w:val="18"/>
                <w:szCs w:val="18"/>
              </w:rPr>
              <w:t>2,9</w:t>
            </w:r>
          </w:p>
        </w:tc>
        <w:tc>
          <w:tcPr>
            <w:tcW w:w="525" w:type="dxa"/>
            <w:tcBorders>
              <w:top w:val="nil"/>
              <w:left w:val="nil"/>
              <w:bottom w:val="single" w:sz="4" w:space="0" w:color="auto"/>
              <w:right w:val="nil"/>
            </w:tcBorders>
            <w:shd w:val="clear" w:color="000000" w:fill="FFFFFF"/>
            <w:vAlign w:val="center"/>
          </w:tcPr>
          <w:p w:rsidR="00266BA4" w:rsidRDefault="00266BA4" w:rsidP="00747E56">
            <w:pPr>
              <w:spacing w:before="0" w:after="0"/>
              <w:jc w:val="right"/>
              <w:rPr>
                <w:rFonts w:ascii="Arial Narrow" w:hAnsi="Arial Narrow" w:cs="Calibri"/>
                <w:color w:val="000000"/>
                <w:sz w:val="18"/>
                <w:szCs w:val="18"/>
              </w:rPr>
            </w:pPr>
            <w:r>
              <w:rPr>
                <w:rFonts w:ascii="Arial Narrow" w:hAnsi="Arial Narrow" w:cs="Calibri"/>
                <w:color w:val="000000"/>
                <w:sz w:val="18"/>
                <w:szCs w:val="18"/>
              </w:rPr>
              <w:t>2,3</w:t>
            </w:r>
          </w:p>
        </w:tc>
        <w:tc>
          <w:tcPr>
            <w:tcW w:w="522" w:type="dxa"/>
            <w:tcBorders>
              <w:top w:val="nil"/>
              <w:left w:val="nil"/>
              <w:bottom w:val="single" w:sz="4" w:space="0" w:color="auto"/>
              <w:right w:val="nil"/>
            </w:tcBorders>
            <w:shd w:val="clear" w:color="000000" w:fill="FFFFFF"/>
            <w:vAlign w:val="center"/>
          </w:tcPr>
          <w:p w:rsidR="00266BA4" w:rsidRDefault="00266BA4" w:rsidP="00747E56">
            <w:pPr>
              <w:spacing w:before="0" w:after="0"/>
              <w:jc w:val="right"/>
              <w:rPr>
                <w:rFonts w:ascii="Arial Narrow" w:hAnsi="Arial Narrow" w:cs="Calibri"/>
                <w:color w:val="000000"/>
                <w:sz w:val="18"/>
                <w:szCs w:val="18"/>
              </w:rPr>
            </w:pPr>
            <w:r>
              <w:rPr>
                <w:rFonts w:ascii="Arial Narrow" w:hAnsi="Arial Narrow" w:cs="Calibri"/>
                <w:color w:val="000000"/>
                <w:sz w:val="18"/>
                <w:szCs w:val="18"/>
              </w:rPr>
              <w:t>1,8</w:t>
            </w:r>
          </w:p>
        </w:tc>
      </w:tr>
      <w:tr w:rsidR="00266BA4" w:rsidRPr="001D642A" w:rsidTr="00747E56">
        <w:trPr>
          <w:trHeight w:val="255"/>
          <w:jc w:val="center"/>
        </w:trPr>
        <w:tc>
          <w:tcPr>
            <w:tcW w:w="3262" w:type="dxa"/>
            <w:vMerge/>
            <w:tcBorders>
              <w:top w:val="nil"/>
              <w:left w:val="nil"/>
              <w:bottom w:val="single" w:sz="4" w:space="0" w:color="000000"/>
              <w:right w:val="nil"/>
            </w:tcBorders>
            <w:vAlign w:val="center"/>
            <w:hideMark/>
          </w:tcPr>
          <w:p w:rsidR="00266BA4" w:rsidRPr="001D642A" w:rsidRDefault="00266BA4" w:rsidP="00747E56">
            <w:pPr>
              <w:widowControl/>
              <w:overflowPunct/>
              <w:autoSpaceDE/>
              <w:autoSpaceDN/>
              <w:adjustRightInd/>
              <w:spacing w:before="0" w:after="0"/>
              <w:rPr>
                <w:rFonts w:ascii="Arial Narrow" w:hAnsi="Arial Narrow"/>
                <w:color w:val="000000"/>
                <w:kern w:val="0"/>
                <w:sz w:val="18"/>
                <w:szCs w:val="18"/>
              </w:rPr>
            </w:pPr>
          </w:p>
        </w:tc>
        <w:tc>
          <w:tcPr>
            <w:tcW w:w="286" w:type="dxa"/>
            <w:tcBorders>
              <w:top w:val="nil"/>
              <w:left w:val="nil"/>
              <w:bottom w:val="single" w:sz="4" w:space="0" w:color="auto"/>
              <w:right w:val="nil"/>
            </w:tcBorders>
            <w:shd w:val="clear" w:color="000000" w:fill="FFFFFF"/>
            <w:noWrap/>
            <w:vAlign w:val="center"/>
            <w:hideMark/>
          </w:tcPr>
          <w:p w:rsidR="00266BA4" w:rsidRPr="001D642A" w:rsidRDefault="00266BA4" w:rsidP="00747E56">
            <w:pPr>
              <w:widowControl/>
              <w:overflowPunct/>
              <w:autoSpaceDE/>
              <w:autoSpaceDN/>
              <w:adjustRightInd/>
              <w:spacing w:before="0" w:after="0"/>
              <w:jc w:val="center"/>
              <w:rPr>
                <w:rFonts w:ascii="Arial Narrow" w:hAnsi="Arial Narrow"/>
                <w:b/>
                <w:bCs/>
                <w:color w:val="000000"/>
                <w:kern w:val="0"/>
                <w:sz w:val="17"/>
                <w:szCs w:val="17"/>
              </w:rPr>
            </w:pPr>
            <w:r w:rsidRPr="001D642A">
              <w:rPr>
                <w:rFonts w:ascii="Arial Narrow" w:hAnsi="Arial Narrow"/>
                <w:b/>
                <w:bCs/>
                <w:color w:val="000000"/>
                <w:kern w:val="0"/>
                <w:sz w:val="17"/>
                <w:szCs w:val="17"/>
              </w:rPr>
              <w:t>D</w:t>
            </w:r>
          </w:p>
        </w:tc>
        <w:tc>
          <w:tcPr>
            <w:tcW w:w="500" w:type="dxa"/>
            <w:tcBorders>
              <w:top w:val="nil"/>
              <w:left w:val="nil"/>
              <w:bottom w:val="single" w:sz="4" w:space="0" w:color="auto"/>
              <w:right w:val="nil"/>
            </w:tcBorders>
            <w:shd w:val="clear" w:color="000000" w:fill="FFFFFF"/>
            <w:vAlign w:val="center"/>
          </w:tcPr>
          <w:p w:rsidR="00266BA4" w:rsidRPr="00A00F0F" w:rsidRDefault="00266BA4" w:rsidP="00747E56">
            <w:pPr>
              <w:spacing w:before="0" w:after="0"/>
              <w:jc w:val="right"/>
              <w:rPr>
                <w:rFonts w:ascii="Arial Narrow" w:hAnsi="Arial Narrow" w:cs="Calibri"/>
                <w:color w:val="000000"/>
                <w:sz w:val="18"/>
                <w:szCs w:val="18"/>
              </w:rPr>
            </w:pPr>
            <w:r w:rsidRPr="00A00F0F">
              <w:rPr>
                <w:rFonts w:ascii="Arial Narrow" w:hAnsi="Arial Narrow" w:cs="Calibri"/>
                <w:color w:val="000000"/>
                <w:sz w:val="18"/>
                <w:szCs w:val="18"/>
              </w:rPr>
              <w:t>10</w:t>
            </w:r>
            <w:r>
              <w:rPr>
                <w:rFonts w:ascii="Arial Narrow" w:hAnsi="Arial Narrow" w:cs="Calibri"/>
                <w:color w:val="000000"/>
                <w:sz w:val="18"/>
                <w:szCs w:val="18"/>
              </w:rPr>
              <w:t>,</w:t>
            </w:r>
            <w:r w:rsidRPr="00A00F0F">
              <w:rPr>
                <w:rFonts w:ascii="Arial Narrow" w:hAnsi="Arial Narrow" w:cs="Calibri"/>
                <w:color w:val="000000"/>
                <w:sz w:val="18"/>
                <w:szCs w:val="18"/>
              </w:rPr>
              <w:t>1</w:t>
            </w:r>
          </w:p>
        </w:tc>
        <w:tc>
          <w:tcPr>
            <w:tcW w:w="500" w:type="dxa"/>
            <w:tcBorders>
              <w:top w:val="nil"/>
              <w:left w:val="nil"/>
              <w:bottom w:val="single" w:sz="4" w:space="0" w:color="auto"/>
              <w:right w:val="nil"/>
            </w:tcBorders>
            <w:shd w:val="clear" w:color="000000" w:fill="FFFFFF"/>
            <w:vAlign w:val="center"/>
          </w:tcPr>
          <w:p w:rsidR="00266BA4" w:rsidRPr="00A00F0F" w:rsidRDefault="00266BA4" w:rsidP="00747E56">
            <w:pPr>
              <w:spacing w:before="0" w:after="0"/>
              <w:jc w:val="right"/>
              <w:rPr>
                <w:rFonts w:ascii="Arial Narrow" w:hAnsi="Arial Narrow" w:cs="Calibri"/>
                <w:color w:val="000000"/>
                <w:sz w:val="18"/>
                <w:szCs w:val="18"/>
              </w:rPr>
            </w:pPr>
            <w:r>
              <w:rPr>
                <w:rFonts w:ascii="Arial Narrow" w:hAnsi="Arial Narrow" w:cs="Calibri"/>
                <w:color w:val="000000"/>
                <w:sz w:val="18"/>
                <w:szCs w:val="18"/>
              </w:rPr>
              <w:t>9,8</w:t>
            </w:r>
          </w:p>
        </w:tc>
        <w:tc>
          <w:tcPr>
            <w:tcW w:w="500" w:type="dxa"/>
            <w:tcBorders>
              <w:top w:val="nil"/>
              <w:left w:val="nil"/>
              <w:bottom w:val="single" w:sz="4" w:space="0" w:color="auto"/>
              <w:right w:val="nil"/>
            </w:tcBorders>
            <w:shd w:val="clear" w:color="000000" w:fill="FFFFFF"/>
            <w:vAlign w:val="center"/>
          </w:tcPr>
          <w:p w:rsidR="00266BA4" w:rsidRPr="00A00F0F" w:rsidRDefault="00266BA4" w:rsidP="00747E56">
            <w:pPr>
              <w:spacing w:before="0" w:after="0"/>
              <w:jc w:val="right"/>
              <w:rPr>
                <w:rFonts w:ascii="Arial Narrow" w:hAnsi="Arial Narrow" w:cs="Calibri"/>
                <w:color w:val="000000"/>
                <w:sz w:val="18"/>
                <w:szCs w:val="18"/>
              </w:rPr>
            </w:pPr>
            <w:r>
              <w:rPr>
                <w:rFonts w:ascii="Arial Narrow" w:hAnsi="Arial Narrow" w:cs="Calibri"/>
                <w:color w:val="000000"/>
                <w:sz w:val="18"/>
                <w:szCs w:val="18"/>
              </w:rPr>
              <w:t>9,1</w:t>
            </w:r>
          </w:p>
        </w:tc>
        <w:tc>
          <w:tcPr>
            <w:tcW w:w="501" w:type="dxa"/>
            <w:tcBorders>
              <w:top w:val="nil"/>
              <w:left w:val="nil"/>
              <w:bottom w:val="single" w:sz="4" w:space="0" w:color="auto"/>
              <w:right w:val="nil"/>
            </w:tcBorders>
            <w:shd w:val="clear" w:color="000000" w:fill="FFFFFF"/>
            <w:vAlign w:val="center"/>
          </w:tcPr>
          <w:p w:rsidR="00266BA4" w:rsidRDefault="00266BA4" w:rsidP="00747E56">
            <w:pPr>
              <w:spacing w:before="0" w:after="0"/>
              <w:jc w:val="right"/>
              <w:rPr>
                <w:rFonts w:ascii="Arial Narrow" w:hAnsi="Arial Narrow" w:cs="Calibri"/>
                <w:color w:val="000000"/>
                <w:sz w:val="18"/>
                <w:szCs w:val="18"/>
              </w:rPr>
            </w:pPr>
            <w:r>
              <w:rPr>
                <w:rFonts w:ascii="Arial Narrow" w:hAnsi="Arial Narrow" w:cs="Calibri"/>
                <w:color w:val="000000"/>
                <w:sz w:val="18"/>
                <w:szCs w:val="18"/>
              </w:rPr>
              <w:t>8,0</w:t>
            </w:r>
          </w:p>
        </w:tc>
        <w:tc>
          <w:tcPr>
            <w:tcW w:w="501" w:type="dxa"/>
            <w:tcBorders>
              <w:top w:val="nil"/>
              <w:left w:val="nil"/>
              <w:bottom w:val="single" w:sz="4" w:space="0" w:color="auto"/>
              <w:right w:val="nil"/>
            </w:tcBorders>
            <w:shd w:val="clear" w:color="000000" w:fill="FFFFFF"/>
            <w:vAlign w:val="center"/>
          </w:tcPr>
          <w:p w:rsidR="00266BA4" w:rsidRDefault="00266BA4" w:rsidP="00747E56">
            <w:pPr>
              <w:spacing w:before="0" w:after="0"/>
              <w:jc w:val="right"/>
              <w:rPr>
                <w:rFonts w:ascii="Arial Narrow" w:hAnsi="Arial Narrow" w:cs="Calibri"/>
                <w:color w:val="000000"/>
                <w:sz w:val="18"/>
                <w:szCs w:val="18"/>
              </w:rPr>
            </w:pPr>
            <w:r>
              <w:rPr>
                <w:rFonts w:ascii="Arial Narrow" w:hAnsi="Arial Narrow" w:cs="Calibri"/>
                <w:color w:val="000000"/>
                <w:sz w:val="18"/>
                <w:szCs w:val="18"/>
              </w:rPr>
              <w:t>6,2</w:t>
            </w:r>
          </w:p>
        </w:tc>
        <w:tc>
          <w:tcPr>
            <w:tcW w:w="501" w:type="dxa"/>
            <w:tcBorders>
              <w:top w:val="nil"/>
              <w:left w:val="nil"/>
              <w:bottom w:val="single" w:sz="4" w:space="0" w:color="auto"/>
              <w:right w:val="nil"/>
            </w:tcBorders>
            <w:shd w:val="clear" w:color="000000" w:fill="FFFFFF"/>
            <w:vAlign w:val="center"/>
          </w:tcPr>
          <w:p w:rsidR="00266BA4" w:rsidRDefault="00266BA4" w:rsidP="00747E56">
            <w:pPr>
              <w:spacing w:before="0" w:after="0"/>
              <w:jc w:val="right"/>
              <w:rPr>
                <w:rFonts w:ascii="Arial Narrow" w:hAnsi="Arial Narrow" w:cs="Calibri"/>
                <w:color w:val="000000"/>
                <w:sz w:val="18"/>
                <w:szCs w:val="18"/>
              </w:rPr>
            </w:pPr>
            <w:r>
              <w:rPr>
                <w:rFonts w:ascii="Arial Narrow" w:hAnsi="Arial Narrow" w:cs="Calibri"/>
                <w:color w:val="000000"/>
                <w:sz w:val="18"/>
                <w:szCs w:val="18"/>
              </w:rPr>
              <w:t>5,6</w:t>
            </w:r>
          </w:p>
        </w:tc>
        <w:tc>
          <w:tcPr>
            <w:tcW w:w="501" w:type="dxa"/>
            <w:tcBorders>
              <w:top w:val="nil"/>
              <w:left w:val="nil"/>
              <w:bottom w:val="single" w:sz="4" w:space="0" w:color="auto"/>
              <w:right w:val="nil"/>
            </w:tcBorders>
            <w:shd w:val="clear" w:color="000000" w:fill="FFFFFF"/>
            <w:vAlign w:val="center"/>
          </w:tcPr>
          <w:p w:rsidR="00266BA4" w:rsidRDefault="00266BA4" w:rsidP="00747E56">
            <w:pPr>
              <w:spacing w:before="0" w:after="0"/>
              <w:jc w:val="right"/>
              <w:rPr>
                <w:rFonts w:ascii="Arial Narrow" w:hAnsi="Arial Narrow" w:cs="Calibri"/>
                <w:color w:val="000000"/>
                <w:sz w:val="18"/>
                <w:szCs w:val="18"/>
              </w:rPr>
            </w:pPr>
            <w:r>
              <w:rPr>
                <w:rFonts w:ascii="Arial Narrow" w:hAnsi="Arial Narrow" w:cs="Calibri"/>
                <w:color w:val="000000"/>
                <w:sz w:val="18"/>
                <w:szCs w:val="18"/>
              </w:rPr>
              <w:t>5,5</w:t>
            </w:r>
          </w:p>
        </w:tc>
        <w:tc>
          <w:tcPr>
            <w:tcW w:w="501" w:type="dxa"/>
            <w:tcBorders>
              <w:top w:val="nil"/>
              <w:left w:val="nil"/>
              <w:bottom w:val="single" w:sz="4" w:space="0" w:color="auto"/>
              <w:right w:val="nil"/>
            </w:tcBorders>
            <w:shd w:val="clear" w:color="000000" w:fill="FFFFFF"/>
            <w:vAlign w:val="center"/>
          </w:tcPr>
          <w:p w:rsidR="00266BA4" w:rsidRDefault="00266BA4" w:rsidP="00747E56">
            <w:pPr>
              <w:spacing w:before="0" w:after="0"/>
              <w:jc w:val="right"/>
              <w:rPr>
                <w:rFonts w:ascii="Arial Narrow" w:hAnsi="Arial Narrow" w:cs="Calibri"/>
                <w:color w:val="000000"/>
                <w:sz w:val="18"/>
                <w:szCs w:val="18"/>
              </w:rPr>
            </w:pPr>
            <w:r>
              <w:rPr>
                <w:rFonts w:ascii="Arial Narrow" w:hAnsi="Arial Narrow" w:cs="Calibri"/>
                <w:color w:val="000000"/>
                <w:sz w:val="18"/>
                <w:szCs w:val="18"/>
              </w:rPr>
              <w:t>5,4</w:t>
            </w:r>
          </w:p>
        </w:tc>
        <w:tc>
          <w:tcPr>
            <w:tcW w:w="501" w:type="dxa"/>
            <w:tcBorders>
              <w:top w:val="nil"/>
              <w:left w:val="nil"/>
              <w:bottom w:val="single" w:sz="4" w:space="0" w:color="auto"/>
              <w:right w:val="nil"/>
            </w:tcBorders>
            <w:shd w:val="clear" w:color="000000" w:fill="FFFFFF"/>
            <w:vAlign w:val="center"/>
          </w:tcPr>
          <w:p w:rsidR="00266BA4" w:rsidRDefault="00266BA4" w:rsidP="00747E56">
            <w:pPr>
              <w:spacing w:before="0" w:after="0"/>
              <w:jc w:val="right"/>
              <w:rPr>
                <w:rFonts w:ascii="Arial Narrow" w:hAnsi="Arial Narrow" w:cs="Calibri"/>
                <w:color w:val="000000"/>
                <w:sz w:val="18"/>
                <w:szCs w:val="18"/>
              </w:rPr>
            </w:pPr>
            <w:r>
              <w:rPr>
                <w:rFonts w:ascii="Arial Narrow" w:hAnsi="Arial Narrow" w:cs="Calibri"/>
                <w:color w:val="000000"/>
                <w:sz w:val="18"/>
                <w:szCs w:val="18"/>
              </w:rPr>
              <w:t>3,7</w:t>
            </w:r>
          </w:p>
        </w:tc>
        <w:tc>
          <w:tcPr>
            <w:tcW w:w="552" w:type="dxa"/>
            <w:tcBorders>
              <w:top w:val="nil"/>
              <w:left w:val="nil"/>
              <w:bottom w:val="single" w:sz="4" w:space="0" w:color="auto"/>
              <w:right w:val="nil"/>
            </w:tcBorders>
            <w:shd w:val="clear" w:color="000000" w:fill="FFFFFF"/>
            <w:vAlign w:val="center"/>
          </w:tcPr>
          <w:p w:rsidR="00266BA4" w:rsidRDefault="00266BA4" w:rsidP="00747E56">
            <w:pPr>
              <w:spacing w:before="0" w:after="0"/>
              <w:jc w:val="right"/>
              <w:rPr>
                <w:rFonts w:ascii="Arial Narrow" w:hAnsi="Arial Narrow" w:cs="Calibri"/>
                <w:color w:val="000000"/>
                <w:sz w:val="18"/>
                <w:szCs w:val="18"/>
              </w:rPr>
            </w:pPr>
            <w:r>
              <w:rPr>
                <w:rFonts w:ascii="Arial Narrow" w:hAnsi="Arial Narrow" w:cs="Calibri"/>
                <w:color w:val="000000"/>
                <w:sz w:val="18"/>
                <w:szCs w:val="18"/>
              </w:rPr>
              <w:t>2,7</w:t>
            </w:r>
          </w:p>
        </w:tc>
        <w:tc>
          <w:tcPr>
            <w:tcW w:w="552" w:type="dxa"/>
            <w:tcBorders>
              <w:top w:val="nil"/>
              <w:left w:val="nil"/>
              <w:bottom w:val="single" w:sz="4" w:space="0" w:color="auto"/>
              <w:right w:val="nil"/>
            </w:tcBorders>
            <w:shd w:val="clear" w:color="000000" w:fill="FFFFFF"/>
            <w:vAlign w:val="center"/>
          </w:tcPr>
          <w:p w:rsidR="00266BA4" w:rsidRDefault="00266BA4" w:rsidP="00747E56">
            <w:pPr>
              <w:spacing w:before="0" w:after="0"/>
              <w:jc w:val="right"/>
              <w:rPr>
                <w:rFonts w:ascii="Arial Narrow" w:hAnsi="Arial Narrow" w:cs="Calibri"/>
                <w:color w:val="000000"/>
                <w:sz w:val="18"/>
                <w:szCs w:val="18"/>
              </w:rPr>
            </w:pPr>
            <w:r>
              <w:rPr>
                <w:rFonts w:ascii="Arial Narrow" w:hAnsi="Arial Narrow" w:cs="Calibri"/>
                <w:color w:val="000000"/>
                <w:sz w:val="18"/>
                <w:szCs w:val="18"/>
              </w:rPr>
              <w:t>2,7</w:t>
            </w:r>
          </w:p>
        </w:tc>
        <w:tc>
          <w:tcPr>
            <w:tcW w:w="525" w:type="dxa"/>
            <w:tcBorders>
              <w:top w:val="nil"/>
              <w:left w:val="nil"/>
              <w:bottom w:val="single" w:sz="4" w:space="0" w:color="auto"/>
              <w:right w:val="nil"/>
            </w:tcBorders>
            <w:shd w:val="clear" w:color="000000" w:fill="FFFFFF"/>
            <w:vAlign w:val="center"/>
          </w:tcPr>
          <w:p w:rsidR="00266BA4" w:rsidRDefault="00266BA4" w:rsidP="00747E56">
            <w:pPr>
              <w:spacing w:before="0" w:after="0"/>
              <w:jc w:val="right"/>
              <w:rPr>
                <w:rFonts w:ascii="Arial Narrow" w:hAnsi="Arial Narrow" w:cs="Calibri"/>
                <w:color w:val="000000"/>
                <w:sz w:val="18"/>
                <w:szCs w:val="18"/>
              </w:rPr>
            </w:pPr>
            <w:r>
              <w:rPr>
                <w:rFonts w:ascii="Arial Narrow" w:hAnsi="Arial Narrow" w:cs="Calibri"/>
                <w:color w:val="000000"/>
                <w:sz w:val="18"/>
                <w:szCs w:val="18"/>
              </w:rPr>
              <w:t>2,1</w:t>
            </w:r>
          </w:p>
        </w:tc>
        <w:tc>
          <w:tcPr>
            <w:tcW w:w="522" w:type="dxa"/>
            <w:tcBorders>
              <w:top w:val="nil"/>
              <w:left w:val="nil"/>
              <w:bottom w:val="single" w:sz="4" w:space="0" w:color="auto"/>
              <w:right w:val="nil"/>
            </w:tcBorders>
            <w:shd w:val="clear" w:color="000000" w:fill="FFFFFF"/>
            <w:vAlign w:val="center"/>
          </w:tcPr>
          <w:p w:rsidR="00266BA4" w:rsidRDefault="00266BA4" w:rsidP="00747E56">
            <w:pPr>
              <w:spacing w:before="0" w:after="0"/>
              <w:jc w:val="right"/>
              <w:rPr>
                <w:rFonts w:ascii="Arial Narrow" w:hAnsi="Arial Narrow" w:cs="Calibri"/>
                <w:color w:val="000000"/>
                <w:sz w:val="18"/>
                <w:szCs w:val="18"/>
              </w:rPr>
            </w:pPr>
            <w:r>
              <w:rPr>
                <w:rFonts w:ascii="Arial Narrow" w:hAnsi="Arial Narrow" w:cs="Calibri"/>
                <w:color w:val="000000"/>
                <w:sz w:val="18"/>
                <w:szCs w:val="18"/>
              </w:rPr>
              <w:t>1,7</w:t>
            </w:r>
          </w:p>
        </w:tc>
      </w:tr>
      <w:tr w:rsidR="00266BA4" w:rsidRPr="001D642A" w:rsidTr="00747E56">
        <w:trPr>
          <w:trHeight w:val="255"/>
          <w:jc w:val="center"/>
        </w:trPr>
        <w:tc>
          <w:tcPr>
            <w:tcW w:w="3262" w:type="dxa"/>
            <w:vMerge w:val="restart"/>
            <w:tcBorders>
              <w:top w:val="nil"/>
              <w:left w:val="nil"/>
              <w:bottom w:val="nil"/>
              <w:right w:val="nil"/>
            </w:tcBorders>
            <w:shd w:val="clear" w:color="000000" w:fill="FFFFFF"/>
            <w:vAlign w:val="center"/>
            <w:hideMark/>
          </w:tcPr>
          <w:p w:rsidR="00266BA4" w:rsidRPr="001D642A" w:rsidRDefault="00266BA4" w:rsidP="00747E56">
            <w:pPr>
              <w:widowControl/>
              <w:overflowPunct/>
              <w:autoSpaceDE/>
              <w:autoSpaceDN/>
              <w:adjustRightInd/>
              <w:spacing w:before="0" w:after="0"/>
              <w:rPr>
                <w:rFonts w:ascii="Arial Narrow" w:hAnsi="Arial Narrow"/>
                <w:color w:val="000000"/>
                <w:kern w:val="0"/>
                <w:sz w:val="18"/>
                <w:szCs w:val="18"/>
              </w:rPr>
            </w:pPr>
            <w:r w:rsidRPr="001D642A">
              <w:rPr>
                <w:rFonts w:ascii="Arial Narrow" w:hAnsi="Arial Narrow"/>
                <w:color w:val="000000"/>
                <w:kern w:val="0"/>
                <w:sz w:val="18"/>
                <w:szCs w:val="18"/>
              </w:rPr>
              <w:t xml:space="preserve">    Alimentari lavorati</w:t>
            </w:r>
          </w:p>
        </w:tc>
        <w:tc>
          <w:tcPr>
            <w:tcW w:w="286" w:type="dxa"/>
            <w:tcBorders>
              <w:top w:val="nil"/>
              <w:left w:val="nil"/>
              <w:bottom w:val="single" w:sz="4" w:space="0" w:color="auto"/>
              <w:right w:val="nil"/>
            </w:tcBorders>
            <w:shd w:val="clear" w:color="000000" w:fill="FFFFFF"/>
            <w:noWrap/>
            <w:vAlign w:val="center"/>
            <w:hideMark/>
          </w:tcPr>
          <w:p w:rsidR="00266BA4" w:rsidRPr="001D642A" w:rsidRDefault="00266BA4" w:rsidP="00747E56">
            <w:pPr>
              <w:widowControl/>
              <w:overflowPunct/>
              <w:autoSpaceDE/>
              <w:autoSpaceDN/>
              <w:adjustRightInd/>
              <w:spacing w:before="0" w:after="0"/>
              <w:jc w:val="center"/>
              <w:rPr>
                <w:rFonts w:ascii="Arial Narrow" w:hAnsi="Arial Narrow"/>
                <w:b/>
                <w:bCs/>
                <w:color w:val="000000"/>
                <w:kern w:val="0"/>
                <w:sz w:val="17"/>
                <w:szCs w:val="17"/>
              </w:rPr>
            </w:pPr>
            <w:r w:rsidRPr="001D642A">
              <w:rPr>
                <w:rFonts w:ascii="Arial Narrow" w:hAnsi="Arial Narrow"/>
                <w:b/>
                <w:bCs/>
                <w:color w:val="000000"/>
                <w:kern w:val="0"/>
                <w:sz w:val="17"/>
                <w:szCs w:val="17"/>
              </w:rPr>
              <w:t>P</w:t>
            </w:r>
          </w:p>
        </w:tc>
        <w:tc>
          <w:tcPr>
            <w:tcW w:w="500" w:type="dxa"/>
            <w:tcBorders>
              <w:top w:val="nil"/>
              <w:left w:val="nil"/>
              <w:bottom w:val="single" w:sz="4" w:space="0" w:color="auto"/>
              <w:right w:val="nil"/>
            </w:tcBorders>
            <w:shd w:val="clear" w:color="000000" w:fill="FFFFFF"/>
            <w:vAlign w:val="center"/>
          </w:tcPr>
          <w:p w:rsidR="00266BA4" w:rsidRPr="00A00F0F" w:rsidRDefault="00266BA4" w:rsidP="00747E56">
            <w:pPr>
              <w:spacing w:before="0" w:after="0"/>
              <w:jc w:val="right"/>
              <w:rPr>
                <w:rFonts w:ascii="Arial Narrow" w:hAnsi="Arial Narrow" w:cs="Calibri"/>
                <w:color w:val="000000"/>
                <w:sz w:val="18"/>
                <w:szCs w:val="18"/>
              </w:rPr>
            </w:pPr>
            <w:r w:rsidRPr="00A00F0F">
              <w:rPr>
                <w:rFonts w:ascii="Arial Narrow" w:hAnsi="Arial Narrow" w:cs="Calibri"/>
                <w:color w:val="000000"/>
                <w:sz w:val="18"/>
                <w:szCs w:val="18"/>
              </w:rPr>
              <w:t>10</w:t>
            </w:r>
            <w:r>
              <w:rPr>
                <w:rFonts w:ascii="Arial Narrow" w:hAnsi="Arial Narrow" w:cs="Calibri"/>
                <w:color w:val="000000"/>
                <w:sz w:val="18"/>
                <w:szCs w:val="18"/>
              </w:rPr>
              <w:t>,</w:t>
            </w:r>
            <w:r w:rsidRPr="00A00F0F">
              <w:rPr>
                <w:rFonts w:ascii="Arial Narrow" w:hAnsi="Arial Narrow" w:cs="Calibri"/>
                <w:color w:val="000000"/>
                <w:sz w:val="18"/>
                <w:szCs w:val="18"/>
              </w:rPr>
              <w:t>7</w:t>
            </w:r>
          </w:p>
        </w:tc>
        <w:tc>
          <w:tcPr>
            <w:tcW w:w="500" w:type="dxa"/>
            <w:tcBorders>
              <w:top w:val="nil"/>
              <w:left w:val="nil"/>
              <w:bottom w:val="single" w:sz="4" w:space="0" w:color="auto"/>
              <w:right w:val="nil"/>
            </w:tcBorders>
            <w:shd w:val="clear" w:color="000000" w:fill="FFFFFF"/>
            <w:vAlign w:val="center"/>
          </w:tcPr>
          <w:p w:rsidR="00266BA4" w:rsidRPr="00A00F0F" w:rsidRDefault="00266BA4" w:rsidP="00747E56">
            <w:pPr>
              <w:spacing w:before="0" w:after="0"/>
              <w:jc w:val="right"/>
              <w:rPr>
                <w:rFonts w:ascii="Arial Narrow" w:hAnsi="Arial Narrow" w:cs="Calibri"/>
                <w:color w:val="000000"/>
                <w:sz w:val="18"/>
                <w:szCs w:val="18"/>
              </w:rPr>
            </w:pPr>
            <w:r>
              <w:rPr>
                <w:rFonts w:ascii="Arial Narrow" w:hAnsi="Arial Narrow" w:cs="Calibri"/>
                <w:color w:val="000000"/>
                <w:sz w:val="18"/>
                <w:szCs w:val="18"/>
              </w:rPr>
              <w:t>9,</w:t>
            </w:r>
            <w:r w:rsidRPr="00A00F0F">
              <w:rPr>
                <w:rFonts w:ascii="Arial Narrow" w:hAnsi="Arial Narrow" w:cs="Calibri"/>
                <w:color w:val="000000"/>
                <w:sz w:val="18"/>
                <w:szCs w:val="18"/>
              </w:rPr>
              <w:t>7</w:t>
            </w:r>
          </w:p>
        </w:tc>
        <w:tc>
          <w:tcPr>
            <w:tcW w:w="500" w:type="dxa"/>
            <w:tcBorders>
              <w:top w:val="nil"/>
              <w:left w:val="nil"/>
              <w:bottom w:val="single" w:sz="4" w:space="0" w:color="auto"/>
              <w:right w:val="nil"/>
            </w:tcBorders>
            <w:shd w:val="clear" w:color="000000" w:fill="FFFFFF"/>
            <w:vAlign w:val="center"/>
          </w:tcPr>
          <w:p w:rsidR="00266BA4" w:rsidRPr="00A00F0F" w:rsidRDefault="00266BA4" w:rsidP="00747E56">
            <w:pPr>
              <w:spacing w:before="0" w:after="0"/>
              <w:jc w:val="right"/>
              <w:rPr>
                <w:rFonts w:ascii="Arial Narrow" w:hAnsi="Arial Narrow" w:cs="Calibri"/>
                <w:color w:val="000000"/>
                <w:sz w:val="18"/>
                <w:szCs w:val="18"/>
              </w:rPr>
            </w:pPr>
            <w:r>
              <w:rPr>
                <w:rFonts w:ascii="Arial Narrow" w:hAnsi="Arial Narrow" w:cs="Calibri"/>
                <w:color w:val="000000"/>
                <w:sz w:val="18"/>
                <w:szCs w:val="18"/>
              </w:rPr>
              <w:t>9,0</w:t>
            </w:r>
          </w:p>
        </w:tc>
        <w:tc>
          <w:tcPr>
            <w:tcW w:w="501" w:type="dxa"/>
            <w:tcBorders>
              <w:top w:val="nil"/>
              <w:left w:val="nil"/>
              <w:bottom w:val="single" w:sz="4" w:space="0" w:color="auto"/>
              <w:right w:val="nil"/>
            </w:tcBorders>
            <w:shd w:val="clear" w:color="000000" w:fill="FFFFFF"/>
            <w:vAlign w:val="center"/>
          </w:tcPr>
          <w:p w:rsidR="00266BA4" w:rsidRDefault="00266BA4" w:rsidP="00747E56">
            <w:pPr>
              <w:spacing w:before="0" w:after="0"/>
              <w:jc w:val="right"/>
              <w:rPr>
                <w:rFonts w:ascii="Arial Narrow" w:hAnsi="Arial Narrow" w:cs="Calibri"/>
                <w:color w:val="000000"/>
                <w:sz w:val="18"/>
                <w:szCs w:val="18"/>
              </w:rPr>
            </w:pPr>
            <w:r>
              <w:rPr>
                <w:rFonts w:ascii="Arial Narrow" w:hAnsi="Arial Narrow" w:cs="Calibri"/>
                <w:color w:val="000000"/>
                <w:sz w:val="18"/>
                <w:szCs w:val="18"/>
              </w:rPr>
              <w:t>8,1</w:t>
            </w:r>
          </w:p>
        </w:tc>
        <w:tc>
          <w:tcPr>
            <w:tcW w:w="501" w:type="dxa"/>
            <w:tcBorders>
              <w:top w:val="nil"/>
              <w:left w:val="nil"/>
              <w:bottom w:val="single" w:sz="4" w:space="0" w:color="auto"/>
              <w:right w:val="nil"/>
            </w:tcBorders>
            <w:shd w:val="clear" w:color="000000" w:fill="FFFFFF"/>
            <w:vAlign w:val="center"/>
          </w:tcPr>
          <w:p w:rsidR="00266BA4" w:rsidRDefault="00266BA4" w:rsidP="00747E56">
            <w:pPr>
              <w:spacing w:before="0" w:after="0"/>
              <w:jc w:val="right"/>
              <w:rPr>
                <w:rFonts w:ascii="Arial Narrow" w:hAnsi="Arial Narrow" w:cs="Calibri"/>
                <w:color w:val="000000"/>
                <w:sz w:val="18"/>
                <w:szCs w:val="18"/>
              </w:rPr>
            </w:pPr>
            <w:r>
              <w:rPr>
                <w:rFonts w:ascii="Arial Narrow" w:hAnsi="Arial Narrow" w:cs="Calibri"/>
                <w:color w:val="000000"/>
                <w:sz w:val="18"/>
                <w:szCs w:val="18"/>
              </w:rPr>
              <w:t>6,7</w:t>
            </w:r>
          </w:p>
        </w:tc>
        <w:tc>
          <w:tcPr>
            <w:tcW w:w="501" w:type="dxa"/>
            <w:tcBorders>
              <w:top w:val="nil"/>
              <w:left w:val="nil"/>
              <w:bottom w:val="single" w:sz="4" w:space="0" w:color="auto"/>
              <w:right w:val="nil"/>
            </w:tcBorders>
            <w:shd w:val="clear" w:color="000000" w:fill="FFFFFF"/>
            <w:vAlign w:val="center"/>
          </w:tcPr>
          <w:p w:rsidR="00266BA4" w:rsidRDefault="00266BA4" w:rsidP="00747E56">
            <w:pPr>
              <w:spacing w:before="0" w:after="0"/>
              <w:jc w:val="right"/>
              <w:rPr>
                <w:rFonts w:ascii="Arial Narrow" w:hAnsi="Arial Narrow" w:cs="Calibri"/>
                <w:color w:val="000000"/>
                <w:sz w:val="18"/>
                <w:szCs w:val="18"/>
              </w:rPr>
            </w:pPr>
            <w:r>
              <w:rPr>
                <w:rFonts w:ascii="Arial Narrow" w:hAnsi="Arial Narrow" w:cs="Calibri"/>
                <w:color w:val="000000"/>
                <w:sz w:val="18"/>
                <w:szCs w:val="18"/>
              </w:rPr>
              <w:t>5,8</w:t>
            </w:r>
          </w:p>
        </w:tc>
        <w:tc>
          <w:tcPr>
            <w:tcW w:w="501" w:type="dxa"/>
            <w:tcBorders>
              <w:top w:val="nil"/>
              <w:left w:val="nil"/>
              <w:bottom w:val="single" w:sz="4" w:space="0" w:color="auto"/>
              <w:right w:val="nil"/>
            </w:tcBorders>
            <w:shd w:val="clear" w:color="000000" w:fill="FFFFFF"/>
            <w:vAlign w:val="center"/>
          </w:tcPr>
          <w:p w:rsidR="00266BA4" w:rsidRDefault="00266BA4" w:rsidP="00747E56">
            <w:pPr>
              <w:spacing w:before="0" w:after="0"/>
              <w:jc w:val="right"/>
              <w:rPr>
                <w:rFonts w:ascii="Arial Narrow" w:hAnsi="Arial Narrow" w:cs="Calibri"/>
                <w:color w:val="000000"/>
                <w:sz w:val="18"/>
                <w:szCs w:val="18"/>
              </w:rPr>
            </w:pPr>
            <w:r>
              <w:rPr>
                <w:rFonts w:ascii="Arial Narrow" w:hAnsi="Arial Narrow" w:cs="Calibri"/>
                <w:color w:val="000000"/>
                <w:sz w:val="18"/>
                <w:szCs w:val="18"/>
              </w:rPr>
              <w:t>4,6</w:t>
            </w:r>
          </w:p>
        </w:tc>
        <w:tc>
          <w:tcPr>
            <w:tcW w:w="501" w:type="dxa"/>
            <w:tcBorders>
              <w:top w:val="nil"/>
              <w:left w:val="nil"/>
              <w:bottom w:val="single" w:sz="4" w:space="0" w:color="auto"/>
              <w:right w:val="nil"/>
            </w:tcBorders>
            <w:shd w:val="clear" w:color="000000" w:fill="FFFFFF"/>
            <w:vAlign w:val="center"/>
          </w:tcPr>
          <w:p w:rsidR="00266BA4" w:rsidRDefault="00266BA4" w:rsidP="00747E56">
            <w:pPr>
              <w:spacing w:before="0" w:after="0"/>
              <w:jc w:val="right"/>
              <w:rPr>
                <w:rFonts w:ascii="Arial Narrow" w:hAnsi="Arial Narrow" w:cs="Calibri"/>
                <w:color w:val="000000"/>
                <w:sz w:val="18"/>
                <w:szCs w:val="18"/>
              </w:rPr>
            </w:pPr>
            <w:r>
              <w:rPr>
                <w:rFonts w:ascii="Arial Narrow" w:hAnsi="Arial Narrow" w:cs="Calibri"/>
                <w:color w:val="000000"/>
                <w:sz w:val="18"/>
                <w:szCs w:val="18"/>
              </w:rPr>
              <w:t>4,3</w:t>
            </w:r>
          </w:p>
        </w:tc>
        <w:tc>
          <w:tcPr>
            <w:tcW w:w="501" w:type="dxa"/>
            <w:tcBorders>
              <w:top w:val="nil"/>
              <w:left w:val="nil"/>
              <w:bottom w:val="single" w:sz="4" w:space="0" w:color="auto"/>
              <w:right w:val="nil"/>
            </w:tcBorders>
            <w:shd w:val="clear" w:color="000000" w:fill="FFFFFF"/>
            <w:vAlign w:val="center"/>
          </w:tcPr>
          <w:p w:rsidR="00266BA4" w:rsidRDefault="00266BA4" w:rsidP="00747E56">
            <w:pPr>
              <w:spacing w:before="0" w:after="0"/>
              <w:jc w:val="right"/>
              <w:rPr>
                <w:rFonts w:ascii="Arial Narrow" w:hAnsi="Arial Narrow" w:cs="Calibri"/>
                <w:color w:val="000000"/>
                <w:sz w:val="18"/>
                <w:szCs w:val="18"/>
              </w:rPr>
            </w:pPr>
            <w:r>
              <w:rPr>
                <w:rFonts w:ascii="Arial Narrow" w:hAnsi="Arial Narrow" w:cs="Calibri"/>
                <w:color w:val="000000"/>
                <w:sz w:val="18"/>
                <w:szCs w:val="18"/>
              </w:rPr>
              <w:t>3,5</w:t>
            </w:r>
          </w:p>
        </w:tc>
        <w:tc>
          <w:tcPr>
            <w:tcW w:w="552" w:type="dxa"/>
            <w:tcBorders>
              <w:top w:val="nil"/>
              <w:left w:val="nil"/>
              <w:bottom w:val="single" w:sz="4" w:space="0" w:color="auto"/>
              <w:right w:val="nil"/>
            </w:tcBorders>
            <w:shd w:val="clear" w:color="000000" w:fill="FFFFFF"/>
            <w:vAlign w:val="center"/>
          </w:tcPr>
          <w:p w:rsidR="00266BA4" w:rsidRDefault="00266BA4" w:rsidP="00747E56">
            <w:pPr>
              <w:spacing w:before="0" w:after="0"/>
              <w:jc w:val="right"/>
              <w:rPr>
                <w:rFonts w:ascii="Arial Narrow" w:hAnsi="Arial Narrow" w:cs="Calibri"/>
                <w:color w:val="000000"/>
                <w:sz w:val="18"/>
                <w:szCs w:val="18"/>
              </w:rPr>
            </w:pPr>
            <w:r>
              <w:rPr>
                <w:rFonts w:ascii="Arial Narrow" w:hAnsi="Arial Narrow" w:cs="Calibri"/>
                <w:color w:val="000000"/>
                <w:sz w:val="18"/>
                <w:szCs w:val="18"/>
              </w:rPr>
              <w:t>3,3</w:t>
            </w:r>
          </w:p>
        </w:tc>
        <w:tc>
          <w:tcPr>
            <w:tcW w:w="552" w:type="dxa"/>
            <w:tcBorders>
              <w:top w:val="nil"/>
              <w:left w:val="nil"/>
              <w:bottom w:val="single" w:sz="4" w:space="0" w:color="auto"/>
              <w:right w:val="nil"/>
            </w:tcBorders>
            <w:shd w:val="clear" w:color="000000" w:fill="FFFFFF"/>
            <w:vAlign w:val="center"/>
          </w:tcPr>
          <w:p w:rsidR="00266BA4" w:rsidRDefault="00266BA4" w:rsidP="00747E56">
            <w:pPr>
              <w:spacing w:before="0" w:after="0"/>
              <w:jc w:val="right"/>
              <w:rPr>
                <w:rFonts w:ascii="Arial Narrow" w:hAnsi="Arial Narrow" w:cs="Calibri"/>
                <w:color w:val="000000"/>
                <w:sz w:val="18"/>
                <w:szCs w:val="18"/>
              </w:rPr>
            </w:pPr>
            <w:r>
              <w:rPr>
                <w:rFonts w:ascii="Arial Narrow" w:hAnsi="Arial Narrow" w:cs="Calibri"/>
                <w:color w:val="000000"/>
                <w:sz w:val="18"/>
                <w:szCs w:val="18"/>
              </w:rPr>
              <w:t>2,9</w:t>
            </w:r>
          </w:p>
        </w:tc>
        <w:tc>
          <w:tcPr>
            <w:tcW w:w="525" w:type="dxa"/>
            <w:tcBorders>
              <w:top w:val="nil"/>
              <w:left w:val="nil"/>
              <w:bottom w:val="single" w:sz="4" w:space="0" w:color="auto"/>
              <w:right w:val="nil"/>
            </w:tcBorders>
            <w:shd w:val="clear" w:color="000000" w:fill="FFFFFF"/>
            <w:vAlign w:val="center"/>
          </w:tcPr>
          <w:p w:rsidR="00266BA4" w:rsidRDefault="00266BA4" w:rsidP="00747E56">
            <w:pPr>
              <w:spacing w:before="0" w:after="0"/>
              <w:jc w:val="right"/>
              <w:rPr>
                <w:rFonts w:ascii="Arial Narrow" w:hAnsi="Arial Narrow" w:cs="Calibri"/>
                <w:color w:val="000000"/>
                <w:sz w:val="18"/>
                <w:szCs w:val="18"/>
              </w:rPr>
            </w:pPr>
            <w:r>
              <w:rPr>
                <w:rFonts w:ascii="Arial Narrow" w:hAnsi="Arial Narrow" w:cs="Calibri"/>
                <w:color w:val="000000"/>
                <w:sz w:val="18"/>
                <w:szCs w:val="18"/>
              </w:rPr>
              <w:t>2,3</w:t>
            </w:r>
          </w:p>
        </w:tc>
        <w:tc>
          <w:tcPr>
            <w:tcW w:w="522" w:type="dxa"/>
            <w:tcBorders>
              <w:top w:val="nil"/>
              <w:left w:val="nil"/>
              <w:bottom w:val="single" w:sz="4" w:space="0" w:color="auto"/>
              <w:right w:val="nil"/>
            </w:tcBorders>
            <w:shd w:val="clear" w:color="000000" w:fill="FFFFFF"/>
            <w:vAlign w:val="center"/>
          </w:tcPr>
          <w:p w:rsidR="00266BA4" w:rsidRDefault="00266BA4" w:rsidP="00747E56">
            <w:pPr>
              <w:spacing w:before="0" w:after="0"/>
              <w:jc w:val="right"/>
              <w:rPr>
                <w:rFonts w:ascii="Arial Narrow" w:hAnsi="Arial Narrow" w:cs="Calibri"/>
                <w:color w:val="000000"/>
                <w:sz w:val="18"/>
                <w:szCs w:val="18"/>
              </w:rPr>
            </w:pPr>
            <w:r>
              <w:rPr>
                <w:rFonts w:ascii="Arial Narrow" w:hAnsi="Arial Narrow" w:cs="Calibri"/>
                <w:color w:val="000000"/>
                <w:sz w:val="18"/>
                <w:szCs w:val="18"/>
              </w:rPr>
              <w:t>2,3</w:t>
            </w:r>
          </w:p>
        </w:tc>
      </w:tr>
      <w:tr w:rsidR="00266BA4" w:rsidRPr="001D642A" w:rsidTr="00747E56">
        <w:trPr>
          <w:trHeight w:val="255"/>
          <w:jc w:val="center"/>
        </w:trPr>
        <w:tc>
          <w:tcPr>
            <w:tcW w:w="3262" w:type="dxa"/>
            <w:vMerge/>
            <w:tcBorders>
              <w:top w:val="nil"/>
              <w:left w:val="nil"/>
              <w:bottom w:val="nil"/>
              <w:right w:val="nil"/>
            </w:tcBorders>
            <w:vAlign w:val="center"/>
            <w:hideMark/>
          </w:tcPr>
          <w:p w:rsidR="00266BA4" w:rsidRPr="001D642A" w:rsidRDefault="00266BA4" w:rsidP="00747E56">
            <w:pPr>
              <w:widowControl/>
              <w:overflowPunct/>
              <w:autoSpaceDE/>
              <w:autoSpaceDN/>
              <w:adjustRightInd/>
              <w:spacing w:before="0" w:after="0"/>
              <w:rPr>
                <w:rFonts w:ascii="Arial Narrow" w:hAnsi="Arial Narrow"/>
                <w:color w:val="000000"/>
                <w:kern w:val="0"/>
                <w:sz w:val="18"/>
                <w:szCs w:val="18"/>
              </w:rPr>
            </w:pPr>
          </w:p>
        </w:tc>
        <w:tc>
          <w:tcPr>
            <w:tcW w:w="286" w:type="dxa"/>
            <w:tcBorders>
              <w:top w:val="nil"/>
              <w:left w:val="nil"/>
              <w:bottom w:val="single" w:sz="4" w:space="0" w:color="auto"/>
              <w:right w:val="nil"/>
            </w:tcBorders>
            <w:shd w:val="clear" w:color="000000" w:fill="FFFFFF"/>
            <w:noWrap/>
            <w:vAlign w:val="center"/>
            <w:hideMark/>
          </w:tcPr>
          <w:p w:rsidR="00266BA4" w:rsidRPr="001D642A" w:rsidRDefault="00266BA4" w:rsidP="00747E56">
            <w:pPr>
              <w:widowControl/>
              <w:overflowPunct/>
              <w:autoSpaceDE/>
              <w:autoSpaceDN/>
              <w:adjustRightInd/>
              <w:spacing w:before="0" w:after="0"/>
              <w:jc w:val="center"/>
              <w:rPr>
                <w:rFonts w:ascii="Arial Narrow" w:hAnsi="Arial Narrow"/>
                <w:b/>
                <w:bCs/>
                <w:color w:val="000000"/>
                <w:kern w:val="0"/>
                <w:sz w:val="17"/>
                <w:szCs w:val="17"/>
              </w:rPr>
            </w:pPr>
            <w:r w:rsidRPr="001D642A">
              <w:rPr>
                <w:rFonts w:ascii="Arial Narrow" w:hAnsi="Arial Narrow"/>
                <w:b/>
                <w:bCs/>
                <w:color w:val="000000"/>
                <w:kern w:val="0"/>
                <w:sz w:val="17"/>
                <w:szCs w:val="17"/>
              </w:rPr>
              <w:t>D</w:t>
            </w:r>
          </w:p>
        </w:tc>
        <w:tc>
          <w:tcPr>
            <w:tcW w:w="500" w:type="dxa"/>
            <w:tcBorders>
              <w:top w:val="nil"/>
              <w:left w:val="nil"/>
              <w:bottom w:val="single" w:sz="4" w:space="0" w:color="auto"/>
              <w:right w:val="nil"/>
            </w:tcBorders>
            <w:shd w:val="clear" w:color="000000" w:fill="FFFFFF"/>
            <w:vAlign w:val="center"/>
          </w:tcPr>
          <w:p w:rsidR="00266BA4" w:rsidRPr="00A00F0F" w:rsidRDefault="00266BA4" w:rsidP="00747E56">
            <w:pPr>
              <w:spacing w:before="0" w:after="0"/>
              <w:jc w:val="right"/>
              <w:rPr>
                <w:rFonts w:ascii="Arial Narrow" w:hAnsi="Arial Narrow" w:cs="Calibri"/>
                <w:color w:val="000000"/>
                <w:sz w:val="18"/>
                <w:szCs w:val="18"/>
              </w:rPr>
            </w:pPr>
            <w:r w:rsidRPr="00A00F0F">
              <w:rPr>
                <w:rFonts w:ascii="Arial Narrow" w:hAnsi="Arial Narrow" w:cs="Calibri"/>
                <w:color w:val="000000"/>
                <w:sz w:val="18"/>
                <w:szCs w:val="18"/>
              </w:rPr>
              <w:t>10</w:t>
            </w:r>
            <w:r>
              <w:rPr>
                <w:rFonts w:ascii="Arial Narrow" w:hAnsi="Arial Narrow" w:cs="Calibri"/>
                <w:color w:val="000000"/>
                <w:sz w:val="18"/>
                <w:szCs w:val="18"/>
              </w:rPr>
              <w:t>,</w:t>
            </w:r>
            <w:r w:rsidRPr="00A00F0F">
              <w:rPr>
                <w:rFonts w:ascii="Arial Narrow" w:hAnsi="Arial Narrow" w:cs="Calibri"/>
                <w:color w:val="000000"/>
                <w:sz w:val="18"/>
                <w:szCs w:val="18"/>
              </w:rPr>
              <w:t>4</w:t>
            </w:r>
          </w:p>
        </w:tc>
        <w:tc>
          <w:tcPr>
            <w:tcW w:w="500" w:type="dxa"/>
            <w:tcBorders>
              <w:top w:val="nil"/>
              <w:left w:val="nil"/>
              <w:bottom w:val="single" w:sz="4" w:space="0" w:color="auto"/>
              <w:right w:val="nil"/>
            </w:tcBorders>
            <w:shd w:val="clear" w:color="000000" w:fill="FFFFFF"/>
            <w:vAlign w:val="center"/>
          </w:tcPr>
          <w:p w:rsidR="00266BA4" w:rsidRPr="00A00F0F" w:rsidRDefault="00266BA4" w:rsidP="00747E56">
            <w:pPr>
              <w:spacing w:before="0" w:after="0"/>
              <w:jc w:val="right"/>
              <w:rPr>
                <w:rFonts w:ascii="Arial Narrow" w:hAnsi="Arial Narrow" w:cs="Calibri"/>
                <w:color w:val="000000"/>
                <w:sz w:val="18"/>
                <w:szCs w:val="18"/>
              </w:rPr>
            </w:pPr>
            <w:r>
              <w:rPr>
                <w:rFonts w:ascii="Arial Narrow" w:hAnsi="Arial Narrow" w:cs="Calibri"/>
                <w:color w:val="000000"/>
                <w:sz w:val="18"/>
                <w:szCs w:val="18"/>
              </w:rPr>
              <w:t>9,</w:t>
            </w:r>
            <w:r w:rsidRPr="00A00F0F">
              <w:rPr>
                <w:rFonts w:ascii="Arial Narrow" w:hAnsi="Arial Narrow" w:cs="Calibri"/>
                <w:color w:val="000000"/>
                <w:sz w:val="18"/>
                <w:szCs w:val="18"/>
              </w:rPr>
              <w:t>4</w:t>
            </w:r>
          </w:p>
        </w:tc>
        <w:tc>
          <w:tcPr>
            <w:tcW w:w="500" w:type="dxa"/>
            <w:tcBorders>
              <w:top w:val="nil"/>
              <w:left w:val="nil"/>
              <w:bottom w:val="single" w:sz="4" w:space="0" w:color="auto"/>
              <w:right w:val="nil"/>
            </w:tcBorders>
            <w:shd w:val="clear" w:color="000000" w:fill="FFFFFF"/>
            <w:vAlign w:val="center"/>
          </w:tcPr>
          <w:p w:rsidR="00266BA4" w:rsidRPr="00A00F0F" w:rsidRDefault="00266BA4" w:rsidP="00747E56">
            <w:pPr>
              <w:spacing w:before="0" w:after="0"/>
              <w:jc w:val="right"/>
              <w:rPr>
                <w:rFonts w:ascii="Arial Narrow" w:hAnsi="Arial Narrow" w:cs="Calibri"/>
                <w:color w:val="000000"/>
                <w:sz w:val="18"/>
                <w:szCs w:val="18"/>
              </w:rPr>
            </w:pPr>
            <w:r>
              <w:rPr>
                <w:rFonts w:ascii="Arial Narrow" w:hAnsi="Arial Narrow" w:cs="Calibri"/>
                <w:color w:val="000000"/>
                <w:sz w:val="18"/>
                <w:szCs w:val="18"/>
              </w:rPr>
              <w:t>8,9</w:t>
            </w:r>
          </w:p>
        </w:tc>
        <w:tc>
          <w:tcPr>
            <w:tcW w:w="501" w:type="dxa"/>
            <w:tcBorders>
              <w:top w:val="nil"/>
              <w:left w:val="nil"/>
              <w:bottom w:val="single" w:sz="4" w:space="0" w:color="auto"/>
              <w:right w:val="nil"/>
            </w:tcBorders>
            <w:shd w:val="clear" w:color="000000" w:fill="FFFFFF"/>
            <w:vAlign w:val="center"/>
          </w:tcPr>
          <w:p w:rsidR="00266BA4" w:rsidRDefault="00266BA4" w:rsidP="00747E56">
            <w:pPr>
              <w:spacing w:before="0" w:after="0"/>
              <w:jc w:val="right"/>
              <w:rPr>
                <w:rFonts w:ascii="Arial Narrow" w:hAnsi="Arial Narrow" w:cs="Calibri"/>
                <w:color w:val="000000"/>
                <w:sz w:val="18"/>
                <w:szCs w:val="18"/>
              </w:rPr>
            </w:pPr>
            <w:r>
              <w:rPr>
                <w:rFonts w:ascii="Arial Narrow" w:hAnsi="Arial Narrow" w:cs="Calibri"/>
                <w:color w:val="000000"/>
                <w:sz w:val="18"/>
                <w:szCs w:val="18"/>
              </w:rPr>
              <w:t>7,9</w:t>
            </w:r>
          </w:p>
        </w:tc>
        <w:tc>
          <w:tcPr>
            <w:tcW w:w="501" w:type="dxa"/>
            <w:tcBorders>
              <w:top w:val="nil"/>
              <w:left w:val="nil"/>
              <w:bottom w:val="single" w:sz="4" w:space="0" w:color="auto"/>
              <w:right w:val="nil"/>
            </w:tcBorders>
            <w:shd w:val="clear" w:color="000000" w:fill="FFFFFF"/>
            <w:vAlign w:val="center"/>
          </w:tcPr>
          <w:p w:rsidR="00266BA4" w:rsidRDefault="00266BA4" w:rsidP="00747E56">
            <w:pPr>
              <w:spacing w:before="0" w:after="0"/>
              <w:jc w:val="right"/>
              <w:rPr>
                <w:rFonts w:ascii="Arial Narrow" w:hAnsi="Arial Narrow" w:cs="Calibri"/>
                <w:color w:val="000000"/>
                <w:sz w:val="18"/>
                <w:szCs w:val="18"/>
              </w:rPr>
            </w:pPr>
            <w:r>
              <w:rPr>
                <w:rFonts w:ascii="Arial Narrow" w:hAnsi="Arial Narrow" w:cs="Calibri"/>
                <w:color w:val="000000"/>
                <w:sz w:val="18"/>
                <w:szCs w:val="18"/>
              </w:rPr>
              <w:t>6,5</w:t>
            </w:r>
          </w:p>
        </w:tc>
        <w:tc>
          <w:tcPr>
            <w:tcW w:w="501" w:type="dxa"/>
            <w:tcBorders>
              <w:top w:val="nil"/>
              <w:left w:val="nil"/>
              <w:bottom w:val="single" w:sz="4" w:space="0" w:color="auto"/>
              <w:right w:val="nil"/>
            </w:tcBorders>
            <w:shd w:val="clear" w:color="000000" w:fill="FFFFFF"/>
            <w:vAlign w:val="center"/>
          </w:tcPr>
          <w:p w:rsidR="00266BA4" w:rsidRDefault="00266BA4" w:rsidP="00747E56">
            <w:pPr>
              <w:spacing w:before="0" w:after="0"/>
              <w:jc w:val="right"/>
              <w:rPr>
                <w:rFonts w:ascii="Arial Narrow" w:hAnsi="Arial Narrow" w:cs="Calibri"/>
                <w:color w:val="000000"/>
                <w:sz w:val="18"/>
                <w:szCs w:val="18"/>
              </w:rPr>
            </w:pPr>
            <w:r>
              <w:rPr>
                <w:rFonts w:ascii="Arial Narrow" w:hAnsi="Arial Narrow" w:cs="Calibri"/>
                <w:color w:val="000000"/>
                <w:sz w:val="18"/>
                <w:szCs w:val="18"/>
              </w:rPr>
              <w:t>5,3</w:t>
            </w:r>
          </w:p>
        </w:tc>
        <w:tc>
          <w:tcPr>
            <w:tcW w:w="501" w:type="dxa"/>
            <w:tcBorders>
              <w:top w:val="nil"/>
              <w:left w:val="nil"/>
              <w:bottom w:val="single" w:sz="4" w:space="0" w:color="auto"/>
              <w:right w:val="nil"/>
            </w:tcBorders>
            <w:shd w:val="clear" w:color="000000" w:fill="FFFFFF"/>
            <w:vAlign w:val="center"/>
          </w:tcPr>
          <w:p w:rsidR="00266BA4" w:rsidRDefault="00266BA4" w:rsidP="00747E56">
            <w:pPr>
              <w:spacing w:before="0" w:after="0"/>
              <w:jc w:val="right"/>
              <w:rPr>
                <w:rFonts w:ascii="Arial Narrow" w:hAnsi="Arial Narrow" w:cs="Calibri"/>
                <w:color w:val="000000"/>
                <w:sz w:val="18"/>
                <w:szCs w:val="18"/>
              </w:rPr>
            </w:pPr>
            <w:r>
              <w:rPr>
                <w:rFonts w:ascii="Arial Narrow" w:hAnsi="Arial Narrow" w:cs="Calibri"/>
                <w:color w:val="000000"/>
                <w:sz w:val="18"/>
                <w:szCs w:val="18"/>
              </w:rPr>
              <w:t>4,5</w:t>
            </w:r>
          </w:p>
        </w:tc>
        <w:tc>
          <w:tcPr>
            <w:tcW w:w="501" w:type="dxa"/>
            <w:tcBorders>
              <w:top w:val="nil"/>
              <w:left w:val="nil"/>
              <w:bottom w:val="single" w:sz="4" w:space="0" w:color="auto"/>
              <w:right w:val="nil"/>
            </w:tcBorders>
            <w:shd w:val="clear" w:color="000000" w:fill="FFFFFF"/>
            <w:vAlign w:val="center"/>
          </w:tcPr>
          <w:p w:rsidR="00266BA4" w:rsidRDefault="00266BA4" w:rsidP="00747E56">
            <w:pPr>
              <w:spacing w:before="0" w:after="0"/>
              <w:jc w:val="right"/>
              <w:rPr>
                <w:rFonts w:ascii="Arial Narrow" w:hAnsi="Arial Narrow" w:cs="Calibri"/>
                <w:color w:val="000000"/>
                <w:sz w:val="18"/>
                <w:szCs w:val="18"/>
              </w:rPr>
            </w:pPr>
            <w:r>
              <w:rPr>
                <w:rFonts w:ascii="Arial Narrow" w:hAnsi="Arial Narrow" w:cs="Calibri"/>
                <w:color w:val="000000"/>
                <w:sz w:val="18"/>
                <w:szCs w:val="18"/>
              </w:rPr>
              <w:t>4,1</w:t>
            </w:r>
          </w:p>
        </w:tc>
        <w:tc>
          <w:tcPr>
            <w:tcW w:w="501" w:type="dxa"/>
            <w:tcBorders>
              <w:top w:val="nil"/>
              <w:left w:val="nil"/>
              <w:bottom w:val="single" w:sz="4" w:space="0" w:color="auto"/>
              <w:right w:val="nil"/>
            </w:tcBorders>
            <w:shd w:val="clear" w:color="000000" w:fill="FFFFFF"/>
            <w:vAlign w:val="center"/>
          </w:tcPr>
          <w:p w:rsidR="00266BA4" w:rsidRDefault="00266BA4" w:rsidP="00747E56">
            <w:pPr>
              <w:spacing w:before="0" w:after="0"/>
              <w:jc w:val="right"/>
              <w:rPr>
                <w:rFonts w:ascii="Arial Narrow" w:hAnsi="Arial Narrow" w:cs="Calibri"/>
                <w:color w:val="000000"/>
                <w:sz w:val="18"/>
                <w:szCs w:val="18"/>
              </w:rPr>
            </w:pPr>
            <w:r>
              <w:rPr>
                <w:rFonts w:ascii="Arial Narrow" w:hAnsi="Arial Narrow" w:cs="Calibri"/>
                <w:color w:val="000000"/>
                <w:sz w:val="18"/>
                <w:szCs w:val="18"/>
              </w:rPr>
              <w:t>3,3</w:t>
            </w:r>
          </w:p>
        </w:tc>
        <w:tc>
          <w:tcPr>
            <w:tcW w:w="552" w:type="dxa"/>
            <w:tcBorders>
              <w:top w:val="nil"/>
              <w:left w:val="nil"/>
              <w:bottom w:val="single" w:sz="4" w:space="0" w:color="auto"/>
              <w:right w:val="nil"/>
            </w:tcBorders>
            <w:shd w:val="clear" w:color="000000" w:fill="FFFFFF"/>
            <w:vAlign w:val="center"/>
          </w:tcPr>
          <w:p w:rsidR="00266BA4" w:rsidRDefault="00266BA4" w:rsidP="00747E56">
            <w:pPr>
              <w:spacing w:before="0" w:after="0"/>
              <w:jc w:val="right"/>
              <w:rPr>
                <w:rFonts w:ascii="Arial Narrow" w:hAnsi="Arial Narrow" w:cs="Calibri"/>
                <w:color w:val="000000"/>
                <w:sz w:val="18"/>
                <w:szCs w:val="18"/>
              </w:rPr>
            </w:pPr>
            <w:r>
              <w:rPr>
                <w:rFonts w:ascii="Arial Narrow" w:hAnsi="Arial Narrow" w:cs="Calibri"/>
                <w:color w:val="000000"/>
                <w:sz w:val="18"/>
                <w:szCs w:val="18"/>
              </w:rPr>
              <w:t>2,8</w:t>
            </w:r>
          </w:p>
        </w:tc>
        <w:tc>
          <w:tcPr>
            <w:tcW w:w="552" w:type="dxa"/>
            <w:tcBorders>
              <w:top w:val="nil"/>
              <w:left w:val="nil"/>
              <w:bottom w:val="single" w:sz="4" w:space="0" w:color="auto"/>
              <w:right w:val="nil"/>
            </w:tcBorders>
            <w:shd w:val="clear" w:color="000000" w:fill="FFFFFF"/>
            <w:vAlign w:val="center"/>
          </w:tcPr>
          <w:p w:rsidR="00266BA4" w:rsidRDefault="00266BA4" w:rsidP="00747E56">
            <w:pPr>
              <w:spacing w:before="0" w:after="0"/>
              <w:jc w:val="right"/>
              <w:rPr>
                <w:rFonts w:ascii="Arial Narrow" w:hAnsi="Arial Narrow" w:cs="Calibri"/>
                <w:color w:val="000000"/>
                <w:sz w:val="18"/>
                <w:szCs w:val="18"/>
              </w:rPr>
            </w:pPr>
            <w:r>
              <w:rPr>
                <w:rFonts w:ascii="Arial Narrow" w:hAnsi="Arial Narrow" w:cs="Calibri"/>
                <w:color w:val="000000"/>
                <w:sz w:val="18"/>
                <w:szCs w:val="18"/>
              </w:rPr>
              <w:t>2,7</w:t>
            </w:r>
          </w:p>
        </w:tc>
        <w:tc>
          <w:tcPr>
            <w:tcW w:w="525" w:type="dxa"/>
            <w:tcBorders>
              <w:top w:val="nil"/>
              <w:left w:val="nil"/>
              <w:bottom w:val="single" w:sz="4" w:space="0" w:color="auto"/>
              <w:right w:val="nil"/>
            </w:tcBorders>
            <w:shd w:val="clear" w:color="000000" w:fill="FFFFFF"/>
            <w:vAlign w:val="center"/>
          </w:tcPr>
          <w:p w:rsidR="00266BA4" w:rsidRDefault="00266BA4" w:rsidP="00747E56">
            <w:pPr>
              <w:spacing w:before="0" w:after="0"/>
              <w:jc w:val="right"/>
              <w:rPr>
                <w:rFonts w:ascii="Arial Narrow" w:hAnsi="Arial Narrow" w:cs="Calibri"/>
                <w:color w:val="000000"/>
                <w:sz w:val="18"/>
                <w:szCs w:val="18"/>
              </w:rPr>
            </w:pPr>
            <w:r>
              <w:rPr>
                <w:rFonts w:ascii="Arial Narrow" w:hAnsi="Arial Narrow" w:cs="Calibri"/>
                <w:color w:val="000000"/>
                <w:sz w:val="18"/>
                <w:szCs w:val="18"/>
              </w:rPr>
              <w:t>2,0</w:t>
            </w:r>
          </w:p>
        </w:tc>
        <w:tc>
          <w:tcPr>
            <w:tcW w:w="522" w:type="dxa"/>
            <w:tcBorders>
              <w:top w:val="nil"/>
              <w:left w:val="nil"/>
              <w:bottom w:val="single" w:sz="4" w:space="0" w:color="auto"/>
              <w:right w:val="nil"/>
            </w:tcBorders>
            <w:shd w:val="clear" w:color="000000" w:fill="FFFFFF"/>
            <w:vAlign w:val="center"/>
          </w:tcPr>
          <w:p w:rsidR="00266BA4" w:rsidRDefault="00266BA4" w:rsidP="00747E56">
            <w:pPr>
              <w:spacing w:before="0" w:after="0"/>
              <w:jc w:val="right"/>
              <w:rPr>
                <w:rFonts w:ascii="Arial Narrow" w:hAnsi="Arial Narrow" w:cs="Calibri"/>
                <w:color w:val="000000"/>
                <w:sz w:val="18"/>
                <w:szCs w:val="18"/>
              </w:rPr>
            </w:pPr>
            <w:r>
              <w:rPr>
                <w:rFonts w:ascii="Arial Narrow" w:hAnsi="Arial Narrow" w:cs="Calibri"/>
                <w:color w:val="000000"/>
                <w:sz w:val="18"/>
                <w:szCs w:val="18"/>
              </w:rPr>
              <w:t>2,1</w:t>
            </w:r>
          </w:p>
        </w:tc>
      </w:tr>
      <w:tr w:rsidR="00266BA4" w:rsidRPr="001D642A" w:rsidTr="00747E56">
        <w:trPr>
          <w:trHeight w:val="127"/>
          <w:jc w:val="center"/>
        </w:trPr>
        <w:tc>
          <w:tcPr>
            <w:tcW w:w="3262" w:type="dxa"/>
            <w:vMerge w:val="restart"/>
            <w:tcBorders>
              <w:top w:val="single" w:sz="4" w:space="0" w:color="auto"/>
              <w:left w:val="nil"/>
              <w:bottom w:val="single" w:sz="4" w:space="0" w:color="000000"/>
              <w:right w:val="nil"/>
            </w:tcBorders>
            <w:shd w:val="clear" w:color="000000" w:fill="FFFFFF"/>
            <w:vAlign w:val="center"/>
            <w:hideMark/>
          </w:tcPr>
          <w:p w:rsidR="00266BA4" w:rsidRPr="001D642A" w:rsidRDefault="00266BA4" w:rsidP="00747E56">
            <w:pPr>
              <w:widowControl/>
              <w:overflowPunct/>
              <w:autoSpaceDE/>
              <w:autoSpaceDN/>
              <w:adjustRightInd/>
              <w:spacing w:before="0" w:after="0"/>
              <w:rPr>
                <w:rFonts w:ascii="Arial Narrow" w:hAnsi="Arial Narrow"/>
                <w:color w:val="000000"/>
                <w:kern w:val="0"/>
                <w:sz w:val="18"/>
                <w:szCs w:val="18"/>
              </w:rPr>
            </w:pPr>
            <w:r w:rsidRPr="001D642A">
              <w:rPr>
                <w:rFonts w:ascii="Arial Narrow" w:hAnsi="Arial Narrow"/>
                <w:color w:val="000000"/>
                <w:kern w:val="0"/>
                <w:sz w:val="18"/>
                <w:szCs w:val="18"/>
              </w:rPr>
              <w:t xml:space="preserve">    Alimentari non lavorati</w:t>
            </w:r>
          </w:p>
        </w:tc>
        <w:tc>
          <w:tcPr>
            <w:tcW w:w="286" w:type="dxa"/>
            <w:tcBorders>
              <w:top w:val="nil"/>
              <w:left w:val="nil"/>
              <w:bottom w:val="single" w:sz="4" w:space="0" w:color="auto"/>
              <w:right w:val="nil"/>
            </w:tcBorders>
            <w:shd w:val="clear" w:color="000000" w:fill="FFFFFF"/>
            <w:noWrap/>
            <w:vAlign w:val="center"/>
            <w:hideMark/>
          </w:tcPr>
          <w:p w:rsidR="00266BA4" w:rsidRPr="001D642A" w:rsidRDefault="00266BA4" w:rsidP="00747E56">
            <w:pPr>
              <w:widowControl/>
              <w:overflowPunct/>
              <w:autoSpaceDE/>
              <w:autoSpaceDN/>
              <w:adjustRightInd/>
              <w:spacing w:before="0" w:after="0"/>
              <w:jc w:val="center"/>
              <w:rPr>
                <w:rFonts w:ascii="Arial Narrow" w:hAnsi="Arial Narrow"/>
                <w:b/>
                <w:bCs/>
                <w:color w:val="000000"/>
                <w:kern w:val="0"/>
                <w:sz w:val="17"/>
                <w:szCs w:val="17"/>
              </w:rPr>
            </w:pPr>
            <w:r w:rsidRPr="001D642A">
              <w:rPr>
                <w:rFonts w:ascii="Arial Narrow" w:hAnsi="Arial Narrow"/>
                <w:b/>
                <w:bCs/>
                <w:color w:val="000000"/>
                <w:kern w:val="0"/>
                <w:sz w:val="17"/>
                <w:szCs w:val="17"/>
              </w:rPr>
              <w:t>P</w:t>
            </w:r>
          </w:p>
        </w:tc>
        <w:tc>
          <w:tcPr>
            <w:tcW w:w="500" w:type="dxa"/>
            <w:tcBorders>
              <w:top w:val="nil"/>
              <w:left w:val="nil"/>
              <w:bottom w:val="single" w:sz="4" w:space="0" w:color="auto"/>
              <w:right w:val="nil"/>
            </w:tcBorders>
            <w:shd w:val="clear" w:color="000000" w:fill="FFFFFF"/>
            <w:vAlign w:val="center"/>
          </w:tcPr>
          <w:p w:rsidR="00266BA4" w:rsidRPr="00A00F0F" w:rsidRDefault="00266BA4" w:rsidP="00747E56">
            <w:pPr>
              <w:spacing w:before="0" w:after="0"/>
              <w:jc w:val="right"/>
              <w:rPr>
                <w:rFonts w:ascii="Arial Narrow" w:hAnsi="Arial Narrow" w:cs="Calibri"/>
                <w:color w:val="000000"/>
                <w:sz w:val="18"/>
                <w:szCs w:val="18"/>
              </w:rPr>
            </w:pPr>
            <w:r w:rsidRPr="00A00F0F">
              <w:rPr>
                <w:rFonts w:ascii="Arial Narrow" w:hAnsi="Arial Narrow" w:cs="Calibri"/>
                <w:color w:val="000000"/>
                <w:sz w:val="18"/>
                <w:szCs w:val="18"/>
              </w:rPr>
              <w:t>9</w:t>
            </w:r>
            <w:r>
              <w:rPr>
                <w:rFonts w:ascii="Arial Narrow" w:hAnsi="Arial Narrow" w:cs="Calibri"/>
                <w:color w:val="000000"/>
                <w:sz w:val="18"/>
                <w:szCs w:val="18"/>
              </w:rPr>
              <w:t>,</w:t>
            </w:r>
            <w:r w:rsidRPr="00A00F0F">
              <w:rPr>
                <w:rFonts w:ascii="Arial Narrow" w:hAnsi="Arial Narrow" w:cs="Calibri"/>
                <w:color w:val="000000"/>
                <w:sz w:val="18"/>
                <w:szCs w:val="18"/>
              </w:rPr>
              <w:t>8</w:t>
            </w:r>
          </w:p>
        </w:tc>
        <w:tc>
          <w:tcPr>
            <w:tcW w:w="500" w:type="dxa"/>
            <w:tcBorders>
              <w:top w:val="nil"/>
              <w:left w:val="nil"/>
              <w:bottom w:val="single" w:sz="4" w:space="0" w:color="auto"/>
              <w:right w:val="nil"/>
            </w:tcBorders>
            <w:shd w:val="clear" w:color="000000" w:fill="FFFFFF"/>
            <w:vAlign w:val="center"/>
          </w:tcPr>
          <w:p w:rsidR="00266BA4" w:rsidRPr="00A00F0F" w:rsidRDefault="00266BA4" w:rsidP="00747E56">
            <w:pPr>
              <w:spacing w:before="0" w:after="0"/>
              <w:jc w:val="right"/>
              <w:rPr>
                <w:rFonts w:ascii="Arial Narrow" w:hAnsi="Arial Narrow" w:cs="Calibri"/>
                <w:color w:val="000000"/>
                <w:sz w:val="18"/>
                <w:szCs w:val="18"/>
              </w:rPr>
            </w:pPr>
            <w:r>
              <w:rPr>
                <w:rFonts w:ascii="Arial Narrow" w:hAnsi="Arial Narrow" w:cs="Calibri"/>
                <w:color w:val="000000"/>
                <w:sz w:val="18"/>
                <w:szCs w:val="18"/>
              </w:rPr>
              <w:t>10,9</w:t>
            </w:r>
          </w:p>
        </w:tc>
        <w:tc>
          <w:tcPr>
            <w:tcW w:w="500" w:type="dxa"/>
            <w:tcBorders>
              <w:top w:val="nil"/>
              <w:left w:val="nil"/>
              <w:bottom w:val="single" w:sz="4" w:space="0" w:color="auto"/>
              <w:right w:val="nil"/>
            </w:tcBorders>
            <w:shd w:val="clear" w:color="000000" w:fill="FFFFFF"/>
            <w:vAlign w:val="center"/>
          </w:tcPr>
          <w:p w:rsidR="00266BA4" w:rsidRPr="00A00F0F" w:rsidRDefault="00266BA4" w:rsidP="00747E56">
            <w:pPr>
              <w:spacing w:before="0" w:after="0"/>
              <w:jc w:val="right"/>
              <w:rPr>
                <w:rFonts w:ascii="Arial Narrow" w:hAnsi="Arial Narrow" w:cs="Calibri"/>
                <w:color w:val="000000"/>
                <w:sz w:val="18"/>
                <w:szCs w:val="18"/>
              </w:rPr>
            </w:pPr>
            <w:r>
              <w:rPr>
                <w:rFonts w:ascii="Arial Narrow" w:hAnsi="Arial Narrow" w:cs="Calibri"/>
                <w:color w:val="000000"/>
                <w:sz w:val="18"/>
                <w:szCs w:val="18"/>
              </w:rPr>
              <w:t>9,7</w:t>
            </w:r>
          </w:p>
        </w:tc>
        <w:tc>
          <w:tcPr>
            <w:tcW w:w="501" w:type="dxa"/>
            <w:tcBorders>
              <w:top w:val="nil"/>
              <w:left w:val="nil"/>
              <w:bottom w:val="single" w:sz="4" w:space="0" w:color="auto"/>
              <w:right w:val="nil"/>
            </w:tcBorders>
            <w:shd w:val="clear" w:color="000000" w:fill="FFFFFF"/>
            <w:vAlign w:val="center"/>
          </w:tcPr>
          <w:p w:rsidR="00266BA4" w:rsidRDefault="00266BA4" w:rsidP="00747E56">
            <w:pPr>
              <w:spacing w:before="0" w:after="0"/>
              <w:jc w:val="right"/>
              <w:rPr>
                <w:rFonts w:ascii="Arial Narrow" w:hAnsi="Arial Narrow" w:cs="Calibri"/>
                <w:color w:val="000000"/>
                <w:sz w:val="18"/>
                <w:szCs w:val="18"/>
              </w:rPr>
            </w:pPr>
            <w:r>
              <w:rPr>
                <w:rFonts w:ascii="Arial Narrow" w:hAnsi="Arial Narrow" w:cs="Calibri"/>
                <w:color w:val="000000"/>
                <w:sz w:val="18"/>
                <w:szCs w:val="18"/>
              </w:rPr>
              <w:t>8,3</w:t>
            </w:r>
          </w:p>
        </w:tc>
        <w:tc>
          <w:tcPr>
            <w:tcW w:w="501" w:type="dxa"/>
            <w:tcBorders>
              <w:top w:val="nil"/>
              <w:left w:val="nil"/>
              <w:bottom w:val="single" w:sz="4" w:space="0" w:color="auto"/>
              <w:right w:val="nil"/>
            </w:tcBorders>
            <w:shd w:val="clear" w:color="000000" w:fill="FFFFFF"/>
            <w:vAlign w:val="center"/>
          </w:tcPr>
          <w:p w:rsidR="00266BA4" w:rsidRDefault="00266BA4" w:rsidP="00747E56">
            <w:pPr>
              <w:spacing w:before="0" w:after="0"/>
              <w:jc w:val="right"/>
              <w:rPr>
                <w:rFonts w:ascii="Arial Narrow" w:hAnsi="Arial Narrow" w:cs="Calibri"/>
                <w:color w:val="000000"/>
                <w:sz w:val="18"/>
                <w:szCs w:val="18"/>
              </w:rPr>
            </w:pPr>
            <w:r>
              <w:rPr>
                <w:rFonts w:ascii="Arial Narrow" w:hAnsi="Arial Narrow" w:cs="Calibri"/>
                <w:color w:val="000000"/>
                <w:sz w:val="18"/>
                <w:szCs w:val="18"/>
              </w:rPr>
              <w:t>5,5</w:t>
            </w:r>
          </w:p>
        </w:tc>
        <w:tc>
          <w:tcPr>
            <w:tcW w:w="501" w:type="dxa"/>
            <w:tcBorders>
              <w:top w:val="nil"/>
              <w:left w:val="nil"/>
              <w:bottom w:val="single" w:sz="4" w:space="0" w:color="auto"/>
              <w:right w:val="nil"/>
            </w:tcBorders>
            <w:shd w:val="clear" w:color="000000" w:fill="FFFFFF"/>
            <w:vAlign w:val="center"/>
          </w:tcPr>
          <w:p w:rsidR="00266BA4" w:rsidRDefault="00266BA4" w:rsidP="00747E56">
            <w:pPr>
              <w:spacing w:before="0" w:after="0"/>
              <w:jc w:val="right"/>
              <w:rPr>
                <w:rFonts w:ascii="Arial Narrow" w:hAnsi="Arial Narrow" w:cs="Calibri"/>
                <w:color w:val="000000"/>
                <w:sz w:val="18"/>
                <w:szCs w:val="18"/>
              </w:rPr>
            </w:pPr>
            <w:r>
              <w:rPr>
                <w:rFonts w:ascii="Arial Narrow" w:hAnsi="Arial Narrow" w:cs="Calibri"/>
                <w:color w:val="000000"/>
                <w:sz w:val="18"/>
                <w:szCs w:val="18"/>
              </w:rPr>
              <w:t>6,4</w:t>
            </w:r>
          </w:p>
        </w:tc>
        <w:tc>
          <w:tcPr>
            <w:tcW w:w="501" w:type="dxa"/>
            <w:tcBorders>
              <w:top w:val="nil"/>
              <w:left w:val="nil"/>
              <w:bottom w:val="single" w:sz="4" w:space="0" w:color="auto"/>
              <w:right w:val="nil"/>
            </w:tcBorders>
            <w:shd w:val="clear" w:color="000000" w:fill="FFFFFF"/>
            <w:vAlign w:val="center"/>
          </w:tcPr>
          <w:p w:rsidR="00266BA4" w:rsidRDefault="00266BA4" w:rsidP="00747E56">
            <w:pPr>
              <w:spacing w:before="0" w:after="0"/>
              <w:jc w:val="right"/>
              <w:rPr>
                <w:rFonts w:ascii="Arial Narrow" w:hAnsi="Arial Narrow" w:cs="Calibri"/>
                <w:color w:val="000000"/>
                <w:sz w:val="18"/>
                <w:szCs w:val="18"/>
              </w:rPr>
            </w:pPr>
            <w:r>
              <w:rPr>
                <w:rFonts w:ascii="Arial Narrow" w:hAnsi="Arial Narrow" w:cs="Calibri"/>
                <w:color w:val="000000"/>
                <w:sz w:val="18"/>
                <w:szCs w:val="18"/>
              </w:rPr>
              <w:t>7,8</w:t>
            </w:r>
          </w:p>
        </w:tc>
        <w:tc>
          <w:tcPr>
            <w:tcW w:w="501" w:type="dxa"/>
            <w:tcBorders>
              <w:top w:val="nil"/>
              <w:left w:val="nil"/>
              <w:bottom w:val="single" w:sz="4" w:space="0" w:color="auto"/>
              <w:right w:val="nil"/>
            </w:tcBorders>
            <w:shd w:val="clear" w:color="000000" w:fill="FFFFFF"/>
            <w:vAlign w:val="center"/>
          </w:tcPr>
          <w:p w:rsidR="00266BA4" w:rsidRDefault="00266BA4" w:rsidP="00747E56">
            <w:pPr>
              <w:spacing w:before="0" w:after="0"/>
              <w:jc w:val="right"/>
              <w:rPr>
                <w:rFonts w:ascii="Arial Narrow" w:hAnsi="Arial Narrow" w:cs="Calibri"/>
                <w:color w:val="000000"/>
                <w:sz w:val="18"/>
                <w:szCs w:val="18"/>
              </w:rPr>
            </w:pPr>
            <w:r>
              <w:rPr>
                <w:rFonts w:ascii="Arial Narrow" w:hAnsi="Arial Narrow" w:cs="Calibri"/>
                <w:color w:val="000000"/>
                <w:sz w:val="18"/>
                <w:szCs w:val="18"/>
              </w:rPr>
              <w:t>8,6</w:t>
            </w:r>
          </w:p>
        </w:tc>
        <w:tc>
          <w:tcPr>
            <w:tcW w:w="501" w:type="dxa"/>
            <w:tcBorders>
              <w:top w:val="nil"/>
              <w:left w:val="nil"/>
              <w:bottom w:val="single" w:sz="4" w:space="0" w:color="auto"/>
              <w:right w:val="nil"/>
            </w:tcBorders>
            <w:shd w:val="clear" w:color="000000" w:fill="FFFFFF"/>
            <w:vAlign w:val="center"/>
          </w:tcPr>
          <w:p w:rsidR="00266BA4" w:rsidRDefault="00266BA4" w:rsidP="00747E56">
            <w:pPr>
              <w:spacing w:before="0" w:after="0"/>
              <w:jc w:val="right"/>
              <w:rPr>
                <w:rFonts w:ascii="Arial Narrow" w:hAnsi="Arial Narrow" w:cs="Calibri"/>
                <w:color w:val="000000"/>
                <w:sz w:val="18"/>
                <w:szCs w:val="18"/>
              </w:rPr>
            </w:pPr>
            <w:r>
              <w:rPr>
                <w:rFonts w:ascii="Arial Narrow" w:hAnsi="Arial Narrow" w:cs="Calibri"/>
                <w:color w:val="000000"/>
                <w:sz w:val="18"/>
                <w:szCs w:val="18"/>
              </w:rPr>
              <w:t>4,7</w:t>
            </w:r>
          </w:p>
        </w:tc>
        <w:tc>
          <w:tcPr>
            <w:tcW w:w="552" w:type="dxa"/>
            <w:tcBorders>
              <w:top w:val="nil"/>
              <w:left w:val="nil"/>
              <w:bottom w:val="single" w:sz="4" w:space="0" w:color="auto"/>
              <w:right w:val="nil"/>
            </w:tcBorders>
            <w:shd w:val="clear" w:color="000000" w:fill="FFFFFF"/>
            <w:vAlign w:val="center"/>
          </w:tcPr>
          <w:p w:rsidR="00266BA4" w:rsidRDefault="00266BA4" w:rsidP="00747E56">
            <w:pPr>
              <w:spacing w:before="0" w:after="0"/>
              <w:jc w:val="right"/>
              <w:rPr>
                <w:rFonts w:ascii="Arial Narrow" w:hAnsi="Arial Narrow" w:cs="Calibri"/>
                <w:color w:val="000000"/>
                <w:sz w:val="18"/>
                <w:szCs w:val="18"/>
              </w:rPr>
            </w:pPr>
            <w:r>
              <w:rPr>
                <w:rFonts w:ascii="Arial Narrow" w:hAnsi="Arial Narrow" w:cs="Calibri"/>
                <w:color w:val="000000"/>
                <w:sz w:val="18"/>
                <w:szCs w:val="18"/>
              </w:rPr>
              <w:t>3,0</w:t>
            </w:r>
          </w:p>
        </w:tc>
        <w:tc>
          <w:tcPr>
            <w:tcW w:w="552" w:type="dxa"/>
            <w:tcBorders>
              <w:top w:val="nil"/>
              <w:left w:val="nil"/>
              <w:bottom w:val="single" w:sz="4" w:space="0" w:color="auto"/>
              <w:right w:val="nil"/>
            </w:tcBorders>
            <w:shd w:val="clear" w:color="000000" w:fill="FFFFFF"/>
            <w:vAlign w:val="center"/>
          </w:tcPr>
          <w:p w:rsidR="00266BA4" w:rsidRDefault="00266BA4" w:rsidP="00747E56">
            <w:pPr>
              <w:spacing w:before="0" w:after="0"/>
              <w:jc w:val="right"/>
              <w:rPr>
                <w:rFonts w:ascii="Arial Narrow" w:hAnsi="Arial Narrow" w:cs="Calibri"/>
                <w:color w:val="000000"/>
                <w:sz w:val="18"/>
                <w:szCs w:val="18"/>
              </w:rPr>
            </w:pPr>
            <w:r>
              <w:rPr>
                <w:rFonts w:ascii="Arial Narrow" w:hAnsi="Arial Narrow" w:cs="Calibri"/>
                <w:color w:val="000000"/>
                <w:sz w:val="18"/>
                <w:szCs w:val="18"/>
              </w:rPr>
              <w:t>2,6</w:t>
            </w:r>
          </w:p>
        </w:tc>
        <w:tc>
          <w:tcPr>
            <w:tcW w:w="525" w:type="dxa"/>
            <w:tcBorders>
              <w:top w:val="nil"/>
              <w:left w:val="nil"/>
              <w:bottom w:val="single" w:sz="4" w:space="0" w:color="auto"/>
              <w:right w:val="nil"/>
            </w:tcBorders>
            <w:shd w:val="clear" w:color="000000" w:fill="FFFFFF"/>
            <w:vAlign w:val="center"/>
          </w:tcPr>
          <w:p w:rsidR="00266BA4" w:rsidRDefault="00266BA4" w:rsidP="00747E56">
            <w:pPr>
              <w:spacing w:before="0" w:after="0"/>
              <w:jc w:val="right"/>
              <w:rPr>
                <w:rFonts w:ascii="Arial Narrow" w:hAnsi="Arial Narrow" w:cs="Calibri"/>
                <w:color w:val="000000"/>
                <w:sz w:val="18"/>
                <w:szCs w:val="18"/>
              </w:rPr>
            </w:pPr>
            <w:r>
              <w:rPr>
                <w:rFonts w:ascii="Arial Narrow" w:hAnsi="Arial Narrow" w:cs="Calibri"/>
                <w:color w:val="000000"/>
                <w:sz w:val="18"/>
                <w:szCs w:val="18"/>
              </w:rPr>
              <w:t>2,5</w:t>
            </w:r>
          </w:p>
        </w:tc>
        <w:tc>
          <w:tcPr>
            <w:tcW w:w="522" w:type="dxa"/>
            <w:tcBorders>
              <w:top w:val="nil"/>
              <w:left w:val="nil"/>
              <w:bottom w:val="single" w:sz="4" w:space="0" w:color="auto"/>
              <w:right w:val="nil"/>
            </w:tcBorders>
            <w:shd w:val="clear" w:color="000000" w:fill="FFFFFF"/>
            <w:vAlign w:val="center"/>
          </w:tcPr>
          <w:p w:rsidR="00266BA4" w:rsidRDefault="00266BA4" w:rsidP="00747E56">
            <w:pPr>
              <w:spacing w:before="0" w:after="0"/>
              <w:jc w:val="right"/>
              <w:rPr>
                <w:rFonts w:ascii="Arial Narrow" w:hAnsi="Arial Narrow" w:cs="Calibri"/>
                <w:color w:val="000000"/>
                <w:sz w:val="18"/>
                <w:szCs w:val="18"/>
              </w:rPr>
            </w:pPr>
            <w:r>
              <w:rPr>
                <w:rFonts w:ascii="Arial Narrow" w:hAnsi="Arial Narrow" w:cs="Calibri"/>
                <w:color w:val="000000"/>
                <w:sz w:val="18"/>
                <w:szCs w:val="18"/>
              </w:rPr>
              <w:t>0,8</w:t>
            </w:r>
          </w:p>
        </w:tc>
      </w:tr>
      <w:tr w:rsidR="00266BA4" w:rsidRPr="001D642A" w:rsidTr="00747E56">
        <w:trPr>
          <w:trHeight w:val="255"/>
          <w:jc w:val="center"/>
        </w:trPr>
        <w:tc>
          <w:tcPr>
            <w:tcW w:w="3262" w:type="dxa"/>
            <w:vMerge/>
            <w:tcBorders>
              <w:top w:val="single" w:sz="4" w:space="0" w:color="auto"/>
              <w:left w:val="nil"/>
              <w:bottom w:val="single" w:sz="4" w:space="0" w:color="000000"/>
              <w:right w:val="nil"/>
            </w:tcBorders>
            <w:vAlign w:val="center"/>
            <w:hideMark/>
          </w:tcPr>
          <w:p w:rsidR="00266BA4" w:rsidRPr="001D642A" w:rsidRDefault="00266BA4" w:rsidP="00747E56">
            <w:pPr>
              <w:widowControl/>
              <w:overflowPunct/>
              <w:autoSpaceDE/>
              <w:autoSpaceDN/>
              <w:adjustRightInd/>
              <w:spacing w:before="0" w:after="0"/>
              <w:rPr>
                <w:rFonts w:ascii="Arial Narrow" w:hAnsi="Arial Narrow"/>
                <w:color w:val="000000"/>
                <w:kern w:val="0"/>
                <w:sz w:val="18"/>
                <w:szCs w:val="18"/>
              </w:rPr>
            </w:pPr>
          </w:p>
        </w:tc>
        <w:tc>
          <w:tcPr>
            <w:tcW w:w="286" w:type="dxa"/>
            <w:tcBorders>
              <w:top w:val="nil"/>
              <w:left w:val="nil"/>
              <w:bottom w:val="single" w:sz="4" w:space="0" w:color="auto"/>
              <w:right w:val="nil"/>
            </w:tcBorders>
            <w:shd w:val="clear" w:color="000000" w:fill="FFFFFF"/>
            <w:noWrap/>
            <w:vAlign w:val="center"/>
            <w:hideMark/>
          </w:tcPr>
          <w:p w:rsidR="00266BA4" w:rsidRPr="001D642A" w:rsidRDefault="00266BA4" w:rsidP="00747E56">
            <w:pPr>
              <w:widowControl/>
              <w:overflowPunct/>
              <w:autoSpaceDE/>
              <w:autoSpaceDN/>
              <w:adjustRightInd/>
              <w:spacing w:before="0" w:after="0"/>
              <w:jc w:val="center"/>
              <w:rPr>
                <w:rFonts w:ascii="Arial Narrow" w:hAnsi="Arial Narrow"/>
                <w:b/>
                <w:bCs/>
                <w:color w:val="000000"/>
                <w:kern w:val="0"/>
                <w:sz w:val="17"/>
                <w:szCs w:val="17"/>
              </w:rPr>
            </w:pPr>
            <w:r w:rsidRPr="001D642A">
              <w:rPr>
                <w:rFonts w:ascii="Arial Narrow" w:hAnsi="Arial Narrow"/>
                <w:b/>
                <w:bCs/>
                <w:color w:val="000000"/>
                <w:kern w:val="0"/>
                <w:sz w:val="17"/>
                <w:szCs w:val="17"/>
              </w:rPr>
              <w:t>D</w:t>
            </w:r>
          </w:p>
        </w:tc>
        <w:tc>
          <w:tcPr>
            <w:tcW w:w="500" w:type="dxa"/>
            <w:tcBorders>
              <w:top w:val="nil"/>
              <w:left w:val="nil"/>
              <w:bottom w:val="single" w:sz="4" w:space="0" w:color="auto"/>
              <w:right w:val="nil"/>
            </w:tcBorders>
            <w:shd w:val="clear" w:color="000000" w:fill="FFFFFF"/>
            <w:vAlign w:val="center"/>
          </w:tcPr>
          <w:p w:rsidR="00266BA4" w:rsidRPr="00A00F0F" w:rsidRDefault="00266BA4" w:rsidP="00747E56">
            <w:pPr>
              <w:spacing w:before="0" w:after="0"/>
              <w:jc w:val="right"/>
              <w:rPr>
                <w:rFonts w:ascii="Arial Narrow" w:hAnsi="Arial Narrow" w:cs="Calibri"/>
                <w:color w:val="000000"/>
                <w:sz w:val="18"/>
                <w:szCs w:val="18"/>
              </w:rPr>
            </w:pPr>
            <w:r w:rsidRPr="00A00F0F">
              <w:rPr>
                <w:rFonts w:ascii="Arial Narrow" w:hAnsi="Arial Narrow" w:cs="Calibri"/>
                <w:color w:val="000000"/>
                <w:sz w:val="18"/>
                <w:szCs w:val="18"/>
              </w:rPr>
              <w:t>9</w:t>
            </w:r>
            <w:r>
              <w:rPr>
                <w:rFonts w:ascii="Arial Narrow" w:hAnsi="Arial Narrow" w:cs="Calibri"/>
                <w:color w:val="000000"/>
                <w:sz w:val="18"/>
                <w:szCs w:val="18"/>
              </w:rPr>
              <w:t>,</w:t>
            </w:r>
            <w:r w:rsidRPr="00A00F0F">
              <w:rPr>
                <w:rFonts w:ascii="Arial Narrow" w:hAnsi="Arial Narrow" w:cs="Calibri"/>
                <w:color w:val="000000"/>
                <w:sz w:val="18"/>
                <w:szCs w:val="18"/>
              </w:rPr>
              <w:t>4</w:t>
            </w:r>
          </w:p>
        </w:tc>
        <w:tc>
          <w:tcPr>
            <w:tcW w:w="500" w:type="dxa"/>
            <w:tcBorders>
              <w:top w:val="nil"/>
              <w:left w:val="nil"/>
              <w:bottom w:val="single" w:sz="4" w:space="0" w:color="auto"/>
              <w:right w:val="nil"/>
            </w:tcBorders>
            <w:shd w:val="clear" w:color="000000" w:fill="FFFFFF"/>
            <w:vAlign w:val="center"/>
          </w:tcPr>
          <w:p w:rsidR="00266BA4" w:rsidRPr="00A00F0F" w:rsidRDefault="00266BA4" w:rsidP="00747E56">
            <w:pPr>
              <w:spacing w:before="0" w:after="0"/>
              <w:jc w:val="right"/>
              <w:rPr>
                <w:rFonts w:ascii="Arial Narrow" w:hAnsi="Arial Narrow" w:cs="Calibri"/>
                <w:color w:val="000000"/>
                <w:sz w:val="18"/>
                <w:szCs w:val="18"/>
              </w:rPr>
            </w:pPr>
            <w:r>
              <w:rPr>
                <w:rFonts w:ascii="Arial Narrow" w:hAnsi="Arial Narrow" w:cs="Calibri"/>
                <w:color w:val="000000"/>
                <w:sz w:val="18"/>
                <w:szCs w:val="18"/>
              </w:rPr>
              <w:t>10,7</w:t>
            </w:r>
          </w:p>
        </w:tc>
        <w:tc>
          <w:tcPr>
            <w:tcW w:w="500" w:type="dxa"/>
            <w:tcBorders>
              <w:top w:val="nil"/>
              <w:left w:val="nil"/>
              <w:bottom w:val="single" w:sz="4" w:space="0" w:color="auto"/>
              <w:right w:val="nil"/>
            </w:tcBorders>
            <w:shd w:val="clear" w:color="000000" w:fill="FFFFFF"/>
            <w:vAlign w:val="center"/>
          </w:tcPr>
          <w:p w:rsidR="00266BA4" w:rsidRPr="00A00F0F" w:rsidRDefault="00266BA4" w:rsidP="00747E56">
            <w:pPr>
              <w:spacing w:before="0" w:after="0"/>
              <w:jc w:val="right"/>
              <w:rPr>
                <w:rFonts w:ascii="Arial Narrow" w:hAnsi="Arial Narrow" w:cs="Calibri"/>
                <w:color w:val="000000"/>
                <w:sz w:val="18"/>
                <w:szCs w:val="18"/>
              </w:rPr>
            </w:pPr>
            <w:r>
              <w:rPr>
                <w:rFonts w:ascii="Arial Narrow" w:hAnsi="Arial Narrow" w:cs="Calibri"/>
                <w:color w:val="000000"/>
                <w:sz w:val="18"/>
                <w:szCs w:val="18"/>
              </w:rPr>
              <w:t>9,6</w:t>
            </w:r>
          </w:p>
        </w:tc>
        <w:tc>
          <w:tcPr>
            <w:tcW w:w="501" w:type="dxa"/>
            <w:tcBorders>
              <w:top w:val="nil"/>
              <w:left w:val="nil"/>
              <w:bottom w:val="single" w:sz="4" w:space="0" w:color="auto"/>
              <w:right w:val="nil"/>
            </w:tcBorders>
            <w:shd w:val="clear" w:color="000000" w:fill="FFFFFF"/>
            <w:vAlign w:val="center"/>
          </w:tcPr>
          <w:p w:rsidR="00266BA4" w:rsidRDefault="00266BA4" w:rsidP="00747E56">
            <w:pPr>
              <w:spacing w:before="0" w:after="0"/>
              <w:jc w:val="right"/>
              <w:rPr>
                <w:rFonts w:ascii="Arial Narrow" w:hAnsi="Arial Narrow" w:cs="Calibri"/>
                <w:color w:val="000000"/>
                <w:sz w:val="18"/>
                <w:szCs w:val="18"/>
              </w:rPr>
            </w:pPr>
            <w:r>
              <w:rPr>
                <w:rFonts w:ascii="Arial Narrow" w:hAnsi="Arial Narrow" w:cs="Calibri"/>
                <w:color w:val="000000"/>
                <w:sz w:val="18"/>
                <w:szCs w:val="18"/>
              </w:rPr>
              <w:t>8,3</w:t>
            </w:r>
          </w:p>
        </w:tc>
        <w:tc>
          <w:tcPr>
            <w:tcW w:w="501" w:type="dxa"/>
            <w:tcBorders>
              <w:top w:val="nil"/>
              <w:left w:val="nil"/>
              <w:bottom w:val="single" w:sz="4" w:space="0" w:color="auto"/>
              <w:right w:val="nil"/>
            </w:tcBorders>
            <w:shd w:val="clear" w:color="000000" w:fill="FFFFFF"/>
            <w:vAlign w:val="center"/>
          </w:tcPr>
          <w:p w:rsidR="00266BA4" w:rsidRDefault="00266BA4" w:rsidP="00747E56">
            <w:pPr>
              <w:spacing w:before="0" w:after="0"/>
              <w:jc w:val="right"/>
              <w:rPr>
                <w:rFonts w:ascii="Arial Narrow" w:hAnsi="Arial Narrow" w:cs="Calibri"/>
                <w:color w:val="000000"/>
                <w:sz w:val="18"/>
                <w:szCs w:val="18"/>
              </w:rPr>
            </w:pPr>
            <w:r>
              <w:rPr>
                <w:rFonts w:ascii="Arial Narrow" w:hAnsi="Arial Narrow" w:cs="Calibri"/>
                <w:color w:val="000000"/>
                <w:sz w:val="18"/>
                <w:szCs w:val="18"/>
              </w:rPr>
              <w:t>5,4</w:t>
            </w:r>
          </w:p>
        </w:tc>
        <w:tc>
          <w:tcPr>
            <w:tcW w:w="501" w:type="dxa"/>
            <w:tcBorders>
              <w:top w:val="nil"/>
              <w:left w:val="nil"/>
              <w:bottom w:val="single" w:sz="4" w:space="0" w:color="auto"/>
              <w:right w:val="nil"/>
            </w:tcBorders>
            <w:shd w:val="clear" w:color="000000" w:fill="FFFFFF"/>
            <w:vAlign w:val="center"/>
          </w:tcPr>
          <w:p w:rsidR="00266BA4" w:rsidRDefault="00266BA4" w:rsidP="00747E56">
            <w:pPr>
              <w:spacing w:before="0" w:after="0"/>
              <w:jc w:val="right"/>
              <w:rPr>
                <w:rFonts w:ascii="Arial Narrow" w:hAnsi="Arial Narrow" w:cs="Calibri"/>
                <w:color w:val="000000"/>
                <w:sz w:val="18"/>
                <w:szCs w:val="18"/>
              </w:rPr>
            </w:pPr>
            <w:r>
              <w:rPr>
                <w:rFonts w:ascii="Arial Narrow" w:hAnsi="Arial Narrow" w:cs="Calibri"/>
                <w:color w:val="000000"/>
                <w:sz w:val="18"/>
                <w:szCs w:val="18"/>
              </w:rPr>
              <w:t>6,3</w:t>
            </w:r>
          </w:p>
        </w:tc>
        <w:tc>
          <w:tcPr>
            <w:tcW w:w="501" w:type="dxa"/>
            <w:tcBorders>
              <w:top w:val="nil"/>
              <w:left w:val="nil"/>
              <w:bottom w:val="single" w:sz="4" w:space="0" w:color="auto"/>
              <w:right w:val="nil"/>
            </w:tcBorders>
            <w:shd w:val="clear" w:color="000000" w:fill="FFFFFF"/>
            <w:vAlign w:val="center"/>
          </w:tcPr>
          <w:p w:rsidR="00266BA4" w:rsidRDefault="00266BA4" w:rsidP="00747E56">
            <w:pPr>
              <w:spacing w:before="0" w:after="0"/>
              <w:jc w:val="right"/>
              <w:rPr>
                <w:rFonts w:ascii="Arial Narrow" w:hAnsi="Arial Narrow" w:cs="Calibri"/>
                <w:color w:val="000000"/>
                <w:sz w:val="18"/>
                <w:szCs w:val="18"/>
              </w:rPr>
            </w:pPr>
            <w:r>
              <w:rPr>
                <w:rFonts w:ascii="Arial Narrow" w:hAnsi="Arial Narrow" w:cs="Calibri"/>
                <w:color w:val="000000"/>
                <w:sz w:val="18"/>
                <w:szCs w:val="18"/>
              </w:rPr>
              <w:t>7,9</w:t>
            </w:r>
          </w:p>
        </w:tc>
        <w:tc>
          <w:tcPr>
            <w:tcW w:w="501" w:type="dxa"/>
            <w:tcBorders>
              <w:top w:val="nil"/>
              <w:left w:val="nil"/>
              <w:bottom w:val="single" w:sz="4" w:space="0" w:color="auto"/>
              <w:right w:val="nil"/>
            </w:tcBorders>
            <w:shd w:val="clear" w:color="000000" w:fill="FFFFFF"/>
            <w:vAlign w:val="center"/>
          </w:tcPr>
          <w:p w:rsidR="00266BA4" w:rsidRDefault="00266BA4" w:rsidP="00747E56">
            <w:pPr>
              <w:spacing w:before="0" w:after="0"/>
              <w:jc w:val="right"/>
              <w:rPr>
                <w:rFonts w:ascii="Arial Narrow" w:hAnsi="Arial Narrow" w:cs="Calibri"/>
                <w:color w:val="000000"/>
                <w:sz w:val="18"/>
                <w:szCs w:val="18"/>
              </w:rPr>
            </w:pPr>
            <w:r>
              <w:rPr>
                <w:rFonts w:ascii="Arial Narrow" w:hAnsi="Arial Narrow" w:cs="Calibri"/>
                <w:color w:val="000000"/>
                <w:sz w:val="18"/>
                <w:szCs w:val="18"/>
              </w:rPr>
              <w:t>8,5</w:t>
            </w:r>
          </w:p>
        </w:tc>
        <w:tc>
          <w:tcPr>
            <w:tcW w:w="501" w:type="dxa"/>
            <w:tcBorders>
              <w:top w:val="nil"/>
              <w:left w:val="nil"/>
              <w:bottom w:val="single" w:sz="4" w:space="0" w:color="auto"/>
              <w:right w:val="nil"/>
            </w:tcBorders>
            <w:shd w:val="clear" w:color="000000" w:fill="FFFFFF"/>
            <w:vAlign w:val="center"/>
          </w:tcPr>
          <w:p w:rsidR="00266BA4" w:rsidRDefault="00266BA4" w:rsidP="00747E56">
            <w:pPr>
              <w:spacing w:before="0" w:after="0"/>
              <w:jc w:val="right"/>
              <w:rPr>
                <w:rFonts w:ascii="Arial Narrow" w:hAnsi="Arial Narrow" w:cs="Calibri"/>
                <w:color w:val="000000"/>
                <w:sz w:val="18"/>
                <w:szCs w:val="18"/>
              </w:rPr>
            </w:pPr>
            <w:r>
              <w:rPr>
                <w:rFonts w:ascii="Arial Narrow" w:hAnsi="Arial Narrow" w:cs="Calibri"/>
                <w:color w:val="000000"/>
                <w:sz w:val="18"/>
                <w:szCs w:val="18"/>
              </w:rPr>
              <w:t>4,6</w:t>
            </w:r>
          </w:p>
        </w:tc>
        <w:tc>
          <w:tcPr>
            <w:tcW w:w="552" w:type="dxa"/>
            <w:tcBorders>
              <w:top w:val="nil"/>
              <w:left w:val="nil"/>
              <w:bottom w:val="single" w:sz="4" w:space="0" w:color="auto"/>
              <w:right w:val="nil"/>
            </w:tcBorders>
            <w:shd w:val="clear" w:color="000000" w:fill="FFFFFF"/>
            <w:vAlign w:val="center"/>
          </w:tcPr>
          <w:p w:rsidR="00266BA4" w:rsidRDefault="00266BA4" w:rsidP="00747E56">
            <w:pPr>
              <w:spacing w:before="0" w:after="0"/>
              <w:jc w:val="right"/>
              <w:rPr>
                <w:rFonts w:ascii="Arial Narrow" w:hAnsi="Arial Narrow" w:cs="Calibri"/>
                <w:color w:val="000000"/>
                <w:sz w:val="18"/>
                <w:szCs w:val="18"/>
              </w:rPr>
            </w:pPr>
            <w:r>
              <w:rPr>
                <w:rFonts w:ascii="Arial Narrow" w:hAnsi="Arial Narrow" w:cs="Calibri"/>
                <w:color w:val="000000"/>
                <w:sz w:val="18"/>
                <w:szCs w:val="18"/>
              </w:rPr>
              <w:t>2,8</w:t>
            </w:r>
          </w:p>
        </w:tc>
        <w:tc>
          <w:tcPr>
            <w:tcW w:w="552" w:type="dxa"/>
            <w:tcBorders>
              <w:top w:val="nil"/>
              <w:left w:val="nil"/>
              <w:bottom w:val="single" w:sz="4" w:space="0" w:color="auto"/>
              <w:right w:val="nil"/>
            </w:tcBorders>
            <w:shd w:val="clear" w:color="000000" w:fill="FFFFFF"/>
            <w:vAlign w:val="center"/>
          </w:tcPr>
          <w:p w:rsidR="00266BA4" w:rsidRDefault="00266BA4" w:rsidP="00747E56">
            <w:pPr>
              <w:spacing w:before="0" w:after="0"/>
              <w:jc w:val="right"/>
              <w:rPr>
                <w:rFonts w:ascii="Arial Narrow" w:hAnsi="Arial Narrow" w:cs="Calibri"/>
                <w:color w:val="000000"/>
                <w:sz w:val="18"/>
                <w:szCs w:val="18"/>
              </w:rPr>
            </w:pPr>
            <w:r>
              <w:rPr>
                <w:rFonts w:ascii="Arial Narrow" w:hAnsi="Arial Narrow" w:cs="Calibri"/>
                <w:color w:val="000000"/>
                <w:sz w:val="18"/>
                <w:szCs w:val="18"/>
              </w:rPr>
              <w:t>2,6</w:t>
            </w:r>
          </w:p>
        </w:tc>
        <w:tc>
          <w:tcPr>
            <w:tcW w:w="525" w:type="dxa"/>
            <w:tcBorders>
              <w:top w:val="nil"/>
              <w:left w:val="nil"/>
              <w:bottom w:val="single" w:sz="4" w:space="0" w:color="auto"/>
              <w:right w:val="nil"/>
            </w:tcBorders>
            <w:shd w:val="clear" w:color="000000" w:fill="FFFFFF"/>
            <w:vAlign w:val="center"/>
          </w:tcPr>
          <w:p w:rsidR="00266BA4" w:rsidRDefault="00266BA4" w:rsidP="00747E56">
            <w:pPr>
              <w:spacing w:before="0" w:after="0"/>
              <w:jc w:val="right"/>
              <w:rPr>
                <w:rFonts w:ascii="Arial Narrow" w:hAnsi="Arial Narrow" w:cs="Calibri"/>
                <w:color w:val="000000"/>
                <w:sz w:val="18"/>
                <w:szCs w:val="18"/>
              </w:rPr>
            </w:pPr>
            <w:r>
              <w:rPr>
                <w:rFonts w:ascii="Arial Narrow" w:hAnsi="Arial Narrow" w:cs="Calibri"/>
                <w:color w:val="000000"/>
                <w:sz w:val="18"/>
                <w:szCs w:val="18"/>
              </w:rPr>
              <w:t>2,3</w:t>
            </w:r>
          </w:p>
        </w:tc>
        <w:tc>
          <w:tcPr>
            <w:tcW w:w="522" w:type="dxa"/>
            <w:tcBorders>
              <w:top w:val="nil"/>
              <w:left w:val="nil"/>
              <w:bottom w:val="single" w:sz="4" w:space="0" w:color="auto"/>
              <w:right w:val="nil"/>
            </w:tcBorders>
            <w:shd w:val="clear" w:color="000000" w:fill="FFFFFF"/>
            <w:vAlign w:val="center"/>
          </w:tcPr>
          <w:p w:rsidR="00266BA4" w:rsidRDefault="00266BA4" w:rsidP="00747E56">
            <w:pPr>
              <w:spacing w:before="0" w:after="0"/>
              <w:jc w:val="right"/>
              <w:rPr>
                <w:rFonts w:ascii="Arial Narrow" w:hAnsi="Arial Narrow" w:cs="Calibri"/>
                <w:color w:val="000000"/>
                <w:sz w:val="18"/>
                <w:szCs w:val="18"/>
              </w:rPr>
            </w:pPr>
            <w:r>
              <w:rPr>
                <w:rFonts w:ascii="Arial Narrow" w:hAnsi="Arial Narrow" w:cs="Calibri"/>
                <w:color w:val="000000"/>
                <w:sz w:val="18"/>
                <w:szCs w:val="18"/>
              </w:rPr>
              <w:t>0,6</w:t>
            </w:r>
          </w:p>
        </w:tc>
      </w:tr>
      <w:tr w:rsidR="00266BA4" w:rsidRPr="001D642A" w:rsidTr="00747E56">
        <w:trPr>
          <w:trHeight w:val="255"/>
          <w:jc w:val="center"/>
        </w:trPr>
        <w:tc>
          <w:tcPr>
            <w:tcW w:w="3262" w:type="dxa"/>
            <w:vMerge w:val="restart"/>
            <w:tcBorders>
              <w:top w:val="nil"/>
              <w:left w:val="nil"/>
              <w:bottom w:val="single" w:sz="4" w:space="0" w:color="000000"/>
              <w:right w:val="nil"/>
            </w:tcBorders>
            <w:shd w:val="clear" w:color="000000" w:fill="FFFFFF"/>
            <w:vAlign w:val="center"/>
            <w:hideMark/>
          </w:tcPr>
          <w:p w:rsidR="00266BA4" w:rsidRPr="001D642A" w:rsidRDefault="00266BA4" w:rsidP="00747E56">
            <w:pPr>
              <w:widowControl/>
              <w:overflowPunct/>
              <w:autoSpaceDE/>
              <w:autoSpaceDN/>
              <w:adjustRightInd/>
              <w:spacing w:before="0" w:after="0"/>
              <w:rPr>
                <w:rFonts w:ascii="Arial Narrow" w:hAnsi="Arial Narrow"/>
                <w:color w:val="000000"/>
                <w:kern w:val="0"/>
                <w:sz w:val="18"/>
                <w:szCs w:val="18"/>
              </w:rPr>
            </w:pPr>
            <w:r w:rsidRPr="001D642A">
              <w:rPr>
                <w:rFonts w:ascii="Arial Narrow" w:hAnsi="Arial Narrow"/>
                <w:color w:val="000000"/>
                <w:kern w:val="0"/>
                <w:sz w:val="18"/>
                <w:szCs w:val="18"/>
              </w:rPr>
              <w:t>Energia</w:t>
            </w:r>
          </w:p>
        </w:tc>
        <w:tc>
          <w:tcPr>
            <w:tcW w:w="286" w:type="dxa"/>
            <w:tcBorders>
              <w:top w:val="nil"/>
              <w:left w:val="nil"/>
              <w:bottom w:val="single" w:sz="4" w:space="0" w:color="auto"/>
              <w:right w:val="nil"/>
            </w:tcBorders>
            <w:shd w:val="clear" w:color="000000" w:fill="FFFFFF"/>
            <w:noWrap/>
            <w:vAlign w:val="center"/>
            <w:hideMark/>
          </w:tcPr>
          <w:p w:rsidR="00266BA4" w:rsidRPr="001D642A" w:rsidRDefault="00266BA4" w:rsidP="00747E56">
            <w:pPr>
              <w:widowControl/>
              <w:overflowPunct/>
              <w:autoSpaceDE/>
              <w:autoSpaceDN/>
              <w:adjustRightInd/>
              <w:spacing w:before="0" w:after="0"/>
              <w:jc w:val="center"/>
              <w:rPr>
                <w:rFonts w:ascii="Arial Narrow" w:hAnsi="Arial Narrow"/>
                <w:b/>
                <w:bCs/>
                <w:color w:val="000000"/>
                <w:kern w:val="0"/>
                <w:sz w:val="17"/>
                <w:szCs w:val="17"/>
              </w:rPr>
            </w:pPr>
            <w:r w:rsidRPr="001D642A">
              <w:rPr>
                <w:rFonts w:ascii="Arial Narrow" w:hAnsi="Arial Narrow"/>
                <w:b/>
                <w:bCs/>
                <w:color w:val="000000"/>
                <w:kern w:val="0"/>
                <w:sz w:val="17"/>
                <w:szCs w:val="17"/>
              </w:rPr>
              <w:t>P</w:t>
            </w:r>
          </w:p>
        </w:tc>
        <w:tc>
          <w:tcPr>
            <w:tcW w:w="500" w:type="dxa"/>
            <w:tcBorders>
              <w:top w:val="nil"/>
              <w:left w:val="nil"/>
              <w:bottom w:val="single" w:sz="4" w:space="0" w:color="auto"/>
              <w:right w:val="nil"/>
            </w:tcBorders>
            <w:shd w:val="clear" w:color="000000" w:fill="FFFFFF"/>
            <w:vAlign w:val="center"/>
          </w:tcPr>
          <w:p w:rsidR="00266BA4" w:rsidRPr="00A00F0F" w:rsidRDefault="00266BA4" w:rsidP="00747E56">
            <w:pPr>
              <w:spacing w:before="0" w:after="0"/>
              <w:jc w:val="right"/>
              <w:rPr>
                <w:rFonts w:ascii="Arial Narrow" w:hAnsi="Arial Narrow" w:cs="Calibri"/>
                <w:color w:val="000000"/>
                <w:sz w:val="18"/>
                <w:szCs w:val="18"/>
              </w:rPr>
            </w:pPr>
            <w:r w:rsidRPr="00A00F0F">
              <w:rPr>
                <w:rFonts w:ascii="Arial Narrow" w:hAnsi="Arial Narrow" w:cs="Calibri"/>
                <w:color w:val="000000"/>
                <w:sz w:val="18"/>
                <w:szCs w:val="18"/>
              </w:rPr>
              <w:t>2</w:t>
            </w:r>
            <w:r>
              <w:rPr>
                <w:rFonts w:ascii="Arial Narrow" w:hAnsi="Arial Narrow" w:cs="Calibri"/>
                <w:color w:val="000000"/>
                <w:sz w:val="18"/>
                <w:szCs w:val="18"/>
              </w:rPr>
              <w:t>,</w:t>
            </w:r>
            <w:r w:rsidRPr="00A00F0F">
              <w:rPr>
                <w:rFonts w:ascii="Arial Narrow" w:hAnsi="Arial Narrow" w:cs="Calibri"/>
                <w:color w:val="000000"/>
                <w:sz w:val="18"/>
                <w:szCs w:val="18"/>
              </w:rPr>
              <w:t>0</w:t>
            </w:r>
          </w:p>
        </w:tc>
        <w:tc>
          <w:tcPr>
            <w:tcW w:w="500" w:type="dxa"/>
            <w:tcBorders>
              <w:top w:val="nil"/>
              <w:left w:val="nil"/>
              <w:bottom w:val="single" w:sz="4" w:space="0" w:color="auto"/>
              <w:right w:val="nil"/>
            </w:tcBorders>
            <w:shd w:val="clear" w:color="000000" w:fill="FFFFFF"/>
            <w:vAlign w:val="center"/>
          </w:tcPr>
          <w:p w:rsidR="00266BA4" w:rsidRPr="00A00F0F" w:rsidRDefault="00266BA4" w:rsidP="00747E56">
            <w:pPr>
              <w:spacing w:before="0" w:after="0"/>
              <w:jc w:val="right"/>
              <w:rPr>
                <w:rFonts w:ascii="Arial Narrow" w:hAnsi="Arial Narrow" w:cs="Calibri"/>
                <w:color w:val="000000"/>
                <w:sz w:val="18"/>
                <w:szCs w:val="18"/>
              </w:rPr>
            </w:pPr>
            <w:r>
              <w:rPr>
                <w:rFonts w:ascii="Arial Narrow" w:hAnsi="Arial Narrow" w:cs="Calibri"/>
                <w:color w:val="000000"/>
                <w:sz w:val="18"/>
                <w:szCs w:val="18"/>
              </w:rPr>
              <w:t>0,6</w:t>
            </w:r>
          </w:p>
        </w:tc>
        <w:tc>
          <w:tcPr>
            <w:tcW w:w="500" w:type="dxa"/>
            <w:tcBorders>
              <w:top w:val="nil"/>
              <w:left w:val="nil"/>
              <w:bottom w:val="single" w:sz="4" w:space="0" w:color="auto"/>
              <w:right w:val="nil"/>
            </w:tcBorders>
            <w:shd w:val="clear" w:color="000000" w:fill="FFFFFF"/>
            <w:vAlign w:val="center"/>
          </w:tcPr>
          <w:p w:rsidR="00266BA4" w:rsidRPr="00A00F0F" w:rsidRDefault="00266BA4" w:rsidP="00747E56">
            <w:pPr>
              <w:spacing w:before="0" w:after="0"/>
              <w:jc w:val="right"/>
              <w:rPr>
                <w:rFonts w:ascii="Arial Narrow" w:hAnsi="Arial Narrow" w:cs="Calibri"/>
                <w:color w:val="000000"/>
                <w:sz w:val="18"/>
                <w:szCs w:val="18"/>
              </w:rPr>
            </w:pPr>
            <w:r>
              <w:rPr>
                <w:rFonts w:ascii="Arial Narrow" w:hAnsi="Arial Narrow" w:cs="Calibri"/>
                <w:color w:val="000000"/>
                <w:sz w:val="18"/>
                <w:szCs w:val="18"/>
              </w:rPr>
              <w:t>-0,1</w:t>
            </w:r>
          </w:p>
        </w:tc>
        <w:tc>
          <w:tcPr>
            <w:tcW w:w="501" w:type="dxa"/>
            <w:tcBorders>
              <w:top w:val="nil"/>
              <w:left w:val="nil"/>
              <w:bottom w:val="single" w:sz="4" w:space="0" w:color="auto"/>
              <w:right w:val="nil"/>
            </w:tcBorders>
            <w:shd w:val="clear" w:color="000000" w:fill="FFFFFF"/>
            <w:vAlign w:val="center"/>
          </w:tcPr>
          <w:p w:rsidR="00266BA4" w:rsidRDefault="00266BA4" w:rsidP="00747E56">
            <w:pPr>
              <w:spacing w:before="0" w:after="0"/>
              <w:jc w:val="right"/>
              <w:rPr>
                <w:rFonts w:ascii="Arial Narrow" w:hAnsi="Arial Narrow" w:cs="Calibri"/>
                <w:color w:val="000000"/>
                <w:sz w:val="18"/>
                <w:szCs w:val="18"/>
              </w:rPr>
            </w:pPr>
            <w:r>
              <w:rPr>
                <w:rFonts w:ascii="Arial Narrow" w:hAnsi="Arial Narrow" w:cs="Calibri"/>
                <w:color w:val="000000"/>
                <w:sz w:val="18"/>
                <w:szCs w:val="18"/>
              </w:rPr>
              <w:t>1,6</w:t>
            </w:r>
          </w:p>
        </w:tc>
        <w:tc>
          <w:tcPr>
            <w:tcW w:w="501" w:type="dxa"/>
            <w:tcBorders>
              <w:top w:val="nil"/>
              <w:left w:val="nil"/>
              <w:bottom w:val="single" w:sz="4" w:space="0" w:color="auto"/>
              <w:right w:val="nil"/>
            </w:tcBorders>
            <w:shd w:val="clear" w:color="000000" w:fill="FFFFFF"/>
            <w:vAlign w:val="center"/>
          </w:tcPr>
          <w:p w:rsidR="00266BA4" w:rsidRDefault="00266BA4" w:rsidP="00747E56">
            <w:pPr>
              <w:spacing w:before="0" w:after="0"/>
              <w:jc w:val="right"/>
              <w:rPr>
                <w:rFonts w:ascii="Arial Narrow" w:hAnsi="Arial Narrow" w:cs="Calibri"/>
                <w:color w:val="000000"/>
                <w:sz w:val="18"/>
                <w:szCs w:val="18"/>
              </w:rPr>
            </w:pPr>
            <w:r>
              <w:rPr>
                <w:rFonts w:ascii="Arial Narrow" w:hAnsi="Arial Narrow" w:cs="Calibri"/>
                <w:color w:val="000000"/>
                <w:sz w:val="18"/>
                <w:szCs w:val="18"/>
              </w:rPr>
              <w:t>-20,1</w:t>
            </w:r>
          </w:p>
        </w:tc>
        <w:tc>
          <w:tcPr>
            <w:tcW w:w="501" w:type="dxa"/>
            <w:tcBorders>
              <w:top w:val="nil"/>
              <w:left w:val="nil"/>
              <w:bottom w:val="single" w:sz="4" w:space="0" w:color="auto"/>
              <w:right w:val="nil"/>
            </w:tcBorders>
            <w:shd w:val="clear" w:color="000000" w:fill="FFFFFF"/>
            <w:vAlign w:val="center"/>
          </w:tcPr>
          <w:p w:rsidR="00266BA4" w:rsidRDefault="00266BA4" w:rsidP="00747E56">
            <w:pPr>
              <w:spacing w:before="0" w:after="0"/>
              <w:jc w:val="right"/>
              <w:rPr>
                <w:rFonts w:ascii="Arial Narrow" w:hAnsi="Arial Narrow" w:cs="Calibri"/>
                <w:color w:val="000000"/>
                <w:sz w:val="18"/>
                <w:szCs w:val="18"/>
              </w:rPr>
            </w:pPr>
            <w:r>
              <w:rPr>
                <w:rFonts w:ascii="Arial Narrow" w:hAnsi="Arial Narrow" w:cs="Calibri"/>
                <w:color w:val="000000"/>
                <w:sz w:val="18"/>
                <w:szCs w:val="18"/>
              </w:rPr>
              <w:t>-24,7</w:t>
            </w:r>
          </w:p>
        </w:tc>
        <w:tc>
          <w:tcPr>
            <w:tcW w:w="501" w:type="dxa"/>
            <w:tcBorders>
              <w:top w:val="nil"/>
              <w:left w:val="nil"/>
              <w:bottom w:val="single" w:sz="4" w:space="0" w:color="auto"/>
              <w:right w:val="nil"/>
            </w:tcBorders>
            <w:shd w:val="clear" w:color="000000" w:fill="FFFFFF"/>
            <w:vAlign w:val="center"/>
          </w:tcPr>
          <w:p w:rsidR="00266BA4" w:rsidRDefault="00266BA4" w:rsidP="00747E56">
            <w:pPr>
              <w:spacing w:before="0" w:after="0"/>
              <w:jc w:val="right"/>
              <w:rPr>
                <w:rFonts w:ascii="Arial Narrow" w:hAnsi="Arial Narrow" w:cs="Calibri"/>
                <w:color w:val="000000"/>
                <w:sz w:val="18"/>
                <w:szCs w:val="18"/>
              </w:rPr>
            </w:pPr>
            <w:r>
              <w:rPr>
                <w:rFonts w:ascii="Arial Narrow" w:hAnsi="Arial Narrow" w:cs="Calibri"/>
                <w:color w:val="000000"/>
                <w:sz w:val="18"/>
                <w:szCs w:val="18"/>
              </w:rPr>
              <w:t>-25,0</w:t>
            </w:r>
          </w:p>
        </w:tc>
        <w:tc>
          <w:tcPr>
            <w:tcW w:w="501" w:type="dxa"/>
            <w:tcBorders>
              <w:top w:val="nil"/>
              <w:left w:val="nil"/>
              <w:bottom w:val="single" w:sz="4" w:space="0" w:color="auto"/>
              <w:right w:val="nil"/>
            </w:tcBorders>
            <w:shd w:val="clear" w:color="000000" w:fill="FFFFFF"/>
            <w:vAlign w:val="center"/>
          </w:tcPr>
          <w:p w:rsidR="00266BA4" w:rsidRDefault="00266BA4" w:rsidP="00747E56">
            <w:pPr>
              <w:spacing w:before="0" w:after="0"/>
              <w:jc w:val="right"/>
              <w:rPr>
                <w:rFonts w:ascii="Arial Narrow" w:hAnsi="Arial Narrow" w:cs="Calibri"/>
                <w:color w:val="000000"/>
                <w:sz w:val="18"/>
                <w:szCs w:val="18"/>
              </w:rPr>
            </w:pPr>
            <w:r>
              <w:rPr>
                <w:rFonts w:ascii="Arial Narrow" w:hAnsi="Arial Narrow" w:cs="Calibri"/>
                <w:color w:val="000000"/>
                <w:sz w:val="18"/>
                <w:szCs w:val="18"/>
              </w:rPr>
              <w:t>-21,4</w:t>
            </w:r>
          </w:p>
        </w:tc>
        <w:tc>
          <w:tcPr>
            <w:tcW w:w="501" w:type="dxa"/>
            <w:tcBorders>
              <w:top w:val="nil"/>
              <w:left w:val="nil"/>
              <w:bottom w:val="single" w:sz="4" w:space="0" w:color="auto"/>
              <w:right w:val="nil"/>
            </w:tcBorders>
            <w:shd w:val="clear" w:color="000000" w:fill="FFFFFF"/>
            <w:vAlign w:val="center"/>
          </w:tcPr>
          <w:p w:rsidR="00266BA4" w:rsidRDefault="00266BA4" w:rsidP="00747E56">
            <w:pPr>
              <w:spacing w:before="0" w:after="0"/>
              <w:jc w:val="right"/>
              <w:rPr>
                <w:rFonts w:ascii="Arial Narrow" w:hAnsi="Arial Narrow" w:cs="Calibri"/>
                <w:color w:val="000000"/>
                <w:sz w:val="18"/>
                <w:szCs w:val="18"/>
              </w:rPr>
            </w:pPr>
            <w:r>
              <w:rPr>
                <w:rFonts w:ascii="Arial Narrow" w:hAnsi="Arial Narrow" w:cs="Calibri"/>
                <w:color w:val="000000"/>
                <w:sz w:val="18"/>
                <w:szCs w:val="18"/>
              </w:rPr>
              <w:t>-17,4</w:t>
            </w:r>
          </w:p>
        </w:tc>
        <w:tc>
          <w:tcPr>
            <w:tcW w:w="552" w:type="dxa"/>
            <w:tcBorders>
              <w:top w:val="nil"/>
              <w:left w:val="nil"/>
              <w:bottom w:val="single" w:sz="4" w:space="0" w:color="auto"/>
              <w:right w:val="nil"/>
            </w:tcBorders>
            <w:shd w:val="clear" w:color="000000" w:fill="FFFFFF"/>
            <w:vAlign w:val="center"/>
          </w:tcPr>
          <w:p w:rsidR="00266BA4" w:rsidRDefault="00266BA4" w:rsidP="00747E56">
            <w:pPr>
              <w:spacing w:before="0" w:after="0"/>
              <w:jc w:val="right"/>
              <w:rPr>
                <w:rFonts w:ascii="Arial Narrow" w:hAnsi="Arial Narrow" w:cs="Calibri"/>
                <w:color w:val="000000"/>
                <w:sz w:val="18"/>
                <w:szCs w:val="18"/>
              </w:rPr>
            </w:pPr>
            <w:r>
              <w:rPr>
                <w:rFonts w:ascii="Arial Narrow" w:hAnsi="Arial Narrow" w:cs="Calibri"/>
                <w:color w:val="000000"/>
                <w:sz w:val="18"/>
                <w:szCs w:val="18"/>
              </w:rPr>
              <w:t>-10,9</w:t>
            </w:r>
          </w:p>
        </w:tc>
        <w:tc>
          <w:tcPr>
            <w:tcW w:w="552" w:type="dxa"/>
            <w:tcBorders>
              <w:top w:val="nil"/>
              <w:left w:val="nil"/>
              <w:bottom w:val="single" w:sz="4" w:space="0" w:color="auto"/>
              <w:right w:val="nil"/>
            </w:tcBorders>
            <w:shd w:val="clear" w:color="000000" w:fill="FFFFFF"/>
            <w:vAlign w:val="center"/>
          </w:tcPr>
          <w:p w:rsidR="00266BA4" w:rsidRDefault="00266BA4" w:rsidP="00747E56">
            <w:pPr>
              <w:spacing w:before="0" w:after="0"/>
              <w:jc w:val="right"/>
              <w:rPr>
                <w:rFonts w:ascii="Arial Narrow" w:hAnsi="Arial Narrow" w:cs="Calibri"/>
                <w:color w:val="000000"/>
                <w:sz w:val="18"/>
                <w:szCs w:val="18"/>
              </w:rPr>
            </w:pPr>
            <w:r>
              <w:rPr>
                <w:rFonts w:ascii="Arial Narrow" w:hAnsi="Arial Narrow" w:cs="Calibri"/>
                <w:color w:val="000000"/>
                <w:sz w:val="18"/>
                <w:szCs w:val="18"/>
              </w:rPr>
              <w:t>-12,1</w:t>
            </w:r>
          </w:p>
        </w:tc>
        <w:tc>
          <w:tcPr>
            <w:tcW w:w="525" w:type="dxa"/>
            <w:tcBorders>
              <w:top w:val="nil"/>
              <w:left w:val="nil"/>
              <w:bottom w:val="single" w:sz="4" w:space="0" w:color="auto"/>
              <w:right w:val="nil"/>
            </w:tcBorders>
            <w:shd w:val="clear" w:color="000000" w:fill="FFFFFF"/>
            <w:vAlign w:val="center"/>
          </w:tcPr>
          <w:p w:rsidR="00266BA4" w:rsidRDefault="00266BA4" w:rsidP="00747E56">
            <w:pPr>
              <w:spacing w:before="0" w:after="0"/>
              <w:jc w:val="right"/>
              <w:rPr>
                <w:rFonts w:ascii="Arial Narrow" w:hAnsi="Arial Narrow" w:cs="Calibri"/>
                <w:color w:val="000000"/>
                <w:sz w:val="18"/>
                <w:szCs w:val="18"/>
              </w:rPr>
            </w:pPr>
            <w:r>
              <w:rPr>
                <w:rFonts w:ascii="Arial Narrow" w:hAnsi="Arial Narrow" w:cs="Calibri"/>
                <w:color w:val="000000"/>
                <w:sz w:val="18"/>
                <w:szCs w:val="18"/>
              </w:rPr>
              <w:t>-11.8</w:t>
            </w:r>
          </w:p>
        </w:tc>
        <w:tc>
          <w:tcPr>
            <w:tcW w:w="522" w:type="dxa"/>
            <w:tcBorders>
              <w:top w:val="nil"/>
              <w:left w:val="nil"/>
              <w:bottom w:val="single" w:sz="4" w:space="0" w:color="auto"/>
              <w:right w:val="nil"/>
            </w:tcBorders>
            <w:shd w:val="clear" w:color="000000" w:fill="FFFFFF"/>
            <w:vAlign w:val="center"/>
          </w:tcPr>
          <w:p w:rsidR="00266BA4" w:rsidRDefault="00266BA4" w:rsidP="00747E56">
            <w:pPr>
              <w:spacing w:before="0" w:after="0"/>
              <w:jc w:val="right"/>
              <w:rPr>
                <w:rFonts w:ascii="Arial Narrow" w:hAnsi="Arial Narrow" w:cs="Calibri"/>
                <w:color w:val="000000"/>
                <w:sz w:val="18"/>
                <w:szCs w:val="18"/>
              </w:rPr>
            </w:pPr>
            <w:r>
              <w:rPr>
                <w:rFonts w:ascii="Arial Narrow" w:hAnsi="Arial Narrow" w:cs="Calibri"/>
                <w:color w:val="000000"/>
                <w:sz w:val="18"/>
                <w:szCs w:val="18"/>
              </w:rPr>
              <w:t>-8,6</w:t>
            </w:r>
          </w:p>
        </w:tc>
      </w:tr>
      <w:tr w:rsidR="00266BA4" w:rsidRPr="001D642A" w:rsidTr="00747E56">
        <w:trPr>
          <w:trHeight w:val="255"/>
          <w:jc w:val="center"/>
        </w:trPr>
        <w:tc>
          <w:tcPr>
            <w:tcW w:w="3262" w:type="dxa"/>
            <w:vMerge/>
            <w:tcBorders>
              <w:top w:val="nil"/>
              <w:left w:val="nil"/>
              <w:bottom w:val="single" w:sz="4" w:space="0" w:color="000000"/>
              <w:right w:val="nil"/>
            </w:tcBorders>
            <w:vAlign w:val="center"/>
            <w:hideMark/>
          </w:tcPr>
          <w:p w:rsidR="00266BA4" w:rsidRPr="001D642A" w:rsidRDefault="00266BA4" w:rsidP="00747E56">
            <w:pPr>
              <w:widowControl/>
              <w:overflowPunct/>
              <w:autoSpaceDE/>
              <w:autoSpaceDN/>
              <w:adjustRightInd/>
              <w:spacing w:before="0" w:after="0"/>
              <w:rPr>
                <w:rFonts w:ascii="Arial Narrow" w:hAnsi="Arial Narrow"/>
                <w:color w:val="000000"/>
                <w:kern w:val="0"/>
                <w:sz w:val="18"/>
                <w:szCs w:val="18"/>
              </w:rPr>
            </w:pPr>
          </w:p>
        </w:tc>
        <w:tc>
          <w:tcPr>
            <w:tcW w:w="286" w:type="dxa"/>
            <w:tcBorders>
              <w:top w:val="nil"/>
              <w:left w:val="nil"/>
              <w:bottom w:val="single" w:sz="4" w:space="0" w:color="auto"/>
              <w:right w:val="nil"/>
            </w:tcBorders>
            <w:shd w:val="clear" w:color="000000" w:fill="FFFFFF"/>
            <w:noWrap/>
            <w:vAlign w:val="center"/>
            <w:hideMark/>
          </w:tcPr>
          <w:p w:rsidR="00266BA4" w:rsidRPr="001D642A" w:rsidRDefault="00266BA4" w:rsidP="00747E56">
            <w:pPr>
              <w:widowControl/>
              <w:overflowPunct/>
              <w:autoSpaceDE/>
              <w:autoSpaceDN/>
              <w:adjustRightInd/>
              <w:spacing w:before="0" w:after="0"/>
              <w:jc w:val="center"/>
              <w:rPr>
                <w:rFonts w:ascii="Arial Narrow" w:hAnsi="Arial Narrow"/>
                <w:b/>
                <w:bCs/>
                <w:color w:val="000000"/>
                <w:kern w:val="0"/>
                <w:sz w:val="17"/>
                <w:szCs w:val="17"/>
              </w:rPr>
            </w:pPr>
            <w:r w:rsidRPr="001D642A">
              <w:rPr>
                <w:rFonts w:ascii="Arial Narrow" w:hAnsi="Arial Narrow"/>
                <w:b/>
                <w:bCs/>
                <w:color w:val="000000"/>
                <w:kern w:val="0"/>
                <w:sz w:val="17"/>
                <w:szCs w:val="17"/>
              </w:rPr>
              <w:t>D</w:t>
            </w:r>
          </w:p>
        </w:tc>
        <w:tc>
          <w:tcPr>
            <w:tcW w:w="500" w:type="dxa"/>
            <w:tcBorders>
              <w:top w:val="nil"/>
              <w:left w:val="nil"/>
              <w:bottom w:val="single" w:sz="4" w:space="0" w:color="auto"/>
              <w:right w:val="nil"/>
            </w:tcBorders>
            <w:shd w:val="clear" w:color="000000" w:fill="FFFFFF"/>
            <w:vAlign w:val="center"/>
          </w:tcPr>
          <w:p w:rsidR="00266BA4" w:rsidRPr="00A00F0F" w:rsidRDefault="00266BA4" w:rsidP="00747E56">
            <w:pPr>
              <w:spacing w:before="0" w:after="0"/>
              <w:jc w:val="right"/>
              <w:rPr>
                <w:rFonts w:ascii="Arial Narrow" w:hAnsi="Arial Narrow" w:cs="Calibri"/>
                <w:color w:val="000000"/>
                <w:sz w:val="18"/>
                <w:szCs w:val="18"/>
              </w:rPr>
            </w:pPr>
            <w:r w:rsidRPr="00A00F0F">
              <w:rPr>
                <w:rFonts w:ascii="Arial Narrow" w:hAnsi="Arial Narrow" w:cs="Calibri"/>
                <w:color w:val="000000"/>
                <w:sz w:val="18"/>
                <w:szCs w:val="18"/>
              </w:rPr>
              <w:t>2</w:t>
            </w:r>
            <w:r>
              <w:rPr>
                <w:rFonts w:ascii="Arial Narrow" w:hAnsi="Arial Narrow" w:cs="Calibri"/>
                <w:color w:val="000000"/>
                <w:sz w:val="18"/>
                <w:szCs w:val="18"/>
              </w:rPr>
              <w:t>,</w:t>
            </w:r>
            <w:r w:rsidRPr="00A00F0F">
              <w:rPr>
                <w:rFonts w:ascii="Arial Narrow" w:hAnsi="Arial Narrow" w:cs="Calibri"/>
                <w:color w:val="000000"/>
                <w:sz w:val="18"/>
                <w:szCs w:val="18"/>
              </w:rPr>
              <w:t>0</w:t>
            </w:r>
          </w:p>
        </w:tc>
        <w:tc>
          <w:tcPr>
            <w:tcW w:w="500" w:type="dxa"/>
            <w:tcBorders>
              <w:top w:val="nil"/>
              <w:left w:val="nil"/>
              <w:bottom w:val="single" w:sz="4" w:space="0" w:color="auto"/>
              <w:right w:val="nil"/>
            </w:tcBorders>
            <w:shd w:val="clear" w:color="000000" w:fill="FFFFFF"/>
            <w:vAlign w:val="center"/>
          </w:tcPr>
          <w:p w:rsidR="00266BA4" w:rsidRPr="00A00F0F" w:rsidRDefault="00266BA4" w:rsidP="00747E56">
            <w:pPr>
              <w:spacing w:before="0" w:after="0"/>
              <w:jc w:val="right"/>
              <w:rPr>
                <w:rFonts w:ascii="Arial Narrow" w:hAnsi="Arial Narrow" w:cs="Calibri"/>
                <w:color w:val="000000"/>
                <w:sz w:val="18"/>
                <w:szCs w:val="18"/>
              </w:rPr>
            </w:pPr>
            <w:r>
              <w:rPr>
                <w:rFonts w:ascii="Arial Narrow" w:hAnsi="Arial Narrow" w:cs="Calibri"/>
                <w:color w:val="000000"/>
                <w:sz w:val="18"/>
                <w:szCs w:val="18"/>
              </w:rPr>
              <w:t>0,6</w:t>
            </w:r>
          </w:p>
        </w:tc>
        <w:tc>
          <w:tcPr>
            <w:tcW w:w="500" w:type="dxa"/>
            <w:tcBorders>
              <w:top w:val="nil"/>
              <w:left w:val="nil"/>
              <w:bottom w:val="single" w:sz="4" w:space="0" w:color="auto"/>
              <w:right w:val="nil"/>
            </w:tcBorders>
            <w:shd w:val="clear" w:color="000000" w:fill="FFFFFF"/>
            <w:vAlign w:val="center"/>
          </w:tcPr>
          <w:p w:rsidR="00266BA4" w:rsidRPr="00A00F0F" w:rsidRDefault="00266BA4" w:rsidP="00747E56">
            <w:pPr>
              <w:spacing w:before="0" w:after="0"/>
              <w:jc w:val="right"/>
              <w:rPr>
                <w:rFonts w:ascii="Arial Narrow" w:hAnsi="Arial Narrow" w:cs="Calibri"/>
                <w:color w:val="000000"/>
                <w:sz w:val="18"/>
                <w:szCs w:val="18"/>
              </w:rPr>
            </w:pPr>
            <w:r>
              <w:rPr>
                <w:rFonts w:ascii="Arial Narrow" w:hAnsi="Arial Narrow" w:cs="Calibri"/>
                <w:color w:val="000000"/>
                <w:sz w:val="18"/>
                <w:szCs w:val="18"/>
              </w:rPr>
              <w:t>-0,2</w:t>
            </w:r>
          </w:p>
        </w:tc>
        <w:tc>
          <w:tcPr>
            <w:tcW w:w="501" w:type="dxa"/>
            <w:tcBorders>
              <w:top w:val="nil"/>
              <w:left w:val="nil"/>
              <w:bottom w:val="single" w:sz="4" w:space="0" w:color="auto"/>
              <w:right w:val="nil"/>
            </w:tcBorders>
            <w:shd w:val="clear" w:color="000000" w:fill="FFFFFF"/>
            <w:vAlign w:val="center"/>
          </w:tcPr>
          <w:p w:rsidR="00266BA4" w:rsidRDefault="00266BA4" w:rsidP="00747E56">
            <w:pPr>
              <w:spacing w:before="0" w:after="0"/>
              <w:jc w:val="right"/>
              <w:rPr>
                <w:rFonts w:ascii="Arial Narrow" w:hAnsi="Arial Narrow" w:cs="Calibri"/>
                <w:color w:val="000000"/>
                <w:sz w:val="18"/>
                <w:szCs w:val="18"/>
              </w:rPr>
            </w:pPr>
            <w:r>
              <w:rPr>
                <w:rFonts w:ascii="Arial Narrow" w:hAnsi="Arial Narrow" w:cs="Calibri"/>
                <w:color w:val="000000"/>
                <w:sz w:val="18"/>
                <w:szCs w:val="18"/>
              </w:rPr>
              <w:t>1,6</w:t>
            </w:r>
          </w:p>
        </w:tc>
        <w:tc>
          <w:tcPr>
            <w:tcW w:w="501" w:type="dxa"/>
            <w:tcBorders>
              <w:top w:val="nil"/>
              <w:left w:val="nil"/>
              <w:bottom w:val="single" w:sz="4" w:space="0" w:color="auto"/>
              <w:right w:val="nil"/>
            </w:tcBorders>
            <w:shd w:val="clear" w:color="000000" w:fill="FFFFFF"/>
            <w:vAlign w:val="center"/>
          </w:tcPr>
          <w:p w:rsidR="00266BA4" w:rsidRDefault="00266BA4" w:rsidP="00747E56">
            <w:pPr>
              <w:spacing w:before="0" w:after="0"/>
              <w:jc w:val="right"/>
              <w:rPr>
                <w:rFonts w:ascii="Arial Narrow" w:hAnsi="Arial Narrow" w:cs="Calibri"/>
                <w:color w:val="000000"/>
                <w:sz w:val="18"/>
                <w:szCs w:val="18"/>
              </w:rPr>
            </w:pPr>
            <w:r>
              <w:rPr>
                <w:rFonts w:ascii="Arial Narrow" w:hAnsi="Arial Narrow" w:cs="Calibri"/>
                <w:color w:val="000000"/>
                <w:sz w:val="18"/>
                <w:szCs w:val="18"/>
              </w:rPr>
              <w:t>-19,9</w:t>
            </w:r>
          </w:p>
        </w:tc>
        <w:tc>
          <w:tcPr>
            <w:tcW w:w="501" w:type="dxa"/>
            <w:tcBorders>
              <w:top w:val="nil"/>
              <w:left w:val="nil"/>
              <w:bottom w:val="single" w:sz="4" w:space="0" w:color="auto"/>
              <w:right w:val="nil"/>
            </w:tcBorders>
            <w:shd w:val="clear" w:color="000000" w:fill="FFFFFF"/>
            <w:vAlign w:val="center"/>
          </w:tcPr>
          <w:p w:rsidR="00266BA4" w:rsidRDefault="00266BA4" w:rsidP="00747E56">
            <w:pPr>
              <w:spacing w:before="0" w:after="0"/>
              <w:jc w:val="right"/>
              <w:rPr>
                <w:rFonts w:ascii="Arial Narrow" w:hAnsi="Arial Narrow" w:cs="Calibri"/>
                <w:color w:val="000000"/>
                <w:sz w:val="18"/>
                <w:szCs w:val="18"/>
              </w:rPr>
            </w:pPr>
            <w:r>
              <w:rPr>
                <w:rFonts w:ascii="Arial Narrow" w:hAnsi="Arial Narrow" w:cs="Calibri"/>
                <w:color w:val="000000"/>
                <w:sz w:val="18"/>
                <w:szCs w:val="18"/>
              </w:rPr>
              <w:t>-24,6</w:t>
            </w:r>
          </w:p>
        </w:tc>
        <w:tc>
          <w:tcPr>
            <w:tcW w:w="501" w:type="dxa"/>
            <w:tcBorders>
              <w:top w:val="nil"/>
              <w:left w:val="nil"/>
              <w:bottom w:val="single" w:sz="4" w:space="0" w:color="auto"/>
              <w:right w:val="nil"/>
            </w:tcBorders>
            <w:shd w:val="clear" w:color="000000" w:fill="FFFFFF"/>
            <w:vAlign w:val="center"/>
          </w:tcPr>
          <w:p w:rsidR="00266BA4" w:rsidRDefault="00266BA4" w:rsidP="00747E56">
            <w:pPr>
              <w:spacing w:before="0" w:after="0"/>
              <w:jc w:val="right"/>
              <w:rPr>
                <w:rFonts w:ascii="Arial Narrow" w:hAnsi="Arial Narrow" w:cs="Calibri"/>
                <w:color w:val="000000"/>
                <w:sz w:val="18"/>
                <w:szCs w:val="18"/>
              </w:rPr>
            </w:pPr>
            <w:r>
              <w:rPr>
                <w:rFonts w:ascii="Arial Narrow" w:hAnsi="Arial Narrow" w:cs="Calibri"/>
                <w:color w:val="000000"/>
                <w:sz w:val="18"/>
                <w:szCs w:val="18"/>
              </w:rPr>
              <w:t>-25,0</w:t>
            </w:r>
          </w:p>
        </w:tc>
        <w:tc>
          <w:tcPr>
            <w:tcW w:w="501" w:type="dxa"/>
            <w:tcBorders>
              <w:top w:val="nil"/>
              <w:left w:val="nil"/>
              <w:bottom w:val="single" w:sz="4" w:space="0" w:color="auto"/>
              <w:right w:val="nil"/>
            </w:tcBorders>
            <w:shd w:val="clear" w:color="000000" w:fill="FFFFFF"/>
            <w:vAlign w:val="center"/>
          </w:tcPr>
          <w:p w:rsidR="00266BA4" w:rsidRDefault="00266BA4" w:rsidP="00747E56">
            <w:pPr>
              <w:spacing w:before="0" w:after="0"/>
              <w:jc w:val="right"/>
              <w:rPr>
                <w:rFonts w:ascii="Arial Narrow" w:hAnsi="Arial Narrow" w:cs="Calibri"/>
                <w:color w:val="000000"/>
                <w:sz w:val="18"/>
                <w:szCs w:val="18"/>
              </w:rPr>
            </w:pPr>
            <w:r>
              <w:rPr>
                <w:rFonts w:ascii="Arial Narrow" w:hAnsi="Arial Narrow" w:cs="Calibri"/>
                <w:color w:val="000000"/>
                <w:sz w:val="18"/>
                <w:szCs w:val="18"/>
              </w:rPr>
              <w:t>-20,7</w:t>
            </w:r>
          </w:p>
        </w:tc>
        <w:tc>
          <w:tcPr>
            <w:tcW w:w="501" w:type="dxa"/>
            <w:tcBorders>
              <w:top w:val="nil"/>
              <w:left w:val="nil"/>
              <w:bottom w:val="single" w:sz="4" w:space="0" w:color="auto"/>
              <w:right w:val="nil"/>
            </w:tcBorders>
            <w:shd w:val="clear" w:color="000000" w:fill="FFFFFF"/>
            <w:vAlign w:val="center"/>
          </w:tcPr>
          <w:p w:rsidR="00266BA4" w:rsidRDefault="00266BA4" w:rsidP="00747E56">
            <w:pPr>
              <w:spacing w:before="0" w:after="0"/>
              <w:jc w:val="right"/>
              <w:rPr>
                <w:rFonts w:ascii="Arial Narrow" w:hAnsi="Arial Narrow" w:cs="Calibri"/>
                <w:color w:val="000000"/>
                <w:sz w:val="18"/>
                <w:szCs w:val="18"/>
              </w:rPr>
            </w:pPr>
            <w:r>
              <w:rPr>
                <w:rFonts w:ascii="Arial Narrow" w:hAnsi="Arial Narrow" w:cs="Calibri"/>
                <w:color w:val="000000"/>
                <w:sz w:val="18"/>
                <w:szCs w:val="18"/>
              </w:rPr>
              <w:t>-17,4</w:t>
            </w:r>
          </w:p>
        </w:tc>
        <w:tc>
          <w:tcPr>
            <w:tcW w:w="552" w:type="dxa"/>
            <w:tcBorders>
              <w:top w:val="nil"/>
              <w:left w:val="nil"/>
              <w:bottom w:val="single" w:sz="4" w:space="0" w:color="auto"/>
              <w:right w:val="nil"/>
            </w:tcBorders>
            <w:shd w:val="clear" w:color="000000" w:fill="FFFFFF"/>
            <w:vAlign w:val="center"/>
          </w:tcPr>
          <w:p w:rsidR="00266BA4" w:rsidRDefault="00266BA4" w:rsidP="00747E56">
            <w:pPr>
              <w:spacing w:before="0" w:after="0"/>
              <w:jc w:val="right"/>
              <w:rPr>
                <w:rFonts w:ascii="Arial Narrow" w:hAnsi="Arial Narrow" w:cs="Calibri"/>
                <w:color w:val="000000"/>
                <w:sz w:val="18"/>
                <w:szCs w:val="18"/>
              </w:rPr>
            </w:pPr>
            <w:r>
              <w:rPr>
                <w:rFonts w:ascii="Arial Narrow" w:hAnsi="Arial Narrow" w:cs="Calibri"/>
                <w:color w:val="000000"/>
                <w:sz w:val="18"/>
                <w:szCs w:val="18"/>
              </w:rPr>
              <w:t>-10,9</w:t>
            </w:r>
          </w:p>
        </w:tc>
        <w:tc>
          <w:tcPr>
            <w:tcW w:w="552" w:type="dxa"/>
            <w:tcBorders>
              <w:top w:val="nil"/>
              <w:left w:val="nil"/>
              <w:bottom w:val="single" w:sz="4" w:space="0" w:color="auto"/>
              <w:right w:val="nil"/>
            </w:tcBorders>
            <w:shd w:val="clear" w:color="000000" w:fill="FFFFFF"/>
            <w:vAlign w:val="center"/>
          </w:tcPr>
          <w:p w:rsidR="00266BA4" w:rsidRDefault="00266BA4" w:rsidP="00747E56">
            <w:pPr>
              <w:spacing w:before="0" w:after="0"/>
              <w:jc w:val="right"/>
              <w:rPr>
                <w:rFonts w:ascii="Arial Narrow" w:hAnsi="Arial Narrow" w:cs="Calibri"/>
                <w:color w:val="000000"/>
                <w:sz w:val="18"/>
                <w:szCs w:val="18"/>
              </w:rPr>
            </w:pPr>
            <w:r>
              <w:rPr>
                <w:rFonts w:ascii="Arial Narrow" w:hAnsi="Arial Narrow" w:cs="Calibri"/>
                <w:color w:val="000000"/>
                <w:sz w:val="18"/>
                <w:szCs w:val="18"/>
              </w:rPr>
              <w:t>-12,2</w:t>
            </w:r>
          </w:p>
        </w:tc>
        <w:tc>
          <w:tcPr>
            <w:tcW w:w="525" w:type="dxa"/>
            <w:tcBorders>
              <w:top w:val="nil"/>
              <w:left w:val="nil"/>
              <w:bottom w:val="single" w:sz="4" w:space="0" w:color="auto"/>
              <w:right w:val="nil"/>
            </w:tcBorders>
            <w:shd w:val="clear" w:color="000000" w:fill="FFFFFF"/>
            <w:vAlign w:val="center"/>
          </w:tcPr>
          <w:p w:rsidR="00266BA4" w:rsidRDefault="00266BA4" w:rsidP="00747E56">
            <w:pPr>
              <w:spacing w:before="0" w:after="0"/>
              <w:jc w:val="right"/>
              <w:rPr>
                <w:rFonts w:ascii="Arial Narrow" w:hAnsi="Arial Narrow" w:cs="Calibri"/>
                <w:color w:val="000000"/>
                <w:sz w:val="18"/>
                <w:szCs w:val="18"/>
              </w:rPr>
            </w:pPr>
            <w:r>
              <w:rPr>
                <w:rFonts w:ascii="Arial Narrow" w:hAnsi="Arial Narrow" w:cs="Calibri"/>
                <w:color w:val="000000"/>
                <w:sz w:val="18"/>
                <w:szCs w:val="18"/>
              </w:rPr>
              <w:t>-11,7</w:t>
            </w:r>
          </w:p>
        </w:tc>
        <w:tc>
          <w:tcPr>
            <w:tcW w:w="522" w:type="dxa"/>
            <w:tcBorders>
              <w:top w:val="nil"/>
              <w:left w:val="nil"/>
              <w:bottom w:val="single" w:sz="4" w:space="0" w:color="auto"/>
              <w:right w:val="nil"/>
            </w:tcBorders>
            <w:shd w:val="clear" w:color="000000" w:fill="FFFFFF"/>
            <w:vAlign w:val="center"/>
          </w:tcPr>
          <w:p w:rsidR="00266BA4" w:rsidRDefault="00266BA4" w:rsidP="00747E56">
            <w:pPr>
              <w:spacing w:before="0" w:after="0"/>
              <w:jc w:val="right"/>
              <w:rPr>
                <w:rFonts w:ascii="Arial Narrow" w:hAnsi="Arial Narrow" w:cs="Calibri"/>
                <w:color w:val="000000"/>
                <w:sz w:val="18"/>
                <w:szCs w:val="18"/>
              </w:rPr>
            </w:pPr>
            <w:r>
              <w:rPr>
                <w:rFonts w:ascii="Arial Narrow" w:hAnsi="Arial Narrow" w:cs="Calibri"/>
                <w:color w:val="000000"/>
                <w:sz w:val="18"/>
                <w:szCs w:val="18"/>
              </w:rPr>
              <w:t>-8,6</w:t>
            </w:r>
          </w:p>
        </w:tc>
      </w:tr>
      <w:tr w:rsidR="00266BA4" w:rsidRPr="001D642A" w:rsidTr="00747E56">
        <w:trPr>
          <w:trHeight w:val="255"/>
          <w:jc w:val="center"/>
        </w:trPr>
        <w:tc>
          <w:tcPr>
            <w:tcW w:w="3262" w:type="dxa"/>
            <w:vMerge w:val="restart"/>
            <w:tcBorders>
              <w:top w:val="nil"/>
              <w:left w:val="nil"/>
              <w:bottom w:val="single" w:sz="4" w:space="0" w:color="000000"/>
              <w:right w:val="nil"/>
            </w:tcBorders>
            <w:shd w:val="clear" w:color="000000" w:fill="FFFFFF"/>
            <w:vAlign w:val="center"/>
            <w:hideMark/>
          </w:tcPr>
          <w:p w:rsidR="00266BA4" w:rsidRPr="001D642A" w:rsidRDefault="00266BA4" w:rsidP="00747E56">
            <w:pPr>
              <w:widowControl/>
              <w:overflowPunct/>
              <w:autoSpaceDE/>
              <w:autoSpaceDN/>
              <w:adjustRightInd/>
              <w:spacing w:before="0" w:after="0"/>
              <w:rPr>
                <w:rFonts w:ascii="Arial Narrow" w:hAnsi="Arial Narrow"/>
                <w:color w:val="000000"/>
                <w:kern w:val="0"/>
                <w:sz w:val="18"/>
                <w:szCs w:val="18"/>
              </w:rPr>
            </w:pPr>
            <w:r w:rsidRPr="001D642A">
              <w:rPr>
                <w:rFonts w:ascii="Arial Narrow" w:hAnsi="Arial Narrow"/>
                <w:color w:val="000000"/>
                <w:kern w:val="0"/>
                <w:sz w:val="18"/>
                <w:szCs w:val="18"/>
              </w:rPr>
              <w:t>Beni industriali non energetici</w:t>
            </w:r>
          </w:p>
        </w:tc>
        <w:tc>
          <w:tcPr>
            <w:tcW w:w="286" w:type="dxa"/>
            <w:tcBorders>
              <w:top w:val="nil"/>
              <w:left w:val="nil"/>
              <w:bottom w:val="single" w:sz="4" w:space="0" w:color="auto"/>
              <w:right w:val="nil"/>
            </w:tcBorders>
            <w:shd w:val="clear" w:color="000000" w:fill="FFFFFF"/>
            <w:noWrap/>
            <w:vAlign w:val="center"/>
            <w:hideMark/>
          </w:tcPr>
          <w:p w:rsidR="00266BA4" w:rsidRPr="001D642A" w:rsidRDefault="00266BA4" w:rsidP="00747E56">
            <w:pPr>
              <w:widowControl/>
              <w:overflowPunct/>
              <w:autoSpaceDE/>
              <w:autoSpaceDN/>
              <w:adjustRightInd/>
              <w:spacing w:before="0" w:after="0"/>
              <w:jc w:val="center"/>
              <w:rPr>
                <w:rFonts w:ascii="Arial Narrow" w:hAnsi="Arial Narrow"/>
                <w:b/>
                <w:bCs/>
                <w:color w:val="000000"/>
                <w:kern w:val="0"/>
                <w:sz w:val="17"/>
                <w:szCs w:val="17"/>
              </w:rPr>
            </w:pPr>
            <w:r w:rsidRPr="001D642A">
              <w:rPr>
                <w:rFonts w:ascii="Arial Narrow" w:hAnsi="Arial Narrow"/>
                <w:b/>
                <w:bCs/>
                <w:color w:val="000000"/>
                <w:kern w:val="0"/>
                <w:sz w:val="17"/>
                <w:szCs w:val="17"/>
              </w:rPr>
              <w:t>P</w:t>
            </w:r>
          </w:p>
        </w:tc>
        <w:tc>
          <w:tcPr>
            <w:tcW w:w="500" w:type="dxa"/>
            <w:tcBorders>
              <w:top w:val="nil"/>
              <w:left w:val="nil"/>
              <w:bottom w:val="single" w:sz="4" w:space="0" w:color="auto"/>
              <w:right w:val="nil"/>
            </w:tcBorders>
            <w:shd w:val="clear" w:color="000000" w:fill="FFFFFF"/>
            <w:vAlign w:val="center"/>
          </w:tcPr>
          <w:p w:rsidR="00266BA4" w:rsidRPr="00A00F0F" w:rsidRDefault="00266BA4" w:rsidP="00747E56">
            <w:pPr>
              <w:spacing w:before="0" w:after="0"/>
              <w:jc w:val="right"/>
              <w:rPr>
                <w:rFonts w:ascii="Arial Narrow" w:hAnsi="Arial Narrow" w:cs="Calibri"/>
                <w:color w:val="000000"/>
                <w:sz w:val="18"/>
                <w:szCs w:val="18"/>
              </w:rPr>
            </w:pPr>
            <w:r w:rsidRPr="00A00F0F">
              <w:rPr>
                <w:rFonts w:ascii="Arial Narrow" w:hAnsi="Arial Narrow" w:cs="Calibri"/>
                <w:color w:val="000000"/>
                <w:sz w:val="18"/>
                <w:szCs w:val="18"/>
              </w:rPr>
              <w:t>5</w:t>
            </w:r>
            <w:r>
              <w:rPr>
                <w:rFonts w:ascii="Arial Narrow" w:hAnsi="Arial Narrow" w:cs="Calibri"/>
                <w:color w:val="000000"/>
                <w:sz w:val="18"/>
                <w:szCs w:val="18"/>
              </w:rPr>
              <w:t>,</w:t>
            </w:r>
            <w:r w:rsidRPr="00A00F0F">
              <w:rPr>
                <w:rFonts w:ascii="Arial Narrow" w:hAnsi="Arial Narrow" w:cs="Calibri"/>
                <w:color w:val="000000"/>
                <w:sz w:val="18"/>
                <w:szCs w:val="18"/>
              </w:rPr>
              <w:t>0</w:t>
            </w:r>
          </w:p>
        </w:tc>
        <w:tc>
          <w:tcPr>
            <w:tcW w:w="500" w:type="dxa"/>
            <w:tcBorders>
              <w:top w:val="nil"/>
              <w:left w:val="nil"/>
              <w:bottom w:val="single" w:sz="4" w:space="0" w:color="auto"/>
              <w:right w:val="nil"/>
            </w:tcBorders>
            <w:shd w:val="clear" w:color="000000" w:fill="FFFFFF"/>
            <w:vAlign w:val="center"/>
          </w:tcPr>
          <w:p w:rsidR="00266BA4" w:rsidRPr="00A00F0F" w:rsidRDefault="00266BA4" w:rsidP="00747E56">
            <w:pPr>
              <w:spacing w:before="0" w:after="0"/>
              <w:jc w:val="right"/>
              <w:rPr>
                <w:rFonts w:ascii="Arial Narrow" w:hAnsi="Arial Narrow" w:cs="Calibri"/>
                <w:color w:val="000000"/>
                <w:sz w:val="18"/>
                <w:szCs w:val="18"/>
              </w:rPr>
            </w:pPr>
            <w:r w:rsidRPr="00A00F0F">
              <w:rPr>
                <w:rFonts w:ascii="Arial Narrow" w:hAnsi="Arial Narrow" w:cs="Calibri"/>
                <w:color w:val="000000"/>
                <w:sz w:val="18"/>
                <w:szCs w:val="18"/>
              </w:rPr>
              <w:t>5</w:t>
            </w:r>
            <w:r>
              <w:rPr>
                <w:rFonts w:ascii="Arial Narrow" w:hAnsi="Arial Narrow" w:cs="Calibri"/>
                <w:color w:val="000000"/>
                <w:sz w:val="18"/>
                <w:szCs w:val="18"/>
              </w:rPr>
              <w:t>,3</w:t>
            </w:r>
          </w:p>
        </w:tc>
        <w:tc>
          <w:tcPr>
            <w:tcW w:w="500" w:type="dxa"/>
            <w:tcBorders>
              <w:top w:val="nil"/>
              <w:left w:val="nil"/>
              <w:bottom w:val="single" w:sz="4" w:space="0" w:color="auto"/>
              <w:right w:val="nil"/>
            </w:tcBorders>
            <w:shd w:val="clear" w:color="000000" w:fill="FFFFFF"/>
            <w:vAlign w:val="center"/>
          </w:tcPr>
          <w:p w:rsidR="00266BA4" w:rsidRPr="00A00F0F" w:rsidRDefault="00266BA4" w:rsidP="00747E56">
            <w:pPr>
              <w:spacing w:before="0" w:after="0"/>
              <w:jc w:val="right"/>
              <w:rPr>
                <w:rFonts w:ascii="Arial Narrow" w:hAnsi="Arial Narrow" w:cs="Calibri"/>
                <w:color w:val="000000"/>
                <w:sz w:val="18"/>
                <w:szCs w:val="18"/>
              </w:rPr>
            </w:pPr>
            <w:r>
              <w:rPr>
                <w:rFonts w:ascii="Arial Narrow" w:hAnsi="Arial Narrow" w:cs="Calibri"/>
                <w:color w:val="000000"/>
                <w:sz w:val="18"/>
                <w:szCs w:val="18"/>
              </w:rPr>
              <w:t>4,4</w:t>
            </w:r>
          </w:p>
        </w:tc>
        <w:tc>
          <w:tcPr>
            <w:tcW w:w="501" w:type="dxa"/>
            <w:tcBorders>
              <w:top w:val="nil"/>
              <w:left w:val="nil"/>
              <w:bottom w:val="single" w:sz="4" w:space="0" w:color="auto"/>
              <w:right w:val="nil"/>
            </w:tcBorders>
            <w:shd w:val="clear" w:color="000000" w:fill="FFFFFF"/>
            <w:vAlign w:val="center"/>
          </w:tcPr>
          <w:p w:rsidR="00266BA4" w:rsidRDefault="00266BA4" w:rsidP="00747E56">
            <w:pPr>
              <w:spacing w:before="0" w:after="0"/>
              <w:jc w:val="right"/>
              <w:rPr>
                <w:rFonts w:ascii="Arial Narrow" w:hAnsi="Arial Narrow" w:cs="Calibri"/>
                <w:color w:val="000000"/>
                <w:sz w:val="18"/>
                <w:szCs w:val="18"/>
              </w:rPr>
            </w:pPr>
            <w:r>
              <w:rPr>
                <w:rFonts w:ascii="Arial Narrow" w:hAnsi="Arial Narrow" w:cs="Calibri"/>
                <w:color w:val="000000"/>
                <w:sz w:val="18"/>
                <w:szCs w:val="18"/>
              </w:rPr>
              <w:t>4,0</w:t>
            </w:r>
          </w:p>
        </w:tc>
        <w:tc>
          <w:tcPr>
            <w:tcW w:w="501" w:type="dxa"/>
            <w:tcBorders>
              <w:top w:val="nil"/>
              <w:left w:val="nil"/>
              <w:bottom w:val="single" w:sz="4" w:space="0" w:color="auto"/>
              <w:right w:val="nil"/>
            </w:tcBorders>
            <w:shd w:val="clear" w:color="000000" w:fill="FFFFFF"/>
            <w:vAlign w:val="center"/>
          </w:tcPr>
          <w:p w:rsidR="00266BA4" w:rsidRDefault="00266BA4" w:rsidP="00747E56">
            <w:pPr>
              <w:spacing w:before="0" w:after="0"/>
              <w:jc w:val="right"/>
              <w:rPr>
                <w:rFonts w:ascii="Arial Narrow" w:hAnsi="Arial Narrow" w:cs="Calibri"/>
                <w:color w:val="000000"/>
                <w:sz w:val="18"/>
                <w:szCs w:val="18"/>
              </w:rPr>
            </w:pPr>
            <w:r>
              <w:rPr>
                <w:rFonts w:ascii="Arial Narrow" w:hAnsi="Arial Narrow" w:cs="Calibri"/>
                <w:color w:val="000000"/>
                <w:sz w:val="18"/>
                <w:szCs w:val="18"/>
              </w:rPr>
              <w:t>3,4</w:t>
            </w:r>
          </w:p>
        </w:tc>
        <w:tc>
          <w:tcPr>
            <w:tcW w:w="501" w:type="dxa"/>
            <w:tcBorders>
              <w:top w:val="nil"/>
              <w:left w:val="nil"/>
              <w:bottom w:val="single" w:sz="4" w:space="0" w:color="auto"/>
              <w:right w:val="nil"/>
            </w:tcBorders>
            <w:shd w:val="clear" w:color="000000" w:fill="FFFFFF"/>
            <w:vAlign w:val="center"/>
          </w:tcPr>
          <w:p w:rsidR="00266BA4" w:rsidRDefault="00266BA4" w:rsidP="00747E56">
            <w:pPr>
              <w:spacing w:before="0" w:after="0"/>
              <w:jc w:val="right"/>
              <w:rPr>
                <w:rFonts w:ascii="Arial Narrow" w:hAnsi="Arial Narrow" w:cs="Calibri"/>
                <w:color w:val="000000"/>
                <w:sz w:val="18"/>
                <w:szCs w:val="18"/>
              </w:rPr>
            </w:pPr>
            <w:r>
              <w:rPr>
                <w:rFonts w:ascii="Arial Narrow" w:hAnsi="Arial Narrow" w:cs="Calibri"/>
                <w:color w:val="000000"/>
                <w:sz w:val="18"/>
                <w:szCs w:val="18"/>
              </w:rPr>
              <w:t>2,7</w:t>
            </w:r>
          </w:p>
        </w:tc>
        <w:tc>
          <w:tcPr>
            <w:tcW w:w="501" w:type="dxa"/>
            <w:tcBorders>
              <w:top w:val="nil"/>
              <w:left w:val="nil"/>
              <w:bottom w:val="single" w:sz="4" w:space="0" w:color="auto"/>
              <w:right w:val="nil"/>
            </w:tcBorders>
            <w:shd w:val="clear" w:color="000000" w:fill="FFFFFF"/>
            <w:vAlign w:val="center"/>
          </w:tcPr>
          <w:p w:rsidR="00266BA4" w:rsidRDefault="00266BA4" w:rsidP="00747E56">
            <w:pPr>
              <w:spacing w:before="0" w:after="0"/>
              <w:jc w:val="right"/>
              <w:rPr>
                <w:rFonts w:ascii="Arial Narrow" w:hAnsi="Arial Narrow" w:cs="Calibri"/>
                <w:color w:val="000000"/>
                <w:sz w:val="18"/>
                <w:szCs w:val="18"/>
              </w:rPr>
            </w:pPr>
            <w:r>
              <w:rPr>
                <w:rFonts w:ascii="Arial Narrow" w:hAnsi="Arial Narrow" w:cs="Calibri"/>
                <w:color w:val="000000"/>
                <w:sz w:val="18"/>
                <w:szCs w:val="18"/>
              </w:rPr>
              <w:t>2,2</w:t>
            </w:r>
          </w:p>
        </w:tc>
        <w:tc>
          <w:tcPr>
            <w:tcW w:w="501" w:type="dxa"/>
            <w:tcBorders>
              <w:top w:val="nil"/>
              <w:left w:val="nil"/>
              <w:bottom w:val="single" w:sz="4" w:space="0" w:color="auto"/>
              <w:right w:val="nil"/>
            </w:tcBorders>
            <w:shd w:val="clear" w:color="000000" w:fill="FFFFFF"/>
            <w:vAlign w:val="center"/>
          </w:tcPr>
          <w:p w:rsidR="00266BA4" w:rsidRDefault="00266BA4" w:rsidP="00747E56">
            <w:pPr>
              <w:spacing w:before="0" w:after="0"/>
              <w:jc w:val="right"/>
              <w:rPr>
                <w:rFonts w:ascii="Arial Narrow" w:hAnsi="Arial Narrow" w:cs="Calibri"/>
                <w:color w:val="000000"/>
                <w:sz w:val="18"/>
                <w:szCs w:val="18"/>
              </w:rPr>
            </w:pPr>
            <w:r>
              <w:rPr>
                <w:rFonts w:ascii="Arial Narrow" w:hAnsi="Arial Narrow" w:cs="Calibri"/>
                <w:color w:val="000000"/>
                <w:sz w:val="18"/>
                <w:szCs w:val="18"/>
              </w:rPr>
              <w:t>1,8</w:t>
            </w:r>
          </w:p>
        </w:tc>
        <w:tc>
          <w:tcPr>
            <w:tcW w:w="501" w:type="dxa"/>
            <w:tcBorders>
              <w:top w:val="nil"/>
              <w:left w:val="nil"/>
              <w:bottom w:val="single" w:sz="4" w:space="0" w:color="auto"/>
              <w:right w:val="nil"/>
            </w:tcBorders>
            <w:shd w:val="clear" w:color="000000" w:fill="FFFFFF"/>
            <w:vAlign w:val="center"/>
          </w:tcPr>
          <w:p w:rsidR="00266BA4" w:rsidRDefault="00266BA4" w:rsidP="00747E56">
            <w:pPr>
              <w:spacing w:before="0" w:after="0"/>
              <w:jc w:val="right"/>
              <w:rPr>
                <w:rFonts w:ascii="Arial Narrow" w:hAnsi="Arial Narrow" w:cs="Calibri"/>
                <w:color w:val="000000"/>
                <w:sz w:val="18"/>
                <w:szCs w:val="18"/>
              </w:rPr>
            </w:pPr>
            <w:r>
              <w:rPr>
                <w:rFonts w:ascii="Arial Narrow" w:hAnsi="Arial Narrow" w:cs="Calibri"/>
                <w:color w:val="000000"/>
                <w:sz w:val="18"/>
                <w:szCs w:val="18"/>
              </w:rPr>
              <w:t>1,3</w:t>
            </w:r>
          </w:p>
        </w:tc>
        <w:tc>
          <w:tcPr>
            <w:tcW w:w="552" w:type="dxa"/>
            <w:tcBorders>
              <w:top w:val="nil"/>
              <w:left w:val="nil"/>
              <w:bottom w:val="single" w:sz="4" w:space="0" w:color="auto"/>
              <w:right w:val="nil"/>
            </w:tcBorders>
            <w:shd w:val="clear" w:color="000000" w:fill="FFFFFF"/>
            <w:vAlign w:val="center"/>
          </w:tcPr>
          <w:p w:rsidR="00266BA4" w:rsidRDefault="00266BA4" w:rsidP="00747E56">
            <w:pPr>
              <w:spacing w:before="0" w:after="0"/>
              <w:jc w:val="right"/>
              <w:rPr>
                <w:rFonts w:ascii="Arial Narrow" w:hAnsi="Arial Narrow" w:cs="Calibri"/>
                <w:color w:val="000000"/>
                <w:sz w:val="18"/>
                <w:szCs w:val="18"/>
              </w:rPr>
            </w:pPr>
            <w:r>
              <w:rPr>
                <w:rFonts w:ascii="Arial Narrow" w:hAnsi="Arial Narrow" w:cs="Calibri"/>
                <w:color w:val="000000"/>
                <w:sz w:val="18"/>
                <w:szCs w:val="18"/>
              </w:rPr>
              <w:t>0,8</w:t>
            </w:r>
          </w:p>
        </w:tc>
        <w:tc>
          <w:tcPr>
            <w:tcW w:w="552" w:type="dxa"/>
            <w:tcBorders>
              <w:top w:val="nil"/>
              <w:left w:val="nil"/>
              <w:bottom w:val="single" w:sz="4" w:space="0" w:color="auto"/>
              <w:right w:val="nil"/>
            </w:tcBorders>
            <w:shd w:val="clear" w:color="000000" w:fill="FFFFFF"/>
            <w:vAlign w:val="center"/>
          </w:tcPr>
          <w:p w:rsidR="00266BA4" w:rsidRDefault="00266BA4" w:rsidP="00747E56">
            <w:pPr>
              <w:spacing w:before="0" w:after="0"/>
              <w:jc w:val="right"/>
              <w:rPr>
                <w:rFonts w:ascii="Arial Narrow" w:hAnsi="Arial Narrow" w:cs="Calibri"/>
                <w:color w:val="000000"/>
                <w:sz w:val="18"/>
                <w:szCs w:val="18"/>
              </w:rPr>
            </w:pPr>
            <w:r>
              <w:rPr>
                <w:rFonts w:ascii="Arial Narrow" w:hAnsi="Arial Narrow" w:cs="Calibri"/>
                <w:color w:val="000000"/>
                <w:sz w:val="18"/>
                <w:szCs w:val="18"/>
              </w:rPr>
              <w:t>1,0</w:t>
            </w:r>
          </w:p>
        </w:tc>
        <w:tc>
          <w:tcPr>
            <w:tcW w:w="525" w:type="dxa"/>
            <w:tcBorders>
              <w:top w:val="nil"/>
              <w:left w:val="nil"/>
              <w:bottom w:val="single" w:sz="4" w:space="0" w:color="auto"/>
              <w:right w:val="nil"/>
            </w:tcBorders>
            <w:shd w:val="clear" w:color="000000" w:fill="FFFFFF"/>
            <w:vAlign w:val="center"/>
          </w:tcPr>
          <w:p w:rsidR="00266BA4" w:rsidRDefault="00266BA4" w:rsidP="00747E56">
            <w:pPr>
              <w:spacing w:before="0" w:after="0"/>
              <w:jc w:val="right"/>
              <w:rPr>
                <w:rFonts w:ascii="Arial Narrow" w:hAnsi="Arial Narrow" w:cs="Calibri"/>
                <w:color w:val="000000"/>
                <w:sz w:val="18"/>
                <w:szCs w:val="18"/>
              </w:rPr>
            </w:pPr>
            <w:r>
              <w:rPr>
                <w:rFonts w:ascii="Arial Narrow" w:hAnsi="Arial Narrow" w:cs="Calibri"/>
                <w:color w:val="000000"/>
                <w:sz w:val="18"/>
                <w:szCs w:val="18"/>
              </w:rPr>
              <w:t>0,7</w:t>
            </w:r>
          </w:p>
        </w:tc>
        <w:tc>
          <w:tcPr>
            <w:tcW w:w="522" w:type="dxa"/>
            <w:tcBorders>
              <w:top w:val="nil"/>
              <w:left w:val="nil"/>
              <w:bottom w:val="single" w:sz="4" w:space="0" w:color="auto"/>
              <w:right w:val="nil"/>
            </w:tcBorders>
            <w:shd w:val="clear" w:color="000000" w:fill="FFFFFF"/>
            <w:vAlign w:val="center"/>
          </w:tcPr>
          <w:p w:rsidR="00266BA4" w:rsidRDefault="00266BA4" w:rsidP="00747E56">
            <w:pPr>
              <w:spacing w:before="0" w:after="0"/>
              <w:jc w:val="right"/>
              <w:rPr>
                <w:rFonts w:ascii="Arial Narrow" w:hAnsi="Arial Narrow" w:cs="Calibri"/>
                <w:color w:val="000000"/>
                <w:sz w:val="18"/>
                <w:szCs w:val="18"/>
              </w:rPr>
            </w:pPr>
            <w:r>
              <w:rPr>
                <w:rFonts w:ascii="Arial Narrow" w:hAnsi="Arial Narrow" w:cs="Calibri"/>
                <w:color w:val="000000"/>
                <w:sz w:val="18"/>
                <w:szCs w:val="18"/>
              </w:rPr>
              <w:t>0,5</w:t>
            </w:r>
          </w:p>
        </w:tc>
      </w:tr>
      <w:tr w:rsidR="00266BA4" w:rsidRPr="001D642A" w:rsidTr="00747E56">
        <w:trPr>
          <w:trHeight w:val="255"/>
          <w:jc w:val="center"/>
        </w:trPr>
        <w:tc>
          <w:tcPr>
            <w:tcW w:w="3262" w:type="dxa"/>
            <w:vMerge/>
            <w:tcBorders>
              <w:top w:val="nil"/>
              <w:left w:val="nil"/>
              <w:bottom w:val="single" w:sz="4" w:space="0" w:color="000000"/>
              <w:right w:val="nil"/>
            </w:tcBorders>
            <w:vAlign w:val="center"/>
            <w:hideMark/>
          </w:tcPr>
          <w:p w:rsidR="00266BA4" w:rsidRPr="001D642A" w:rsidRDefault="00266BA4" w:rsidP="00747E56">
            <w:pPr>
              <w:widowControl/>
              <w:overflowPunct/>
              <w:autoSpaceDE/>
              <w:autoSpaceDN/>
              <w:adjustRightInd/>
              <w:spacing w:before="0" w:after="0"/>
              <w:rPr>
                <w:rFonts w:ascii="Arial Narrow" w:hAnsi="Arial Narrow"/>
                <w:color w:val="000000"/>
                <w:kern w:val="0"/>
                <w:sz w:val="18"/>
                <w:szCs w:val="18"/>
              </w:rPr>
            </w:pPr>
          </w:p>
        </w:tc>
        <w:tc>
          <w:tcPr>
            <w:tcW w:w="286" w:type="dxa"/>
            <w:tcBorders>
              <w:top w:val="nil"/>
              <w:left w:val="nil"/>
              <w:bottom w:val="single" w:sz="4" w:space="0" w:color="auto"/>
              <w:right w:val="nil"/>
            </w:tcBorders>
            <w:shd w:val="clear" w:color="000000" w:fill="FFFFFF"/>
            <w:noWrap/>
            <w:vAlign w:val="center"/>
            <w:hideMark/>
          </w:tcPr>
          <w:p w:rsidR="00266BA4" w:rsidRPr="001D642A" w:rsidRDefault="00266BA4" w:rsidP="00747E56">
            <w:pPr>
              <w:widowControl/>
              <w:overflowPunct/>
              <w:autoSpaceDE/>
              <w:autoSpaceDN/>
              <w:adjustRightInd/>
              <w:spacing w:before="0" w:after="0"/>
              <w:jc w:val="center"/>
              <w:rPr>
                <w:rFonts w:ascii="Arial Narrow" w:hAnsi="Arial Narrow"/>
                <w:b/>
                <w:bCs/>
                <w:color w:val="000000"/>
                <w:kern w:val="0"/>
                <w:sz w:val="17"/>
                <w:szCs w:val="17"/>
              </w:rPr>
            </w:pPr>
            <w:r w:rsidRPr="001D642A">
              <w:rPr>
                <w:rFonts w:ascii="Arial Narrow" w:hAnsi="Arial Narrow"/>
                <w:b/>
                <w:bCs/>
                <w:color w:val="000000"/>
                <w:kern w:val="0"/>
                <w:sz w:val="17"/>
                <w:szCs w:val="17"/>
              </w:rPr>
              <w:t>D</w:t>
            </w:r>
          </w:p>
        </w:tc>
        <w:tc>
          <w:tcPr>
            <w:tcW w:w="500" w:type="dxa"/>
            <w:tcBorders>
              <w:top w:val="nil"/>
              <w:left w:val="nil"/>
              <w:bottom w:val="single" w:sz="4" w:space="0" w:color="auto"/>
              <w:right w:val="nil"/>
            </w:tcBorders>
            <w:shd w:val="clear" w:color="000000" w:fill="FFFFFF"/>
            <w:vAlign w:val="center"/>
          </w:tcPr>
          <w:p w:rsidR="00266BA4" w:rsidRPr="00A00F0F" w:rsidRDefault="00266BA4" w:rsidP="00747E56">
            <w:pPr>
              <w:spacing w:before="0" w:after="0"/>
              <w:jc w:val="right"/>
              <w:rPr>
                <w:rFonts w:ascii="Arial Narrow" w:hAnsi="Arial Narrow" w:cs="Calibri"/>
                <w:color w:val="000000"/>
                <w:sz w:val="18"/>
                <w:szCs w:val="18"/>
              </w:rPr>
            </w:pPr>
            <w:r w:rsidRPr="00A00F0F">
              <w:rPr>
                <w:rFonts w:ascii="Arial Narrow" w:hAnsi="Arial Narrow" w:cs="Calibri"/>
                <w:color w:val="000000"/>
                <w:sz w:val="18"/>
                <w:szCs w:val="18"/>
              </w:rPr>
              <w:t>5</w:t>
            </w:r>
            <w:r>
              <w:rPr>
                <w:rFonts w:ascii="Arial Narrow" w:hAnsi="Arial Narrow" w:cs="Calibri"/>
                <w:color w:val="000000"/>
                <w:sz w:val="18"/>
                <w:szCs w:val="18"/>
              </w:rPr>
              <w:t>,</w:t>
            </w:r>
            <w:r w:rsidRPr="00A00F0F">
              <w:rPr>
                <w:rFonts w:ascii="Arial Narrow" w:hAnsi="Arial Narrow" w:cs="Calibri"/>
                <w:color w:val="000000"/>
                <w:sz w:val="18"/>
                <w:szCs w:val="18"/>
              </w:rPr>
              <w:t>0</w:t>
            </w:r>
          </w:p>
        </w:tc>
        <w:tc>
          <w:tcPr>
            <w:tcW w:w="500" w:type="dxa"/>
            <w:tcBorders>
              <w:top w:val="nil"/>
              <w:left w:val="nil"/>
              <w:bottom w:val="single" w:sz="4" w:space="0" w:color="auto"/>
              <w:right w:val="nil"/>
            </w:tcBorders>
            <w:shd w:val="clear" w:color="000000" w:fill="FFFFFF"/>
            <w:vAlign w:val="center"/>
          </w:tcPr>
          <w:p w:rsidR="00266BA4" w:rsidRPr="00A00F0F" w:rsidRDefault="00266BA4" w:rsidP="00747E56">
            <w:pPr>
              <w:spacing w:before="0" w:after="0"/>
              <w:jc w:val="right"/>
              <w:rPr>
                <w:rFonts w:ascii="Arial Narrow" w:hAnsi="Arial Narrow" w:cs="Calibri"/>
                <w:color w:val="000000"/>
                <w:sz w:val="18"/>
                <w:szCs w:val="18"/>
              </w:rPr>
            </w:pPr>
            <w:r w:rsidRPr="00A00F0F">
              <w:rPr>
                <w:rFonts w:ascii="Arial Narrow" w:hAnsi="Arial Narrow" w:cs="Calibri"/>
                <w:color w:val="000000"/>
                <w:sz w:val="18"/>
                <w:szCs w:val="18"/>
              </w:rPr>
              <w:t>5</w:t>
            </w:r>
            <w:r>
              <w:rPr>
                <w:rFonts w:ascii="Arial Narrow" w:hAnsi="Arial Narrow" w:cs="Calibri"/>
                <w:color w:val="000000"/>
                <w:sz w:val="18"/>
                <w:szCs w:val="18"/>
              </w:rPr>
              <w:t>,2</w:t>
            </w:r>
          </w:p>
        </w:tc>
        <w:tc>
          <w:tcPr>
            <w:tcW w:w="500" w:type="dxa"/>
            <w:tcBorders>
              <w:top w:val="nil"/>
              <w:left w:val="nil"/>
              <w:bottom w:val="single" w:sz="4" w:space="0" w:color="auto"/>
              <w:right w:val="nil"/>
            </w:tcBorders>
            <w:shd w:val="clear" w:color="000000" w:fill="FFFFFF"/>
            <w:vAlign w:val="center"/>
          </w:tcPr>
          <w:p w:rsidR="00266BA4" w:rsidRPr="00A00F0F" w:rsidRDefault="00266BA4" w:rsidP="00747E56">
            <w:pPr>
              <w:spacing w:before="0" w:after="0"/>
              <w:jc w:val="right"/>
              <w:rPr>
                <w:rFonts w:ascii="Arial Narrow" w:hAnsi="Arial Narrow" w:cs="Calibri"/>
                <w:color w:val="000000"/>
                <w:sz w:val="18"/>
                <w:szCs w:val="18"/>
              </w:rPr>
            </w:pPr>
            <w:r>
              <w:rPr>
                <w:rFonts w:ascii="Arial Narrow" w:hAnsi="Arial Narrow" w:cs="Calibri"/>
                <w:color w:val="000000"/>
                <w:sz w:val="18"/>
                <w:szCs w:val="18"/>
              </w:rPr>
              <w:t>4,3</w:t>
            </w:r>
          </w:p>
        </w:tc>
        <w:tc>
          <w:tcPr>
            <w:tcW w:w="501" w:type="dxa"/>
            <w:tcBorders>
              <w:top w:val="nil"/>
              <w:left w:val="nil"/>
              <w:bottom w:val="single" w:sz="4" w:space="0" w:color="auto"/>
              <w:right w:val="nil"/>
            </w:tcBorders>
            <w:shd w:val="clear" w:color="000000" w:fill="FFFFFF"/>
            <w:vAlign w:val="center"/>
          </w:tcPr>
          <w:p w:rsidR="00266BA4" w:rsidRDefault="00266BA4" w:rsidP="00747E56">
            <w:pPr>
              <w:spacing w:before="0" w:after="0"/>
              <w:jc w:val="right"/>
              <w:rPr>
                <w:rFonts w:ascii="Arial Narrow" w:hAnsi="Arial Narrow" w:cs="Calibri"/>
                <w:color w:val="000000"/>
                <w:sz w:val="18"/>
                <w:szCs w:val="18"/>
              </w:rPr>
            </w:pPr>
            <w:r>
              <w:rPr>
                <w:rFonts w:ascii="Arial Narrow" w:hAnsi="Arial Narrow" w:cs="Calibri"/>
                <w:color w:val="000000"/>
                <w:sz w:val="18"/>
                <w:szCs w:val="18"/>
              </w:rPr>
              <w:t>3,9</w:t>
            </w:r>
          </w:p>
        </w:tc>
        <w:tc>
          <w:tcPr>
            <w:tcW w:w="501" w:type="dxa"/>
            <w:tcBorders>
              <w:top w:val="nil"/>
              <w:left w:val="nil"/>
              <w:bottom w:val="single" w:sz="4" w:space="0" w:color="auto"/>
              <w:right w:val="nil"/>
            </w:tcBorders>
            <w:shd w:val="clear" w:color="000000" w:fill="FFFFFF"/>
            <w:vAlign w:val="center"/>
          </w:tcPr>
          <w:p w:rsidR="00266BA4" w:rsidRDefault="00266BA4" w:rsidP="00747E56">
            <w:pPr>
              <w:spacing w:before="0" w:after="0"/>
              <w:jc w:val="right"/>
              <w:rPr>
                <w:rFonts w:ascii="Arial Narrow" w:hAnsi="Arial Narrow" w:cs="Calibri"/>
                <w:color w:val="000000"/>
                <w:sz w:val="18"/>
                <w:szCs w:val="18"/>
              </w:rPr>
            </w:pPr>
            <w:r>
              <w:rPr>
                <w:rFonts w:ascii="Arial Narrow" w:hAnsi="Arial Narrow" w:cs="Calibri"/>
                <w:color w:val="000000"/>
                <w:sz w:val="18"/>
                <w:szCs w:val="18"/>
              </w:rPr>
              <w:t>3,2</w:t>
            </w:r>
          </w:p>
        </w:tc>
        <w:tc>
          <w:tcPr>
            <w:tcW w:w="501" w:type="dxa"/>
            <w:tcBorders>
              <w:top w:val="nil"/>
              <w:left w:val="nil"/>
              <w:bottom w:val="single" w:sz="4" w:space="0" w:color="auto"/>
              <w:right w:val="nil"/>
            </w:tcBorders>
            <w:shd w:val="clear" w:color="000000" w:fill="FFFFFF"/>
            <w:vAlign w:val="center"/>
          </w:tcPr>
          <w:p w:rsidR="00266BA4" w:rsidRDefault="00266BA4" w:rsidP="00747E56">
            <w:pPr>
              <w:spacing w:before="0" w:after="0"/>
              <w:jc w:val="right"/>
              <w:rPr>
                <w:rFonts w:ascii="Arial Narrow" w:hAnsi="Arial Narrow" w:cs="Calibri"/>
                <w:color w:val="000000"/>
                <w:sz w:val="18"/>
                <w:szCs w:val="18"/>
              </w:rPr>
            </w:pPr>
            <w:r>
              <w:rPr>
                <w:rFonts w:ascii="Arial Narrow" w:hAnsi="Arial Narrow" w:cs="Calibri"/>
                <w:color w:val="000000"/>
                <w:sz w:val="18"/>
                <w:szCs w:val="18"/>
              </w:rPr>
              <w:t>2,5</w:t>
            </w:r>
          </w:p>
        </w:tc>
        <w:tc>
          <w:tcPr>
            <w:tcW w:w="501" w:type="dxa"/>
            <w:tcBorders>
              <w:top w:val="nil"/>
              <w:left w:val="nil"/>
              <w:bottom w:val="single" w:sz="4" w:space="0" w:color="auto"/>
              <w:right w:val="nil"/>
            </w:tcBorders>
            <w:shd w:val="clear" w:color="000000" w:fill="FFFFFF"/>
            <w:vAlign w:val="center"/>
          </w:tcPr>
          <w:p w:rsidR="00266BA4" w:rsidRDefault="00266BA4" w:rsidP="00747E56">
            <w:pPr>
              <w:spacing w:before="0" w:after="0"/>
              <w:jc w:val="right"/>
              <w:rPr>
                <w:rFonts w:ascii="Arial Narrow" w:hAnsi="Arial Narrow" w:cs="Calibri"/>
                <w:color w:val="000000"/>
                <w:sz w:val="18"/>
                <w:szCs w:val="18"/>
              </w:rPr>
            </w:pPr>
            <w:r>
              <w:rPr>
                <w:rFonts w:ascii="Arial Narrow" w:hAnsi="Arial Narrow" w:cs="Calibri"/>
                <w:color w:val="000000"/>
                <w:sz w:val="18"/>
                <w:szCs w:val="18"/>
              </w:rPr>
              <w:t>2,2</w:t>
            </w:r>
          </w:p>
        </w:tc>
        <w:tc>
          <w:tcPr>
            <w:tcW w:w="501" w:type="dxa"/>
            <w:tcBorders>
              <w:top w:val="nil"/>
              <w:left w:val="nil"/>
              <w:bottom w:val="single" w:sz="4" w:space="0" w:color="auto"/>
              <w:right w:val="nil"/>
            </w:tcBorders>
            <w:shd w:val="clear" w:color="000000" w:fill="FFFFFF"/>
            <w:vAlign w:val="center"/>
          </w:tcPr>
          <w:p w:rsidR="00266BA4" w:rsidRDefault="00266BA4" w:rsidP="00747E56">
            <w:pPr>
              <w:spacing w:before="0" w:after="0"/>
              <w:jc w:val="right"/>
              <w:rPr>
                <w:rFonts w:ascii="Arial Narrow" w:hAnsi="Arial Narrow" w:cs="Calibri"/>
                <w:color w:val="000000"/>
                <w:sz w:val="18"/>
                <w:szCs w:val="18"/>
              </w:rPr>
            </w:pPr>
            <w:r>
              <w:rPr>
                <w:rFonts w:ascii="Arial Narrow" w:hAnsi="Arial Narrow" w:cs="Calibri"/>
                <w:color w:val="000000"/>
                <w:sz w:val="18"/>
                <w:szCs w:val="18"/>
              </w:rPr>
              <w:t>1,8</w:t>
            </w:r>
          </w:p>
        </w:tc>
        <w:tc>
          <w:tcPr>
            <w:tcW w:w="501" w:type="dxa"/>
            <w:tcBorders>
              <w:top w:val="nil"/>
              <w:left w:val="nil"/>
              <w:bottom w:val="single" w:sz="4" w:space="0" w:color="auto"/>
              <w:right w:val="nil"/>
            </w:tcBorders>
            <w:shd w:val="clear" w:color="000000" w:fill="FFFFFF"/>
            <w:vAlign w:val="center"/>
          </w:tcPr>
          <w:p w:rsidR="00266BA4" w:rsidRDefault="00266BA4" w:rsidP="00747E56">
            <w:pPr>
              <w:spacing w:before="0" w:after="0"/>
              <w:jc w:val="right"/>
              <w:rPr>
                <w:rFonts w:ascii="Arial Narrow" w:hAnsi="Arial Narrow" w:cs="Calibri"/>
                <w:color w:val="000000"/>
                <w:sz w:val="18"/>
                <w:szCs w:val="18"/>
              </w:rPr>
            </w:pPr>
            <w:r>
              <w:rPr>
                <w:rFonts w:ascii="Arial Narrow" w:hAnsi="Arial Narrow" w:cs="Calibri"/>
                <w:color w:val="000000"/>
                <w:sz w:val="18"/>
                <w:szCs w:val="18"/>
              </w:rPr>
              <w:t>1,2</w:t>
            </w:r>
          </w:p>
        </w:tc>
        <w:tc>
          <w:tcPr>
            <w:tcW w:w="552" w:type="dxa"/>
            <w:tcBorders>
              <w:top w:val="nil"/>
              <w:left w:val="nil"/>
              <w:bottom w:val="single" w:sz="4" w:space="0" w:color="auto"/>
              <w:right w:val="nil"/>
            </w:tcBorders>
            <w:shd w:val="clear" w:color="000000" w:fill="FFFFFF"/>
            <w:vAlign w:val="center"/>
          </w:tcPr>
          <w:p w:rsidR="00266BA4" w:rsidRDefault="00266BA4" w:rsidP="00747E56">
            <w:pPr>
              <w:spacing w:before="0" w:after="0"/>
              <w:jc w:val="right"/>
              <w:rPr>
                <w:rFonts w:ascii="Arial Narrow" w:hAnsi="Arial Narrow" w:cs="Calibri"/>
                <w:color w:val="000000"/>
                <w:sz w:val="18"/>
                <w:szCs w:val="18"/>
              </w:rPr>
            </w:pPr>
            <w:r>
              <w:rPr>
                <w:rFonts w:ascii="Arial Narrow" w:hAnsi="Arial Narrow" w:cs="Calibri"/>
                <w:color w:val="000000"/>
                <w:sz w:val="18"/>
                <w:szCs w:val="18"/>
              </w:rPr>
              <w:t>0,7</w:t>
            </w:r>
          </w:p>
        </w:tc>
        <w:tc>
          <w:tcPr>
            <w:tcW w:w="552" w:type="dxa"/>
            <w:tcBorders>
              <w:top w:val="nil"/>
              <w:left w:val="nil"/>
              <w:bottom w:val="single" w:sz="4" w:space="0" w:color="auto"/>
              <w:right w:val="nil"/>
            </w:tcBorders>
            <w:shd w:val="clear" w:color="000000" w:fill="FFFFFF"/>
            <w:vAlign w:val="center"/>
          </w:tcPr>
          <w:p w:rsidR="00266BA4" w:rsidRDefault="00266BA4" w:rsidP="00747E56">
            <w:pPr>
              <w:spacing w:before="0" w:after="0"/>
              <w:jc w:val="right"/>
              <w:rPr>
                <w:rFonts w:ascii="Arial Narrow" w:hAnsi="Arial Narrow" w:cs="Calibri"/>
                <w:color w:val="000000"/>
                <w:sz w:val="18"/>
                <w:szCs w:val="18"/>
              </w:rPr>
            </w:pPr>
            <w:r>
              <w:rPr>
                <w:rFonts w:ascii="Arial Narrow" w:hAnsi="Arial Narrow" w:cs="Calibri"/>
                <w:color w:val="000000"/>
                <w:sz w:val="18"/>
                <w:szCs w:val="18"/>
              </w:rPr>
              <w:t>0,9</w:t>
            </w:r>
          </w:p>
        </w:tc>
        <w:tc>
          <w:tcPr>
            <w:tcW w:w="525" w:type="dxa"/>
            <w:tcBorders>
              <w:top w:val="nil"/>
              <w:left w:val="nil"/>
              <w:bottom w:val="single" w:sz="4" w:space="0" w:color="auto"/>
              <w:right w:val="nil"/>
            </w:tcBorders>
            <w:shd w:val="clear" w:color="000000" w:fill="FFFFFF"/>
            <w:vAlign w:val="center"/>
          </w:tcPr>
          <w:p w:rsidR="00266BA4" w:rsidRDefault="00266BA4" w:rsidP="00747E56">
            <w:pPr>
              <w:spacing w:before="0" w:after="0"/>
              <w:jc w:val="right"/>
              <w:rPr>
                <w:rFonts w:ascii="Arial Narrow" w:hAnsi="Arial Narrow" w:cs="Calibri"/>
                <w:color w:val="000000"/>
                <w:sz w:val="18"/>
                <w:szCs w:val="18"/>
              </w:rPr>
            </w:pPr>
            <w:r>
              <w:rPr>
                <w:rFonts w:ascii="Arial Narrow" w:hAnsi="Arial Narrow" w:cs="Calibri"/>
                <w:color w:val="000000"/>
                <w:sz w:val="18"/>
                <w:szCs w:val="18"/>
              </w:rPr>
              <w:t>0,7</w:t>
            </w:r>
          </w:p>
        </w:tc>
        <w:tc>
          <w:tcPr>
            <w:tcW w:w="522" w:type="dxa"/>
            <w:tcBorders>
              <w:top w:val="nil"/>
              <w:left w:val="nil"/>
              <w:bottom w:val="single" w:sz="4" w:space="0" w:color="auto"/>
              <w:right w:val="nil"/>
            </w:tcBorders>
            <w:shd w:val="clear" w:color="000000" w:fill="FFFFFF"/>
            <w:vAlign w:val="center"/>
          </w:tcPr>
          <w:p w:rsidR="00266BA4" w:rsidRDefault="00266BA4" w:rsidP="00747E56">
            <w:pPr>
              <w:spacing w:before="0" w:after="0"/>
              <w:jc w:val="right"/>
              <w:rPr>
                <w:rFonts w:ascii="Arial Narrow" w:hAnsi="Arial Narrow" w:cs="Calibri"/>
                <w:color w:val="000000"/>
                <w:sz w:val="18"/>
                <w:szCs w:val="18"/>
              </w:rPr>
            </w:pPr>
            <w:r>
              <w:rPr>
                <w:rFonts w:ascii="Arial Narrow" w:hAnsi="Arial Narrow" w:cs="Calibri"/>
                <w:color w:val="000000"/>
                <w:sz w:val="18"/>
                <w:szCs w:val="18"/>
              </w:rPr>
              <w:t>0,5</w:t>
            </w:r>
          </w:p>
        </w:tc>
      </w:tr>
      <w:tr w:rsidR="00266BA4" w:rsidRPr="001D642A" w:rsidTr="00747E56">
        <w:trPr>
          <w:trHeight w:val="255"/>
          <w:jc w:val="center"/>
        </w:trPr>
        <w:tc>
          <w:tcPr>
            <w:tcW w:w="3262" w:type="dxa"/>
            <w:vMerge w:val="restart"/>
            <w:tcBorders>
              <w:top w:val="nil"/>
              <w:left w:val="nil"/>
              <w:bottom w:val="single" w:sz="4" w:space="0" w:color="000000"/>
              <w:right w:val="nil"/>
            </w:tcBorders>
            <w:shd w:val="clear" w:color="000000" w:fill="FFFFFF"/>
            <w:vAlign w:val="center"/>
            <w:hideMark/>
          </w:tcPr>
          <w:p w:rsidR="00266BA4" w:rsidRPr="001D642A" w:rsidRDefault="00266BA4" w:rsidP="00747E56">
            <w:pPr>
              <w:widowControl/>
              <w:overflowPunct/>
              <w:autoSpaceDE/>
              <w:autoSpaceDN/>
              <w:adjustRightInd/>
              <w:spacing w:before="0" w:after="0"/>
              <w:rPr>
                <w:rFonts w:ascii="Arial Narrow" w:hAnsi="Arial Narrow"/>
                <w:color w:val="000000"/>
                <w:kern w:val="0"/>
                <w:sz w:val="18"/>
                <w:szCs w:val="18"/>
              </w:rPr>
            </w:pPr>
            <w:r w:rsidRPr="001D642A">
              <w:rPr>
                <w:rFonts w:ascii="Arial Narrow" w:hAnsi="Arial Narrow"/>
                <w:color w:val="000000"/>
                <w:kern w:val="0"/>
                <w:sz w:val="18"/>
                <w:szCs w:val="18"/>
              </w:rPr>
              <w:t>Servizi</w:t>
            </w:r>
          </w:p>
        </w:tc>
        <w:tc>
          <w:tcPr>
            <w:tcW w:w="286" w:type="dxa"/>
            <w:tcBorders>
              <w:top w:val="nil"/>
              <w:left w:val="nil"/>
              <w:bottom w:val="single" w:sz="4" w:space="0" w:color="auto"/>
              <w:right w:val="nil"/>
            </w:tcBorders>
            <w:shd w:val="clear" w:color="000000" w:fill="FFFFFF"/>
            <w:noWrap/>
            <w:vAlign w:val="center"/>
            <w:hideMark/>
          </w:tcPr>
          <w:p w:rsidR="00266BA4" w:rsidRPr="001D642A" w:rsidRDefault="00266BA4" w:rsidP="00747E56">
            <w:pPr>
              <w:widowControl/>
              <w:overflowPunct/>
              <w:autoSpaceDE/>
              <w:autoSpaceDN/>
              <w:adjustRightInd/>
              <w:spacing w:before="0" w:after="0"/>
              <w:jc w:val="center"/>
              <w:rPr>
                <w:rFonts w:ascii="Arial Narrow" w:hAnsi="Arial Narrow"/>
                <w:b/>
                <w:bCs/>
                <w:color w:val="000000"/>
                <w:kern w:val="0"/>
                <w:sz w:val="17"/>
                <w:szCs w:val="17"/>
              </w:rPr>
            </w:pPr>
            <w:r w:rsidRPr="001D642A">
              <w:rPr>
                <w:rFonts w:ascii="Arial Narrow" w:hAnsi="Arial Narrow"/>
                <w:b/>
                <w:bCs/>
                <w:color w:val="000000"/>
                <w:kern w:val="0"/>
                <w:sz w:val="17"/>
                <w:szCs w:val="17"/>
              </w:rPr>
              <w:t>P</w:t>
            </w:r>
          </w:p>
        </w:tc>
        <w:tc>
          <w:tcPr>
            <w:tcW w:w="500" w:type="dxa"/>
            <w:tcBorders>
              <w:top w:val="nil"/>
              <w:left w:val="nil"/>
              <w:bottom w:val="single" w:sz="4" w:space="0" w:color="auto"/>
              <w:right w:val="nil"/>
            </w:tcBorders>
            <w:shd w:val="clear" w:color="000000" w:fill="FFFFFF"/>
            <w:vAlign w:val="center"/>
          </w:tcPr>
          <w:p w:rsidR="00266BA4" w:rsidRPr="00A00F0F" w:rsidRDefault="00266BA4" w:rsidP="00747E56">
            <w:pPr>
              <w:spacing w:before="0" w:after="0"/>
              <w:jc w:val="right"/>
              <w:rPr>
                <w:rFonts w:ascii="Arial Narrow" w:hAnsi="Arial Narrow" w:cs="Calibri"/>
                <w:color w:val="000000"/>
                <w:sz w:val="18"/>
                <w:szCs w:val="18"/>
              </w:rPr>
            </w:pPr>
            <w:r w:rsidRPr="00A00F0F">
              <w:rPr>
                <w:rFonts w:ascii="Arial Narrow" w:hAnsi="Arial Narrow" w:cs="Calibri"/>
                <w:color w:val="000000"/>
                <w:sz w:val="18"/>
                <w:szCs w:val="18"/>
              </w:rPr>
              <w:t>4</w:t>
            </w:r>
            <w:r>
              <w:rPr>
                <w:rFonts w:ascii="Arial Narrow" w:hAnsi="Arial Narrow" w:cs="Calibri"/>
                <w:color w:val="000000"/>
                <w:sz w:val="18"/>
                <w:szCs w:val="18"/>
              </w:rPr>
              <w:t>,</w:t>
            </w:r>
            <w:r w:rsidRPr="00A00F0F">
              <w:rPr>
                <w:rFonts w:ascii="Arial Narrow" w:hAnsi="Arial Narrow" w:cs="Calibri"/>
                <w:color w:val="000000"/>
                <w:sz w:val="18"/>
                <w:szCs w:val="18"/>
              </w:rPr>
              <w:t>8</w:t>
            </w:r>
          </w:p>
        </w:tc>
        <w:tc>
          <w:tcPr>
            <w:tcW w:w="500" w:type="dxa"/>
            <w:tcBorders>
              <w:top w:val="nil"/>
              <w:left w:val="nil"/>
              <w:bottom w:val="single" w:sz="4" w:space="0" w:color="auto"/>
              <w:right w:val="nil"/>
            </w:tcBorders>
            <w:shd w:val="clear" w:color="000000" w:fill="FFFFFF"/>
            <w:vAlign w:val="center"/>
          </w:tcPr>
          <w:p w:rsidR="00266BA4" w:rsidRPr="00A00F0F" w:rsidRDefault="00266BA4" w:rsidP="00747E56">
            <w:pPr>
              <w:spacing w:before="0" w:after="0"/>
              <w:jc w:val="right"/>
              <w:rPr>
                <w:rFonts w:ascii="Arial Narrow" w:hAnsi="Arial Narrow" w:cs="Calibri"/>
                <w:color w:val="000000"/>
                <w:sz w:val="18"/>
                <w:szCs w:val="18"/>
              </w:rPr>
            </w:pPr>
            <w:r w:rsidRPr="00A00F0F">
              <w:rPr>
                <w:rFonts w:ascii="Arial Narrow" w:hAnsi="Arial Narrow" w:cs="Calibri"/>
                <w:color w:val="000000"/>
                <w:sz w:val="18"/>
                <w:szCs w:val="18"/>
              </w:rPr>
              <w:t>4</w:t>
            </w:r>
            <w:r>
              <w:rPr>
                <w:rFonts w:ascii="Arial Narrow" w:hAnsi="Arial Narrow" w:cs="Calibri"/>
                <w:color w:val="000000"/>
                <w:sz w:val="18"/>
                <w:szCs w:val="18"/>
              </w:rPr>
              <w:t>,6</w:t>
            </w:r>
          </w:p>
        </w:tc>
        <w:tc>
          <w:tcPr>
            <w:tcW w:w="500" w:type="dxa"/>
            <w:tcBorders>
              <w:top w:val="nil"/>
              <w:left w:val="nil"/>
              <w:bottom w:val="single" w:sz="4" w:space="0" w:color="auto"/>
              <w:right w:val="nil"/>
            </w:tcBorders>
            <w:shd w:val="clear" w:color="000000" w:fill="FFFFFF"/>
            <w:vAlign w:val="center"/>
          </w:tcPr>
          <w:p w:rsidR="00266BA4" w:rsidRPr="00A00F0F" w:rsidRDefault="00266BA4" w:rsidP="00747E56">
            <w:pPr>
              <w:spacing w:before="0" w:after="0"/>
              <w:jc w:val="right"/>
              <w:rPr>
                <w:rFonts w:ascii="Arial Narrow" w:hAnsi="Arial Narrow" w:cs="Calibri"/>
                <w:color w:val="000000"/>
                <w:sz w:val="18"/>
                <w:szCs w:val="18"/>
              </w:rPr>
            </w:pPr>
            <w:r>
              <w:rPr>
                <w:rFonts w:ascii="Arial Narrow" w:hAnsi="Arial Narrow" w:cs="Calibri"/>
                <w:color w:val="000000"/>
                <w:sz w:val="18"/>
                <w:szCs w:val="18"/>
              </w:rPr>
              <w:t>4,0</w:t>
            </w:r>
          </w:p>
        </w:tc>
        <w:tc>
          <w:tcPr>
            <w:tcW w:w="501" w:type="dxa"/>
            <w:tcBorders>
              <w:top w:val="nil"/>
              <w:left w:val="nil"/>
              <w:bottom w:val="single" w:sz="4" w:space="0" w:color="auto"/>
              <w:right w:val="nil"/>
            </w:tcBorders>
            <w:shd w:val="clear" w:color="000000" w:fill="FFFFFF"/>
            <w:vAlign w:val="center"/>
          </w:tcPr>
          <w:p w:rsidR="00266BA4" w:rsidRDefault="00266BA4" w:rsidP="00747E56">
            <w:pPr>
              <w:spacing w:before="0" w:after="0"/>
              <w:jc w:val="right"/>
              <w:rPr>
                <w:rFonts w:ascii="Arial Narrow" w:hAnsi="Arial Narrow" w:cs="Calibri"/>
                <w:color w:val="000000"/>
                <w:sz w:val="18"/>
                <w:szCs w:val="18"/>
              </w:rPr>
            </w:pPr>
            <w:r>
              <w:rPr>
                <w:rFonts w:ascii="Arial Narrow" w:hAnsi="Arial Narrow" w:cs="Calibri"/>
                <w:color w:val="000000"/>
                <w:sz w:val="18"/>
                <w:szCs w:val="18"/>
              </w:rPr>
              <w:t>4,4</w:t>
            </w:r>
          </w:p>
        </w:tc>
        <w:tc>
          <w:tcPr>
            <w:tcW w:w="501" w:type="dxa"/>
            <w:tcBorders>
              <w:top w:val="nil"/>
              <w:left w:val="nil"/>
              <w:bottom w:val="single" w:sz="4" w:space="0" w:color="auto"/>
              <w:right w:val="nil"/>
            </w:tcBorders>
            <w:shd w:val="clear" w:color="000000" w:fill="FFFFFF"/>
            <w:vAlign w:val="center"/>
          </w:tcPr>
          <w:p w:rsidR="00266BA4" w:rsidRDefault="00266BA4" w:rsidP="00747E56">
            <w:pPr>
              <w:spacing w:before="0" w:after="0"/>
              <w:jc w:val="right"/>
              <w:rPr>
                <w:rFonts w:ascii="Arial Narrow" w:hAnsi="Arial Narrow" w:cs="Calibri"/>
                <w:color w:val="000000"/>
                <w:sz w:val="18"/>
                <w:szCs w:val="18"/>
              </w:rPr>
            </w:pPr>
            <w:r>
              <w:rPr>
                <w:rFonts w:ascii="Arial Narrow" w:hAnsi="Arial Narrow" w:cs="Calibri"/>
                <w:color w:val="000000"/>
                <w:sz w:val="18"/>
                <w:szCs w:val="18"/>
              </w:rPr>
              <w:t>4,4</w:t>
            </w:r>
          </w:p>
        </w:tc>
        <w:tc>
          <w:tcPr>
            <w:tcW w:w="501" w:type="dxa"/>
            <w:tcBorders>
              <w:top w:val="nil"/>
              <w:left w:val="nil"/>
              <w:bottom w:val="single" w:sz="4" w:space="0" w:color="auto"/>
              <w:right w:val="nil"/>
            </w:tcBorders>
            <w:shd w:val="clear" w:color="000000" w:fill="FFFFFF"/>
            <w:vAlign w:val="center"/>
          </w:tcPr>
          <w:p w:rsidR="00266BA4" w:rsidRDefault="00266BA4" w:rsidP="00747E56">
            <w:pPr>
              <w:spacing w:before="0" w:after="0"/>
              <w:jc w:val="right"/>
              <w:rPr>
                <w:rFonts w:ascii="Arial Narrow" w:hAnsi="Arial Narrow" w:cs="Calibri"/>
                <w:color w:val="000000"/>
                <w:sz w:val="18"/>
                <w:szCs w:val="18"/>
              </w:rPr>
            </w:pPr>
            <w:r>
              <w:rPr>
                <w:rFonts w:ascii="Arial Narrow" w:hAnsi="Arial Narrow" w:cs="Calibri"/>
                <w:color w:val="000000"/>
                <w:sz w:val="18"/>
                <w:szCs w:val="18"/>
              </w:rPr>
              <w:t>3,8</w:t>
            </w:r>
          </w:p>
        </w:tc>
        <w:tc>
          <w:tcPr>
            <w:tcW w:w="501" w:type="dxa"/>
            <w:tcBorders>
              <w:top w:val="nil"/>
              <w:left w:val="nil"/>
              <w:bottom w:val="single" w:sz="4" w:space="0" w:color="auto"/>
              <w:right w:val="nil"/>
            </w:tcBorders>
            <w:shd w:val="clear" w:color="000000" w:fill="FFFFFF"/>
            <w:vAlign w:val="center"/>
          </w:tcPr>
          <w:p w:rsidR="00266BA4" w:rsidRDefault="00266BA4" w:rsidP="00747E56">
            <w:pPr>
              <w:spacing w:before="0" w:after="0"/>
              <w:jc w:val="right"/>
              <w:rPr>
                <w:rFonts w:ascii="Arial Narrow" w:hAnsi="Arial Narrow" w:cs="Calibri"/>
                <w:color w:val="000000"/>
                <w:sz w:val="18"/>
                <w:szCs w:val="18"/>
              </w:rPr>
            </w:pPr>
            <w:r>
              <w:rPr>
                <w:rFonts w:ascii="Arial Narrow" w:hAnsi="Arial Narrow" w:cs="Calibri"/>
                <w:color w:val="000000"/>
                <w:sz w:val="18"/>
                <w:szCs w:val="18"/>
              </w:rPr>
              <w:t>3,5</w:t>
            </w:r>
          </w:p>
        </w:tc>
        <w:tc>
          <w:tcPr>
            <w:tcW w:w="501" w:type="dxa"/>
            <w:tcBorders>
              <w:top w:val="nil"/>
              <w:left w:val="nil"/>
              <w:bottom w:val="single" w:sz="4" w:space="0" w:color="auto"/>
              <w:right w:val="nil"/>
            </w:tcBorders>
            <w:shd w:val="clear" w:color="000000" w:fill="FFFFFF"/>
            <w:vAlign w:val="center"/>
          </w:tcPr>
          <w:p w:rsidR="00266BA4" w:rsidRDefault="00266BA4" w:rsidP="00747E56">
            <w:pPr>
              <w:spacing w:before="0" w:after="0"/>
              <w:jc w:val="right"/>
              <w:rPr>
                <w:rFonts w:ascii="Arial Narrow" w:hAnsi="Arial Narrow" w:cs="Calibri"/>
                <w:color w:val="000000"/>
                <w:sz w:val="18"/>
                <w:szCs w:val="18"/>
              </w:rPr>
            </w:pPr>
            <w:r>
              <w:rPr>
                <w:rFonts w:ascii="Arial Narrow" w:hAnsi="Arial Narrow" w:cs="Calibri"/>
                <w:color w:val="000000"/>
                <w:sz w:val="18"/>
                <w:szCs w:val="18"/>
              </w:rPr>
              <w:t>3,2</w:t>
            </w:r>
          </w:p>
        </w:tc>
        <w:tc>
          <w:tcPr>
            <w:tcW w:w="501" w:type="dxa"/>
            <w:tcBorders>
              <w:top w:val="nil"/>
              <w:left w:val="nil"/>
              <w:bottom w:val="single" w:sz="4" w:space="0" w:color="auto"/>
              <w:right w:val="nil"/>
            </w:tcBorders>
            <w:shd w:val="clear" w:color="000000" w:fill="FFFFFF"/>
            <w:vAlign w:val="center"/>
          </w:tcPr>
          <w:p w:rsidR="00266BA4" w:rsidRDefault="00266BA4" w:rsidP="00747E56">
            <w:pPr>
              <w:spacing w:before="0" w:after="0"/>
              <w:jc w:val="right"/>
              <w:rPr>
                <w:rFonts w:ascii="Arial Narrow" w:hAnsi="Arial Narrow" w:cs="Calibri"/>
                <w:color w:val="000000"/>
                <w:sz w:val="18"/>
                <w:szCs w:val="18"/>
              </w:rPr>
            </w:pPr>
            <w:r>
              <w:rPr>
                <w:rFonts w:ascii="Arial Narrow" w:hAnsi="Arial Narrow" w:cs="Calibri"/>
                <w:color w:val="000000"/>
                <w:sz w:val="18"/>
                <w:szCs w:val="18"/>
              </w:rPr>
              <w:t>3,1</w:t>
            </w:r>
          </w:p>
        </w:tc>
        <w:tc>
          <w:tcPr>
            <w:tcW w:w="552" w:type="dxa"/>
            <w:tcBorders>
              <w:top w:val="nil"/>
              <w:left w:val="nil"/>
              <w:bottom w:val="single" w:sz="4" w:space="0" w:color="auto"/>
              <w:right w:val="nil"/>
            </w:tcBorders>
            <w:shd w:val="clear" w:color="000000" w:fill="FFFFFF"/>
            <w:vAlign w:val="center"/>
          </w:tcPr>
          <w:p w:rsidR="00266BA4" w:rsidRDefault="00266BA4" w:rsidP="00747E56">
            <w:pPr>
              <w:spacing w:before="0" w:after="0"/>
              <w:jc w:val="right"/>
              <w:rPr>
                <w:rFonts w:ascii="Arial Narrow" w:hAnsi="Arial Narrow" w:cs="Calibri"/>
                <w:color w:val="000000"/>
                <w:sz w:val="18"/>
                <w:szCs w:val="18"/>
              </w:rPr>
            </w:pPr>
            <w:r>
              <w:rPr>
                <w:rFonts w:ascii="Arial Narrow" w:hAnsi="Arial Narrow" w:cs="Calibri"/>
                <w:color w:val="000000"/>
                <w:sz w:val="18"/>
                <w:szCs w:val="18"/>
              </w:rPr>
              <w:t>3,3</w:t>
            </w:r>
          </w:p>
        </w:tc>
        <w:tc>
          <w:tcPr>
            <w:tcW w:w="552" w:type="dxa"/>
            <w:tcBorders>
              <w:top w:val="nil"/>
              <w:left w:val="nil"/>
              <w:bottom w:val="single" w:sz="4" w:space="0" w:color="auto"/>
              <w:right w:val="nil"/>
            </w:tcBorders>
            <w:shd w:val="clear" w:color="000000" w:fill="FFFFFF"/>
            <w:vAlign w:val="center"/>
          </w:tcPr>
          <w:p w:rsidR="00266BA4" w:rsidRDefault="00266BA4" w:rsidP="00747E56">
            <w:pPr>
              <w:spacing w:before="0" w:after="0"/>
              <w:jc w:val="right"/>
              <w:rPr>
                <w:rFonts w:ascii="Arial Narrow" w:hAnsi="Arial Narrow" w:cs="Calibri"/>
                <w:color w:val="000000"/>
                <w:sz w:val="18"/>
                <w:szCs w:val="18"/>
              </w:rPr>
            </w:pPr>
            <w:r>
              <w:rPr>
                <w:rFonts w:ascii="Arial Narrow" w:hAnsi="Arial Narrow" w:cs="Calibri"/>
                <w:color w:val="000000"/>
                <w:sz w:val="18"/>
                <w:szCs w:val="18"/>
              </w:rPr>
              <w:t>3,1</w:t>
            </w:r>
          </w:p>
        </w:tc>
        <w:tc>
          <w:tcPr>
            <w:tcW w:w="525" w:type="dxa"/>
            <w:tcBorders>
              <w:top w:val="nil"/>
              <w:left w:val="nil"/>
              <w:bottom w:val="single" w:sz="4" w:space="0" w:color="auto"/>
              <w:right w:val="nil"/>
            </w:tcBorders>
            <w:shd w:val="clear" w:color="000000" w:fill="FFFFFF"/>
            <w:vAlign w:val="center"/>
          </w:tcPr>
          <w:p w:rsidR="00266BA4" w:rsidRDefault="00266BA4" w:rsidP="00747E56">
            <w:pPr>
              <w:spacing w:before="0" w:after="0"/>
              <w:jc w:val="right"/>
              <w:rPr>
                <w:rFonts w:ascii="Arial Narrow" w:hAnsi="Arial Narrow" w:cs="Calibri"/>
                <w:color w:val="000000"/>
                <w:sz w:val="18"/>
                <w:szCs w:val="18"/>
              </w:rPr>
            </w:pPr>
            <w:r>
              <w:rPr>
                <w:rFonts w:ascii="Arial Narrow" w:hAnsi="Arial Narrow" w:cs="Calibri"/>
                <w:color w:val="000000"/>
                <w:sz w:val="18"/>
                <w:szCs w:val="18"/>
              </w:rPr>
              <w:t>3,0</w:t>
            </w:r>
          </w:p>
        </w:tc>
        <w:tc>
          <w:tcPr>
            <w:tcW w:w="522" w:type="dxa"/>
            <w:tcBorders>
              <w:top w:val="nil"/>
              <w:left w:val="nil"/>
              <w:bottom w:val="single" w:sz="4" w:space="0" w:color="auto"/>
              <w:right w:val="nil"/>
            </w:tcBorders>
            <w:shd w:val="clear" w:color="000000" w:fill="FFFFFF"/>
            <w:vAlign w:val="center"/>
          </w:tcPr>
          <w:p w:rsidR="00266BA4" w:rsidRDefault="00266BA4" w:rsidP="00747E56">
            <w:pPr>
              <w:spacing w:before="0" w:after="0"/>
              <w:jc w:val="right"/>
              <w:rPr>
                <w:rFonts w:ascii="Arial Narrow" w:hAnsi="Arial Narrow" w:cs="Calibri"/>
                <w:color w:val="000000"/>
                <w:sz w:val="18"/>
                <w:szCs w:val="18"/>
              </w:rPr>
            </w:pPr>
            <w:r>
              <w:rPr>
                <w:rFonts w:ascii="Arial Narrow" w:hAnsi="Arial Narrow" w:cs="Calibri"/>
                <w:color w:val="000000"/>
                <w:sz w:val="18"/>
                <w:szCs w:val="18"/>
              </w:rPr>
              <w:t>3,1</w:t>
            </w:r>
          </w:p>
        </w:tc>
      </w:tr>
      <w:tr w:rsidR="00266BA4" w:rsidRPr="001D642A" w:rsidTr="00747E56">
        <w:trPr>
          <w:trHeight w:val="255"/>
          <w:jc w:val="center"/>
        </w:trPr>
        <w:tc>
          <w:tcPr>
            <w:tcW w:w="3262" w:type="dxa"/>
            <w:vMerge/>
            <w:tcBorders>
              <w:top w:val="nil"/>
              <w:left w:val="nil"/>
              <w:bottom w:val="single" w:sz="4" w:space="0" w:color="000000"/>
              <w:right w:val="nil"/>
            </w:tcBorders>
            <w:vAlign w:val="center"/>
            <w:hideMark/>
          </w:tcPr>
          <w:p w:rsidR="00266BA4" w:rsidRPr="001D642A" w:rsidRDefault="00266BA4" w:rsidP="00747E56">
            <w:pPr>
              <w:widowControl/>
              <w:overflowPunct/>
              <w:autoSpaceDE/>
              <w:autoSpaceDN/>
              <w:adjustRightInd/>
              <w:spacing w:before="0" w:after="0"/>
              <w:rPr>
                <w:rFonts w:ascii="Arial Narrow" w:hAnsi="Arial Narrow"/>
                <w:color w:val="000000"/>
                <w:kern w:val="0"/>
                <w:sz w:val="18"/>
                <w:szCs w:val="18"/>
              </w:rPr>
            </w:pPr>
          </w:p>
        </w:tc>
        <w:tc>
          <w:tcPr>
            <w:tcW w:w="286" w:type="dxa"/>
            <w:tcBorders>
              <w:top w:val="nil"/>
              <w:left w:val="nil"/>
              <w:bottom w:val="single" w:sz="4" w:space="0" w:color="auto"/>
              <w:right w:val="nil"/>
            </w:tcBorders>
            <w:shd w:val="clear" w:color="000000" w:fill="FFFFFF"/>
            <w:noWrap/>
            <w:vAlign w:val="center"/>
            <w:hideMark/>
          </w:tcPr>
          <w:p w:rsidR="00266BA4" w:rsidRPr="001D642A" w:rsidRDefault="00266BA4" w:rsidP="00747E56">
            <w:pPr>
              <w:widowControl/>
              <w:overflowPunct/>
              <w:autoSpaceDE/>
              <w:autoSpaceDN/>
              <w:adjustRightInd/>
              <w:spacing w:before="0" w:after="0"/>
              <w:jc w:val="center"/>
              <w:rPr>
                <w:rFonts w:ascii="Arial Narrow" w:hAnsi="Arial Narrow"/>
                <w:b/>
                <w:bCs/>
                <w:color w:val="000000"/>
                <w:kern w:val="0"/>
                <w:sz w:val="17"/>
                <w:szCs w:val="17"/>
              </w:rPr>
            </w:pPr>
            <w:r w:rsidRPr="001D642A">
              <w:rPr>
                <w:rFonts w:ascii="Arial Narrow" w:hAnsi="Arial Narrow"/>
                <w:b/>
                <w:bCs/>
                <w:color w:val="000000"/>
                <w:kern w:val="0"/>
                <w:sz w:val="17"/>
                <w:szCs w:val="17"/>
              </w:rPr>
              <w:t>D</w:t>
            </w:r>
          </w:p>
        </w:tc>
        <w:tc>
          <w:tcPr>
            <w:tcW w:w="500" w:type="dxa"/>
            <w:tcBorders>
              <w:top w:val="nil"/>
              <w:left w:val="nil"/>
              <w:bottom w:val="single" w:sz="4" w:space="0" w:color="auto"/>
              <w:right w:val="nil"/>
            </w:tcBorders>
            <w:shd w:val="clear" w:color="000000" w:fill="FFFFFF"/>
            <w:vAlign w:val="center"/>
          </w:tcPr>
          <w:p w:rsidR="00266BA4" w:rsidRPr="00A00F0F" w:rsidRDefault="00266BA4" w:rsidP="00747E56">
            <w:pPr>
              <w:spacing w:before="0" w:after="0"/>
              <w:jc w:val="right"/>
              <w:rPr>
                <w:rFonts w:ascii="Arial Narrow" w:hAnsi="Arial Narrow" w:cs="Calibri"/>
                <w:color w:val="000000"/>
                <w:sz w:val="18"/>
                <w:szCs w:val="18"/>
              </w:rPr>
            </w:pPr>
            <w:r w:rsidRPr="00A00F0F">
              <w:rPr>
                <w:rFonts w:ascii="Arial Narrow" w:hAnsi="Arial Narrow" w:cs="Calibri"/>
                <w:color w:val="000000"/>
                <w:sz w:val="18"/>
                <w:szCs w:val="18"/>
              </w:rPr>
              <w:t>5</w:t>
            </w:r>
            <w:r>
              <w:rPr>
                <w:rFonts w:ascii="Arial Narrow" w:hAnsi="Arial Narrow" w:cs="Calibri"/>
                <w:color w:val="000000"/>
                <w:sz w:val="18"/>
                <w:szCs w:val="18"/>
              </w:rPr>
              <w:t>,</w:t>
            </w:r>
            <w:r w:rsidRPr="00A00F0F">
              <w:rPr>
                <w:rFonts w:ascii="Arial Narrow" w:hAnsi="Arial Narrow" w:cs="Calibri"/>
                <w:color w:val="000000"/>
                <w:sz w:val="18"/>
                <w:szCs w:val="18"/>
              </w:rPr>
              <w:t>0</w:t>
            </w:r>
          </w:p>
        </w:tc>
        <w:tc>
          <w:tcPr>
            <w:tcW w:w="500" w:type="dxa"/>
            <w:tcBorders>
              <w:top w:val="nil"/>
              <w:left w:val="nil"/>
              <w:bottom w:val="single" w:sz="4" w:space="0" w:color="auto"/>
              <w:right w:val="nil"/>
            </w:tcBorders>
            <w:shd w:val="clear" w:color="000000" w:fill="FFFFFF"/>
            <w:vAlign w:val="center"/>
          </w:tcPr>
          <w:p w:rsidR="00266BA4" w:rsidRPr="00A00F0F" w:rsidRDefault="00266BA4" w:rsidP="00747E56">
            <w:pPr>
              <w:spacing w:before="0" w:after="0"/>
              <w:jc w:val="right"/>
              <w:rPr>
                <w:rFonts w:ascii="Arial Narrow" w:hAnsi="Arial Narrow" w:cs="Calibri"/>
                <w:color w:val="000000"/>
                <w:sz w:val="18"/>
                <w:szCs w:val="18"/>
              </w:rPr>
            </w:pPr>
            <w:r>
              <w:rPr>
                <w:rFonts w:ascii="Arial Narrow" w:hAnsi="Arial Narrow" w:cs="Calibri"/>
                <w:color w:val="000000"/>
                <w:sz w:val="18"/>
                <w:szCs w:val="18"/>
              </w:rPr>
              <w:t>4,6</w:t>
            </w:r>
          </w:p>
        </w:tc>
        <w:tc>
          <w:tcPr>
            <w:tcW w:w="500" w:type="dxa"/>
            <w:tcBorders>
              <w:top w:val="nil"/>
              <w:left w:val="nil"/>
              <w:bottom w:val="single" w:sz="4" w:space="0" w:color="auto"/>
              <w:right w:val="nil"/>
            </w:tcBorders>
            <w:shd w:val="clear" w:color="000000" w:fill="FFFFFF"/>
            <w:vAlign w:val="center"/>
          </w:tcPr>
          <w:p w:rsidR="00266BA4" w:rsidRPr="00A00F0F" w:rsidRDefault="00266BA4" w:rsidP="00747E56">
            <w:pPr>
              <w:spacing w:before="0" w:after="0"/>
              <w:jc w:val="right"/>
              <w:rPr>
                <w:rFonts w:ascii="Arial Narrow" w:hAnsi="Arial Narrow" w:cs="Calibri"/>
                <w:color w:val="000000"/>
                <w:sz w:val="18"/>
                <w:szCs w:val="18"/>
              </w:rPr>
            </w:pPr>
            <w:r>
              <w:rPr>
                <w:rFonts w:ascii="Arial Narrow" w:hAnsi="Arial Narrow" w:cs="Calibri"/>
                <w:color w:val="000000"/>
                <w:sz w:val="18"/>
                <w:szCs w:val="18"/>
              </w:rPr>
              <w:t>4,0</w:t>
            </w:r>
          </w:p>
        </w:tc>
        <w:tc>
          <w:tcPr>
            <w:tcW w:w="501" w:type="dxa"/>
            <w:tcBorders>
              <w:top w:val="nil"/>
              <w:left w:val="nil"/>
              <w:bottom w:val="single" w:sz="4" w:space="0" w:color="auto"/>
              <w:right w:val="nil"/>
            </w:tcBorders>
            <w:shd w:val="clear" w:color="000000" w:fill="FFFFFF"/>
            <w:vAlign w:val="center"/>
          </w:tcPr>
          <w:p w:rsidR="00266BA4" w:rsidRDefault="00266BA4" w:rsidP="00747E56">
            <w:pPr>
              <w:spacing w:before="0" w:after="0"/>
              <w:jc w:val="right"/>
              <w:rPr>
                <w:rFonts w:ascii="Arial Narrow" w:hAnsi="Arial Narrow" w:cs="Calibri"/>
                <w:color w:val="000000"/>
                <w:sz w:val="18"/>
                <w:szCs w:val="18"/>
              </w:rPr>
            </w:pPr>
            <w:r>
              <w:rPr>
                <w:rFonts w:ascii="Arial Narrow" w:hAnsi="Arial Narrow" w:cs="Calibri"/>
                <w:color w:val="000000"/>
                <w:sz w:val="18"/>
                <w:szCs w:val="18"/>
              </w:rPr>
              <w:t>4,4</w:t>
            </w:r>
          </w:p>
        </w:tc>
        <w:tc>
          <w:tcPr>
            <w:tcW w:w="501" w:type="dxa"/>
            <w:tcBorders>
              <w:top w:val="nil"/>
              <w:left w:val="nil"/>
              <w:bottom w:val="single" w:sz="4" w:space="0" w:color="auto"/>
              <w:right w:val="nil"/>
            </w:tcBorders>
            <w:shd w:val="clear" w:color="000000" w:fill="FFFFFF"/>
            <w:vAlign w:val="center"/>
          </w:tcPr>
          <w:p w:rsidR="00266BA4" w:rsidRDefault="00266BA4" w:rsidP="00747E56">
            <w:pPr>
              <w:spacing w:before="0" w:after="0"/>
              <w:jc w:val="right"/>
              <w:rPr>
                <w:rFonts w:ascii="Arial Narrow" w:hAnsi="Arial Narrow" w:cs="Calibri"/>
                <w:color w:val="000000"/>
                <w:sz w:val="18"/>
                <w:szCs w:val="18"/>
              </w:rPr>
            </w:pPr>
            <w:r>
              <w:rPr>
                <w:rFonts w:ascii="Arial Narrow" w:hAnsi="Arial Narrow" w:cs="Calibri"/>
                <w:color w:val="000000"/>
                <w:sz w:val="18"/>
                <w:szCs w:val="18"/>
              </w:rPr>
              <w:t>4,4</w:t>
            </w:r>
          </w:p>
        </w:tc>
        <w:tc>
          <w:tcPr>
            <w:tcW w:w="501" w:type="dxa"/>
            <w:tcBorders>
              <w:top w:val="nil"/>
              <w:left w:val="nil"/>
              <w:bottom w:val="single" w:sz="4" w:space="0" w:color="auto"/>
              <w:right w:val="nil"/>
            </w:tcBorders>
            <w:shd w:val="clear" w:color="000000" w:fill="FFFFFF"/>
            <w:vAlign w:val="center"/>
          </w:tcPr>
          <w:p w:rsidR="00266BA4" w:rsidRDefault="00266BA4" w:rsidP="00747E56">
            <w:pPr>
              <w:spacing w:before="0" w:after="0"/>
              <w:jc w:val="right"/>
              <w:rPr>
                <w:rFonts w:ascii="Arial Narrow" w:hAnsi="Arial Narrow" w:cs="Calibri"/>
                <w:color w:val="000000"/>
                <w:sz w:val="18"/>
                <w:szCs w:val="18"/>
              </w:rPr>
            </w:pPr>
            <w:r>
              <w:rPr>
                <w:rFonts w:ascii="Arial Narrow" w:hAnsi="Arial Narrow" w:cs="Calibri"/>
                <w:color w:val="000000"/>
                <w:sz w:val="18"/>
                <w:szCs w:val="18"/>
              </w:rPr>
              <w:t>3,8</w:t>
            </w:r>
          </w:p>
        </w:tc>
        <w:tc>
          <w:tcPr>
            <w:tcW w:w="501" w:type="dxa"/>
            <w:tcBorders>
              <w:top w:val="nil"/>
              <w:left w:val="nil"/>
              <w:bottom w:val="single" w:sz="4" w:space="0" w:color="auto"/>
              <w:right w:val="nil"/>
            </w:tcBorders>
            <w:shd w:val="clear" w:color="000000" w:fill="FFFFFF"/>
            <w:vAlign w:val="center"/>
          </w:tcPr>
          <w:p w:rsidR="00266BA4" w:rsidRDefault="00266BA4" w:rsidP="00747E56">
            <w:pPr>
              <w:spacing w:before="0" w:after="0"/>
              <w:jc w:val="right"/>
              <w:rPr>
                <w:rFonts w:ascii="Arial Narrow" w:hAnsi="Arial Narrow" w:cs="Calibri"/>
                <w:color w:val="000000"/>
                <w:sz w:val="18"/>
                <w:szCs w:val="18"/>
              </w:rPr>
            </w:pPr>
            <w:r>
              <w:rPr>
                <w:rFonts w:ascii="Arial Narrow" w:hAnsi="Arial Narrow" w:cs="Calibri"/>
                <w:color w:val="000000"/>
                <w:sz w:val="18"/>
                <w:szCs w:val="18"/>
              </w:rPr>
              <w:t>3,5</w:t>
            </w:r>
          </w:p>
        </w:tc>
        <w:tc>
          <w:tcPr>
            <w:tcW w:w="501" w:type="dxa"/>
            <w:tcBorders>
              <w:top w:val="nil"/>
              <w:left w:val="nil"/>
              <w:bottom w:val="single" w:sz="4" w:space="0" w:color="auto"/>
              <w:right w:val="nil"/>
            </w:tcBorders>
            <w:shd w:val="clear" w:color="000000" w:fill="FFFFFF"/>
            <w:vAlign w:val="center"/>
          </w:tcPr>
          <w:p w:rsidR="00266BA4" w:rsidRDefault="00266BA4" w:rsidP="00747E56">
            <w:pPr>
              <w:spacing w:before="0" w:after="0"/>
              <w:jc w:val="right"/>
              <w:rPr>
                <w:rFonts w:ascii="Arial Narrow" w:hAnsi="Arial Narrow" w:cs="Calibri"/>
                <w:color w:val="000000"/>
                <w:sz w:val="18"/>
                <w:szCs w:val="18"/>
              </w:rPr>
            </w:pPr>
            <w:r>
              <w:rPr>
                <w:rFonts w:ascii="Arial Narrow" w:hAnsi="Arial Narrow" w:cs="Calibri"/>
                <w:color w:val="000000"/>
                <w:sz w:val="18"/>
                <w:szCs w:val="18"/>
              </w:rPr>
              <w:t>3,2</w:t>
            </w:r>
          </w:p>
        </w:tc>
        <w:tc>
          <w:tcPr>
            <w:tcW w:w="501" w:type="dxa"/>
            <w:tcBorders>
              <w:top w:val="nil"/>
              <w:left w:val="nil"/>
              <w:bottom w:val="single" w:sz="4" w:space="0" w:color="auto"/>
              <w:right w:val="nil"/>
            </w:tcBorders>
            <w:shd w:val="clear" w:color="000000" w:fill="FFFFFF"/>
            <w:vAlign w:val="center"/>
          </w:tcPr>
          <w:p w:rsidR="00266BA4" w:rsidRDefault="00266BA4" w:rsidP="00747E56">
            <w:pPr>
              <w:spacing w:before="0" w:after="0"/>
              <w:jc w:val="right"/>
              <w:rPr>
                <w:rFonts w:ascii="Arial Narrow" w:hAnsi="Arial Narrow" w:cs="Calibri"/>
                <w:color w:val="000000"/>
                <w:sz w:val="18"/>
                <w:szCs w:val="18"/>
              </w:rPr>
            </w:pPr>
            <w:r>
              <w:rPr>
                <w:rFonts w:ascii="Arial Narrow" w:hAnsi="Arial Narrow" w:cs="Calibri"/>
                <w:color w:val="000000"/>
                <w:sz w:val="18"/>
                <w:szCs w:val="18"/>
              </w:rPr>
              <w:t>3,1</w:t>
            </w:r>
          </w:p>
        </w:tc>
        <w:tc>
          <w:tcPr>
            <w:tcW w:w="552" w:type="dxa"/>
            <w:tcBorders>
              <w:top w:val="nil"/>
              <w:left w:val="nil"/>
              <w:bottom w:val="single" w:sz="4" w:space="0" w:color="auto"/>
              <w:right w:val="nil"/>
            </w:tcBorders>
            <w:shd w:val="clear" w:color="000000" w:fill="FFFFFF"/>
            <w:vAlign w:val="center"/>
          </w:tcPr>
          <w:p w:rsidR="00266BA4" w:rsidRDefault="00266BA4" w:rsidP="00747E56">
            <w:pPr>
              <w:spacing w:before="0" w:after="0"/>
              <w:jc w:val="right"/>
              <w:rPr>
                <w:rFonts w:ascii="Arial Narrow" w:hAnsi="Arial Narrow" w:cs="Calibri"/>
                <w:color w:val="000000"/>
                <w:sz w:val="18"/>
                <w:szCs w:val="18"/>
              </w:rPr>
            </w:pPr>
            <w:r>
              <w:rPr>
                <w:rFonts w:ascii="Arial Narrow" w:hAnsi="Arial Narrow" w:cs="Calibri"/>
                <w:color w:val="000000"/>
                <w:sz w:val="18"/>
                <w:szCs w:val="18"/>
              </w:rPr>
              <w:t>3,3</w:t>
            </w:r>
          </w:p>
        </w:tc>
        <w:tc>
          <w:tcPr>
            <w:tcW w:w="552" w:type="dxa"/>
            <w:tcBorders>
              <w:top w:val="nil"/>
              <w:left w:val="nil"/>
              <w:bottom w:val="single" w:sz="4" w:space="0" w:color="auto"/>
              <w:right w:val="nil"/>
            </w:tcBorders>
            <w:shd w:val="clear" w:color="000000" w:fill="FFFFFF"/>
            <w:vAlign w:val="center"/>
          </w:tcPr>
          <w:p w:rsidR="00266BA4" w:rsidRDefault="00266BA4" w:rsidP="00747E56">
            <w:pPr>
              <w:spacing w:before="0" w:after="0"/>
              <w:jc w:val="right"/>
              <w:rPr>
                <w:rFonts w:ascii="Arial Narrow" w:hAnsi="Arial Narrow" w:cs="Calibri"/>
                <w:color w:val="000000"/>
                <w:sz w:val="18"/>
                <w:szCs w:val="18"/>
              </w:rPr>
            </w:pPr>
            <w:r>
              <w:rPr>
                <w:rFonts w:ascii="Arial Narrow" w:hAnsi="Arial Narrow" w:cs="Calibri"/>
                <w:color w:val="000000"/>
                <w:sz w:val="18"/>
                <w:szCs w:val="18"/>
              </w:rPr>
              <w:t>3,1</w:t>
            </w:r>
          </w:p>
        </w:tc>
        <w:tc>
          <w:tcPr>
            <w:tcW w:w="525" w:type="dxa"/>
            <w:tcBorders>
              <w:top w:val="nil"/>
              <w:left w:val="nil"/>
              <w:bottom w:val="single" w:sz="4" w:space="0" w:color="auto"/>
              <w:right w:val="nil"/>
            </w:tcBorders>
            <w:shd w:val="clear" w:color="000000" w:fill="FFFFFF"/>
            <w:vAlign w:val="center"/>
          </w:tcPr>
          <w:p w:rsidR="00266BA4" w:rsidRDefault="00266BA4" w:rsidP="00747E56">
            <w:pPr>
              <w:spacing w:before="0" w:after="0"/>
              <w:jc w:val="right"/>
              <w:rPr>
                <w:rFonts w:ascii="Arial Narrow" w:hAnsi="Arial Narrow" w:cs="Calibri"/>
                <w:color w:val="000000"/>
                <w:sz w:val="18"/>
                <w:szCs w:val="18"/>
              </w:rPr>
            </w:pPr>
            <w:r>
              <w:rPr>
                <w:rFonts w:ascii="Arial Narrow" w:hAnsi="Arial Narrow" w:cs="Calibri"/>
                <w:color w:val="000000"/>
                <w:sz w:val="18"/>
                <w:szCs w:val="18"/>
              </w:rPr>
              <w:t>3,2</w:t>
            </w:r>
          </w:p>
        </w:tc>
        <w:tc>
          <w:tcPr>
            <w:tcW w:w="522" w:type="dxa"/>
            <w:tcBorders>
              <w:top w:val="nil"/>
              <w:left w:val="nil"/>
              <w:bottom w:val="single" w:sz="4" w:space="0" w:color="auto"/>
              <w:right w:val="nil"/>
            </w:tcBorders>
            <w:shd w:val="clear" w:color="000000" w:fill="FFFFFF"/>
            <w:vAlign w:val="center"/>
          </w:tcPr>
          <w:p w:rsidR="00266BA4" w:rsidRDefault="00266BA4" w:rsidP="00747E56">
            <w:pPr>
              <w:spacing w:before="0" w:after="0"/>
              <w:jc w:val="right"/>
              <w:rPr>
                <w:rFonts w:ascii="Arial Narrow" w:hAnsi="Arial Narrow" w:cs="Calibri"/>
                <w:color w:val="000000"/>
                <w:sz w:val="18"/>
                <w:szCs w:val="18"/>
              </w:rPr>
            </w:pPr>
            <w:r>
              <w:rPr>
                <w:rFonts w:ascii="Arial Narrow" w:hAnsi="Arial Narrow" w:cs="Calibri"/>
                <w:color w:val="000000"/>
                <w:sz w:val="18"/>
                <w:szCs w:val="18"/>
              </w:rPr>
              <w:t>3,1</w:t>
            </w:r>
          </w:p>
        </w:tc>
      </w:tr>
      <w:tr w:rsidR="00266BA4" w:rsidRPr="00313984" w:rsidTr="00747E56">
        <w:trPr>
          <w:trHeight w:val="255"/>
          <w:jc w:val="center"/>
        </w:trPr>
        <w:tc>
          <w:tcPr>
            <w:tcW w:w="3262" w:type="dxa"/>
            <w:vMerge w:val="restart"/>
            <w:tcBorders>
              <w:top w:val="nil"/>
              <w:left w:val="nil"/>
              <w:bottom w:val="single" w:sz="4" w:space="0" w:color="000000"/>
              <w:right w:val="nil"/>
            </w:tcBorders>
            <w:shd w:val="clear" w:color="000000" w:fill="FF0000"/>
            <w:vAlign w:val="center"/>
            <w:hideMark/>
          </w:tcPr>
          <w:p w:rsidR="00266BA4" w:rsidRPr="001D642A" w:rsidRDefault="00266BA4" w:rsidP="00747E56">
            <w:pPr>
              <w:widowControl/>
              <w:overflowPunct/>
              <w:autoSpaceDE/>
              <w:autoSpaceDN/>
              <w:adjustRightInd/>
              <w:spacing w:before="0" w:after="0"/>
              <w:rPr>
                <w:rFonts w:ascii="Arial Narrow" w:hAnsi="Arial Narrow"/>
                <w:b/>
                <w:bCs/>
                <w:color w:val="FFFFFF"/>
                <w:kern w:val="0"/>
                <w:sz w:val="18"/>
                <w:szCs w:val="18"/>
              </w:rPr>
            </w:pPr>
            <w:r w:rsidRPr="001D642A">
              <w:rPr>
                <w:rFonts w:ascii="Arial Narrow" w:hAnsi="Arial Narrow"/>
                <w:b/>
                <w:bCs/>
                <w:color w:val="FFFFFF"/>
                <w:kern w:val="0"/>
                <w:sz w:val="18"/>
                <w:szCs w:val="18"/>
              </w:rPr>
              <w:t>Indice generale</w:t>
            </w:r>
          </w:p>
        </w:tc>
        <w:tc>
          <w:tcPr>
            <w:tcW w:w="286" w:type="dxa"/>
            <w:tcBorders>
              <w:top w:val="nil"/>
              <w:left w:val="nil"/>
              <w:bottom w:val="single" w:sz="4" w:space="0" w:color="auto"/>
              <w:right w:val="nil"/>
            </w:tcBorders>
            <w:shd w:val="clear" w:color="000000" w:fill="FFFFFF"/>
            <w:noWrap/>
            <w:vAlign w:val="center"/>
            <w:hideMark/>
          </w:tcPr>
          <w:p w:rsidR="00266BA4" w:rsidRPr="001D642A" w:rsidRDefault="00266BA4" w:rsidP="00747E56">
            <w:pPr>
              <w:widowControl/>
              <w:overflowPunct/>
              <w:autoSpaceDE/>
              <w:autoSpaceDN/>
              <w:adjustRightInd/>
              <w:spacing w:before="0" w:after="0"/>
              <w:jc w:val="center"/>
              <w:rPr>
                <w:rFonts w:ascii="Arial Narrow" w:hAnsi="Arial Narrow"/>
                <w:b/>
                <w:bCs/>
                <w:color w:val="000000"/>
                <w:kern w:val="0"/>
                <w:sz w:val="17"/>
                <w:szCs w:val="17"/>
              </w:rPr>
            </w:pPr>
            <w:r w:rsidRPr="001D642A">
              <w:rPr>
                <w:rFonts w:ascii="Arial Narrow" w:hAnsi="Arial Narrow"/>
                <w:b/>
                <w:bCs/>
                <w:color w:val="000000"/>
                <w:kern w:val="0"/>
                <w:sz w:val="17"/>
                <w:szCs w:val="17"/>
              </w:rPr>
              <w:t>P</w:t>
            </w:r>
          </w:p>
        </w:tc>
        <w:tc>
          <w:tcPr>
            <w:tcW w:w="500" w:type="dxa"/>
            <w:tcBorders>
              <w:top w:val="nil"/>
              <w:left w:val="nil"/>
              <w:bottom w:val="single" w:sz="4" w:space="0" w:color="auto"/>
              <w:right w:val="nil"/>
            </w:tcBorders>
            <w:shd w:val="clear" w:color="000000" w:fill="FFFFFF"/>
            <w:vAlign w:val="center"/>
          </w:tcPr>
          <w:p w:rsidR="00266BA4" w:rsidRPr="00A00F0F" w:rsidRDefault="00266BA4" w:rsidP="00747E56">
            <w:pPr>
              <w:spacing w:before="0" w:after="0"/>
              <w:jc w:val="right"/>
              <w:rPr>
                <w:rFonts w:ascii="Arial Narrow" w:hAnsi="Arial Narrow" w:cs="Calibri"/>
                <w:b/>
                <w:color w:val="000000"/>
                <w:sz w:val="18"/>
                <w:szCs w:val="18"/>
              </w:rPr>
            </w:pPr>
            <w:r w:rsidRPr="00A00F0F">
              <w:rPr>
                <w:rFonts w:ascii="Arial Narrow" w:hAnsi="Arial Narrow" w:cs="Calibri"/>
                <w:b/>
                <w:color w:val="000000"/>
                <w:sz w:val="18"/>
                <w:szCs w:val="18"/>
              </w:rPr>
              <w:t>6</w:t>
            </w:r>
            <w:r>
              <w:rPr>
                <w:rFonts w:ascii="Arial Narrow" w:hAnsi="Arial Narrow" w:cs="Calibri"/>
                <w:b/>
                <w:color w:val="000000"/>
                <w:sz w:val="18"/>
                <w:szCs w:val="18"/>
              </w:rPr>
              <w:t>,</w:t>
            </w:r>
            <w:r w:rsidRPr="00A00F0F">
              <w:rPr>
                <w:rFonts w:ascii="Arial Narrow" w:hAnsi="Arial Narrow" w:cs="Calibri"/>
                <w:b/>
                <w:color w:val="000000"/>
                <w:sz w:val="18"/>
                <w:szCs w:val="18"/>
              </w:rPr>
              <w:t>7</w:t>
            </w:r>
          </w:p>
        </w:tc>
        <w:tc>
          <w:tcPr>
            <w:tcW w:w="500" w:type="dxa"/>
            <w:tcBorders>
              <w:top w:val="nil"/>
              <w:left w:val="nil"/>
              <w:bottom w:val="single" w:sz="4" w:space="0" w:color="auto"/>
              <w:right w:val="nil"/>
            </w:tcBorders>
            <w:shd w:val="clear" w:color="000000" w:fill="FFFFFF"/>
            <w:vAlign w:val="center"/>
          </w:tcPr>
          <w:p w:rsidR="00266BA4" w:rsidRPr="00A00F0F" w:rsidRDefault="00266BA4" w:rsidP="00747E56">
            <w:pPr>
              <w:spacing w:before="0" w:after="0"/>
              <w:jc w:val="right"/>
              <w:rPr>
                <w:rFonts w:ascii="Arial Narrow" w:hAnsi="Arial Narrow" w:cs="Calibri"/>
                <w:b/>
                <w:color w:val="000000"/>
                <w:sz w:val="18"/>
                <w:szCs w:val="18"/>
              </w:rPr>
            </w:pPr>
            <w:r w:rsidRPr="00A00F0F">
              <w:rPr>
                <w:rFonts w:ascii="Arial Narrow" w:hAnsi="Arial Narrow" w:cs="Calibri"/>
                <w:b/>
                <w:color w:val="000000"/>
                <w:sz w:val="18"/>
                <w:szCs w:val="18"/>
              </w:rPr>
              <w:t>6</w:t>
            </w:r>
            <w:r>
              <w:rPr>
                <w:rFonts w:ascii="Arial Narrow" w:hAnsi="Arial Narrow" w:cs="Calibri"/>
                <w:b/>
                <w:color w:val="000000"/>
                <w:sz w:val="18"/>
                <w:szCs w:val="18"/>
              </w:rPr>
              <w:t>,4</w:t>
            </w:r>
          </w:p>
        </w:tc>
        <w:tc>
          <w:tcPr>
            <w:tcW w:w="500" w:type="dxa"/>
            <w:tcBorders>
              <w:top w:val="nil"/>
              <w:left w:val="nil"/>
              <w:bottom w:val="single" w:sz="4" w:space="0" w:color="auto"/>
              <w:right w:val="nil"/>
            </w:tcBorders>
            <w:shd w:val="clear" w:color="000000" w:fill="FFFFFF"/>
            <w:vAlign w:val="center"/>
          </w:tcPr>
          <w:p w:rsidR="00266BA4" w:rsidRPr="00A00F0F" w:rsidRDefault="00266BA4" w:rsidP="00747E56">
            <w:pPr>
              <w:spacing w:before="0" w:after="0"/>
              <w:jc w:val="right"/>
              <w:rPr>
                <w:rFonts w:ascii="Arial Narrow" w:hAnsi="Arial Narrow" w:cs="Calibri"/>
                <w:b/>
                <w:color w:val="000000"/>
                <w:sz w:val="18"/>
                <w:szCs w:val="18"/>
              </w:rPr>
            </w:pPr>
            <w:r>
              <w:rPr>
                <w:rFonts w:ascii="Arial Narrow" w:hAnsi="Arial Narrow" w:cs="Calibri"/>
                <w:b/>
                <w:color w:val="000000"/>
                <w:sz w:val="18"/>
                <w:szCs w:val="18"/>
              </w:rPr>
              <w:t>5,5</w:t>
            </w:r>
          </w:p>
        </w:tc>
        <w:tc>
          <w:tcPr>
            <w:tcW w:w="501" w:type="dxa"/>
            <w:tcBorders>
              <w:top w:val="nil"/>
              <w:left w:val="nil"/>
              <w:bottom w:val="single" w:sz="4" w:space="0" w:color="auto"/>
              <w:right w:val="nil"/>
            </w:tcBorders>
            <w:shd w:val="clear" w:color="000000" w:fill="FFFFFF"/>
            <w:vAlign w:val="center"/>
          </w:tcPr>
          <w:p w:rsidR="00266BA4" w:rsidRDefault="00266BA4" w:rsidP="00747E56">
            <w:pPr>
              <w:spacing w:before="0" w:after="0"/>
              <w:jc w:val="right"/>
              <w:rPr>
                <w:rFonts w:ascii="Arial Narrow" w:hAnsi="Arial Narrow" w:cs="Calibri"/>
                <w:b/>
                <w:color w:val="000000"/>
                <w:sz w:val="18"/>
                <w:szCs w:val="18"/>
              </w:rPr>
            </w:pPr>
            <w:r>
              <w:rPr>
                <w:rFonts w:ascii="Arial Narrow" w:hAnsi="Arial Narrow" w:cs="Calibri"/>
                <w:b/>
                <w:color w:val="000000"/>
                <w:sz w:val="18"/>
                <w:szCs w:val="18"/>
              </w:rPr>
              <w:t>5,7</w:t>
            </w:r>
          </w:p>
        </w:tc>
        <w:tc>
          <w:tcPr>
            <w:tcW w:w="501" w:type="dxa"/>
            <w:tcBorders>
              <w:top w:val="nil"/>
              <w:left w:val="nil"/>
              <w:bottom w:val="single" w:sz="4" w:space="0" w:color="auto"/>
              <w:right w:val="nil"/>
            </w:tcBorders>
            <w:shd w:val="clear" w:color="000000" w:fill="FFFFFF"/>
            <w:vAlign w:val="center"/>
          </w:tcPr>
          <w:p w:rsidR="00266BA4" w:rsidRDefault="00266BA4" w:rsidP="00747E56">
            <w:pPr>
              <w:spacing w:before="0" w:after="0"/>
              <w:jc w:val="right"/>
              <w:rPr>
                <w:rFonts w:ascii="Arial Narrow" w:hAnsi="Arial Narrow" w:cs="Calibri"/>
                <w:b/>
                <w:color w:val="000000"/>
                <w:sz w:val="18"/>
                <w:szCs w:val="18"/>
              </w:rPr>
            </w:pPr>
            <w:r>
              <w:rPr>
                <w:rFonts w:ascii="Arial Narrow" w:hAnsi="Arial Narrow" w:cs="Calibri"/>
                <w:b/>
                <w:color w:val="000000"/>
                <w:sz w:val="18"/>
                <w:szCs w:val="18"/>
              </w:rPr>
              <w:t>1,9</w:t>
            </w:r>
          </w:p>
        </w:tc>
        <w:tc>
          <w:tcPr>
            <w:tcW w:w="501" w:type="dxa"/>
            <w:tcBorders>
              <w:top w:val="nil"/>
              <w:left w:val="nil"/>
              <w:bottom w:val="single" w:sz="4" w:space="0" w:color="auto"/>
              <w:right w:val="nil"/>
            </w:tcBorders>
            <w:shd w:val="clear" w:color="000000" w:fill="FFFFFF"/>
            <w:vAlign w:val="center"/>
          </w:tcPr>
          <w:p w:rsidR="00266BA4" w:rsidRDefault="00266BA4" w:rsidP="00747E56">
            <w:pPr>
              <w:spacing w:before="0" w:after="0"/>
              <w:jc w:val="right"/>
              <w:rPr>
                <w:rFonts w:ascii="Arial Narrow" w:hAnsi="Arial Narrow" w:cs="Calibri"/>
                <w:b/>
                <w:color w:val="000000"/>
                <w:sz w:val="18"/>
                <w:szCs w:val="18"/>
              </w:rPr>
            </w:pPr>
            <w:r>
              <w:rPr>
                <w:rFonts w:ascii="Arial Narrow" w:hAnsi="Arial Narrow" w:cs="Calibri"/>
                <w:b/>
                <w:color w:val="000000"/>
                <w:sz w:val="18"/>
                <w:szCs w:val="18"/>
              </w:rPr>
              <w:t>0,7</w:t>
            </w:r>
          </w:p>
        </w:tc>
        <w:tc>
          <w:tcPr>
            <w:tcW w:w="501" w:type="dxa"/>
            <w:tcBorders>
              <w:top w:val="nil"/>
              <w:left w:val="nil"/>
              <w:bottom w:val="single" w:sz="4" w:space="0" w:color="auto"/>
              <w:right w:val="nil"/>
            </w:tcBorders>
            <w:shd w:val="clear" w:color="000000" w:fill="FFFFFF"/>
            <w:vAlign w:val="center"/>
          </w:tcPr>
          <w:p w:rsidR="00266BA4" w:rsidRDefault="00266BA4" w:rsidP="00747E56">
            <w:pPr>
              <w:spacing w:before="0" w:after="0"/>
              <w:jc w:val="right"/>
              <w:rPr>
                <w:rFonts w:ascii="Arial Narrow" w:hAnsi="Arial Narrow" w:cs="Calibri"/>
                <w:b/>
                <w:color w:val="000000"/>
                <w:sz w:val="18"/>
                <w:szCs w:val="18"/>
              </w:rPr>
            </w:pPr>
            <w:r>
              <w:rPr>
                <w:rFonts w:ascii="Arial Narrow" w:hAnsi="Arial Narrow" w:cs="Calibri"/>
                <w:b/>
                <w:color w:val="000000"/>
                <w:sz w:val="18"/>
                <w:szCs w:val="18"/>
              </w:rPr>
              <w:t>0,5</w:t>
            </w:r>
          </w:p>
        </w:tc>
        <w:tc>
          <w:tcPr>
            <w:tcW w:w="501" w:type="dxa"/>
            <w:tcBorders>
              <w:top w:val="nil"/>
              <w:left w:val="nil"/>
              <w:bottom w:val="single" w:sz="4" w:space="0" w:color="auto"/>
              <w:right w:val="nil"/>
            </w:tcBorders>
            <w:shd w:val="clear" w:color="000000" w:fill="FFFFFF"/>
            <w:vAlign w:val="center"/>
          </w:tcPr>
          <w:p w:rsidR="00266BA4" w:rsidRDefault="00266BA4" w:rsidP="00747E56">
            <w:pPr>
              <w:spacing w:before="0" w:after="0"/>
              <w:jc w:val="right"/>
              <w:rPr>
                <w:rFonts w:ascii="Arial Narrow" w:hAnsi="Arial Narrow" w:cs="Calibri"/>
                <w:b/>
                <w:color w:val="000000"/>
                <w:sz w:val="18"/>
                <w:szCs w:val="18"/>
              </w:rPr>
            </w:pPr>
            <w:r>
              <w:rPr>
                <w:rFonts w:ascii="Arial Narrow" w:hAnsi="Arial Narrow" w:cs="Calibri"/>
                <w:b/>
                <w:color w:val="000000"/>
                <w:sz w:val="18"/>
                <w:szCs w:val="18"/>
              </w:rPr>
              <w:t>0,9</w:t>
            </w:r>
          </w:p>
        </w:tc>
        <w:tc>
          <w:tcPr>
            <w:tcW w:w="501" w:type="dxa"/>
            <w:tcBorders>
              <w:top w:val="nil"/>
              <w:left w:val="nil"/>
              <w:bottom w:val="single" w:sz="4" w:space="0" w:color="auto"/>
              <w:right w:val="nil"/>
            </w:tcBorders>
            <w:shd w:val="clear" w:color="000000" w:fill="FFFFFF"/>
            <w:vAlign w:val="center"/>
          </w:tcPr>
          <w:p w:rsidR="00266BA4" w:rsidRDefault="00266BA4" w:rsidP="00747E56">
            <w:pPr>
              <w:spacing w:before="0" w:after="0"/>
              <w:jc w:val="right"/>
              <w:rPr>
                <w:rFonts w:ascii="Arial Narrow" w:hAnsi="Arial Narrow" w:cs="Calibri"/>
                <w:b/>
                <w:color w:val="000000"/>
                <w:sz w:val="18"/>
                <w:szCs w:val="18"/>
              </w:rPr>
            </w:pPr>
            <w:r>
              <w:rPr>
                <w:rFonts w:ascii="Arial Narrow" w:hAnsi="Arial Narrow" w:cs="Calibri"/>
                <w:b/>
                <w:color w:val="000000"/>
                <w:sz w:val="18"/>
                <w:szCs w:val="18"/>
              </w:rPr>
              <w:t>0,9</w:t>
            </w:r>
          </w:p>
        </w:tc>
        <w:tc>
          <w:tcPr>
            <w:tcW w:w="552" w:type="dxa"/>
            <w:tcBorders>
              <w:top w:val="nil"/>
              <w:left w:val="nil"/>
              <w:bottom w:val="single" w:sz="4" w:space="0" w:color="auto"/>
              <w:right w:val="nil"/>
            </w:tcBorders>
            <w:shd w:val="clear" w:color="000000" w:fill="FFFFFF"/>
            <w:vAlign w:val="center"/>
          </w:tcPr>
          <w:p w:rsidR="00266BA4" w:rsidRDefault="00266BA4" w:rsidP="00747E56">
            <w:pPr>
              <w:spacing w:before="0" w:after="0"/>
              <w:jc w:val="right"/>
              <w:rPr>
                <w:rFonts w:ascii="Arial Narrow" w:hAnsi="Arial Narrow" w:cs="Calibri"/>
                <w:b/>
                <w:color w:val="000000"/>
                <w:sz w:val="18"/>
                <w:szCs w:val="18"/>
              </w:rPr>
            </w:pPr>
            <w:r>
              <w:rPr>
                <w:rFonts w:ascii="Arial Narrow" w:hAnsi="Arial Narrow" w:cs="Calibri"/>
                <w:b/>
                <w:color w:val="000000"/>
                <w:sz w:val="18"/>
                <w:szCs w:val="18"/>
              </w:rPr>
              <w:t>1,3</w:t>
            </w:r>
          </w:p>
        </w:tc>
        <w:tc>
          <w:tcPr>
            <w:tcW w:w="552" w:type="dxa"/>
            <w:tcBorders>
              <w:top w:val="nil"/>
              <w:left w:val="nil"/>
              <w:bottom w:val="single" w:sz="4" w:space="0" w:color="auto"/>
              <w:right w:val="nil"/>
            </w:tcBorders>
            <w:shd w:val="clear" w:color="000000" w:fill="FFFFFF"/>
            <w:vAlign w:val="center"/>
          </w:tcPr>
          <w:p w:rsidR="00266BA4" w:rsidRDefault="00266BA4" w:rsidP="00747E56">
            <w:pPr>
              <w:spacing w:before="0" w:after="0"/>
              <w:jc w:val="right"/>
              <w:rPr>
                <w:rFonts w:ascii="Arial Narrow" w:hAnsi="Arial Narrow" w:cs="Calibri"/>
                <w:b/>
                <w:color w:val="000000"/>
                <w:sz w:val="18"/>
                <w:szCs w:val="18"/>
              </w:rPr>
            </w:pPr>
            <w:r>
              <w:rPr>
                <w:rFonts w:ascii="Arial Narrow" w:hAnsi="Arial Narrow" w:cs="Calibri"/>
                <w:b/>
                <w:color w:val="000000"/>
                <w:sz w:val="18"/>
                <w:szCs w:val="18"/>
              </w:rPr>
              <w:t>1,0</w:t>
            </w:r>
          </w:p>
        </w:tc>
        <w:tc>
          <w:tcPr>
            <w:tcW w:w="525" w:type="dxa"/>
            <w:tcBorders>
              <w:top w:val="nil"/>
              <w:left w:val="nil"/>
              <w:bottom w:val="single" w:sz="4" w:space="0" w:color="auto"/>
              <w:right w:val="nil"/>
            </w:tcBorders>
            <w:shd w:val="clear" w:color="000000" w:fill="FFFFFF"/>
            <w:vAlign w:val="center"/>
          </w:tcPr>
          <w:p w:rsidR="00266BA4" w:rsidRDefault="00266BA4" w:rsidP="00747E56">
            <w:pPr>
              <w:spacing w:before="0" w:after="0"/>
              <w:jc w:val="right"/>
              <w:rPr>
                <w:rFonts w:ascii="Arial Narrow" w:hAnsi="Arial Narrow" w:cs="Calibri"/>
                <w:b/>
                <w:color w:val="000000"/>
                <w:sz w:val="18"/>
                <w:szCs w:val="18"/>
              </w:rPr>
            </w:pPr>
            <w:r>
              <w:rPr>
                <w:rFonts w:ascii="Arial Narrow" w:hAnsi="Arial Narrow" w:cs="Calibri"/>
                <w:b/>
                <w:color w:val="000000"/>
                <w:sz w:val="18"/>
                <w:szCs w:val="18"/>
              </w:rPr>
              <w:t>0,8</w:t>
            </w:r>
          </w:p>
        </w:tc>
        <w:tc>
          <w:tcPr>
            <w:tcW w:w="522" w:type="dxa"/>
            <w:tcBorders>
              <w:top w:val="nil"/>
              <w:left w:val="nil"/>
              <w:bottom w:val="single" w:sz="4" w:space="0" w:color="auto"/>
              <w:right w:val="nil"/>
            </w:tcBorders>
            <w:shd w:val="clear" w:color="000000" w:fill="FFFFFF"/>
            <w:vAlign w:val="center"/>
          </w:tcPr>
          <w:p w:rsidR="00266BA4" w:rsidRDefault="00266BA4" w:rsidP="00747E56">
            <w:pPr>
              <w:spacing w:before="0" w:after="0"/>
              <w:jc w:val="right"/>
              <w:rPr>
                <w:rFonts w:ascii="Arial Narrow" w:hAnsi="Arial Narrow" w:cs="Calibri"/>
                <w:b/>
                <w:color w:val="000000"/>
                <w:sz w:val="18"/>
                <w:szCs w:val="18"/>
              </w:rPr>
            </w:pPr>
            <w:r>
              <w:rPr>
                <w:rFonts w:ascii="Arial Narrow" w:hAnsi="Arial Narrow" w:cs="Calibri"/>
                <w:b/>
                <w:color w:val="000000"/>
                <w:sz w:val="18"/>
                <w:szCs w:val="18"/>
              </w:rPr>
              <w:t>0,9</w:t>
            </w:r>
          </w:p>
        </w:tc>
      </w:tr>
      <w:tr w:rsidR="00266BA4" w:rsidRPr="00313984" w:rsidTr="00747E56">
        <w:trPr>
          <w:trHeight w:val="255"/>
          <w:jc w:val="center"/>
        </w:trPr>
        <w:tc>
          <w:tcPr>
            <w:tcW w:w="3262" w:type="dxa"/>
            <w:vMerge/>
            <w:tcBorders>
              <w:top w:val="nil"/>
              <w:left w:val="nil"/>
              <w:bottom w:val="single" w:sz="4" w:space="0" w:color="000000"/>
              <w:right w:val="nil"/>
            </w:tcBorders>
            <w:vAlign w:val="center"/>
            <w:hideMark/>
          </w:tcPr>
          <w:p w:rsidR="00266BA4" w:rsidRPr="001D642A" w:rsidRDefault="00266BA4" w:rsidP="00747E56">
            <w:pPr>
              <w:widowControl/>
              <w:overflowPunct/>
              <w:autoSpaceDE/>
              <w:autoSpaceDN/>
              <w:adjustRightInd/>
              <w:spacing w:before="0" w:after="0"/>
              <w:rPr>
                <w:rFonts w:ascii="Arial Narrow" w:hAnsi="Arial Narrow"/>
                <w:b/>
                <w:bCs/>
                <w:color w:val="FFFFFF"/>
                <w:kern w:val="0"/>
                <w:sz w:val="18"/>
                <w:szCs w:val="18"/>
              </w:rPr>
            </w:pPr>
          </w:p>
        </w:tc>
        <w:tc>
          <w:tcPr>
            <w:tcW w:w="286" w:type="dxa"/>
            <w:tcBorders>
              <w:top w:val="nil"/>
              <w:left w:val="nil"/>
              <w:bottom w:val="single" w:sz="4" w:space="0" w:color="auto"/>
              <w:right w:val="nil"/>
            </w:tcBorders>
            <w:shd w:val="clear" w:color="000000" w:fill="FFFFFF"/>
            <w:noWrap/>
            <w:vAlign w:val="center"/>
            <w:hideMark/>
          </w:tcPr>
          <w:p w:rsidR="00266BA4" w:rsidRPr="001D642A" w:rsidRDefault="00266BA4" w:rsidP="00747E56">
            <w:pPr>
              <w:widowControl/>
              <w:overflowPunct/>
              <w:autoSpaceDE/>
              <w:autoSpaceDN/>
              <w:adjustRightInd/>
              <w:spacing w:before="0" w:after="0"/>
              <w:jc w:val="center"/>
              <w:rPr>
                <w:rFonts w:ascii="Arial Narrow" w:hAnsi="Arial Narrow"/>
                <w:b/>
                <w:bCs/>
                <w:color w:val="000000"/>
                <w:kern w:val="0"/>
                <w:sz w:val="17"/>
                <w:szCs w:val="17"/>
              </w:rPr>
            </w:pPr>
            <w:r w:rsidRPr="001D642A">
              <w:rPr>
                <w:rFonts w:ascii="Arial Narrow" w:hAnsi="Arial Narrow"/>
                <w:b/>
                <w:bCs/>
                <w:color w:val="000000"/>
                <w:kern w:val="0"/>
                <w:sz w:val="17"/>
                <w:szCs w:val="17"/>
              </w:rPr>
              <w:t>D</w:t>
            </w:r>
          </w:p>
        </w:tc>
        <w:tc>
          <w:tcPr>
            <w:tcW w:w="500" w:type="dxa"/>
            <w:tcBorders>
              <w:top w:val="nil"/>
              <w:left w:val="nil"/>
              <w:bottom w:val="single" w:sz="4" w:space="0" w:color="auto"/>
              <w:right w:val="nil"/>
            </w:tcBorders>
            <w:shd w:val="clear" w:color="000000" w:fill="FFFFFF"/>
            <w:vAlign w:val="center"/>
          </w:tcPr>
          <w:p w:rsidR="00266BA4" w:rsidRPr="00A00F0F" w:rsidRDefault="00266BA4" w:rsidP="00747E56">
            <w:pPr>
              <w:spacing w:before="0" w:after="0"/>
              <w:jc w:val="right"/>
              <w:rPr>
                <w:rFonts w:ascii="Arial Narrow" w:hAnsi="Arial Narrow" w:cs="Calibri"/>
                <w:b/>
                <w:color w:val="000000"/>
                <w:sz w:val="18"/>
                <w:szCs w:val="18"/>
              </w:rPr>
            </w:pPr>
            <w:r w:rsidRPr="00A00F0F">
              <w:rPr>
                <w:rFonts w:ascii="Arial Narrow" w:hAnsi="Arial Narrow" w:cs="Calibri"/>
                <w:b/>
                <w:color w:val="000000"/>
                <w:sz w:val="18"/>
                <w:szCs w:val="18"/>
              </w:rPr>
              <w:t>6</w:t>
            </w:r>
            <w:r>
              <w:rPr>
                <w:rFonts w:ascii="Arial Narrow" w:hAnsi="Arial Narrow" w:cs="Calibri"/>
                <w:b/>
                <w:color w:val="000000"/>
                <w:sz w:val="18"/>
                <w:szCs w:val="18"/>
              </w:rPr>
              <w:t>,</w:t>
            </w:r>
            <w:r w:rsidRPr="00A00F0F">
              <w:rPr>
                <w:rFonts w:ascii="Arial Narrow" w:hAnsi="Arial Narrow" w:cs="Calibri"/>
                <w:b/>
                <w:color w:val="000000"/>
                <w:sz w:val="18"/>
                <w:szCs w:val="18"/>
              </w:rPr>
              <w:t>7</w:t>
            </w:r>
          </w:p>
        </w:tc>
        <w:tc>
          <w:tcPr>
            <w:tcW w:w="500" w:type="dxa"/>
            <w:tcBorders>
              <w:top w:val="nil"/>
              <w:left w:val="nil"/>
              <w:bottom w:val="single" w:sz="4" w:space="0" w:color="auto"/>
              <w:right w:val="nil"/>
            </w:tcBorders>
            <w:shd w:val="clear" w:color="000000" w:fill="FFFFFF"/>
            <w:vAlign w:val="center"/>
          </w:tcPr>
          <w:p w:rsidR="00266BA4" w:rsidRPr="00A00F0F" w:rsidRDefault="00266BA4" w:rsidP="00747E56">
            <w:pPr>
              <w:spacing w:before="0" w:after="0"/>
              <w:jc w:val="right"/>
              <w:rPr>
                <w:rFonts w:ascii="Arial Narrow" w:hAnsi="Arial Narrow" w:cs="Calibri"/>
                <w:b/>
                <w:color w:val="000000"/>
                <w:sz w:val="18"/>
                <w:szCs w:val="18"/>
              </w:rPr>
            </w:pPr>
            <w:r w:rsidRPr="00A00F0F">
              <w:rPr>
                <w:rFonts w:ascii="Arial Narrow" w:hAnsi="Arial Narrow" w:cs="Calibri"/>
                <w:b/>
                <w:color w:val="000000"/>
                <w:sz w:val="18"/>
                <w:szCs w:val="18"/>
              </w:rPr>
              <w:t>6</w:t>
            </w:r>
            <w:r>
              <w:rPr>
                <w:rFonts w:ascii="Arial Narrow" w:hAnsi="Arial Narrow" w:cs="Calibri"/>
                <w:b/>
                <w:color w:val="000000"/>
                <w:sz w:val="18"/>
                <w:szCs w:val="18"/>
              </w:rPr>
              <w:t>,3</w:t>
            </w:r>
          </w:p>
        </w:tc>
        <w:tc>
          <w:tcPr>
            <w:tcW w:w="500" w:type="dxa"/>
            <w:tcBorders>
              <w:top w:val="nil"/>
              <w:left w:val="nil"/>
              <w:bottom w:val="single" w:sz="4" w:space="0" w:color="auto"/>
              <w:right w:val="nil"/>
            </w:tcBorders>
            <w:shd w:val="clear" w:color="000000" w:fill="FFFFFF"/>
            <w:vAlign w:val="center"/>
          </w:tcPr>
          <w:p w:rsidR="00266BA4" w:rsidRPr="00A00F0F" w:rsidRDefault="00266BA4" w:rsidP="00747E56">
            <w:pPr>
              <w:spacing w:before="0" w:after="0"/>
              <w:jc w:val="right"/>
              <w:rPr>
                <w:rFonts w:ascii="Arial Narrow" w:hAnsi="Arial Narrow" w:cs="Calibri"/>
                <w:b/>
                <w:color w:val="000000"/>
                <w:sz w:val="18"/>
                <w:szCs w:val="18"/>
              </w:rPr>
            </w:pPr>
            <w:r>
              <w:rPr>
                <w:rFonts w:ascii="Arial Narrow" w:hAnsi="Arial Narrow" w:cs="Calibri"/>
                <w:b/>
                <w:color w:val="000000"/>
                <w:sz w:val="18"/>
                <w:szCs w:val="18"/>
              </w:rPr>
              <w:t>5,5</w:t>
            </w:r>
          </w:p>
        </w:tc>
        <w:tc>
          <w:tcPr>
            <w:tcW w:w="501" w:type="dxa"/>
            <w:tcBorders>
              <w:top w:val="nil"/>
              <w:left w:val="nil"/>
              <w:bottom w:val="single" w:sz="4" w:space="0" w:color="auto"/>
              <w:right w:val="nil"/>
            </w:tcBorders>
            <w:shd w:val="clear" w:color="000000" w:fill="FFFFFF"/>
            <w:vAlign w:val="center"/>
          </w:tcPr>
          <w:p w:rsidR="00266BA4" w:rsidRDefault="00266BA4" w:rsidP="00747E56">
            <w:pPr>
              <w:spacing w:before="0" w:after="0"/>
              <w:jc w:val="right"/>
              <w:rPr>
                <w:rFonts w:ascii="Arial Narrow" w:hAnsi="Arial Narrow" w:cs="Calibri"/>
                <w:b/>
                <w:color w:val="000000"/>
                <w:sz w:val="18"/>
                <w:szCs w:val="18"/>
              </w:rPr>
            </w:pPr>
            <w:r>
              <w:rPr>
                <w:rFonts w:ascii="Arial Narrow" w:hAnsi="Arial Narrow" w:cs="Calibri"/>
                <w:b/>
                <w:color w:val="000000"/>
                <w:sz w:val="18"/>
                <w:szCs w:val="18"/>
              </w:rPr>
              <w:t>5,6</w:t>
            </w:r>
          </w:p>
        </w:tc>
        <w:tc>
          <w:tcPr>
            <w:tcW w:w="501" w:type="dxa"/>
            <w:tcBorders>
              <w:top w:val="nil"/>
              <w:left w:val="nil"/>
              <w:bottom w:val="single" w:sz="4" w:space="0" w:color="auto"/>
              <w:right w:val="nil"/>
            </w:tcBorders>
            <w:shd w:val="clear" w:color="000000" w:fill="FFFFFF"/>
            <w:vAlign w:val="center"/>
          </w:tcPr>
          <w:p w:rsidR="00266BA4" w:rsidRDefault="00266BA4" w:rsidP="00747E56">
            <w:pPr>
              <w:spacing w:before="0" w:after="0"/>
              <w:jc w:val="right"/>
              <w:rPr>
                <w:rFonts w:ascii="Arial Narrow" w:hAnsi="Arial Narrow" w:cs="Calibri"/>
                <w:b/>
                <w:color w:val="000000"/>
                <w:sz w:val="18"/>
                <w:szCs w:val="18"/>
              </w:rPr>
            </w:pPr>
            <w:r>
              <w:rPr>
                <w:rFonts w:ascii="Arial Narrow" w:hAnsi="Arial Narrow" w:cs="Calibri"/>
                <w:b/>
                <w:color w:val="000000"/>
                <w:sz w:val="18"/>
                <w:szCs w:val="18"/>
              </w:rPr>
              <w:t>1,8</w:t>
            </w:r>
          </w:p>
        </w:tc>
        <w:tc>
          <w:tcPr>
            <w:tcW w:w="501" w:type="dxa"/>
            <w:tcBorders>
              <w:top w:val="nil"/>
              <w:left w:val="nil"/>
              <w:bottom w:val="single" w:sz="4" w:space="0" w:color="auto"/>
              <w:right w:val="nil"/>
            </w:tcBorders>
            <w:shd w:val="clear" w:color="000000" w:fill="FFFFFF"/>
            <w:vAlign w:val="center"/>
          </w:tcPr>
          <w:p w:rsidR="00266BA4" w:rsidRDefault="00266BA4" w:rsidP="00747E56">
            <w:pPr>
              <w:spacing w:before="0" w:after="0"/>
              <w:jc w:val="right"/>
              <w:rPr>
                <w:rFonts w:ascii="Arial Narrow" w:hAnsi="Arial Narrow" w:cs="Calibri"/>
                <w:b/>
                <w:color w:val="000000"/>
                <w:sz w:val="18"/>
                <w:szCs w:val="18"/>
              </w:rPr>
            </w:pPr>
            <w:r>
              <w:rPr>
                <w:rFonts w:ascii="Arial Narrow" w:hAnsi="Arial Narrow" w:cs="Calibri"/>
                <w:b/>
                <w:color w:val="000000"/>
                <w:sz w:val="18"/>
                <w:szCs w:val="18"/>
              </w:rPr>
              <w:t>0,6</w:t>
            </w:r>
          </w:p>
        </w:tc>
        <w:tc>
          <w:tcPr>
            <w:tcW w:w="501" w:type="dxa"/>
            <w:tcBorders>
              <w:top w:val="nil"/>
              <w:left w:val="nil"/>
              <w:bottom w:val="single" w:sz="4" w:space="0" w:color="auto"/>
              <w:right w:val="nil"/>
            </w:tcBorders>
            <w:shd w:val="clear" w:color="000000" w:fill="FFFFFF"/>
            <w:vAlign w:val="center"/>
          </w:tcPr>
          <w:p w:rsidR="00266BA4" w:rsidRDefault="00266BA4" w:rsidP="00747E56">
            <w:pPr>
              <w:spacing w:before="0" w:after="0"/>
              <w:jc w:val="right"/>
              <w:rPr>
                <w:rFonts w:ascii="Arial Narrow" w:hAnsi="Arial Narrow" w:cs="Calibri"/>
                <w:b/>
                <w:color w:val="000000"/>
                <w:sz w:val="18"/>
                <w:szCs w:val="18"/>
              </w:rPr>
            </w:pPr>
            <w:r>
              <w:rPr>
                <w:rFonts w:ascii="Arial Narrow" w:hAnsi="Arial Narrow" w:cs="Calibri"/>
                <w:b/>
                <w:color w:val="000000"/>
                <w:sz w:val="18"/>
                <w:szCs w:val="18"/>
              </w:rPr>
              <w:t>0,5</w:t>
            </w:r>
          </w:p>
        </w:tc>
        <w:tc>
          <w:tcPr>
            <w:tcW w:w="501" w:type="dxa"/>
            <w:tcBorders>
              <w:top w:val="nil"/>
              <w:left w:val="nil"/>
              <w:bottom w:val="single" w:sz="4" w:space="0" w:color="auto"/>
              <w:right w:val="nil"/>
            </w:tcBorders>
            <w:shd w:val="clear" w:color="000000" w:fill="FFFFFF"/>
            <w:vAlign w:val="center"/>
          </w:tcPr>
          <w:p w:rsidR="00266BA4" w:rsidRDefault="00266BA4" w:rsidP="00747E56">
            <w:pPr>
              <w:spacing w:before="0" w:after="0"/>
              <w:jc w:val="right"/>
              <w:rPr>
                <w:rFonts w:ascii="Arial Narrow" w:hAnsi="Arial Narrow" w:cs="Calibri"/>
                <w:b/>
                <w:color w:val="000000"/>
                <w:sz w:val="18"/>
                <w:szCs w:val="18"/>
              </w:rPr>
            </w:pPr>
            <w:r>
              <w:rPr>
                <w:rFonts w:ascii="Arial Narrow" w:hAnsi="Arial Narrow" w:cs="Calibri"/>
                <w:b/>
                <w:color w:val="000000"/>
                <w:sz w:val="18"/>
                <w:szCs w:val="18"/>
              </w:rPr>
              <w:t>0,9</w:t>
            </w:r>
          </w:p>
        </w:tc>
        <w:tc>
          <w:tcPr>
            <w:tcW w:w="501" w:type="dxa"/>
            <w:tcBorders>
              <w:top w:val="nil"/>
              <w:left w:val="nil"/>
              <w:bottom w:val="single" w:sz="4" w:space="0" w:color="auto"/>
              <w:right w:val="nil"/>
            </w:tcBorders>
            <w:shd w:val="clear" w:color="000000" w:fill="FFFFFF"/>
            <w:vAlign w:val="center"/>
          </w:tcPr>
          <w:p w:rsidR="00266BA4" w:rsidRDefault="00266BA4" w:rsidP="00747E56">
            <w:pPr>
              <w:spacing w:before="0" w:after="0"/>
              <w:jc w:val="right"/>
              <w:rPr>
                <w:rFonts w:ascii="Arial Narrow" w:hAnsi="Arial Narrow" w:cs="Calibri"/>
                <w:b/>
                <w:color w:val="000000"/>
                <w:sz w:val="18"/>
                <w:szCs w:val="18"/>
              </w:rPr>
            </w:pPr>
            <w:r>
              <w:rPr>
                <w:rFonts w:ascii="Arial Narrow" w:hAnsi="Arial Narrow" w:cs="Calibri"/>
                <w:b/>
                <w:color w:val="000000"/>
                <w:sz w:val="18"/>
                <w:szCs w:val="18"/>
              </w:rPr>
              <w:t>0,8</w:t>
            </w:r>
          </w:p>
        </w:tc>
        <w:tc>
          <w:tcPr>
            <w:tcW w:w="552" w:type="dxa"/>
            <w:tcBorders>
              <w:top w:val="nil"/>
              <w:left w:val="nil"/>
              <w:bottom w:val="single" w:sz="4" w:space="0" w:color="auto"/>
              <w:right w:val="nil"/>
            </w:tcBorders>
            <w:shd w:val="clear" w:color="000000" w:fill="FFFFFF"/>
            <w:vAlign w:val="center"/>
          </w:tcPr>
          <w:p w:rsidR="00266BA4" w:rsidRDefault="00266BA4" w:rsidP="00747E56">
            <w:pPr>
              <w:spacing w:before="0" w:after="0"/>
              <w:jc w:val="right"/>
              <w:rPr>
                <w:rFonts w:ascii="Arial Narrow" w:hAnsi="Arial Narrow" w:cs="Calibri"/>
                <w:b/>
                <w:color w:val="000000"/>
                <w:sz w:val="18"/>
                <w:szCs w:val="18"/>
              </w:rPr>
            </w:pPr>
            <w:r>
              <w:rPr>
                <w:rFonts w:ascii="Arial Narrow" w:hAnsi="Arial Narrow" w:cs="Calibri"/>
                <w:b/>
                <w:color w:val="000000"/>
                <w:sz w:val="18"/>
                <w:szCs w:val="18"/>
              </w:rPr>
              <w:t>1,2</w:t>
            </w:r>
          </w:p>
        </w:tc>
        <w:tc>
          <w:tcPr>
            <w:tcW w:w="552" w:type="dxa"/>
            <w:tcBorders>
              <w:top w:val="nil"/>
              <w:left w:val="nil"/>
              <w:bottom w:val="single" w:sz="4" w:space="0" w:color="auto"/>
              <w:right w:val="nil"/>
            </w:tcBorders>
            <w:shd w:val="clear" w:color="000000" w:fill="FFFFFF"/>
            <w:vAlign w:val="center"/>
          </w:tcPr>
          <w:p w:rsidR="00266BA4" w:rsidRDefault="00266BA4" w:rsidP="00747E56">
            <w:pPr>
              <w:spacing w:before="0" w:after="0"/>
              <w:jc w:val="right"/>
              <w:rPr>
                <w:rFonts w:ascii="Arial Narrow" w:hAnsi="Arial Narrow" w:cs="Calibri"/>
                <w:b/>
                <w:color w:val="000000"/>
                <w:sz w:val="18"/>
                <w:szCs w:val="18"/>
              </w:rPr>
            </w:pPr>
            <w:r>
              <w:rPr>
                <w:rFonts w:ascii="Arial Narrow" w:hAnsi="Arial Narrow" w:cs="Calibri"/>
                <w:b/>
                <w:color w:val="000000"/>
                <w:sz w:val="18"/>
                <w:szCs w:val="18"/>
              </w:rPr>
              <w:t>0,9</w:t>
            </w:r>
          </w:p>
        </w:tc>
        <w:tc>
          <w:tcPr>
            <w:tcW w:w="525" w:type="dxa"/>
            <w:tcBorders>
              <w:top w:val="nil"/>
              <w:left w:val="nil"/>
              <w:bottom w:val="single" w:sz="4" w:space="0" w:color="auto"/>
              <w:right w:val="nil"/>
            </w:tcBorders>
            <w:shd w:val="clear" w:color="000000" w:fill="FFFFFF"/>
            <w:vAlign w:val="center"/>
          </w:tcPr>
          <w:p w:rsidR="00266BA4" w:rsidRDefault="00266BA4" w:rsidP="00747E56">
            <w:pPr>
              <w:spacing w:before="0" w:after="0"/>
              <w:jc w:val="right"/>
              <w:rPr>
                <w:rFonts w:ascii="Arial Narrow" w:hAnsi="Arial Narrow" w:cs="Calibri"/>
                <w:b/>
                <w:color w:val="000000"/>
                <w:sz w:val="18"/>
                <w:szCs w:val="18"/>
              </w:rPr>
            </w:pPr>
            <w:r>
              <w:rPr>
                <w:rFonts w:ascii="Arial Narrow" w:hAnsi="Arial Narrow" w:cs="Calibri"/>
                <w:b/>
                <w:color w:val="000000"/>
                <w:sz w:val="18"/>
                <w:szCs w:val="18"/>
              </w:rPr>
              <w:t>0,8</w:t>
            </w:r>
          </w:p>
        </w:tc>
        <w:tc>
          <w:tcPr>
            <w:tcW w:w="522" w:type="dxa"/>
            <w:tcBorders>
              <w:top w:val="nil"/>
              <w:left w:val="nil"/>
              <w:bottom w:val="single" w:sz="4" w:space="0" w:color="auto"/>
              <w:right w:val="nil"/>
            </w:tcBorders>
            <w:shd w:val="clear" w:color="000000" w:fill="FFFFFF"/>
            <w:vAlign w:val="center"/>
          </w:tcPr>
          <w:p w:rsidR="00266BA4" w:rsidRDefault="00266BA4" w:rsidP="00747E56">
            <w:pPr>
              <w:spacing w:before="0" w:after="0"/>
              <w:jc w:val="right"/>
              <w:rPr>
                <w:rFonts w:ascii="Arial Narrow" w:hAnsi="Arial Narrow" w:cs="Calibri"/>
                <w:b/>
                <w:color w:val="000000"/>
                <w:sz w:val="18"/>
                <w:szCs w:val="18"/>
              </w:rPr>
            </w:pPr>
            <w:r>
              <w:rPr>
                <w:rFonts w:ascii="Arial Narrow" w:hAnsi="Arial Narrow" w:cs="Calibri"/>
                <w:b/>
                <w:color w:val="000000"/>
                <w:sz w:val="18"/>
                <w:szCs w:val="18"/>
              </w:rPr>
              <w:t>0,9</w:t>
            </w:r>
          </w:p>
        </w:tc>
      </w:tr>
      <w:tr w:rsidR="00266BA4" w:rsidRPr="001D642A" w:rsidTr="00747E56">
        <w:trPr>
          <w:trHeight w:val="255"/>
          <w:jc w:val="center"/>
        </w:trPr>
        <w:tc>
          <w:tcPr>
            <w:tcW w:w="3262" w:type="dxa"/>
            <w:vMerge w:val="restart"/>
            <w:tcBorders>
              <w:top w:val="nil"/>
              <w:left w:val="nil"/>
              <w:bottom w:val="single" w:sz="4" w:space="0" w:color="000000"/>
              <w:right w:val="nil"/>
            </w:tcBorders>
            <w:shd w:val="clear" w:color="000000" w:fill="FFFFFF"/>
            <w:vAlign w:val="center"/>
            <w:hideMark/>
          </w:tcPr>
          <w:p w:rsidR="00266BA4" w:rsidRPr="001D642A" w:rsidRDefault="00266BA4" w:rsidP="00747E56">
            <w:pPr>
              <w:widowControl/>
              <w:overflowPunct/>
              <w:autoSpaceDE/>
              <w:autoSpaceDN/>
              <w:adjustRightInd/>
              <w:spacing w:before="0" w:after="0"/>
              <w:rPr>
                <w:rFonts w:ascii="Arial Narrow" w:hAnsi="Arial Narrow"/>
                <w:color w:val="000000"/>
                <w:kern w:val="0"/>
                <w:sz w:val="18"/>
                <w:szCs w:val="18"/>
              </w:rPr>
            </w:pPr>
            <w:r w:rsidRPr="001D642A">
              <w:rPr>
                <w:rFonts w:ascii="Arial Narrow" w:hAnsi="Arial Narrow"/>
                <w:color w:val="000000"/>
                <w:kern w:val="0"/>
                <w:sz w:val="18"/>
                <w:szCs w:val="18"/>
              </w:rPr>
              <w:t>Indice generale al netto dell’energia e degli alimentari freschi (Componente di fondo)</w:t>
            </w:r>
          </w:p>
        </w:tc>
        <w:tc>
          <w:tcPr>
            <w:tcW w:w="286" w:type="dxa"/>
            <w:tcBorders>
              <w:top w:val="nil"/>
              <w:left w:val="nil"/>
              <w:bottom w:val="single" w:sz="4" w:space="0" w:color="auto"/>
              <w:right w:val="nil"/>
            </w:tcBorders>
            <w:shd w:val="clear" w:color="000000" w:fill="FFFFFF"/>
            <w:noWrap/>
            <w:vAlign w:val="center"/>
            <w:hideMark/>
          </w:tcPr>
          <w:p w:rsidR="00266BA4" w:rsidRPr="001D642A" w:rsidRDefault="00266BA4" w:rsidP="00747E56">
            <w:pPr>
              <w:widowControl/>
              <w:overflowPunct/>
              <w:autoSpaceDE/>
              <w:autoSpaceDN/>
              <w:adjustRightInd/>
              <w:spacing w:before="0" w:after="0"/>
              <w:jc w:val="center"/>
              <w:rPr>
                <w:rFonts w:ascii="Arial Narrow" w:hAnsi="Arial Narrow"/>
                <w:b/>
                <w:bCs/>
                <w:color w:val="000000"/>
                <w:kern w:val="0"/>
                <w:sz w:val="17"/>
                <w:szCs w:val="17"/>
              </w:rPr>
            </w:pPr>
            <w:r w:rsidRPr="001D642A">
              <w:rPr>
                <w:rFonts w:ascii="Arial Narrow" w:hAnsi="Arial Narrow"/>
                <w:b/>
                <w:bCs/>
                <w:color w:val="000000"/>
                <w:kern w:val="0"/>
                <w:sz w:val="17"/>
                <w:szCs w:val="17"/>
              </w:rPr>
              <w:t>P</w:t>
            </w:r>
          </w:p>
        </w:tc>
        <w:tc>
          <w:tcPr>
            <w:tcW w:w="500" w:type="dxa"/>
            <w:tcBorders>
              <w:top w:val="nil"/>
              <w:left w:val="nil"/>
              <w:bottom w:val="single" w:sz="4" w:space="0" w:color="auto"/>
              <w:right w:val="nil"/>
            </w:tcBorders>
            <w:shd w:val="clear" w:color="000000" w:fill="FFFFFF"/>
            <w:vAlign w:val="center"/>
          </w:tcPr>
          <w:p w:rsidR="00266BA4" w:rsidRPr="00A00F0F" w:rsidRDefault="00266BA4" w:rsidP="00747E56">
            <w:pPr>
              <w:spacing w:before="0" w:after="0"/>
              <w:jc w:val="right"/>
              <w:rPr>
                <w:rFonts w:ascii="Arial Narrow" w:hAnsi="Arial Narrow" w:cs="Calibri"/>
                <w:color w:val="000000"/>
                <w:sz w:val="18"/>
                <w:szCs w:val="18"/>
              </w:rPr>
            </w:pPr>
            <w:r w:rsidRPr="00A00F0F">
              <w:rPr>
                <w:rFonts w:ascii="Arial Narrow" w:hAnsi="Arial Narrow" w:cs="Calibri"/>
                <w:color w:val="000000"/>
                <w:sz w:val="18"/>
                <w:szCs w:val="18"/>
              </w:rPr>
              <w:t>6</w:t>
            </w:r>
            <w:r>
              <w:rPr>
                <w:rFonts w:ascii="Arial Narrow" w:hAnsi="Arial Narrow" w:cs="Calibri"/>
                <w:color w:val="000000"/>
                <w:sz w:val="18"/>
                <w:szCs w:val="18"/>
              </w:rPr>
              <w:t>,</w:t>
            </w:r>
            <w:r w:rsidRPr="00A00F0F">
              <w:rPr>
                <w:rFonts w:ascii="Arial Narrow" w:hAnsi="Arial Narrow" w:cs="Calibri"/>
                <w:color w:val="000000"/>
                <w:sz w:val="18"/>
                <w:szCs w:val="18"/>
              </w:rPr>
              <w:t>0</w:t>
            </w:r>
          </w:p>
        </w:tc>
        <w:tc>
          <w:tcPr>
            <w:tcW w:w="500" w:type="dxa"/>
            <w:tcBorders>
              <w:top w:val="nil"/>
              <w:left w:val="nil"/>
              <w:bottom w:val="single" w:sz="4" w:space="0" w:color="auto"/>
              <w:right w:val="nil"/>
            </w:tcBorders>
            <w:shd w:val="clear" w:color="000000" w:fill="FFFFFF"/>
            <w:vAlign w:val="center"/>
          </w:tcPr>
          <w:p w:rsidR="00266BA4" w:rsidRPr="00A00F0F" w:rsidRDefault="00266BA4" w:rsidP="00747E56">
            <w:pPr>
              <w:spacing w:before="0" w:after="0"/>
              <w:jc w:val="right"/>
              <w:rPr>
                <w:rFonts w:ascii="Arial Narrow" w:hAnsi="Arial Narrow" w:cs="Calibri"/>
                <w:color w:val="000000"/>
                <w:sz w:val="18"/>
                <w:szCs w:val="18"/>
              </w:rPr>
            </w:pPr>
            <w:r>
              <w:rPr>
                <w:rFonts w:ascii="Arial Narrow" w:hAnsi="Arial Narrow" w:cs="Calibri"/>
                <w:color w:val="000000"/>
                <w:sz w:val="18"/>
                <w:szCs w:val="18"/>
              </w:rPr>
              <w:t>5,7</w:t>
            </w:r>
          </w:p>
        </w:tc>
        <w:tc>
          <w:tcPr>
            <w:tcW w:w="500" w:type="dxa"/>
            <w:tcBorders>
              <w:top w:val="nil"/>
              <w:left w:val="nil"/>
              <w:bottom w:val="single" w:sz="4" w:space="0" w:color="auto"/>
              <w:right w:val="nil"/>
            </w:tcBorders>
            <w:shd w:val="clear" w:color="000000" w:fill="FFFFFF"/>
            <w:vAlign w:val="center"/>
          </w:tcPr>
          <w:p w:rsidR="00266BA4" w:rsidRPr="00A00F0F" w:rsidRDefault="00266BA4" w:rsidP="00747E56">
            <w:pPr>
              <w:spacing w:before="0" w:after="0"/>
              <w:jc w:val="right"/>
              <w:rPr>
                <w:rFonts w:ascii="Arial Narrow" w:hAnsi="Arial Narrow" w:cs="Calibri"/>
                <w:color w:val="000000"/>
                <w:sz w:val="18"/>
                <w:szCs w:val="18"/>
              </w:rPr>
            </w:pPr>
            <w:r>
              <w:rPr>
                <w:rFonts w:ascii="Arial Narrow" w:hAnsi="Arial Narrow" w:cs="Calibri"/>
                <w:color w:val="000000"/>
                <w:sz w:val="18"/>
                <w:szCs w:val="18"/>
              </w:rPr>
              <w:t>5,0</w:t>
            </w:r>
          </w:p>
        </w:tc>
        <w:tc>
          <w:tcPr>
            <w:tcW w:w="501" w:type="dxa"/>
            <w:tcBorders>
              <w:top w:val="nil"/>
              <w:left w:val="nil"/>
              <w:bottom w:val="single" w:sz="4" w:space="0" w:color="auto"/>
              <w:right w:val="nil"/>
            </w:tcBorders>
            <w:shd w:val="clear" w:color="000000" w:fill="FFFFFF"/>
            <w:vAlign w:val="center"/>
          </w:tcPr>
          <w:p w:rsidR="00266BA4" w:rsidRDefault="00266BA4" w:rsidP="00747E56">
            <w:pPr>
              <w:spacing w:before="0" w:after="0"/>
              <w:jc w:val="right"/>
              <w:rPr>
                <w:rFonts w:ascii="Arial Narrow" w:hAnsi="Arial Narrow" w:cs="Calibri"/>
                <w:color w:val="000000"/>
                <w:sz w:val="18"/>
                <w:szCs w:val="18"/>
              </w:rPr>
            </w:pPr>
            <w:r>
              <w:rPr>
                <w:rFonts w:ascii="Arial Narrow" w:hAnsi="Arial Narrow" w:cs="Calibri"/>
                <w:color w:val="000000"/>
                <w:sz w:val="18"/>
                <w:szCs w:val="18"/>
              </w:rPr>
              <w:t>5,0</w:t>
            </w:r>
          </w:p>
        </w:tc>
        <w:tc>
          <w:tcPr>
            <w:tcW w:w="501" w:type="dxa"/>
            <w:tcBorders>
              <w:top w:val="nil"/>
              <w:left w:val="nil"/>
              <w:bottom w:val="single" w:sz="4" w:space="0" w:color="auto"/>
              <w:right w:val="nil"/>
            </w:tcBorders>
            <w:shd w:val="clear" w:color="000000" w:fill="FFFFFF"/>
            <w:vAlign w:val="center"/>
          </w:tcPr>
          <w:p w:rsidR="00266BA4" w:rsidRDefault="00266BA4" w:rsidP="00747E56">
            <w:pPr>
              <w:spacing w:before="0" w:after="0"/>
              <w:jc w:val="right"/>
              <w:rPr>
                <w:rFonts w:ascii="Arial Narrow" w:hAnsi="Arial Narrow" w:cs="Calibri"/>
                <w:color w:val="000000"/>
                <w:sz w:val="18"/>
                <w:szCs w:val="18"/>
              </w:rPr>
            </w:pPr>
            <w:r>
              <w:rPr>
                <w:rFonts w:ascii="Arial Narrow" w:hAnsi="Arial Narrow" w:cs="Calibri"/>
                <w:color w:val="000000"/>
                <w:sz w:val="18"/>
                <w:szCs w:val="18"/>
              </w:rPr>
              <w:t>4,5</w:t>
            </w:r>
          </w:p>
        </w:tc>
        <w:tc>
          <w:tcPr>
            <w:tcW w:w="501" w:type="dxa"/>
            <w:tcBorders>
              <w:top w:val="nil"/>
              <w:left w:val="nil"/>
              <w:bottom w:val="single" w:sz="4" w:space="0" w:color="auto"/>
              <w:right w:val="nil"/>
            </w:tcBorders>
            <w:shd w:val="clear" w:color="000000" w:fill="FFFFFF"/>
            <w:vAlign w:val="center"/>
          </w:tcPr>
          <w:p w:rsidR="00266BA4" w:rsidRDefault="00266BA4" w:rsidP="00747E56">
            <w:pPr>
              <w:spacing w:before="0" w:after="0"/>
              <w:jc w:val="right"/>
              <w:rPr>
                <w:rFonts w:ascii="Arial Narrow" w:hAnsi="Arial Narrow" w:cs="Calibri"/>
                <w:color w:val="000000"/>
                <w:sz w:val="18"/>
                <w:szCs w:val="18"/>
              </w:rPr>
            </w:pPr>
            <w:r>
              <w:rPr>
                <w:rFonts w:ascii="Arial Narrow" w:hAnsi="Arial Narrow" w:cs="Calibri"/>
                <w:color w:val="000000"/>
                <w:sz w:val="18"/>
                <w:szCs w:val="18"/>
              </w:rPr>
              <w:t>3,9</w:t>
            </w:r>
          </w:p>
        </w:tc>
        <w:tc>
          <w:tcPr>
            <w:tcW w:w="501" w:type="dxa"/>
            <w:tcBorders>
              <w:top w:val="nil"/>
              <w:left w:val="nil"/>
              <w:bottom w:val="single" w:sz="4" w:space="0" w:color="auto"/>
              <w:right w:val="nil"/>
            </w:tcBorders>
            <w:shd w:val="clear" w:color="000000" w:fill="FFFFFF"/>
            <w:vAlign w:val="center"/>
          </w:tcPr>
          <w:p w:rsidR="00266BA4" w:rsidRDefault="00266BA4" w:rsidP="00747E56">
            <w:pPr>
              <w:spacing w:before="0" w:after="0"/>
              <w:jc w:val="right"/>
              <w:rPr>
                <w:rFonts w:ascii="Arial Narrow" w:hAnsi="Arial Narrow" w:cs="Calibri"/>
                <w:color w:val="000000"/>
                <w:sz w:val="18"/>
                <w:szCs w:val="18"/>
              </w:rPr>
            </w:pPr>
            <w:r>
              <w:rPr>
                <w:rFonts w:ascii="Arial Narrow" w:hAnsi="Arial Narrow" w:cs="Calibri"/>
                <w:color w:val="000000"/>
                <w:sz w:val="18"/>
                <w:szCs w:val="18"/>
              </w:rPr>
              <w:t>3,2</w:t>
            </w:r>
          </w:p>
        </w:tc>
        <w:tc>
          <w:tcPr>
            <w:tcW w:w="501" w:type="dxa"/>
            <w:tcBorders>
              <w:top w:val="nil"/>
              <w:left w:val="nil"/>
              <w:bottom w:val="single" w:sz="4" w:space="0" w:color="auto"/>
              <w:right w:val="nil"/>
            </w:tcBorders>
            <w:shd w:val="clear" w:color="000000" w:fill="FFFFFF"/>
            <w:vAlign w:val="center"/>
          </w:tcPr>
          <w:p w:rsidR="00266BA4" w:rsidRDefault="00266BA4" w:rsidP="00747E56">
            <w:pPr>
              <w:spacing w:before="0" w:after="0"/>
              <w:jc w:val="right"/>
              <w:rPr>
                <w:rFonts w:ascii="Arial Narrow" w:hAnsi="Arial Narrow" w:cs="Calibri"/>
                <w:color w:val="000000"/>
                <w:sz w:val="18"/>
                <w:szCs w:val="18"/>
              </w:rPr>
            </w:pPr>
            <w:r>
              <w:rPr>
                <w:rFonts w:ascii="Arial Narrow" w:hAnsi="Arial Narrow" w:cs="Calibri"/>
                <w:color w:val="000000"/>
                <w:sz w:val="18"/>
                <w:szCs w:val="18"/>
              </w:rPr>
              <w:t>3,1</w:t>
            </w:r>
          </w:p>
        </w:tc>
        <w:tc>
          <w:tcPr>
            <w:tcW w:w="501" w:type="dxa"/>
            <w:tcBorders>
              <w:top w:val="nil"/>
              <w:left w:val="nil"/>
              <w:bottom w:val="single" w:sz="4" w:space="0" w:color="auto"/>
              <w:right w:val="nil"/>
            </w:tcBorders>
            <w:shd w:val="clear" w:color="000000" w:fill="FFFFFF"/>
            <w:vAlign w:val="center"/>
          </w:tcPr>
          <w:p w:rsidR="00266BA4" w:rsidRDefault="00266BA4" w:rsidP="00747E56">
            <w:pPr>
              <w:spacing w:before="0" w:after="0"/>
              <w:jc w:val="right"/>
              <w:rPr>
                <w:rFonts w:ascii="Arial Narrow" w:hAnsi="Arial Narrow" w:cs="Calibri"/>
                <w:color w:val="000000"/>
                <w:sz w:val="18"/>
                <w:szCs w:val="18"/>
              </w:rPr>
            </w:pPr>
            <w:r>
              <w:rPr>
                <w:rFonts w:ascii="Arial Narrow" w:hAnsi="Arial Narrow" w:cs="Calibri"/>
                <w:color w:val="000000"/>
                <w:sz w:val="18"/>
                <w:szCs w:val="18"/>
              </w:rPr>
              <w:t>2,7</w:t>
            </w:r>
          </w:p>
        </w:tc>
        <w:tc>
          <w:tcPr>
            <w:tcW w:w="552" w:type="dxa"/>
            <w:tcBorders>
              <w:top w:val="nil"/>
              <w:left w:val="nil"/>
              <w:bottom w:val="single" w:sz="4" w:space="0" w:color="auto"/>
              <w:right w:val="nil"/>
            </w:tcBorders>
            <w:shd w:val="clear" w:color="000000" w:fill="FFFFFF"/>
            <w:vAlign w:val="center"/>
          </w:tcPr>
          <w:p w:rsidR="00266BA4" w:rsidRDefault="00266BA4" w:rsidP="00747E56">
            <w:pPr>
              <w:spacing w:before="0" w:after="0"/>
              <w:jc w:val="right"/>
              <w:rPr>
                <w:rFonts w:ascii="Arial Narrow" w:hAnsi="Arial Narrow" w:cs="Calibri"/>
                <w:color w:val="000000"/>
                <w:sz w:val="18"/>
                <w:szCs w:val="18"/>
              </w:rPr>
            </w:pPr>
            <w:r>
              <w:rPr>
                <w:rFonts w:ascii="Arial Narrow" w:hAnsi="Arial Narrow" w:cs="Calibri"/>
                <w:color w:val="000000"/>
                <w:sz w:val="18"/>
                <w:szCs w:val="18"/>
              </w:rPr>
              <w:t>2,5</w:t>
            </w:r>
          </w:p>
        </w:tc>
        <w:tc>
          <w:tcPr>
            <w:tcW w:w="552" w:type="dxa"/>
            <w:tcBorders>
              <w:top w:val="nil"/>
              <w:left w:val="nil"/>
              <w:bottom w:val="single" w:sz="4" w:space="0" w:color="auto"/>
              <w:right w:val="nil"/>
            </w:tcBorders>
            <w:shd w:val="clear" w:color="000000" w:fill="FFFFFF"/>
            <w:vAlign w:val="center"/>
          </w:tcPr>
          <w:p w:rsidR="00266BA4" w:rsidRDefault="00266BA4" w:rsidP="00747E56">
            <w:pPr>
              <w:spacing w:before="0" w:after="0"/>
              <w:jc w:val="right"/>
              <w:rPr>
                <w:rFonts w:ascii="Arial Narrow" w:hAnsi="Arial Narrow" w:cs="Calibri"/>
                <w:color w:val="000000"/>
                <w:sz w:val="18"/>
                <w:szCs w:val="18"/>
              </w:rPr>
            </w:pPr>
            <w:r>
              <w:rPr>
                <w:rFonts w:ascii="Arial Narrow" w:hAnsi="Arial Narrow" w:cs="Calibri"/>
                <w:color w:val="000000"/>
                <w:sz w:val="18"/>
                <w:szCs w:val="18"/>
              </w:rPr>
              <w:t>2,4</w:t>
            </w:r>
          </w:p>
        </w:tc>
        <w:tc>
          <w:tcPr>
            <w:tcW w:w="525" w:type="dxa"/>
            <w:tcBorders>
              <w:top w:val="nil"/>
              <w:left w:val="nil"/>
              <w:bottom w:val="single" w:sz="4" w:space="0" w:color="auto"/>
              <w:right w:val="nil"/>
            </w:tcBorders>
            <w:shd w:val="clear" w:color="000000" w:fill="FFFFFF"/>
            <w:vAlign w:val="center"/>
          </w:tcPr>
          <w:p w:rsidR="00266BA4" w:rsidRDefault="00266BA4" w:rsidP="00747E56">
            <w:pPr>
              <w:spacing w:before="0" w:after="0"/>
              <w:jc w:val="right"/>
              <w:rPr>
                <w:rFonts w:ascii="Arial Narrow" w:hAnsi="Arial Narrow" w:cs="Calibri"/>
                <w:color w:val="000000"/>
                <w:sz w:val="18"/>
                <w:szCs w:val="18"/>
              </w:rPr>
            </w:pPr>
            <w:r>
              <w:rPr>
                <w:rFonts w:ascii="Arial Narrow" w:hAnsi="Arial Narrow" w:cs="Calibri"/>
                <w:color w:val="000000"/>
                <w:sz w:val="18"/>
                <w:szCs w:val="18"/>
              </w:rPr>
              <w:t>2,2</w:t>
            </w:r>
          </w:p>
        </w:tc>
        <w:tc>
          <w:tcPr>
            <w:tcW w:w="522" w:type="dxa"/>
            <w:tcBorders>
              <w:top w:val="nil"/>
              <w:left w:val="nil"/>
              <w:bottom w:val="single" w:sz="4" w:space="0" w:color="auto"/>
              <w:right w:val="nil"/>
            </w:tcBorders>
            <w:shd w:val="clear" w:color="000000" w:fill="FFFFFF"/>
            <w:vAlign w:val="center"/>
          </w:tcPr>
          <w:p w:rsidR="00266BA4" w:rsidRDefault="00266BA4" w:rsidP="00747E56">
            <w:pPr>
              <w:spacing w:before="0" w:after="0"/>
              <w:jc w:val="right"/>
              <w:rPr>
                <w:rFonts w:ascii="Arial Narrow" w:hAnsi="Arial Narrow" w:cs="Calibri"/>
                <w:color w:val="000000"/>
                <w:sz w:val="18"/>
                <w:szCs w:val="18"/>
              </w:rPr>
            </w:pPr>
            <w:r>
              <w:rPr>
                <w:rFonts w:ascii="Arial Narrow" w:hAnsi="Arial Narrow" w:cs="Calibri"/>
                <w:color w:val="000000"/>
                <w:sz w:val="18"/>
                <w:szCs w:val="18"/>
              </w:rPr>
              <w:t>2,1</w:t>
            </w:r>
          </w:p>
        </w:tc>
      </w:tr>
      <w:tr w:rsidR="00266BA4" w:rsidRPr="001D642A" w:rsidTr="00747E56">
        <w:trPr>
          <w:trHeight w:val="255"/>
          <w:jc w:val="center"/>
        </w:trPr>
        <w:tc>
          <w:tcPr>
            <w:tcW w:w="3262" w:type="dxa"/>
            <w:vMerge/>
            <w:tcBorders>
              <w:top w:val="nil"/>
              <w:left w:val="nil"/>
              <w:bottom w:val="single" w:sz="4" w:space="0" w:color="000000"/>
              <w:right w:val="nil"/>
            </w:tcBorders>
            <w:vAlign w:val="center"/>
            <w:hideMark/>
          </w:tcPr>
          <w:p w:rsidR="00266BA4" w:rsidRPr="001D642A" w:rsidRDefault="00266BA4" w:rsidP="00747E56">
            <w:pPr>
              <w:widowControl/>
              <w:overflowPunct/>
              <w:autoSpaceDE/>
              <w:autoSpaceDN/>
              <w:adjustRightInd/>
              <w:spacing w:before="0" w:after="0"/>
              <w:rPr>
                <w:rFonts w:ascii="Arial Narrow" w:hAnsi="Arial Narrow"/>
                <w:color w:val="000000"/>
                <w:kern w:val="0"/>
                <w:sz w:val="18"/>
                <w:szCs w:val="18"/>
              </w:rPr>
            </w:pPr>
          </w:p>
        </w:tc>
        <w:tc>
          <w:tcPr>
            <w:tcW w:w="286" w:type="dxa"/>
            <w:tcBorders>
              <w:top w:val="nil"/>
              <w:left w:val="nil"/>
              <w:bottom w:val="single" w:sz="4" w:space="0" w:color="auto"/>
              <w:right w:val="nil"/>
            </w:tcBorders>
            <w:shd w:val="clear" w:color="000000" w:fill="FFFFFF"/>
            <w:noWrap/>
            <w:vAlign w:val="center"/>
            <w:hideMark/>
          </w:tcPr>
          <w:p w:rsidR="00266BA4" w:rsidRPr="001D642A" w:rsidRDefault="00266BA4" w:rsidP="00747E56">
            <w:pPr>
              <w:widowControl/>
              <w:overflowPunct/>
              <w:autoSpaceDE/>
              <w:autoSpaceDN/>
              <w:adjustRightInd/>
              <w:spacing w:before="0" w:after="0"/>
              <w:jc w:val="center"/>
              <w:rPr>
                <w:rFonts w:ascii="Arial Narrow" w:hAnsi="Arial Narrow"/>
                <w:b/>
                <w:bCs/>
                <w:color w:val="000000"/>
                <w:kern w:val="0"/>
                <w:sz w:val="17"/>
                <w:szCs w:val="17"/>
              </w:rPr>
            </w:pPr>
            <w:r w:rsidRPr="001D642A">
              <w:rPr>
                <w:rFonts w:ascii="Arial Narrow" w:hAnsi="Arial Narrow"/>
                <w:b/>
                <w:bCs/>
                <w:color w:val="000000"/>
                <w:kern w:val="0"/>
                <w:sz w:val="17"/>
                <w:szCs w:val="17"/>
              </w:rPr>
              <w:t>D</w:t>
            </w:r>
          </w:p>
        </w:tc>
        <w:tc>
          <w:tcPr>
            <w:tcW w:w="500" w:type="dxa"/>
            <w:tcBorders>
              <w:top w:val="nil"/>
              <w:left w:val="nil"/>
              <w:bottom w:val="single" w:sz="4" w:space="0" w:color="auto"/>
              <w:right w:val="nil"/>
            </w:tcBorders>
            <w:shd w:val="clear" w:color="000000" w:fill="FFFFFF"/>
            <w:vAlign w:val="center"/>
          </w:tcPr>
          <w:p w:rsidR="00266BA4" w:rsidRPr="00A00F0F" w:rsidRDefault="00266BA4" w:rsidP="00747E56">
            <w:pPr>
              <w:spacing w:before="0" w:after="0"/>
              <w:jc w:val="right"/>
              <w:rPr>
                <w:rFonts w:ascii="Arial Narrow" w:hAnsi="Arial Narrow" w:cs="Calibri"/>
                <w:color w:val="000000"/>
                <w:sz w:val="18"/>
                <w:szCs w:val="18"/>
              </w:rPr>
            </w:pPr>
            <w:r w:rsidRPr="00A00F0F">
              <w:rPr>
                <w:rFonts w:ascii="Arial Narrow" w:hAnsi="Arial Narrow" w:cs="Calibri"/>
                <w:color w:val="000000"/>
                <w:sz w:val="18"/>
                <w:szCs w:val="18"/>
              </w:rPr>
              <w:t>6</w:t>
            </w:r>
            <w:r>
              <w:rPr>
                <w:rFonts w:ascii="Arial Narrow" w:hAnsi="Arial Narrow" w:cs="Calibri"/>
                <w:color w:val="000000"/>
                <w:sz w:val="18"/>
                <w:szCs w:val="18"/>
              </w:rPr>
              <w:t>,</w:t>
            </w:r>
            <w:r w:rsidRPr="00A00F0F">
              <w:rPr>
                <w:rFonts w:ascii="Arial Narrow" w:hAnsi="Arial Narrow" w:cs="Calibri"/>
                <w:color w:val="000000"/>
                <w:sz w:val="18"/>
                <w:szCs w:val="18"/>
              </w:rPr>
              <w:t>1</w:t>
            </w:r>
          </w:p>
        </w:tc>
        <w:tc>
          <w:tcPr>
            <w:tcW w:w="500" w:type="dxa"/>
            <w:tcBorders>
              <w:top w:val="nil"/>
              <w:left w:val="nil"/>
              <w:bottom w:val="single" w:sz="4" w:space="0" w:color="auto"/>
              <w:right w:val="nil"/>
            </w:tcBorders>
            <w:shd w:val="clear" w:color="000000" w:fill="FFFFFF"/>
            <w:vAlign w:val="center"/>
          </w:tcPr>
          <w:p w:rsidR="00266BA4" w:rsidRPr="00A00F0F" w:rsidRDefault="00266BA4" w:rsidP="00747E56">
            <w:pPr>
              <w:spacing w:before="0" w:after="0"/>
              <w:jc w:val="right"/>
              <w:rPr>
                <w:rFonts w:ascii="Arial Narrow" w:hAnsi="Arial Narrow" w:cs="Calibri"/>
                <w:color w:val="000000"/>
                <w:sz w:val="18"/>
                <w:szCs w:val="18"/>
              </w:rPr>
            </w:pPr>
            <w:r>
              <w:rPr>
                <w:rFonts w:ascii="Arial Narrow" w:hAnsi="Arial Narrow" w:cs="Calibri"/>
                <w:color w:val="000000"/>
                <w:sz w:val="18"/>
                <w:szCs w:val="18"/>
              </w:rPr>
              <w:t>5,6</w:t>
            </w:r>
          </w:p>
        </w:tc>
        <w:tc>
          <w:tcPr>
            <w:tcW w:w="500" w:type="dxa"/>
            <w:tcBorders>
              <w:top w:val="nil"/>
              <w:left w:val="nil"/>
              <w:bottom w:val="single" w:sz="4" w:space="0" w:color="auto"/>
              <w:right w:val="nil"/>
            </w:tcBorders>
            <w:shd w:val="clear" w:color="000000" w:fill="FFFFFF"/>
            <w:vAlign w:val="center"/>
          </w:tcPr>
          <w:p w:rsidR="00266BA4" w:rsidRPr="00A00F0F" w:rsidRDefault="00266BA4" w:rsidP="00747E56">
            <w:pPr>
              <w:spacing w:before="0" w:after="0"/>
              <w:jc w:val="right"/>
              <w:rPr>
                <w:rFonts w:ascii="Arial Narrow" w:hAnsi="Arial Narrow" w:cs="Calibri"/>
                <w:color w:val="000000"/>
                <w:sz w:val="18"/>
                <w:szCs w:val="18"/>
              </w:rPr>
            </w:pPr>
            <w:r>
              <w:rPr>
                <w:rFonts w:ascii="Arial Narrow" w:hAnsi="Arial Narrow" w:cs="Calibri"/>
                <w:color w:val="000000"/>
                <w:sz w:val="18"/>
                <w:szCs w:val="18"/>
              </w:rPr>
              <w:t>5,0</w:t>
            </w:r>
          </w:p>
        </w:tc>
        <w:tc>
          <w:tcPr>
            <w:tcW w:w="501" w:type="dxa"/>
            <w:tcBorders>
              <w:top w:val="nil"/>
              <w:left w:val="nil"/>
              <w:bottom w:val="single" w:sz="4" w:space="0" w:color="auto"/>
              <w:right w:val="nil"/>
            </w:tcBorders>
            <w:shd w:val="clear" w:color="000000" w:fill="FFFFFF"/>
            <w:vAlign w:val="center"/>
          </w:tcPr>
          <w:p w:rsidR="00266BA4" w:rsidRDefault="00266BA4" w:rsidP="00747E56">
            <w:pPr>
              <w:spacing w:before="0" w:after="0"/>
              <w:jc w:val="right"/>
              <w:rPr>
                <w:rFonts w:ascii="Arial Narrow" w:hAnsi="Arial Narrow" w:cs="Calibri"/>
                <w:color w:val="000000"/>
                <w:sz w:val="18"/>
                <w:szCs w:val="18"/>
              </w:rPr>
            </w:pPr>
            <w:r>
              <w:rPr>
                <w:rFonts w:ascii="Arial Narrow" w:hAnsi="Arial Narrow" w:cs="Calibri"/>
                <w:color w:val="000000"/>
                <w:sz w:val="18"/>
                <w:szCs w:val="18"/>
              </w:rPr>
              <w:t>4,9</w:t>
            </w:r>
          </w:p>
        </w:tc>
        <w:tc>
          <w:tcPr>
            <w:tcW w:w="501" w:type="dxa"/>
            <w:tcBorders>
              <w:top w:val="nil"/>
              <w:left w:val="nil"/>
              <w:bottom w:val="single" w:sz="4" w:space="0" w:color="auto"/>
              <w:right w:val="nil"/>
            </w:tcBorders>
            <w:shd w:val="clear" w:color="000000" w:fill="FFFFFF"/>
            <w:vAlign w:val="center"/>
          </w:tcPr>
          <w:p w:rsidR="00266BA4" w:rsidRDefault="00266BA4" w:rsidP="00747E56">
            <w:pPr>
              <w:spacing w:before="0" w:after="0"/>
              <w:jc w:val="right"/>
              <w:rPr>
                <w:rFonts w:ascii="Arial Narrow" w:hAnsi="Arial Narrow" w:cs="Calibri"/>
                <w:color w:val="000000"/>
                <w:sz w:val="18"/>
                <w:szCs w:val="18"/>
              </w:rPr>
            </w:pPr>
            <w:r>
              <w:rPr>
                <w:rFonts w:ascii="Arial Narrow" w:hAnsi="Arial Narrow" w:cs="Calibri"/>
                <w:color w:val="000000"/>
                <w:sz w:val="18"/>
                <w:szCs w:val="18"/>
              </w:rPr>
              <w:t>4,4</w:t>
            </w:r>
          </w:p>
        </w:tc>
        <w:tc>
          <w:tcPr>
            <w:tcW w:w="501" w:type="dxa"/>
            <w:tcBorders>
              <w:top w:val="nil"/>
              <w:left w:val="nil"/>
              <w:bottom w:val="single" w:sz="4" w:space="0" w:color="auto"/>
              <w:right w:val="nil"/>
            </w:tcBorders>
            <w:shd w:val="clear" w:color="000000" w:fill="FFFFFF"/>
            <w:vAlign w:val="center"/>
          </w:tcPr>
          <w:p w:rsidR="00266BA4" w:rsidRDefault="00266BA4" w:rsidP="00747E56">
            <w:pPr>
              <w:spacing w:before="0" w:after="0"/>
              <w:jc w:val="right"/>
              <w:rPr>
                <w:rFonts w:ascii="Arial Narrow" w:hAnsi="Arial Narrow" w:cs="Calibri"/>
                <w:color w:val="000000"/>
                <w:sz w:val="18"/>
                <w:szCs w:val="18"/>
              </w:rPr>
            </w:pPr>
            <w:r>
              <w:rPr>
                <w:rFonts w:ascii="Arial Narrow" w:hAnsi="Arial Narrow" w:cs="Calibri"/>
                <w:color w:val="000000"/>
                <w:sz w:val="18"/>
                <w:szCs w:val="18"/>
              </w:rPr>
              <w:t>3,7</w:t>
            </w:r>
          </w:p>
        </w:tc>
        <w:tc>
          <w:tcPr>
            <w:tcW w:w="501" w:type="dxa"/>
            <w:tcBorders>
              <w:top w:val="nil"/>
              <w:left w:val="nil"/>
              <w:bottom w:val="single" w:sz="4" w:space="0" w:color="auto"/>
              <w:right w:val="nil"/>
            </w:tcBorders>
            <w:shd w:val="clear" w:color="000000" w:fill="FFFFFF"/>
            <w:vAlign w:val="center"/>
          </w:tcPr>
          <w:p w:rsidR="00266BA4" w:rsidRDefault="00266BA4" w:rsidP="00747E56">
            <w:pPr>
              <w:spacing w:before="0" w:after="0"/>
              <w:jc w:val="right"/>
              <w:rPr>
                <w:rFonts w:ascii="Arial Narrow" w:hAnsi="Arial Narrow" w:cs="Calibri"/>
                <w:color w:val="000000"/>
                <w:sz w:val="18"/>
                <w:szCs w:val="18"/>
              </w:rPr>
            </w:pPr>
            <w:r>
              <w:rPr>
                <w:rFonts w:ascii="Arial Narrow" w:hAnsi="Arial Narrow" w:cs="Calibri"/>
                <w:color w:val="000000"/>
                <w:sz w:val="18"/>
                <w:szCs w:val="18"/>
              </w:rPr>
              <w:t>3,2</w:t>
            </w:r>
          </w:p>
        </w:tc>
        <w:tc>
          <w:tcPr>
            <w:tcW w:w="501" w:type="dxa"/>
            <w:tcBorders>
              <w:top w:val="nil"/>
              <w:left w:val="nil"/>
              <w:bottom w:val="single" w:sz="4" w:space="0" w:color="auto"/>
              <w:right w:val="nil"/>
            </w:tcBorders>
            <w:shd w:val="clear" w:color="000000" w:fill="FFFFFF"/>
            <w:vAlign w:val="center"/>
          </w:tcPr>
          <w:p w:rsidR="00266BA4" w:rsidRDefault="00266BA4" w:rsidP="00747E56">
            <w:pPr>
              <w:spacing w:before="0" w:after="0"/>
              <w:jc w:val="right"/>
              <w:rPr>
                <w:rFonts w:ascii="Arial Narrow" w:hAnsi="Arial Narrow" w:cs="Calibri"/>
                <w:color w:val="000000"/>
                <w:sz w:val="18"/>
                <w:szCs w:val="18"/>
              </w:rPr>
            </w:pPr>
            <w:r>
              <w:rPr>
                <w:rFonts w:ascii="Arial Narrow" w:hAnsi="Arial Narrow" w:cs="Calibri"/>
                <w:color w:val="000000"/>
                <w:sz w:val="18"/>
                <w:szCs w:val="18"/>
              </w:rPr>
              <w:t>3,0</w:t>
            </w:r>
          </w:p>
        </w:tc>
        <w:tc>
          <w:tcPr>
            <w:tcW w:w="501" w:type="dxa"/>
            <w:tcBorders>
              <w:top w:val="nil"/>
              <w:left w:val="nil"/>
              <w:bottom w:val="single" w:sz="4" w:space="0" w:color="auto"/>
              <w:right w:val="nil"/>
            </w:tcBorders>
            <w:shd w:val="clear" w:color="000000" w:fill="FFFFFF"/>
            <w:vAlign w:val="center"/>
          </w:tcPr>
          <w:p w:rsidR="00266BA4" w:rsidRDefault="00266BA4" w:rsidP="00747E56">
            <w:pPr>
              <w:spacing w:before="0" w:after="0"/>
              <w:jc w:val="right"/>
              <w:rPr>
                <w:rFonts w:ascii="Arial Narrow" w:hAnsi="Arial Narrow" w:cs="Calibri"/>
                <w:color w:val="000000"/>
                <w:sz w:val="18"/>
                <w:szCs w:val="18"/>
              </w:rPr>
            </w:pPr>
            <w:r>
              <w:rPr>
                <w:rFonts w:ascii="Arial Narrow" w:hAnsi="Arial Narrow" w:cs="Calibri"/>
                <w:color w:val="000000"/>
                <w:sz w:val="18"/>
                <w:szCs w:val="18"/>
              </w:rPr>
              <w:t>2,6</w:t>
            </w:r>
          </w:p>
        </w:tc>
        <w:tc>
          <w:tcPr>
            <w:tcW w:w="552" w:type="dxa"/>
            <w:tcBorders>
              <w:top w:val="nil"/>
              <w:left w:val="nil"/>
              <w:bottom w:val="single" w:sz="4" w:space="0" w:color="auto"/>
              <w:right w:val="nil"/>
            </w:tcBorders>
            <w:shd w:val="clear" w:color="000000" w:fill="FFFFFF"/>
            <w:vAlign w:val="center"/>
          </w:tcPr>
          <w:p w:rsidR="00266BA4" w:rsidRDefault="00266BA4" w:rsidP="00747E56">
            <w:pPr>
              <w:spacing w:before="0" w:after="0"/>
              <w:jc w:val="right"/>
              <w:rPr>
                <w:rFonts w:ascii="Arial Narrow" w:hAnsi="Arial Narrow" w:cs="Calibri"/>
                <w:color w:val="000000"/>
                <w:sz w:val="18"/>
                <w:szCs w:val="18"/>
              </w:rPr>
            </w:pPr>
            <w:r>
              <w:rPr>
                <w:rFonts w:ascii="Arial Narrow" w:hAnsi="Arial Narrow" w:cs="Calibri"/>
                <w:color w:val="000000"/>
                <w:sz w:val="18"/>
                <w:szCs w:val="18"/>
              </w:rPr>
              <w:t>2,4</w:t>
            </w:r>
          </w:p>
        </w:tc>
        <w:tc>
          <w:tcPr>
            <w:tcW w:w="552" w:type="dxa"/>
            <w:tcBorders>
              <w:top w:val="nil"/>
              <w:left w:val="nil"/>
              <w:bottom w:val="single" w:sz="4" w:space="0" w:color="auto"/>
              <w:right w:val="nil"/>
            </w:tcBorders>
            <w:shd w:val="clear" w:color="000000" w:fill="FFFFFF"/>
            <w:vAlign w:val="center"/>
          </w:tcPr>
          <w:p w:rsidR="00266BA4" w:rsidRDefault="00266BA4" w:rsidP="00747E56">
            <w:pPr>
              <w:spacing w:before="0" w:after="0"/>
              <w:jc w:val="right"/>
              <w:rPr>
                <w:rFonts w:ascii="Arial Narrow" w:hAnsi="Arial Narrow" w:cs="Calibri"/>
                <w:color w:val="000000"/>
                <w:sz w:val="18"/>
                <w:szCs w:val="18"/>
              </w:rPr>
            </w:pPr>
            <w:r>
              <w:rPr>
                <w:rFonts w:ascii="Arial Narrow" w:hAnsi="Arial Narrow" w:cs="Calibri"/>
                <w:color w:val="000000"/>
                <w:sz w:val="18"/>
                <w:szCs w:val="18"/>
              </w:rPr>
              <w:t>2,3</w:t>
            </w:r>
          </w:p>
        </w:tc>
        <w:tc>
          <w:tcPr>
            <w:tcW w:w="525" w:type="dxa"/>
            <w:tcBorders>
              <w:top w:val="nil"/>
              <w:left w:val="nil"/>
              <w:bottom w:val="single" w:sz="4" w:space="0" w:color="auto"/>
              <w:right w:val="nil"/>
            </w:tcBorders>
            <w:shd w:val="clear" w:color="000000" w:fill="FFFFFF"/>
            <w:vAlign w:val="center"/>
          </w:tcPr>
          <w:p w:rsidR="00266BA4" w:rsidRDefault="00266BA4" w:rsidP="00747E56">
            <w:pPr>
              <w:spacing w:before="0" w:after="0"/>
              <w:jc w:val="right"/>
              <w:rPr>
                <w:rFonts w:ascii="Arial Narrow" w:hAnsi="Arial Narrow" w:cs="Calibri"/>
                <w:color w:val="000000"/>
                <w:sz w:val="18"/>
                <w:szCs w:val="18"/>
              </w:rPr>
            </w:pPr>
            <w:r>
              <w:rPr>
                <w:rFonts w:ascii="Arial Narrow" w:hAnsi="Arial Narrow" w:cs="Calibri"/>
                <w:color w:val="000000"/>
                <w:sz w:val="18"/>
                <w:szCs w:val="18"/>
              </w:rPr>
              <w:t>2,2</w:t>
            </w:r>
          </w:p>
        </w:tc>
        <w:tc>
          <w:tcPr>
            <w:tcW w:w="522" w:type="dxa"/>
            <w:tcBorders>
              <w:top w:val="nil"/>
              <w:left w:val="nil"/>
              <w:bottom w:val="single" w:sz="4" w:space="0" w:color="auto"/>
              <w:right w:val="nil"/>
            </w:tcBorders>
            <w:shd w:val="clear" w:color="000000" w:fill="FFFFFF"/>
            <w:vAlign w:val="center"/>
          </w:tcPr>
          <w:p w:rsidR="00266BA4" w:rsidRDefault="00266BA4" w:rsidP="00747E56">
            <w:pPr>
              <w:spacing w:before="0" w:after="0"/>
              <w:jc w:val="right"/>
              <w:rPr>
                <w:rFonts w:ascii="Arial Narrow" w:hAnsi="Arial Narrow" w:cs="Calibri"/>
                <w:color w:val="000000"/>
                <w:sz w:val="18"/>
                <w:szCs w:val="18"/>
              </w:rPr>
            </w:pPr>
            <w:r>
              <w:rPr>
                <w:rFonts w:ascii="Arial Narrow" w:hAnsi="Arial Narrow" w:cs="Calibri"/>
                <w:color w:val="000000"/>
                <w:sz w:val="18"/>
                <w:szCs w:val="18"/>
              </w:rPr>
              <w:t>2,1</w:t>
            </w:r>
          </w:p>
        </w:tc>
      </w:tr>
      <w:tr w:rsidR="00266BA4" w:rsidRPr="001D642A" w:rsidTr="00747E56">
        <w:trPr>
          <w:trHeight w:val="255"/>
          <w:jc w:val="center"/>
        </w:trPr>
        <w:tc>
          <w:tcPr>
            <w:tcW w:w="3262" w:type="dxa"/>
            <w:vMerge w:val="restart"/>
            <w:tcBorders>
              <w:top w:val="nil"/>
              <w:left w:val="nil"/>
              <w:bottom w:val="single" w:sz="4" w:space="0" w:color="000000"/>
              <w:right w:val="nil"/>
            </w:tcBorders>
            <w:shd w:val="clear" w:color="000000" w:fill="FFFFFF"/>
            <w:vAlign w:val="center"/>
            <w:hideMark/>
          </w:tcPr>
          <w:p w:rsidR="00266BA4" w:rsidRPr="001D642A" w:rsidRDefault="00266BA4" w:rsidP="00747E56">
            <w:pPr>
              <w:widowControl/>
              <w:overflowPunct/>
              <w:autoSpaceDE/>
              <w:autoSpaceDN/>
              <w:adjustRightInd/>
              <w:spacing w:before="0" w:after="0"/>
              <w:ind w:right="-70"/>
              <w:rPr>
                <w:rFonts w:ascii="Arial Narrow" w:hAnsi="Arial Narrow"/>
                <w:color w:val="000000"/>
                <w:kern w:val="0"/>
                <w:sz w:val="18"/>
                <w:szCs w:val="18"/>
              </w:rPr>
            </w:pPr>
            <w:r w:rsidRPr="001D642A">
              <w:rPr>
                <w:rFonts w:ascii="Arial Narrow" w:hAnsi="Arial Narrow"/>
                <w:color w:val="000000"/>
                <w:kern w:val="0"/>
                <w:sz w:val="18"/>
                <w:szCs w:val="18"/>
              </w:rPr>
              <w:t>Indice generale al netto di energia, alimentari (incluse bevande alcoliche) e tabacchi</w:t>
            </w:r>
          </w:p>
        </w:tc>
        <w:tc>
          <w:tcPr>
            <w:tcW w:w="286" w:type="dxa"/>
            <w:tcBorders>
              <w:top w:val="nil"/>
              <w:left w:val="nil"/>
              <w:bottom w:val="single" w:sz="4" w:space="0" w:color="auto"/>
              <w:right w:val="nil"/>
            </w:tcBorders>
            <w:shd w:val="clear" w:color="000000" w:fill="FFFFFF"/>
            <w:noWrap/>
            <w:vAlign w:val="center"/>
            <w:hideMark/>
          </w:tcPr>
          <w:p w:rsidR="00266BA4" w:rsidRPr="001D642A" w:rsidRDefault="00266BA4" w:rsidP="00747E56">
            <w:pPr>
              <w:widowControl/>
              <w:overflowPunct/>
              <w:autoSpaceDE/>
              <w:autoSpaceDN/>
              <w:adjustRightInd/>
              <w:spacing w:before="0" w:after="0"/>
              <w:jc w:val="center"/>
              <w:rPr>
                <w:rFonts w:ascii="Arial Narrow" w:hAnsi="Arial Narrow"/>
                <w:b/>
                <w:bCs/>
                <w:color w:val="000000"/>
                <w:kern w:val="0"/>
                <w:sz w:val="17"/>
                <w:szCs w:val="17"/>
              </w:rPr>
            </w:pPr>
            <w:r w:rsidRPr="001D642A">
              <w:rPr>
                <w:rFonts w:ascii="Arial Narrow" w:hAnsi="Arial Narrow"/>
                <w:b/>
                <w:bCs/>
                <w:color w:val="000000"/>
                <w:kern w:val="0"/>
                <w:sz w:val="17"/>
                <w:szCs w:val="17"/>
              </w:rPr>
              <w:t>P</w:t>
            </w:r>
          </w:p>
        </w:tc>
        <w:tc>
          <w:tcPr>
            <w:tcW w:w="500" w:type="dxa"/>
            <w:tcBorders>
              <w:top w:val="nil"/>
              <w:left w:val="nil"/>
              <w:bottom w:val="single" w:sz="4" w:space="0" w:color="auto"/>
              <w:right w:val="nil"/>
            </w:tcBorders>
            <w:shd w:val="clear" w:color="000000" w:fill="FFFFFF"/>
            <w:vAlign w:val="center"/>
          </w:tcPr>
          <w:p w:rsidR="00266BA4" w:rsidRPr="00A00F0F" w:rsidRDefault="00266BA4" w:rsidP="00747E56">
            <w:pPr>
              <w:spacing w:before="0" w:after="0"/>
              <w:jc w:val="right"/>
              <w:rPr>
                <w:rFonts w:ascii="Arial Narrow" w:hAnsi="Arial Narrow" w:cs="Calibri"/>
                <w:color w:val="000000"/>
                <w:sz w:val="18"/>
                <w:szCs w:val="18"/>
              </w:rPr>
            </w:pPr>
            <w:r w:rsidRPr="00A00F0F">
              <w:rPr>
                <w:rFonts w:ascii="Arial Narrow" w:hAnsi="Arial Narrow" w:cs="Calibri"/>
                <w:color w:val="000000"/>
                <w:sz w:val="18"/>
                <w:szCs w:val="18"/>
              </w:rPr>
              <w:t>4</w:t>
            </w:r>
            <w:r>
              <w:rPr>
                <w:rFonts w:ascii="Arial Narrow" w:hAnsi="Arial Narrow" w:cs="Calibri"/>
                <w:color w:val="000000"/>
                <w:sz w:val="18"/>
                <w:szCs w:val="18"/>
              </w:rPr>
              <w:t>,</w:t>
            </w:r>
            <w:r w:rsidRPr="00A00F0F">
              <w:rPr>
                <w:rFonts w:ascii="Arial Narrow" w:hAnsi="Arial Narrow" w:cs="Calibri"/>
                <w:color w:val="000000"/>
                <w:sz w:val="18"/>
                <w:szCs w:val="18"/>
              </w:rPr>
              <w:t>8</w:t>
            </w:r>
          </w:p>
        </w:tc>
        <w:tc>
          <w:tcPr>
            <w:tcW w:w="500" w:type="dxa"/>
            <w:tcBorders>
              <w:top w:val="nil"/>
              <w:left w:val="nil"/>
              <w:bottom w:val="single" w:sz="4" w:space="0" w:color="auto"/>
              <w:right w:val="nil"/>
            </w:tcBorders>
            <w:shd w:val="clear" w:color="000000" w:fill="FFFFFF"/>
            <w:vAlign w:val="center"/>
          </w:tcPr>
          <w:p w:rsidR="00266BA4" w:rsidRPr="00A00F0F" w:rsidRDefault="00266BA4" w:rsidP="00747E56">
            <w:pPr>
              <w:spacing w:before="0" w:after="0"/>
              <w:jc w:val="right"/>
              <w:rPr>
                <w:rFonts w:ascii="Arial Narrow" w:hAnsi="Arial Narrow" w:cs="Calibri"/>
                <w:color w:val="000000"/>
                <w:sz w:val="18"/>
                <w:szCs w:val="18"/>
              </w:rPr>
            </w:pPr>
            <w:r w:rsidRPr="00A00F0F">
              <w:rPr>
                <w:rFonts w:ascii="Arial Narrow" w:hAnsi="Arial Narrow" w:cs="Calibri"/>
                <w:color w:val="000000"/>
                <w:sz w:val="18"/>
                <w:szCs w:val="18"/>
              </w:rPr>
              <w:t>4</w:t>
            </w:r>
            <w:r>
              <w:rPr>
                <w:rFonts w:ascii="Arial Narrow" w:hAnsi="Arial Narrow" w:cs="Calibri"/>
                <w:color w:val="000000"/>
                <w:sz w:val="18"/>
                <w:szCs w:val="18"/>
              </w:rPr>
              <w:t>,</w:t>
            </w:r>
            <w:r w:rsidRPr="00A00F0F">
              <w:rPr>
                <w:rFonts w:ascii="Arial Narrow" w:hAnsi="Arial Narrow" w:cs="Calibri"/>
                <w:color w:val="000000"/>
                <w:sz w:val="18"/>
                <w:szCs w:val="18"/>
              </w:rPr>
              <w:t>8</w:t>
            </w:r>
          </w:p>
        </w:tc>
        <w:tc>
          <w:tcPr>
            <w:tcW w:w="500" w:type="dxa"/>
            <w:tcBorders>
              <w:top w:val="nil"/>
              <w:left w:val="nil"/>
              <w:bottom w:val="single" w:sz="4" w:space="0" w:color="auto"/>
              <w:right w:val="nil"/>
            </w:tcBorders>
            <w:shd w:val="clear" w:color="000000" w:fill="FFFFFF"/>
            <w:vAlign w:val="center"/>
          </w:tcPr>
          <w:p w:rsidR="00266BA4" w:rsidRPr="00A00F0F" w:rsidRDefault="00266BA4" w:rsidP="00747E56">
            <w:pPr>
              <w:spacing w:before="0" w:after="0"/>
              <w:jc w:val="right"/>
              <w:rPr>
                <w:rFonts w:ascii="Arial Narrow" w:hAnsi="Arial Narrow" w:cs="Calibri"/>
                <w:color w:val="000000"/>
                <w:sz w:val="18"/>
                <w:szCs w:val="18"/>
              </w:rPr>
            </w:pPr>
            <w:r>
              <w:rPr>
                <w:rFonts w:ascii="Arial Narrow" w:hAnsi="Arial Narrow" w:cs="Calibri"/>
                <w:color w:val="000000"/>
                <w:sz w:val="18"/>
                <w:szCs w:val="18"/>
              </w:rPr>
              <w:t>4,1</w:t>
            </w:r>
          </w:p>
        </w:tc>
        <w:tc>
          <w:tcPr>
            <w:tcW w:w="501" w:type="dxa"/>
            <w:tcBorders>
              <w:top w:val="nil"/>
              <w:left w:val="nil"/>
              <w:bottom w:val="single" w:sz="4" w:space="0" w:color="auto"/>
              <w:right w:val="nil"/>
            </w:tcBorders>
            <w:shd w:val="clear" w:color="000000" w:fill="FFFFFF"/>
            <w:vAlign w:val="center"/>
          </w:tcPr>
          <w:p w:rsidR="00266BA4" w:rsidRDefault="00266BA4" w:rsidP="00747E56">
            <w:pPr>
              <w:spacing w:before="0" w:after="0"/>
              <w:jc w:val="right"/>
              <w:rPr>
                <w:rFonts w:ascii="Arial Narrow" w:hAnsi="Arial Narrow" w:cs="Calibri"/>
                <w:color w:val="000000"/>
                <w:sz w:val="18"/>
                <w:szCs w:val="18"/>
              </w:rPr>
            </w:pPr>
            <w:r>
              <w:rPr>
                <w:rFonts w:ascii="Arial Narrow" w:hAnsi="Arial Narrow" w:cs="Calibri"/>
                <w:color w:val="000000"/>
                <w:sz w:val="18"/>
                <w:szCs w:val="18"/>
              </w:rPr>
              <w:t>4,1</w:t>
            </w:r>
          </w:p>
        </w:tc>
        <w:tc>
          <w:tcPr>
            <w:tcW w:w="501" w:type="dxa"/>
            <w:tcBorders>
              <w:top w:val="nil"/>
              <w:left w:val="nil"/>
              <w:bottom w:val="single" w:sz="4" w:space="0" w:color="auto"/>
              <w:right w:val="nil"/>
            </w:tcBorders>
            <w:shd w:val="clear" w:color="000000" w:fill="FFFFFF"/>
            <w:vAlign w:val="center"/>
          </w:tcPr>
          <w:p w:rsidR="00266BA4" w:rsidRDefault="00266BA4" w:rsidP="00747E56">
            <w:pPr>
              <w:spacing w:before="0" w:after="0"/>
              <w:jc w:val="right"/>
              <w:rPr>
                <w:rFonts w:ascii="Arial Narrow" w:hAnsi="Arial Narrow" w:cs="Calibri"/>
                <w:color w:val="000000"/>
                <w:sz w:val="18"/>
                <w:szCs w:val="18"/>
              </w:rPr>
            </w:pPr>
            <w:r>
              <w:rPr>
                <w:rFonts w:ascii="Arial Narrow" w:hAnsi="Arial Narrow" w:cs="Calibri"/>
                <w:color w:val="000000"/>
                <w:sz w:val="18"/>
                <w:szCs w:val="18"/>
              </w:rPr>
              <w:t>3,9</w:t>
            </w:r>
          </w:p>
        </w:tc>
        <w:tc>
          <w:tcPr>
            <w:tcW w:w="501" w:type="dxa"/>
            <w:tcBorders>
              <w:top w:val="nil"/>
              <w:left w:val="nil"/>
              <w:bottom w:val="single" w:sz="4" w:space="0" w:color="auto"/>
              <w:right w:val="nil"/>
            </w:tcBorders>
            <w:shd w:val="clear" w:color="000000" w:fill="FFFFFF"/>
            <w:vAlign w:val="center"/>
          </w:tcPr>
          <w:p w:rsidR="00266BA4" w:rsidRDefault="00266BA4" w:rsidP="00747E56">
            <w:pPr>
              <w:spacing w:before="0" w:after="0"/>
              <w:jc w:val="right"/>
              <w:rPr>
                <w:rFonts w:ascii="Arial Narrow" w:hAnsi="Arial Narrow" w:cs="Calibri"/>
                <w:color w:val="000000"/>
                <w:sz w:val="18"/>
                <w:szCs w:val="18"/>
              </w:rPr>
            </w:pPr>
            <w:r>
              <w:rPr>
                <w:rFonts w:ascii="Arial Narrow" w:hAnsi="Arial Narrow" w:cs="Calibri"/>
                <w:color w:val="000000"/>
                <w:sz w:val="18"/>
                <w:szCs w:val="18"/>
              </w:rPr>
              <w:t>3,4</w:t>
            </w:r>
          </w:p>
        </w:tc>
        <w:tc>
          <w:tcPr>
            <w:tcW w:w="501" w:type="dxa"/>
            <w:tcBorders>
              <w:top w:val="nil"/>
              <w:left w:val="nil"/>
              <w:bottom w:val="single" w:sz="4" w:space="0" w:color="auto"/>
              <w:right w:val="nil"/>
            </w:tcBorders>
            <w:shd w:val="clear" w:color="000000" w:fill="FFFFFF"/>
            <w:vAlign w:val="center"/>
          </w:tcPr>
          <w:p w:rsidR="00266BA4" w:rsidRDefault="00266BA4" w:rsidP="00747E56">
            <w:pPr>
              <w:spacing w:before="0" w:after="0"/>
              <w:jc w:val="right"/>
              <w:rPr>
                <w:rFonts w:ascii="Arial Narrow" w:hAnsi="Arial Narrow" w:cs="Calibri"/>
                <w:color w:val="000000"/>
                <w:sz w:val="18"/>
                <w:szCs w:val="18"/>
              </w:rPr>
            </w:pPr>
            <w:r>
              <w:rPr>
                <w:rFonts w:ascii="Arial Narrow" w:hAnsi="Arial Narrow" w:cs="Calibri"/>
                <w:color w:val="000000"/>
                <w:sz w:val="18"/>
                <w:szCs w:val="18"/>
              </w:rPr>
              <w:t>3,0</w:t>
            </w:r>
          </w:p>
        </w:tc>
        <w:tc>
          <w:tcPr>
            <w:tcW w:w="501" w:type="dxa"/>
            <w:tcBorders>
              <w:top w:val="nil"/>
              <w:left w:val="nil"/>
              <w:bottom w:val="single" w:sz="4" w:space="0" w:color="auto"/>
              <w:right w:val="nil"/>
            </w:tcBorders>
            <w:shd w:val="clear" w:color="000000" w:fill="FFFFFF"/>
            <w:vAlign w:val="center"/>
          </w:tcPr>
          <w:p w:rsidR="00266BA4" w:rsidRDefault="00266BA4" w:rsidP="00747E56">
            <w:pPr>
              <w:spacing w:before="0" w:after="0"/>
              <w:jc w:val="right"/>
              <w:rPr>
                <w:rFonts w:ascii="Arial Narrow" w:hAnsi="Arial Narrow" w:cs="Calibri"/>
                <w:color w:val="000000"/>
                <w:sz w:val="18"/>
                <w:szCs w:val="18"/>
              </w:rPr>
            </w:pPr>
            <w:r>
              <w:rPr>
                <w:rFonts w:ascii="Arial Narrow" w:hAnsi="Arial Narrow" w:cs="Calibri"/>
                <w:color w:val="000000"/>
                <w:sz w:val="18"/>
                <w:szCs w:val="18"/>
              </w:rPr>
              <w:t>2,8</w:t>
            </w:r>
          </w:p>
        </w:tc>
        <w:tc>
          <w:tcPr>
            <w:tcW w:w="501" w:type="dxa"/>
            <w:tcBorders>
              <w:top w:val="nil"/>
              <w:left w:val="nil"/>
              <w:bottom w:val="single" w:sz="4" w:space="0" w:color="auto"/>
              <w:right w:val="nil"/>
            </w:tcBorders>
            <w:shd w:val="clear" w:color="000000" w:fill="FFFFFF"/>
            <w:vAlign w:val="center"/>
          </w:tcPr>
          <w:p w:rsidR="00266BA4" w:rsidRDefault="00266BA4" w:rsidP="00747E56">
            <w:pPr>
              <w:spacing w:before="0" w:after="0"/>
              <w:jc w:val="right"/>
              <w:rPr>
                <w:rFonts w:ascii="Arial Narrow" w:hAnsi="Arial Narrow" w:cs="Calibri"/>
                <w:color w:val="000000"/>
                <w:sz w:val="18"/>
                <w:szCs w:val="18"/>
              </w:rPr>
            </w:pPr>
            <w:r>
              <w:rPr>
                <w:rFonts w:ascii="Arial Narrow" w:hAnsi="Arial Narrow" w:cs="Calibri"/>
                <w:color w:val="000000"/>
                <w:sz w:val="18"/>
                <w:szCs w:val="18"/>
              </w:rPr>
              <w:t>2,6</w:t>
            </w:r>
          </w:p>
        </w:tc>
        <w:tc>
          <w:tcPr>
            <w:tcW w:w="552" w:type="dxa"/>
            <w:tcBorders>
              <w:top w:val="nil"/>
              <w:left w:val="nil"/>
              <w:bottom w:val="single" w:sz="4" w:space="0" w:color="auto"/>
              <w:right w:val="nil"/>
            </w:tcBorders>
            <w:shd w:val="clear" w:color="000000" w:fill="FFFFFF"/>
            <w:vAlign w:val="center"/>
          </w:tcPr>
          <w:p w:rsidR="00266BA4" w:rsidRDefault="00266BA4" w:rsidP="00747E56">
            <w:pPr>
              <w:spacing w:before="0" w:after="0"/>
              <w:jc w:val="right"/>
              <w:rPr>
                <w:rFonts w:ascii="Arial Narrow" w:hAnsi="Arial Narrow" w:cs="Calibri"/>
                <w:color w:val="000000"/>
                <w:sz w:val="18"/>
                <w:szCs w:val="18"/>
              </w:rPr>
            </w:pPr>
            <w:r>
              <w:rPr>
                <w:rFonts w:ascii="Arial Narrow" w:hAnsi="Arial Narrow" w:cs="Calibri"/>
                <w:color w:val="000000"/>
                <w:sz w:val="18"/>
                <w:szCs w:val="18"/>
              </w:rPr>
              <w:t>2,2</w:t>
            </w:r>
          </w:p>
        </w:tc>
        <w:tc>
          <w:tcPr>
            <w:tcW w:w="552" w:type="dxa"/>
            <w:tcBorders>
              <w:top w:val="nil"/>
              <w:left w:val="nil"/>
              <w:bottom w:val="single" w:sz="4" w:space="0" w:color="auto"/>
              <w:right w:val="nil"/>
            </w:tcBorders>
            <w:shd w:val="clear" w:color="000000" w:fill="FFFFFF"/>
            <w:vAlign w:val="center"/>
          </w:tcPr>
          <w:p w:rsidR="00266BA4" w:rsidRDefault="00266BA4" w:rsidP="00747E56">
            <w:pPr>
              <w:spacing w:before="0" w:after="0"/>
              <w:jc w:val="right"/>
              <w:rPr>
                <w:rFonts w:ascii="Arial Narrow" w:hAnsi="Arial Narrow" w:cs="Calibri"/>
                <w:color w:val="000000"/>
                <w:sz w:val="18"/>
                <w:szCs w:val="18"/>
              </w:rPr>
            </w:pPr>
            <w:r>
              <w:rPr>
                <w:rFonts w:ascii="Arial Narrow" w:hAnsi="Arial Narrow" w:cs="Calibri"/>
                <w:color w:val="000000"/>
                <w:sz w:val="18"/>
                <w:szCs w:val="18"/>
              </w:rPr>
              <w:t>2,2</w:t>
            </w:r>
          </w:p>
        </w:tc>
        <w:tc>
          <w:tcPr>
            <w:tcW w:w="525" w:type="dxa"/>
            <w:tcBorders>
              <w:top w:val="nil"/>
              <w:left w:val="nil"/>
              <w:bottom w:val="single" w:sz="4" w:space="0" w:color="auto"/>
              <w:right w:val="nil"/>
            </w:tcBorders>
            <w:shd w:val="clear" w:color="000000" w:fill="FFFFFF"/>
            <w:vAlign w:val="center"/>
          </w:tcPr>
          <w:p w:rsidR="00266BA4" w:rsidRDefault="00266BA4" w:rsidP="00747E56">
            <w:pPr>
              <w:spacing w:before="0" w:after="0"/>
              <w:jc w:val="right"/>
              <w:rPr>
                <w:rFonts w:ascii="Arial Narrow" w:hAnsi="Arial Narrow" w:cs="Calibri"/>
                <w:color w:val="000000"/>
                <w:sz w:val="18"/>
                <w:szCs w:val="18"/>
              </w:rPr>
            </w:pPr>
            <w:r>
              <w:rPr>
                <w:rFonts w:ascii="Arial Narrow" w:hAnsi="Arial Narrow" w:cs="Calibri"/>
                <w:color w:val="000000"/>
                <w:sz w:val="18"/>
                <w:szCs w:val="18"/>
              </w:rPr>
              <w:t>2,1</w:t>
            </w:r>
          </w:p>
        </w:tc>
        <w:tc>
          <w:tcPr>
            <w:tcW w:w="522" w:type="dxa"/>
            <w:tcBorders>
              <w:top w:val="nil"/>
              <w:left w:val="nil"/>
              <w:bottom w:val="single" w:sz="4" w:space="0" w:color="auto"/>
              <w:right w:val="nil"/>
            </w:tcBorders>
            <w:shd w:val="clear" w:color="000000" w:fill="FFFFFF"/>
            <w:vAlign w:val="center"/>
          </w:tcPr>
          <w:p w:rsidR="00266BA4" w:rsidRDefault="00266BA4" w:rsidP="00747E56">
            <w:pPr>
              <w:spacing w:before="0" w:after="0"/>
              <w:jc w:val="right"/>
              <w:rPr>
                <w:rFonts w:ascii="Arial Narrow" w:hAnsi="Arial Narrow" w:cs="Calibri"/>
                <w:color w:val="000000"/>
                <w:sz w:val="18"/>
                <w:szCs w:val="18"/>
              </w:rPr>
            </w:pPr>
            <w:r>
              <w:rPr>
                <w:rFonts w:ascii="Arial Narrow" w:hAnsi="Arial Narrow" w:cs="Calibri"/>
                <w:color w:val="000000"/>
                <w:sz w:val="18"/>
                <w:szCs w:val="18"/>
              </w:rPr>
              <w:t>2,1</w:t>
            </w:r>
          </w:p>
        </w:tc>
      </w:tr>
      <w:tr w:rsidR="00266BA4" w:rsidRPr="001D642A" w:rsidTr="00747E56">
        <w:trPr>
          <w:trHeight w:val="255"/>
          <w:jc w:val="center"/>
        </w:trPr>
        <w:tc>
          <w:tcPr>
            <w:tcW w:w="3262" w:type="dxa"/>
            <w:vMerge/>
            <w:tcBorders>
              <w:top w:val="nil"/>
              <w:left w:val="nil"/>
              <w:bottom w:val="single" w:sz="4" w:space="0" w:color="000000"/>
              <w:right w:val="nil"/>
            </w:tcBorders>
            <w:vAlign w:val="center"/>
            <w:hideMark/>
          </w:tcPr>
          <w:p w:rsidR="00266BA4" w:rsidRPr="001D642A" w:rsidRDefault="00266BA4" w:rsidP="00747E56">
            <w:pPr>
              <w:widowControl/>
              <w:overflowPunct/>
              <w:autoSpaceDE/>
              <w:autoSpaceDN/>
              <w:adjustRightInd/>
              <w:spacing w:before="0" w:after="0"/>
              <w:rPr>
                <w:rFonts w:ascii="Arial Narrow" w:hAnsi="Arial Narrow"/>
                <w:color w:val="000000"/>
                <w:kern w:val="0"/>
                <w:sz w:val="18"/>
                <w:szCs w:val="18"/>
              </w:rPr>
            </w:pPr>
          </w:p>
        </w:tc>
        <w:tc>
          <w:tcPr>
            <w:tcW w:w="286" w:type="dxa"/>
            <w:tcBorders>
              <w:top w:val="nil"/>
              <w:left w:val="nil"/>
              <w:bottom w:val="single" w:sz="4" w:space="0" w:color="auto"/>
              <w:right w:val="nil"/>
            </w:tcBorders>
            <w:shd w:val="clear" w:color="000000" w:fill="FFFFFF"/>
            <w:noWrap/>
            <w:vAlign w:val="center"/>
            <w:hideMark/>
          </w:tcPr>
          <w:p w:rsidR="00266BA4" w:rsidRPr="001D642A" w:rsidRDefault="00266BA4" w:rsidP="00747E56">
            <w:pPr>
              <w:widowControl/>
              <w:overflowPunct/>
              <w:autoSpaceDE/>
              <w:autoSpaceDN/>
              <w:adjustRightInd/>
              <w:spacing w:before="0" w:after="0"/>
              <w:jc w:val="center"/>
              <w:rPr>
                <w:rFonts w:ascii="Arial Narrow" w:hAnsi="Arial Narrow"/>
                <w:b/>
                <w:bCs/>
                <w:color w:val="000000"/>
                <w:kern w:val="0"/>
                <w:sz w:val="17"/>
                <w:szCs w:val="17"/>
              </w:rPr>
            </w:pPr>
            <w:r w:rsidRPr="001D642A">
              <w:rPr>
                <w:rFonts w:ascii="Arial Narrow" w:hAnsi="Arial Narrow"/>
                <w:b/>
                <w:bCs/>
                <w:color w:val="000000"/>
                <w:kern w:val="0"/>
                <w:sz w:val="17"/>
                <w:szCs w:val="17"/>
              </w:rPr>
              <w:t>D</w:t>
            </w:r>
          </w:p>
        </w:tc>
        <w:tc>
          <w:tcPr>
            <w:tcW w:w="500" w:type="dxa"/>
            <w:tcBorders>
              <w:top w:val="nil"/>
              <w:left w:val="nil"/>
              <w:bottom w:val="single" w:sz="4" w:space="0" w:color="auto"/>
              <w:right w:val="nil"/>
            </w:tcBorders>
            <w:shd w:val="clear" w:color="000000" w:fill="FFFFFF"/>
            <w:vAlign w:val="center"/>
          </w:tcPr>
          <w:p w:rsidR="00266BA4" w:rsidRPr="00A00F0F" w:rsidRDefault="00266BA4" w:rsidP="00747E56">
            <w:pPr>
              <w:spacing w:before="0" w:after="0"/>
              <w:jc w:val="right"/>
              <w:rPr>
                <w:rFonts w:ascii="Arial Narrow" w:hAnsi="Arial Narrow" w:cs="Calibri"/>
                <w:color w:val="000000"/>
                <w:sz w:val="18"/>
                <w:szCs w:val="18"/>
              </w:rPr>
            </w:pPr>
            <w:r w:rsidRPr="00A00F0F">
              <w:rPr>
                <w:rFonts w:ascii="Arial Narrow" w:hAnsi="Arial Narrow" w:cs="Calibri"/>
                <w:color w:val="000000"/>
                <w:sz w:val="18"/>
                <w:szCs w:val="18"/>
              </w:rPr>
              <w:t>4</w:t>
            </w:r>
            <w:r>
              <w:rPr>
                <w:rFonts w:ascii="Arial Narrow" w:hAnsi="Arial Narrow" w:cs="Calibri"/>
                <w:color w:val="000000"/>
                <w:sz w:val="18"/>
                <w:szCs w:val="18"/>
              </w:rPr>
              <w:t>,</w:t>
            </w:r>
            <w:r w:rsidRPr="00A00F0F">
              <w:rPr>
                <w:rFonts w:ascii="Arial Narrow" w:hAnsi="Arial Narrow" w:cs="Calibri"/>
                <w:color w:val="000000"/>
                <w:sz w:val="18"/>
                <w:szCs w:val="18"/>
              </w:rPr>
              <w:t>9</w:t>
            </w:r>
          </w:p>
        </w:tc>
        <w:tc>
          <w:tcPr>
            <w:tcW w:w="500" w:type="dxa"/>
            <w:tcBorders>
              <w:top w:val="nil"/>
              <w:left w:val="nil"/>
              <w:bottom w:val="single" w:sz="4" w:space="0" w:color="auto"/>
              <w:right w:val="nil"/>
            </w:tcBorders>
            <w:shd w:val="clear" w:color="000000" w:fill="FFFFFF"/>
            <w:vAlign w:val="center"/>
          </w:tcPr>
          <w:p w:rsidR="00266BA4" w:rsidRPr="00A00F0F" w:rsidRDefault="00266BA4" w:rsidP="00747E56">
            <w:pPr>
              <w:spacing w:before="0" w:after="0"/>
              <w:jc w:val="right"/>
              <w:rPr>
                <w:rFonts w:ascii="Arial Narrow" w:hAnsi="Arial Narrow" w:cs="Calibri"/>
                <w:color w:val="000000"/>
                <w:sz w:val="18"/>
                <w:szCs w:val="18"/>
              </w:rPr>
            </w:pPr>
            <w:r w:rsidRPr="00A00F0F">
              <w:rPr>
                <w:rFonts w:ascii="Arial Narrow" w:hAnsi="Arial Narrow" w:cs="Calibri"/>
                <w:color w:val="000000"/>
                <w:sz w:val="18"/>
                <w:szCs w:val="18"/>
              </w:rPr>
              <w:t>4</w:t>
            </w:r>
            <w:r>
              <w:rPr>
                <w:rFonts w:ascii="Arial Narrow" w:hAnsi="Arial Narrow" w:cs="Calibri"/>
                <w:color w:val="000000"/>
                <w:sz w:val="18"/>
                <w:szCs w:val="18"/>
              </w:rPr>
              <w:t>,7</w:t>
            </w:r>
          </w:p>
        </w:tc>
        <w:tc>
          <w:tcPr>
            <w:tcW w:w="500" w:type="dxa"/>
            <w:tcBorders>
              <w:top w:val="nil"/>
              <w:left w:val="nil"/>
              <w:bottom w:val="single" w:sz="4" w:space="0" w:color="auto"/>
              <w:right w:val="nil"/>
            </w:tcBorders>
            <w:shd w:val="clear" w:color="000000" w:fill="FFFFFF"/>
            <w:vAlign w:val="center"/>
          </w:tcPr>
          <w:p w:rsidR="00266BA4" w:rsidRPr="00A00F0F" w:rsidRDefault="00266BA4" w:rsidP="00747E56">
            <w:pPr>
              <w:spacing w:before="0" w:after="0"/>
              <w:jc w:val="right"/>
              <w:rPr>
                <w:rFonts w:ascii="Arial Narrow" w:hAnsi="Arial Narrow" w:cs="Calibri"/>
                <w:color w:val="000000"/>
                <w:sz w:val="18"/>
                <w:szCs w:val="18"/>
              </w:rPr>
            </w:pPr>
            <w:r>
              <w:rPr>
                <w:rFonts w:ascii="Arial Narrow" w:hAnsi="Arial Narrow" w:cs="Calibri"/>
                <w:color w:val="000000"/>
                <w:sz w:val="18"/>
                <w:szCs w:val="18"/>
              </w:rPr>
              <w:t>4,0</w:t>
            </w:r>
          </w:p>
        </w:tc>
        <w:tc>
          <w:tcPr>
            <w:tcW w:w="501" w:type="dxa"/>
            <w:tcBorders>
              <w:top w:val="nil"/>
              <w:left w:val="nil"/>
              <w:bottom w:val="single" w:sz="4" w:space="0" w:color="auto"/>
              <w:right w:val="nil"/>
            </w:tcBorders>
            <w:shd w:val="clear" w:color="000000" w:fill="FFFFFF"/>
            <w:vAlign w:val="center"/>
          </w:tcPr>
          <w:p w:rsidR="00266BA4" w:rsidRDefault="00266BA4" w:rsidP="00747E56">
            <w:pPr>
              <w:spacing w:before="0" w:after="0"/>
              <w:jc w:val="right"/>
              <w:rPr>
                <w:rFonts w:ascii="Arial Narrow" w:hAnsi="Arial Narrow" w:cs="Calibri"/>
                <w:color w:val="000000"/>
                <w:sz w:val="18"/>
                <w:szCs w:val="18"/>
              </w:rPr>
            </w:pPr>
            <w:r>
              <w:rPr>
                <w:rFonts w:ascii="Arial Narrow" w:hAnsi="Arial Narrow" w:cs="Calibri"/>
                <w:color w:val="000000"/>
                <w:sz w:val="18"/>
                <w:szCs w:val="18"/>
              </w:rPr>
              <w:t>4,1</w:t>
            </w:r>
          </w:p>
        </w:tc>
        <w:tc>
          <w:tcPr>
            <w:tcW w:w="501" w:type="dxa"/>
            <w:tcBorders>
              <w:top w:val="nil"/>
              <w:left w:val="nil"/>
              <w:bottom w:val="single" w:sz="4" w:space="0" w:color="auto"/>
              <w:right w:val="nil"/>
            </w:tcBorders>
            <w:shd w:val="clear" w:color="000000" w:fill="FFFFFF"/>
            <w:vAlign w:val="center"/>
          </w:tcPr>
          <w:p w:rsidR="00266BA4" w:rsidRDefault="00266BA4" w:rsidP="00747E56">
            <w:pPr>
              <w:spacing w:before="0" w:after="0"/>
              <w:jc w:val="right"/>
              <w:rPr>
                <w:rFonts w:ascii="Arial Narrow" w:hAnsi="Arial Narrow" w:cs="Calibri"/>
                <w:color w:val="000000"/>
                <w:sz w:val="18"/>
                <w:szCs w:val="18"/>
              </w:rPr>
            </w:pPr>
            <w:r>
              <w:rPr>
                <w:rFonts w:ascii="Arial Narrow" w:hAnsi="Arial Narrow" w:cs="Calibri"/>
                <w:color w:val="000000"/>
                <w:sz w:val="18"/>
                <w:szCs w:val="18"/>
              </w:rPr>
              <w:t>3,8</w:t>
            </w:r>
          </w:p>
        </w:tc>
        <w:tc>
          <w:tcPr>
            <w:tcW w:w="501" w:type="dxa"/>
            <w:tcBorders>
              <w:top w:val="nil"/>
              <w:left w:val="nil"/>
              <w:bottom w:val="single" w:sz="4" w:space="0" w:color="auto"/>
              <w:right w:val="nil"/>
            </w:tcBorders>
            <w:shd w:val="clear" w:color="000000" w:fill="FFFFFF"/>
            <w:vAlign w:val="center"/>
          </w:tcPr>
          <w:p w:rsidR="00266BA4" w:rsidRDefault="00266BA4" w:rsidP="00747E56">
            <w:pPr>
              <w:spacing w:before="0" w:after="0"/>
              <w:jc w:val="right"/>
              <w:rPr>
                <w:rFonts w:ascii="Arial Narrow" w:hAnsi="Arial Narrow" w:cs="Calibri"/>
                <w:color w:val="000000"/>
                <w:sz w:val="18"/>
                <w:szCs w:val="18"/>
              </w:rPr>
            </w:pPr>
            <w:r>
              <w:rPr>
                <w:rFonts w:ascii="Arial Narrow" w:hAnsi="Arial Narrow" w:cs="Calibri"/>
                <w:color w:val="000000"/>
                <w:sz w:val="18"/>
                <w:szCs w:val="18"/>
              </w:rPr>
              <w:t>3,3</w:t>
            </w:r>
          </w:p>
        </w:tc>
        <w:tc>
          <w:tcPr>
            <w:tcW w:w="501" w:type="dxa"/>
            <w:tcBorders>
              <w:top w:val="nil"/>
              <w:left w:val="nil"/>
              <w:bottom w:val="single" w:sz="4" w:space="0" w:color="auto"/>
              <w:right w:val="nil"/>
            </w:tcBorders>
            <w:shd w:val="clear" w:color="000000" w:fill="FFFFFF"/>
            <w:vAlign w:val="center"/>
          </w:tcPr>
          <w:p w:rsidR="00266BA4" w:rsidRDefault="00266BA4" w:rsidP="00747E56">
            <w:pPr>
              <w:spacing w:before="0" w:after="0"/>
              <w:jc w:val="right"/>
              <w:rPr>
                <w:rFonts w:ascii="Arial Narrow" w:hAnsi="Arial Narrow" w:cs="Calibri"/>
                <w:color w:val="000000"/>
                <w:sz w:val="18"/>
                <w:szCs w:val="18"/>
              </w:rPr>
            </w:pPr>
            <w:r>
              <w:rPr>
                <w:rFonts w:ascii="Arial Narrow" w:hAnsi="Arial Narrow" w:cs="Calibri"/>
                <w:color w:val="000000"/>
                <w:sz w:val="18"/>
                <w:szCs w:val="18"/>
              </w:rPr>
              <w:t>3,0</w:t>
            </w:r>
          </w:p>
        </w:tc>
        <w:tc>
          <w:tcPr>
            <w:tcW w:w="501" w:type="dxa"/>
            <w:tcBorders>
              <w:top w:val="nil"/>
              <w:left w:val="nil"/>
              <w:bottom w:val="single" w:sz="4" w:space="0" w:color="auto"/>
              <w:right w:val="nil"/>
            </w:tcBorders>
            <w:shd w:val="clear" w:color="000000" w:fill="FFFFFF"/>
            <w:vAlign w:val="center"/>
          </w:tcPr>
          <w:p w:rsidR="00266BA4" w:rsidRDefault="00266BA4" w:rsidP="00747E56">
            <w:pPr>
              <w:spacing w:before="0" w:after="0"/>
              <w:jc w:val="right"/>
              <w:rPr>
                <w:rFonts w:ascii="Arial Narrow" w:hAnsi="Arial Narrow" w:cs="Calibri"/>
                <w:color w:val="000000"/>
                <w:sz w:val="18"/>
                <w:szCs w:val="18"/>
              </w:rPr>
            </w:pPr>
            <w:r>
              <w:rPr>
                <w:rFonts w:ascii="Arial Narrow" w:hAnsi="Arial Narrow" w:cs="Calibri"/>
                <w:color w:val="000000"/>
                <w:sz w:val="18"/>
                <w:szCs w:val="18"/>
              </w:rPr>
              <w:t>2,8</w:t>
            </w:r>
          </w:p>
        </w:tc>
        <w:tc>
          <w:tcPr>
            <w:tcW w:w="501" w:type="dxa"/>
            <w:tcBorders>
              <w:top w:val="nil"/>
              <w:left w:val="nil"/>
              <w:bottom w:val="single" w:sz="4" w:space="0" w:color="auto"/>
              <w:right w:val="nil"/>
            </w:tcBorders>
            <w:shd w:val="clear" w:color="000000" w:fill="FFFFFF"/>
            <w:vAlign w:val="center"/>
          </w:tcPr>
          <w:p w:rsidR="00266BA4" w:rsidRDefault="00266BA4" w:rsidP="00747E56">
            <w:pPr>
              <w:spacing w:before="0" w:after="0"/>
              <w:jc w:val="right"/>
              <w:rPr>
                <w:rFonts w:ascii="Arial Narrow" w:hAnsi="Arial Narrow" w:cs="Calibri"/>
                <w:color w:val="000000"/>
                <w:sz w:val="18"/>
                <w:szCs w:val="18"/>
              </w:rPr>
            </w:pPr>
            <w:r>
              <w:rPr>
                <w:rFonts w:ascii="Arial Narrow" w:hAnsi="Arial Narrow" w:cs="Calibri"/>
                <w:color w:val="000000"/>
                <w:sz w:val="18"/>
                <w:szCs w:val="18"/>
              </w:rPr>
              <w:t>2,6</w:t>
            </w:r>
          </w:p>
        </w:tc>
        <w:tc>
          <w:tcPr>
            <w:tcW w:w="552" w:type="dxa"/>
            <w:tcBorders>
              <w:top w:val="nil"/>
              <w:left w:val="nil"/>
              <w:bottom w:val="single" w:sz="4" w:space="0" w:color="auto"/>
              <w:right w:val="nil"/>
            </w:tcBorders>
            <w:shd w:val="clear" w:color="000000" w:fill="FFFFFF"/>
            <w:vAlign w:val="center"/>
          </w:tcPr>
          <w:p w:rsidR="00266BA4" w:rsidRDefault="00266BA4" w:rsidP="00747E56">
            <w:pPr>
              <w:spacing w:before="0" w:after="0"/>
              <w:jc w:val="right"/>
              <w:rPr>
                <w:rFonts w:ascii="Arial Narrow" w:hAnsi="Arial Narrow" w:cs="Calibri"/>
                <w:color w:val="000000"/>
                <w:sz w:val="18"/>
                <w:szCs w:val="18"/>
              </w:rPr>
            </w:pPr>
            <w:r>
              <w:rPr>
                <w:rFonts w:ascii="Arial Narrow" w:hAnsi="Arial Narrow" w:cs="Calibri"/>
                <w:color w:val="000000"/>
                <w:sz w:val="18"/>
                <w:szCs w:val="18"/>
              </w:rPr>
              <w:t>2,2</w:t>
            </w:r>
          </w:p>
        </w:tc>
        <w:tc>
          <w:tcPr>
            <w:tcW w:w="552" w:type="dxa"/>
            <w:tcBorders>
              <w:top w:val="nil"/>
              <w:left w:val="nil"/>
              <w:bottom w:val="single" w:sz="4" w:space="0" w:color="auto"/>
              <w:right w:val="nil"/>
            </w:tcBorders>
            <w:shd w:val="clear" w:color="000000" w:fill="FFFFFF"/>
            <w:vAlign w:val="center"/>
          </w:tcPr>
          <w:p w:rsidR="00266BA4" w:rsidRDefault="00266BA4" w:rsidP="00747E56">
            <w:pPr>
              <w:spacing w:before="0" w:after="0"/>
              <w:jc w:val="right"/>
              <w:rPr>
                <w:rFonts w:ascii="Arial Narrow" w:hAnsi="Arial Narrow" w:cs="Calibri"/>
                <w:color w:val="000000"/>
                <w:sz w:val="18"/>
                <w:szCs w:val="18"/>
              </w:rPr>
            </w:pPr>
            <w:r>
              <w:rPr>
                <w:rFonts w:ascii="Arial Narrow" w:hAnsi="Arial Narrow" w:cs="Calibri"/>
                <w:color w:val="000000"/>
                <w:sz w:val="18"/>
                <w:szCs w:val="18"/>
              </w:rPr>
              <w:t>2,2</w:t>
            </w:r>
          </w:p>
        </w:tc>
        <w:tc>
          <w:tcPr>
            <w:tcW w:w="525" w:type="dxa"/>
            <w:tcBorders>
              <w:top w:val="nil"/>
              <w:left w:val="nil"/>
              <w:bottom w:val="single" w:sz="4" w:space="0" w:color="auto"/>
              <w:right w:val="nil"/>
            </w:tcBorders>
            <w:shd w:val="clear" w:color="000000" w:fill="FFFFFF"/>
            <w:vAlign w:val="center"/>
          </w:tcPr>
          <w:p w:rsidR="00266BA4" w:rsidRDefault="00266BA4" w:rsidP="00747E56">
            <w:pPr>
              <w:spacing w:before="0" w:after="0"/>
              <w:jc w:val="right"/>
              <w:rPr>
                <w:rFonts w:ascii="Arial Narrow" w:hAnsi="Arial Narrow" w:cs="Calibri"/>
                <w:color w:val="000000"/>
                <w:sz w:val="18"/>
                <w:szCs w:val="18"/>
              </w:rPr>
            </w:pPr>
            <w:r>
              <w:rPr>
                <w:rFonts w:ascii="Arial Narrow" w:hAnsi="Arial Narrow" w:cs="Calibri"/>
                <w:color w:val="000000"/>
                <w:sz w:val="18"/>
                <w:szCs w:val="18"/>
              </w:rPr>
              <w:t>2,2</w:t>
            </w:r>
          </w:p>
        </w:tc>
        <w:tc>
          <w:tcPr>
            <w:tcW w:w="522" w:type="dxa"/>
            <w:tcBorders>
              <w:top w:val="nil"/>
              <w:left w:val="nil"/>
              <w:bottom w:val="single" w:sz="4" w:space="0" w:color="auto"/>
              <w:right w:val="nil"/>
            </w:tcBorders>
            <w:shd w:val="clear" w:color="000000" w:fill="FFFFFF"/>
            <w:vAlign w:val="center"/>
          </w:tcPr>
          <w:p w:rsidR="00266BA4" w:rsidRDefault="00266BA4" w:rsidP="00747E56">
            <w:pPr>
              <w:spacing w:before="0" w:after="0"/>
              <w:jc w:val="right"/>
              <w:rPr>
                <w:rFonts w:ascii="Arial Narrow" w:hAnsi="Arial Narrow" w:cs="Calibri"/>
                <w:color w:val="000000"/>
                <w:sz w:val="18"/>
                <w:szCs w:val="18"/>
              </w:rPr>
            </w:pPr>
            <w:r>
              <w:rPr>
                <w:rFonts w:ascii="Arial Narrow" w:hAnsi="Arial Narrow" w:cs="Calibri"/>
                <w:color w:val="000000"/>
                <w:sz w:val="18"/>
                <w:szCs w:val="18"/>
              </w:rPr>
              <w:t>2,1</w:t>
            </w:r>
          </w:p>
        </w:tc>
      </w:tr>
      <w:tr w:rsidR="00266BA4" w:rsidRPr="001D642A" w:rsidTr="00747E56">
        <w:trPr>
          <w:trHeight w:val="255"/>
          <w:jc w:val="center"/>
        </w:trPr>
        <w:tc>
          <w:tcPr>
            <w:tcW w:w="3262" w:type="dxa"/>
            <w:vMerge w:val="restart"/>
            <w:tcBorders>
              <w:top w:val="nil"/>
              <w:left w:val="nil"/>
              <w:bottom w:val="single" w:sz="4" w:space="0" w:color="000000"/>
              <w:right w:val="nil"/>
            </w:tcBorders>
            <w:shd w:val="clear" w:color="000000" w:fill="FFFFFF"/>
            <w:vAlign w:val="center"/>
            <w:hideMark/>
          </w:tcPr>
          <w:p w:rsidR="00266BA4" w:rsidRPr="001D642A" w:rsidRDefault="00266BA4" w:rsidP="00747E56">
            <w:pPr>
              <w:widowControl/>
              <w:overflowPunct/>
              <w:autoSpaceDE/>
              <w:autoSpaceDN/>
              <w:adjustRightInd/>
              <w:spacing w:before="0" w:after="0"/>
              <w:rPr>
                <w:rFonts w:ascii="Arial Narrow" w:hAnsi="Arial Narrow"/>
                <w:color w:val="000000"/>
                <w:kern w:val="0"/>
                <w:sz w:val="18"/>
                <w:szCs w:val="18"/>
              </w:rPr>
            </w:pPr>
            <w:r w:rsidRPr="001D642A">
              <w:rPr>
                <w:rFonts w:ascii="Arial Narrow" w:hAnsi="Arial Narrow"/>
                <w:color w:val="000000"/>
                <w:kern w:val="0"/>
                <w:sz w:val="18"/>
                <w:szCs w:val="18"/>
              </w:rPr>
              <w:t>Indice generale esclusi energetici</w:t>
            </w:r>
          </w:p>
        </w:tc>
        <w:tc>
          <w:tcPr>
            <w:tcW w:w="286" w:type="dxa"/>
            <w:tcBorders>
              <w:top w:val="nil"/>
              <w:left w:val="nil"/>
              <w:bottom w:val="single" w:sz="4" w:space="0" w:color="auto"/>
              <w:right w:val="nil"/>
            </w:tcBorders>
            <w:shd w:val="clear" w:color="000000" w:fill="FFFFFF"/>
            <w:noWrap/>
            <w:vAlign w:val="center"/>
            <w:hideMark/>
          </w:tcPr>
          <w:p w:rsidR="00266BA4" w:rsidRPr="001D642A" w:rsidRDefault="00266BA4" w:rsidP="00747E56">
            <w:pPr>
              <w:widowControl/>
              <w:overflowPunct/>
              <w:autoSpaceDE/>
              <w:autoSpaceDN/>
              <w:adjustRightInd/>
              <w:spacing w:before="0" w:after="0"/>
              <w:jc w:val="center"/>
              <w:rPr>
                <w:rFonts w:ascii="Arial Narrow" w:hAnsi="Arial Narrow"/>
                <w:b/>
                <w:bCs/>
                <w:color w:val="000000"/>
                <w:kern w:val="0"/>
                <w:sz w:val="17"/>
                <w:szCs w:val="17"/>
              </w:rPr>
            </w:pPr>
            <w:r w:rsidRPr="001D642A">
              <w:rPr>
                <w:rFonts w:ascii="Arial Narrow" w:hAnsi="Arial Narrow"/>
                <w:b/>
                <w:bCs/>
                <w:color w:val="000000"/>
                <w:kern w:val="0"/>
                <w:sz w:val="17"/>
                <w:szCs w:val="17"/>
              </w:rPr>
              <w:t>P</w:t>
            </w:r>
          </w:p>
        </w:tc>
        <w:tc>
          <w:tcPr>
            <w:tcW w:w="500" w:type="dxa"/>
            <w:tcBorders>
              <w:top w:val="nil"/>
              <w:left w:val="nil"/>
              <w:bottom w:val="single" w:sz="4" w:space="0" w:color="auto"/>
              <w:right w:val="nil"/>
            </w:tcBorders>
            <w:shd w:val="clear" w:color="000000" w:fill="FFFFFF"/>
            <w:vAlign w:val="center"/>
          </w:tcPr>
          <w:p w:rsidR="00266BA4" w:rsidRPr="00A00F0F" w:rsidRDefault="00266BA4" w:rsidP="00747E56">
            <w:pPr>
              <w:spacing w:before="0" w:after="0"/>
              <w:jc w:val="right"/>
              <w:rPr>
                <w:rFonts w:ascii="Arial Narrow" w:hAnsi="Arial Narrow" w:cs="Calibri"/>
                <w:color w:val="000000"/>
                <w:sz w:val="18"/>
                <w:szCs w:val="18"/>
              </w:rPr>
            </w:pPr>
            <w:r w:rsidRPr="00A00F0F">
              <w:rPr>
                <w:rFonts w:ascii="Arial Narrow" w:hAnsi="Arial Narrow" w:cs="Calibri"/>
                <w:color w:val="000000"/>
                <w:sz w:val="18"/>
                <w:szCs w:val="18"/>
              </w:rPr>
              <w:t>6</w:t>
            </w:r>
            <w:r>
              <w:rPr>
                <w:rFonts w:ascii="Arial Narrow" w:hAnsi="Arial Narrow" w:cs="Calibri"/>
                <w:color w:val="000000"/>
                <w:sz w:val="18"/>
                <w:szCs w:val="18"/>
              </w:rPr>
              <w:t>,</w:t>
            </w:r>
            <w:r w:rsidRPr="00A00F0F">
              <w:rPr>
                <w:rFonts w:ascii="Arial Narrow" w:hAnsi="Arial Narrow" w:cs="Calibri"/>
                <w:color w:val="000000"/>
                <w:sz w:val="18"/>
                <w:szCs w:val="18"/>
              </w:rPr>
              <w:t>2</w:t>
            </w:r>
          </w:p>
        </w:tc>
        <w:tc>
          <w:tcPr>
            <w:tcW w:w="500" w:type="dxa"/>
            <w:tcBorders>
              <w:top w:val="nil"/>
              <w:left w:val="nil"/>
              <w:bottom w:val="single" w:sz="4" w:space="0" w:color="auto"/>
              <w:right w:val="nil"/>
            </w:tcBorders>
            <w:shd w:val="clear" w:color="000000" w:fill="FFFFFF"/>
            <w:vAlign w:val="center"/>
          </w:tcPr>
          <w:p w:rsidR="00266BA4" w:rsidRPr="00A00F0F" w:rsidRDefault="00266BA4" w:rsidP="00747E56">
            <w:pPr>
              <w:spacing w:before="0" w:after="0"/>
              <w:jc w:val="right"/>
              <w:rPr>
                <w:rFonts w:ascii="Arial Narrow" w:hAnsi="Arial Narrow" w:cs="Calibri"/>
                <w:color w:val="000000"/>
                <w:sz w:val="18"/>
                <w:szCs w:val="18"/>
              </w:rPr>
            </w:pPr>
            <w:r w:rsidRPr="00A00F0F">
              <w:rPr>
                <w:rFonts w:ascii="Arial Narrow" w:hAnsi="Arial Narrow" w:cs="Calibri"/>
                <w:color w:val="000000"/>
                <w:sz w:val="18"/>
                <w:szCs w:val="18"/>
              </w:rPr>
              <w:t>6</w:t>
            </w:r>
            <w:r>
              <w:rPr>
                <w:rFonts w:ascii="Arial Narrow" w:hAnsi="Arial Narrow" w:cs="Calibri"/>
                <w:color w:val="000000"/>
                <w:sz w:val="18"/>
                <w:szCs w:val="18"/>
              </w:rPr>
              <w:t>,1</w:t>
            </w:r>
          </w:p>
        </w:tc>
        <w:tc>
          <w:tcPr>
            <w:tcW w:w="500" w:type="dxa"/>
            <w:tcBorders>
              <w:top w:val="nil"/>
              <w:left w:val="nil"/>
              <w:bottom w:val="single" w:sz="4" w:space="0" w:color="auto"/>
              <w:right w:val="nil"/>
            </w:tcBorders>
            <w:shd w:val="clear" w:color="000000" w:fill="FFFFFF"/>
            <w:vAlign w:val="center"/>
          </w:tcPr>
          <w:p w:rsidR="00266BA4" w:rsidRPr="00A00F0F" w:rsidRDefault="00266BA4" w:rsidP="00747E56">
            <w:pPr>
              <w:spacing w:before="0" w:after="0"/>
              <w:jc w:val="right"/>
              <w:rPr>
                <w:rFonts w:ascii="Arial Narrow" w:hAnsi="Arial Narrow" w:cs="Calibri"/>
                <w:color w:val="000000"/>
                <w:sz w:val="18"/>
                <w:szCs w:val="18"/>
              </w:rPr>
            </w:pPr>
            <w:r>
              <w:rPr>
                <w:rFonts w:ascii="Arial Narrow" w:hAnsi="Arial Narrow" w:cs="Calibri"/>
                <w:color w:val="000000"/>
                <w:sz w:val="18"/>
                <w:szCs w:val="18"/>
              </w:rPr>
              <w:t>5,3</w:t>
            </w:r>
          </w:p>
        </w:tc>
        <w:tc>
          <w:tcPr>
            <w:tcW w:w="501" w:type="dxa"/>
            <w:tcBorders>
              <w:top w:val="nil"/>
              <w:left w:val="nil"/>
              <w:bottom w:val="single" w:sz="4" w:space="0" w:color="auto"/>
              <w:right w:val="nil"/>
            </w:tcBorders>
            <w:shd w:val="clear" w:color="000000" w:fill="FFFFFF"/>
            <w:vAlign w:val="center"/>
          </w:tcPr>
          <w:p w:rsidR="00266BA4" w:rsidRDefault="00266BA4" w:rsidP="00747E56">
            <w:pPr>
              <w:spacing w:before="0" w:after="0"/>
              <w:jc w:val="right"/>
              <w:rPr>
                <w:rFonts w:ascii="Arial Narrow" w:hAnsi="Arial Narrow" w:cs="Calibri"/>
                <w:color w:val="000000"/>
                <w:sz w:val="18"/>
                <w:szCs w:val="18"/>
              </w:rPr>
            </w:pPr>
            <w:r>
              <w:rPr>
                <w:rFonts w:ascii="Arial Narrow" w:hAnsi="Arial Narrow" w:cs="Calibri"/>
                <w:color w:val="000000"/>
                <w:sz w:val="18"/>
                <w:szCs w:val="18"/>
              </w:rPr>
              <w:t>5,2</w:t>
            </w:r>
          </w:p>
        </w:tc>
        <w:tc>
          <w:tcPr>
            <w:tcW w:w="501" w:type="dxa"/>
            <w:tcBorders>
              <w:top w:val="nil"/>
              <w:left w:val="nil"/>
              <w:bottom w:val="single" w:sz="4" w:space="0" w:color="auto"/>
              <w:right w:val="nil"/>
            </w:tcBorders>
            <w:shd w:val="clear" w:color="000000" w:fill="FFFFFF"/>
            <w:vAlign w:val="center"/>
          </w:tcPr>
          <w:p w:rsidR="00266BA4" w:rsidRDefault="00266BA4" w:rsidP="00747E56">
            <w:pPr>
              <w:spacing w:before="0" w:after="0"/>
              <w:jc w:val="right"/>
              <w:rPr>
                <w:rFonts w:ascii="Arial Narrow" w:hAnsi="Arial Narrow" w:cs="Calibri"/>
                <w:color w:val="000000"/>
                <w:sz w:val="18"/>
                <w:szCs w:val="18"/>
              </w:rPr>
            </w:pPr>
            <w:r>
              <w:rPr>
                <w:rFonts w:ascii="Arial Narrow" w:hAnsi="Arial Narrow" w:cs="Calibri"/>
                <w:color w:val="000000"/>
                <w:sz w:val="18"/>
                <w:szCs w:val="18"/>
              </w:rPr>
              <w:t>4,6</w:t>
            </w:r>
          </w:p>
        </w:tc>
        <w:tc>
          <w:tcPr>
            <w:tcW w:w="501" w:type="dxa"/>
            <w:tcBorders>
              <w:top w:val="nil"/>
              <w:left w:val="nil"/>
              <w:bottom w:val="single" w:sz="4" w:space="0" w:color="auto"/>
              <w:right w:val="nil"/>
            </w:tcBorders>
            <w:shd w:val="clear" w:color="000000" w:fill="FFFFFF"/>
            <w:vAlign w:val="center"/>
          </w:tcPr>
          <w:p w:rsidR="00266BA4" w:rsidRDefault="00266BA4" w:rsidP="00747E56">
            <w:pPr>
              <w:spacing w:before="0" w:after="0"/>
              <w:jc w:val="right"/>
              <w:rPr>
                <w:rFonts w:ascii="Arial Narrow" w:hAnsi="Arial Narrow" w:cs="Calibri"/>
                <w:color w:val="000000"/>
                <w:sz w:val="18"/>
                <w:szCs w:val="18"/>
              </w:rPr>
            </w:pPr>
            <w:r>
              <w:rPr>
                <w:rFonts w:ascii="Arial Narrow" w:hAnsi="Arial Narrow" w:cs="Calibri"/>
                <w:color w:val="000000"/>
                <w:sz w:val="18"/>
                <w:szCs w:val="18"/>
              </w:rPr>
              <w:t>4,0</w:t>
            </w:r>
          </w:p>
        </w:tc>
        <w:tc>
          <w:tcPr>
            <w:tcW w:w="501" w:type="dxa"/>
            <w:tcBorders>
              <w:top w:val="nil"/>
              <w:left w:val="nil"/>
              <w:bottom w:val="single" w:sz="4" w:space="0" w:color="auto"/>
              <w:right w:val="nil"/>
            </w:tcBorders>
            <w:shd w:val="clear" w:color="000000" w:fill="FFFFFF"/>
            <w:vAlign w:val="center"/>
          </w:tcPr>
          <w:p w:rsidR="00266BA4" w:rsidRDefault="00266BA4" w:rsidP="00747E56">
            <w:pPr>
              <w:spacing w:before="0" w:after="0"/>
              <w:jc w:val="right"/>
              <w:rPr>
                <w:rFonts w:ascii="Arial Narrow" w:hAnsi="Arial Narrow" w:cs="Calibri"/>
                <w:color w:val="000000"/>
                <w:sz w:val="18"/>
                <w:szCs w:val="18"/>
              </w:rPr>
            </w:pPr>
            <w:r>
              <w:rPr>
                <w:rFonts w:ascii="Arial Narrow" w:hAnsi="Arial Narrow" w:cs="Calibri"/>
                <w:color w:val="000000"/>
                <w:sz w:val="18"/>
                <w:szCs w:val="18"/>
              </w:rPr>
              <w:t>3,5</w:t>
            </w:r>
          </w:p>
        </w:tc>
        <w:tc>
          <w:tcPr>
            <w:tcW w:w="501" w:type="dxa"/>
            <w:tcBorders>
              <w:top w:val="nil"/>
              <w:left w:val="nil"/>
              <w:bottom w:val="single" w:sz="4" w:space="0" w:color="auto"/>
              <w:right w:val="nil"/>
            </w:tcBorders>
            <w:shd w:val="clear" w:color="000000" w:fill="FFFFFF"/>
            <w:vAlign w:val="center"/>
          </w:tcPr>
          <w:p w:rsidR="00266BA4" w:rsidRDefault="00266BA4" w:rsidP="00747E56">
            <w:pPr>
              <w:spacing w:before="0" w:after="0"/>
              <w:jc w:val="right"/>
              <w:rPr>
                <w:rFonts w:ascii="Arial Narrow" w:hAnsi="Arial Narrow" w:cs="Calibri"/>
                <w:color w:val="000000"/>
                <w:sz w:val="18"/>
                <w:szCs w:val="18"/>
              </w:rPr>
            </w:pPr>
            <w:r>
              <w:rPr>
                <w:rFonts w:ascii="Arial Narrow" w:hAnsi="Arial Narrow" w:cs="Calibri"/>
                <w:color w:val="000000"/>
                <w:sz w:val="18"/>
                <w:szCs w:val="18"/>
              </w:rPr>
              <w:t>3,5</w:t>
            </w:r>
          </w:p>
        </w:tc>
        <w:tc>
          <w:tcPr>
            <w:tcW w:w="501" w:type="dxa"/>
            <w:tcBorders>
              <w:top w:val="nil"/>
              <w:left w:val="nil"/>
              <w:bottom w:val="single" w:sz="4" w:space="0" w:color="auto"/>
              <w:right w:val="nil"/>
            </w:tcBorders>
            <w:shd w:val="clear" w:color="000000" w:fill="FFFFFF"/>
            <w:vAlign w:val="center"/>
          </w:tcPr>
          <w:p w:rsidR="00266BA4" w:rsidRDefault="00266BA4" w:rsidP="00747E56">
            <w:pPr>
              <w:spacing w:before="0" w:after="0"/>
              <w:jc w:val="right"/>
              <w:rPr>
                <w:rFonts w:ascii="Arial Narrow" w:hAnsi="Arial Narrow" w:cs="Calibri"/>
                <w:color w:val="000000"/>
                <w:sz w:val="18"/>
                <w:szCs w:val="18"/>
              </w:rPr>
            </w:pPr>
            <w:r>
              <w:rPr>
                <w:rFonts w:ascii="Arial Narrow" w:hAnsi="Arial Narrow" w:cs="Calibri"/>
                <w:color w:val="000000"/>
                <w:sz w:val="18"/>
                <w:szCs w:val="18"/>
              </w:rPr>
              <w:t>2,9</w:t>
            </w:r>
          </w:p>
        </w:tc>
        <w:tc>
          <w:tcPr>
            <w:tcW w:w="552" w:type="dxa"/>
            <w:tcBorders>
              <w:top w:val="nil"/>
              <w:left w:val="nil"/>
              <w:bottom w:val="single" w:sz="4" w:space="0" w:color="auto"/>
              <w:right w:val="nil"/>
            </w:tcBorders>
            <w:shd w:val="clear" w:color="000000" w:fill="FFFFFF"/>
            <w:vAlign w:val="center"/>
          </w:tcPr>
          <w:p w:rsidR="00266BA4" w:rsidRDefault="00266BA4" w:rsidP="00747E56">
            <w:pPr>
              <w:spacing w:before="0" w:after="0"/>
              <w:jc w:val="right"/>
              <w:rPr>
                <w:rFonts w:ascii="Arial Narrow" w:hAnsi="Arial Narrow" w:cs="Calibri"/>
                <w:color w:val="000000"/>
                <w:sz w:val="18"/>
                <w:szCs w:val="18"/>
              </w:rPr>
            </w:pPr>
            <w:r>
              <w:rPr>
                <w:rFonts w:ascii="Arial Narrow" w:hAnsi="Arial Narrow" w:cs="Calibri"/>
                <w:color w:val="000000"/>
                <w:sz w:val="18"/>
                <w:szCs w:val="18"/>
              </w:rPr>
              <w:t>2,5</w:t>
            </w:r>
          </w:p>
        </w:tc>
        <w:tc>
          <w:tcPr>
            <w:tcW w:w="552" w:type="dxa"/>
            <w:tcBorders>
              <w:top w:val="nil"/>
              <w:left w:val="nil"/>
              <w:bottom w:val="single" w:sz="4" w:space="0" w:color="auto"/>
              <w:right w:val="nil"/>
            </w:tcBorders>
            <w:shd w:val="clear" w:color="000000" w:fill="FFFFFF"/>
            <w:vAlign w:val="center"/>
          </w:tcPr>
          <w:p w:rsidR="00266BA4" w:rsidRDefault="00266BA4" w:rsidP="00747E56">
            <w:pPr>
              <w:spacing w:before="0" w:after="0"/>
              <w:jc w:val="right"/>
              <w:rPr>
                <w:rFonts w:ascii="Arial Narrow" w:hAnsi="Arial Narrow" w:cs="Calibri"/>
                <w:color w:val="000000"/>
                <w:sz w:val="18"/>
                <w:szCs w:val="18"/>
              </w:rPr>
            </w:pPr>
            <w:r>
              <w:rPr>
                <w:rFonts w:ascii="Arial Narrow" w:hAnsi="Arial Narrow" w:cs="Calibri"/>
                <w:color w:val="000000"/>
                <w:sz w:val="18"/>
                <w:szCs w:val="18"/>
              </w:rPr>
              <w:t>2,3</w:t>
            </w:r>
          </w:p>
        </w:tc>
        <w:tc>
          <w:tcPr>
            <w:tcW w:w="525" w:type="dxa"/>
            <w:tcBorders>
              <w:top w:val="nil"/>
              <w:left w:val="nil"/>
              <w:bottom w:val="single" w:sz="4" w:space="0" w:color="auto"/>
              <w:right w:val="nil"/>
            </w:tcBorders>
            <w:shd w:val="clear" w:color="000000" w:fill="FFFFFF"/>
            <w:vAlign w:val="center"/>
          </w:tcPr>
          <w:p w:rsidR="00266BA4" w:rsidRDefault="00266BA4" w:rsidP="00747E56">
            <w:pPr>
              <w:spacing w:before="0" w:after="0"/>
              <w:jc w:val="right"/>
              <w:rPr>
                <w:rFonts w:ascii="Arial Narrow" w:hAnsi="Arial Narrow" w:cs="Calibri"/>
                <w:color w:val="000000"/>
                <w:sz w:val="18"/>
                <w:szCs w:val="18"/>
              </w:rPr>
            </w:pPr>
            <w:r>
              <w:rPr>
                <w:rFonts w:ascii="Arial Narrow" w:hAnsi="Arial Narrow" w:cs="Calibri"/>
                <w:color w:val="000000"/>
                <w:sz w:val="18"/>
                <w:szCs w:val="18"/>
              </w:rPr>
              <w:t>2,1</w:t>
            </w:r>
          </w:p>
        </w:tc>
        <w:tc>
          <w:tcPr>
            <w:tcW w:w="522" w:type="dxa"/>
            <w:tcBorders>
              <w:top w:val="nil"/>
              <w:left w:val="nil"/>
              <w:bottom w:val="single" w:sz="4" w:space="0" w:color="auto"/>
              <w:right w:val="nil"/>
            </w:tcBorders>
            <w:shd w:val="clear" w:color="000000" w:fill="FFFFFF"/>
            <w:vAlign w:val="center"/>
          </w:tcPr>
          <w:p w:rsidR="00266BA4" w:rsidRDefault="00266BA4" w:rsidP="00747E56">
            <w:pPr>
              <w:spacing w:before="0" w:after="0"/>
              <w:jc w:val="right"/>
              <w:rPr>
                <w:rFonts w:ascii="Arial Narrow" w:hAnsi="Arial Narrow" w:cs="Calibri"/>
                <w:color w:val="000000"/>
                <w:sz w:val="18"/>
                <w:szCs w:val="18"/>
              </w:rPr>
            </w:pPr>
            <w:r>
              <w:rPr>
                <w:rFonts w:ascii="Arial Narrow" w:hAnsi="Arial Narrow" w:cs="Calibri"/>
                <w:color w:val="000000"/>
                <w:sz w:val="18"/>
                <w:szCs w:val="18"/>
              </w:rPr>
              <w:t>2,1</w:t>
            </w:r>
          </w:p>
        </w:tc>
      </w:tr>
      <w:tr w:rsidR="00266BA4" w:rsidRPr="001D642A" w:rsidTr="00747E56">
        <w:trPr>
          <w:trHeight w:val="255"/>
          <w:jc w:val="center"/>
        </w:trPr>
        <w:tc>
          <w:tcPr>
            <w:tcW w:w="3262" w:type="dxa"/>
            <w:vMerge/>
            <w:tcBorders>
              <w:top w:val="nil"/>
              <w:left w:val="nil"/>
              <w:bottom w:val="single" w:sz="4" w:space="0" w:color="000000"/>
              <w:right w:val="nil"/>
            </w:tcBorders>
            <w:vAlign w:val="center"/>
            <w:hideMark/>
          </w:tcPr>
          <w:p w:rsidR="00266BA4" w:rsidRPr="001D642A" w:rsidRDefault="00266BA4" w:rsidP="00747E56">
            <w:pPr>
              <w:widowControl/>
              <w:overflowPunct/>
              <w:autoSpaceDE/>
              <w:autoSpaceDN/>
              <w:adjustRightInd/>
              <w:spacing w:before="0" w:after="0"/>
              <w:rPr>
                <w:rFonts w:ascii="Arial Narrow" w:hAnsi="Arial Narrow"/>
                <w:color w:val="000000"/>
                <w:kern w:val="0"/>
                <w:sz w:val="18"/>
                <w:szCs w:val="18"/>
              </w:rPr>
            </w:pPr>
          </w:p>
        </w:tc>
        <w:tc>
          <w:tcPr>
            <w:tcW w:w="286" w:type="dxa"/>
            <w:tcBorders>
              <w:top w:val="nil"/>
              <w:left w:val="nil"/>
              <w:bottom w:val="single" w:sz="4" w:space="0" w:color="auto"/>
              <w:right w:val="nil"/>
            </w:tcBorders>
            <w:shd w:val="clear" w:color="000000" w:fill="FFFFFF"/>
            <w:noWrap/>
            <w:vAlign w:val="center"/>
            <w:hideMark/>
          </w:tcPr>
          <w:p w:rsidR="00266BA4" w:rsidRPr="001D642A" w:rsidRDefault="00266BA4" w:rsidP="00747E56">
            <w:pPr>
              <w:widowControl/>
              <w:overflowPunct/>
              <w:autoSpaceDE/>
              <w:autoSpaceDN/>
              <w:adjustRightInd/>
              <w:spacing w:before="0" w:after="0"/>
              <w:jc w:val="center"/>
              <w:rPr>
                <w:rFonts w:ascii="Arial Narrow" w:hAnsi="Arial Narrow"/>
                <w:b/>
                <w:bCs/>
                <w:color w:val="000000"/>
                <w:kern w:val="0"/>
                <w:sz w:val="17"/>
                <w:szCs w:val="17"/>
              </w:rPr>
            </w:pPr>
            <w:r w:rsidRPr="001D642A">
              <w:rPr>
                <w:rFonts w:ascii="Arial Narrow" w:hAnsi="Arial Narrow"/>
                <w:b/>
                <w:bCs/>
                <w:color w:val="000000"/>
                <w:kern w:val="0"/>
                <w:sz w:val="17"/>
                <w:szCs w:val="17"/>
              </w:rPr>
              <w:t>D</w:t>
            </w:r>
          </w:p>
        </w:tc>
        <w:tc>
          <w:tcPr>
            <w:tcW w:w="500" w:type="dxa"/>
            <w:tcBorders>
              <w:top w:val="nil"/>
              <w:left w:val="nil"/>
              <w:bottom w:val="single" w:sz="4" w:space="0" w:color="auto"/>
              <w:right w:val="nil"/>
            </w:tcBorders>
            <w:shd w:val="clear" w:color="000000" w:fill="FFFFFF"/>
            <w:vAlign w:val="center"/>
          </w:tcPr>
          <w:p w:rsidR="00266BA4" w:rsidRPr="00A00F0F" w:rsidRDefault="00266BA4" w:rsidP="00747E56">
            <w:pPr>
              <w:spacing w:before="0" w:after="0"/>
              <w:jc w:val="right"/>
              <w:rPr>
                <w:rFonts w:ascii="Arial Narrow" w:hAnsi="Arial Narrow" w:cs="Calibri"/>
                <w:color w:val="000000"/>
                <w:sz w:val="18"/>
                <w:szCs w:val="18"/>
              </w:rPr>
            </w:pPr>
            <w:r w:rsidRPr="00A00F0F">
              <w:rPr>
                <w:rFonts w:ascii="Arial Narrow" w:hAnsi="Arial Narrow" w:cs="Calibri"/>
                <w:color w:val="000000"/>
                <w:sz w:val="18"/>
                <w:szCs w:val="18"/>
              </w:rPr>
              <w:t>6</w:t>
            </w:r>
            <w:r>
              <w:rPr>
                <w:rFonts w:ascii="Arial Narrow" w:hAnsi="Arial Narrow" w:cs="Calibri"/>
                <w:color w:val="000000"/>
                <w:sz w:val="18"/>
                <w:szCs w:val="18"/>
              </w:rPr>
              <w:t>,</w:t>
            </w:r>
            <w:r w:rsidRPr="00A00F0F">
              <w:rPr>
                <w:rFonts w:ascii="Arial Narrow" w:hAnsi="Arial Narrow" w:cs="Calibri"/>
                <w:color w:val="000000"/>
                <w:sz w:val="18"/>
                <w:szCs w:val="18"/>
              </w:rPr>
              <w:t>2</w:t>
            </w:r>
          </w:p>
        </w:tc>
        <w:tc>
          <w:tcPr>
            <w:tcW w:w="500" w:type="dxa"/>
            <w:tcBorders>
              <w:top w:val="nil"/>
              <w:left w:val="nil"/>
              <w:bottom w:val="single" w:sz="4" w:space="0" w:color="auto"/>
              <w:right w:val="nil"/>
            </w:tcBorders>
            <w:shd w:val="clear" w:color="000000" w:fill="FFFFFF"/>
            <w:vAlign w:val="center"/>
          </w:tcPr>
          <w:p w:rsidR="00266BA4" w:rsidRPr="00A00F0F" w:rsidRDefault="00266BA4" w:rsidP="00747E56">
            <w:pPr>
              <w:spacing w:before="0" w:after="0"/>
              <w:jc w:val="right"/>
              <w:rPr>
                <w:rFonts w:ascii="Arial Narrow" w:hAnsi="Arial Narrow" w:cs="Calibri"/>
                <w:color w:val="000000"/>
                <w:sz w:val="18"/>
                <w:szCs w:val="18"/>
              </w:rPr>
            </w:pPr>
            <w:r w:rsidRPr="00A00F0F">
              <w:rPr>
                <w:rFonts w:ascii="Arial Narrow" w:hAnsi="Arial Narrow" w:cs="Calibri"/>
                <w:color w:val="000000"/>
                <w:sz w:val="18"/>
                <w:szCs w:val="18"/>
              </w:rPr>
              <w:t>6</w:t>
            </w:r>
            <w:r>
              <w:rPr>
                <w:rFonts w:ascii="Arial Narrow" w:hAnsi="Arial Narrow" w:cs="Calibri"/>
                <w:color w:val="000000"/>
                <w:sz w:val="18"/>
                <w:szCs w:val="18"/>
              </w:rPr>
              <w:t>,0</w:t>
            </w:r>
          </w:p>
        </w:tc>
        <w:tc>
          <w:tcPr>
            <w:tcW w:w="500" w:type="dxa"/>
            <w:tcBorders>
              <w:top w:val="nil"/>
              <w:left w:val="nil"/>
              <w:bottom w:val="single" w:sz="4" w:space="0" w:color="auto"/>
              <w:right w:val="nil"/>
            </w:tcBorders>
            <w:shd w:val="clear" w:color="000000" w:fill="FFFFFF"/>
            <w:vAlign w:val="center"/>
          </w:tcPr>
          <w:p w:rsidR="00266BA4" w:rsidRPr="00A00F0F" w:rsidRDefault="00266BA4" w:rsidP="00747E56">
            <w:pPr>
              <w:spacing w:before="0" w:after="0"/>
              <w:jc w:val="right"/>
              <w:rPr>
                <w:rFonts w:ascii="Arial Narrow" w:hAnsi="Arial Narrow" w:cs="Calibri"/>
                <w:color w:val="000000"/>
                <w:sz w:val="18"/>
                <w:szCs w:val="18"/>
              </w:rPr>
            </w:pPr>
            <w:r>
              <w:rPr>
                <w:rFonts w:ascii="Arial Narrow" w:hAnsi="Arial Narrow" w:cs="Calibri"/>
                <w:color w:val="000000"/>
                <w:sz w:val="18"/>
                <w:szCs w:val="18"/>
              </w:rPr>
              <w:t>5,2</w:t>
            </w:r>
          </w:p>
        </w:tc>
        <w:tc>
          <w:tcPr>
            <w:tcW w:w="501" w:type="dxa"/>
            <w:tcBorders>
              <w:top w:val="nil"/>
              <w:left w:val="nil"/>
              <w:bottom w:val="single" w:sz="4" w:space="0" w:color="auto"/>
              <w:right w:val="nil"/>
            </w:tcBorders>
            <w:shd w:val="clear" w:color="000000" w:fill="FFFFFF"/>
            <w:vAlign w:val="center"/>
          </w:tcPr>
          <w:p w:rsidR="00266BA4" w:rsidRDefault="00266BA4" w:rsidP="00747E56">
            <w:pPr>
              <w:spacing w:before="0" w:after="0"/>
              <w:jc w:val="right"/>
              <w:rPr>
                <w:rFonts w:ascii="Arial Narrow" w:hAnsi="Arial Narrow" w:cs="Calibri"/>
                <w:color w:val="000000"/>
                <w:sz w:val="18"/>
                <w:szCs w:val="18"/>
              </w:rPr>
            </w:pPr>
            <w:r>
              <w:rPr>
                <w:rFonts w:ascii="Arial Narrow" w:hAnsi="Arial Narrow" w:cs="Calibri"/>
                <w:color w:val="000000"/>
                <w:sz w:val="18"/>
                <w:szCs w:val="18"/>
              </w:rPr>
              <w:t>5,1</w:t>
            </w:r>
          </w:p>
        </w:tc>
        <w:tc>
          <w:tcPr>
            <w:tcW w:w="501" w:type="dxa"/>
            <w:tcBorders>
              <w:top w:val="nil"/>
              <w:left w:val="nil"/>
              <w:bottom w:val="single" w:sz="4" w:space="0" w:color="auto"/>
              <w:right w:val="nil"/>
            </w:tcBorders>
            <w:shd w:val="clear" w:color="000000" w:fill="FFFFFF"/>
            <w:vAlign w:val="center"/>
          </w:tcPr>
          <w:p w:rsidR="00266BA4" w:rsidRDefault="00266BA4" w:rsidP="00747E56">
            <w:pPr>
              <w:spacing w:before="0" w:after="0"/>
              <w:jc w:val="right"/>
              <w:rPr>
                <w:rFonts w:ascii="Arial Narrow" w:hAnsi="Arial Narrow" w:cs="Calibri"/>
                <w:color w:val="000000"/>
                <w:sz w:val="18"/>
                <w:szCs w:val="18"/>
              </w:rPr>
            </w:pPr>
            <w:r>
              <w:rPr>
                <w:rFonts w:ascii="Arial Narrow" w:hAnsi="Arial Narrow" w:cs="Calibri"/>
                <w:color w:val="000000"/>
                <w:sz w:val="18"/>
                <w:szCs w:val="18"/>
              </w:rPr>
              <w:t>4,5</w:t>
            </w:r>
          </w:p>
        </w:tc>
        <w:tc>
          <w:tcPr>
            <w:tcW w:w="501" w:type="dxa"/>
            <w:tcBorders>
              <w:top w:val="nil"/>
              <w:left w:val="nil"/>
              <w:bottom w:val="single" w:sz="4" w:space="0" w:color="auto"/>
              <w:right w:val="nil"/>
            </w:tcBorders>
            <w:shd w:val="clear" w:color="000000" w:fill="FFFFFF"/>
            <w:vAlign w:val="center"/>
          </w:tcPr>
          <w:p w:rsidR="00266BA4" w:rsidRDefault="00266BA4" w:rsidP="00747E56">
            <w:pPr>
              <w:spacing w:before="0" w:after="0"/>
              <w:jc w:val="right"/>
              <w:rPr>
                <w:rFonts w:ascii="Arial Narrow" w:hAnsi="Arial Narrow" w:cs="Calibri"/>
                <w:color w:val="000000"/>
                <w:sz w:val="18"/>
                <w:szCs w:val="18"/>
              </w:rPr>
            </w:pPr>
            <w:r>
              <w:rPr>
                <w:rFonts w:ascii="Arial Narrow" w:hAnsi="Arial Narrow" w:cs="Calibri"/>
                <w:color w:val="000000"/>
                <w:sz w:val="18"/>
                <w:szCs w:val="18"/>
              </w:rPr>
              <w:t>3,8</w:t>
            </w:r>
          </w:p>
        </w:tc>
        <w:tc>
          <w:tcPr>
            <w:tcW w:w="501" w:type="dxa"/>
            <w:tcBorders>
              <w:top w:val="nil"/>
              <w:left w:val="nil"/>
              <w:bottom w:val="single" w:sz="4" w:space="0" w:color="auto"/>
              <w:right w:val="nil"/>
            </w:tcBorders>
            <w:shd w:val="clear" w:color="000000" w:fill="FFFFFF"/>
            <w:vAlign w:val="center"/>
          </w:tcPr>
          <w:p w:rsidR="00266BA4" w:rsidRDefault="00266BA4" w:rsidP="00747E56">
            <w:pPr>
              <w:spacing w:before="0" w:after="0"/>
              <w:jc w:val="right"/>
              <w:rPr>
                <w:rFonts w:ascii="Arial Narrow" w:hAnsi="Arial Narrow" w:cs="Calibri"/>
                <w:color w:val="000000"/>
                <w:sz w:val="18"/>
                <w:szCs w:val="18"/>
              </w:rPr>
            </w:pPr>
            <w:r>
              <w:rPr>
                <w:rFonts w:ascii="Arial Narrow" w:hAnsi="Arial Narrow" w:cs="Calibri"/>
                <w:color w:val="000000"/>
                <w:sz w:val="18"/>
                <w:szCs w:val="18"/>
              </w:rPr>
              <w:t>3,5</w:t>
            </w:r>
          </w:p>
        </w:tc>
        <w:tc>
          <w:tcPr>
            <w:tcW w:w="501" w:type="dxa"/>
            <w:tcBorders>
              <w:top w:val="nil"/>
              <w:left w:val="nil"/>
              <w:bottom w:val="single" w:sz="4" w:space="0" w:color="auto"/>
              <w:right w:val="nil"/>
            </w:tcBorders>
            <w:shd w:val="clear" w:color="000000" w:fill="FFFFFF"/>
            <w:vAlign w:val="center"/>
          </w:tcPr>
          <w:p w:rsidR="00266BA4" w:rsidRDefault="00266BA4" w:rsidP="00747E56">
            <w:pPr>
              <w:spacing w:before="0" w:after="0"/>
              <w:jc w:val="right"/>
              <w:rPr>
                <w:rFonts w:ascii="Arial Narrow" w:hAnsi="Arial Narrow" w:cs="Calibri"/>
                <w:color w:val="000000"/>
                <w:sz w:val="18"/>
                <w:szCs w:val="18"/>
              </w:rPr>
            </w:pPr>
            <w:r>
              <w:rPr>
                <w:rFonts w:ascii="Arial Narrow" w:hAnsi="Arial Narrow" w:cs="Calibri"/>
                <w:color w:val="000000"/>
                <w:sz w:val="18"/>
                <w:szCs w:val="18"/>
              </w:rPr>
              <w:t>3,4</w:t>
            </w:r>
          </w:p>
        </w:tc>
        <w:tc>
          <w:tcPr>
            <w:tcW w:w="501" w:type="dxa"/>
            <w:tcBorders>
              <w:top w:val="nil"/>
              <w:left w:val="nil"/>
              <w:bottom w:val="single" w:sz="4" w:space="0" w:color="auto"/>
              <w:right w:val="nil"/>
            </w:tcBorders>
            <w:shd w:val="clear" w:color="000000" w:fill="FFFFFF"/>
            <w:vAlign w:val="center"/>
          </w:tcPr>
          <w:p w:rsidR="00266BA4" w:rsidRDefault="00266BA4" w:rsidP="00747E56">
            <w:pPr>
              <w:spacing w:before="0" w:after="0"/>
              <w:jc w:val="right"/>
              <w:rPr>
                <w:rFonts w:ascii="Arial Narrow" w:hAnsi="Arial Narrow" w:cs="Calibri"/>
                <w:color w:val="000000"/>
                <w:sz w:val="18"/>
                <w:szCs w:val="18"/>
              </w:rPr>
            </w:pPr>
            <w:r>
              <w:rPr>
                <w:rFonts w:ascii="Arial Narrow" w:hAnsi="Arial Narrow" w:cs="Calibri"/>
                <w:color w:val="000000"/>
                <w:sz w:val="18"/>
                <w:szCs w:val="18"/>
              </w:rPr>
              <w:t>2,8</w:t>
            </w:r>
          </w:p>
        </w:tc>
        <w:tc>
          <w:tcPr>
            <w:tcW w:w="552" w:type="dxa"/>
            <w:tcBorders>
              <w:top w:val="nil"/>
              <w:left w:val="nil"/>
              <w:bottom w:val="single" w:sz="4" w:space="0" w:color="auto"/>
              <w:right w:val="nil"/>
            </w:tcBorders>
            <w:shd w:val="clear" w:color="000000" w:fill="FFFFFF"/>
            <w:vAlign w:val="center"/>
          </w:tcPr>
          <w:p w:rsidR="00266BA4" w:rsidRDefault="00266BA4" w:rsidP="00747E56">
            <w:pPr>
              <w:spacing w:before="0" w:after="0"/>
              <w:jc w:val="right"/>
              <w:rPr>
                <w:rFonts w:ascii="Arial Narrow" w:hAnsi="Arial Narrow" w:cs="Calibri"/>
                <w:color w:val="000000"/>
                <w:sz w:val="18"/>
                <w:szCs w:val="18"/>
              </w:rPr>
            </w:pPr>
            <w:r>
              <w:rPr>
                <w:rFonts w:ascii="Arial Narrow" w:hAnsi="Arial Narrow" w:cs="Calibri"/>
                <w:color w:val="000000"/>
                <w:sz w:val="18"/>
                <w:szCs w:val="18"/>
              </w:rPr>
              <w:t>2,4</w:t>
            </w:r>
          </w:p>
        </w:tc>
        <w:tc>
          <w:tcPr>
            <w:tcW w:w="552" w:type="dxa"/>
            <w:tcBorders>
              <w:top w:val="nil"/>
              <w:left w:val="nil"/>
              <w:bottom w:val="single" w:sz="4" w:space="0" w:color="auto"/>
              <w:right w:val="nil"/>
            </w:tcBorders>
            <w:shd w:val="clear" w:color="000000" w:fill="FFFFFF"/>
            <w:vAlign w:val="center"/>
          </w:tcPr>
          <w:p w:rsidR="00266BA4" w:rsidRDefault="00266BA4" w:rsidP="00747E56">
            <w:pPr>
              <w:spacing w:before="0" w:after="0"/>
              <w:jc w:val="right"/>
              <w:rPr>
                <w:rFonts w:ascii="Arial Narrow" w:hAnsi="Arial Narrow" w:cs="Calibri"/>
                <w:color w:val="000000"/>
                <w:sz w:val="18"/>
                <w:szCs w:val="18"/>
              </w:rPr>
            </w:pPr>
            <w:r>
              <w:rPr>
                <w:rFonts w:ascii="Arial Narrow" w:hAnsi="Arial Narrow" w:cs="Calibri"/>
                <w:color w:val="000000"/>
                <w:sz w:val="18"/>
                <w:szCs w:val="18"/>
              </w:rPr>
              <w:t>2,3</w:t>
            </w:r>
          </w:p>
        </w:tc>
        <w:tc>
          <w:tcPr>
            <w:tcW w:w="525" w:type="dxa"/>
            <w:tcBorders>
              <w:top w:val="nil"/>
              <w:left w:val="nil"/>
              <w:bottom w:val="single" w:sz="4" w:space="0" w:color="auto"/>
              <w:right w:val="nil"/>
            </w:tcBorders>
            <w:shd w:val="clear" w:color="000000" w:fill="FFFFFF"/>
            <w:vAlign w:val="center"/>
          </w:tcPr>
          <w:p w:rsidR="00266BA4" w:rsidRDefault="00266BA4" w:rsidP="00747E56">
            <w:pPr>
              <w:spacing w:before="0" w:after="0"/>
              <w:jc w:val="right"/>
              <w:rPr>
                <w:rFonts w:ascii="Arial Narrow" w:hAnsi="Arial Narrow" w:cs="Calibri"/>
                <w:color w:val="000000"/>
                <w:sz w:val="18"/>
                <w:szCs w:val="18"/>
              </w:rPr>
            </w:pPr>
            <w:r>
              <w:rPr>
                <w:rFonts w:ascii="Arial Narrow" w:hAnsi="Arial Narrow" w:cs="Calibri"/>
                <w:color w:val="000000"/>
                <w:sz w:val="18"/>
                <w:szCs w:val="18"/>
              </w:rPr>
              <w:t>2,1</w:t>
            </w:r>
          </w:p>
        </w:tc>
        <w:tc>
          <w:tcPr>
            <w:tcW w:w="522" w:type="dxa"/>
            <w:tcBorders>
              <w:top w:val="nil"/>
              <w:left w:val="nil"/>
              <w:bottom w:val="single" w:sz="4" w:space="0" w:color="auto"/>
              <w:right w:val="nil"/>
            </w:tcBorders>
            <w:shd w:val="clear" w:color="000000" w:fill="FFFFFF"/>
            <w:vAlign w:val="center"/>
          </w:tcPr>
          <w:p w:rsidR="00266BA4" w:rsidRDefault="00266BA4" w:rsidP="00747E56">
            <w:pPr>
              <w:spacing w:before="0" w:after="0"/>
              <w:jc w:val="right"/>
              <w:rPr>
                <w:rFonts w:ascii="Arial Narrow" w:hAnsi="Arial Narrow" w:cs="Calibri"/>
                <w:color w:val="000000"/>
                <w:sz w:val="18"/>
                <w:szCs w:val="18"/>
              </w:rPr>
            </w:pPr>
            <w:r>
              <w:rPr>
                <w:rFonts w:ascii="Arial Narrow" w:hAnsi="Arial Narrow" w:cs="Calibri"/>
                <w:color w:val="000000"/>
                <w:sz w:val="18"/>
                <w:szCs w:val="18"/>
              </w:rPr>
              <w:t>2,1</w:t>
            </w:r>
          </w:p>
        </w:tc>
      </w:tr>
    </w:tbl>
    <w:p w:rsidR="00266BA4" w:rsidRDefault="00266BA4" w:rsidP="00266BA4">
      <w:pPr>
        <w:widowControl/>
        <w:overflowPunct/>
        <w:spacing w:before="0" w:after="120"/>
        <w:jc w:val="both"/>
        <w:rPr>
          <w:rFonts w:ascii="Arial" w:hAnsi="Arial" w:cs="Arial"/>
        </w:rPr>
      </w:pPr>
    </w:p>
    <w:p w:rsidR="00266BA4" w:rsidRDefault="00266BA4" w:rsidP="00266BA4">
      <w:pPr>
        <w:widowControl/>
        <w:overflowPunct/>
        <w:spacing w:before="0" w:after="120"/>
        <w:jc w:val="both"/>
        <w:rPr>
          <w:rFonts w:ascii="Arial" w:hAnsi="Arial" w:cs="Arial"/>
        </w:rPr>
      </w:pPr>
    </w:p>
    <w:p w:rsidR="00266BA4" w:rsidRDefault="00266BA4" w:rsidP="00266BA4">
      <w:pPr>
        <w:widowControl/>
        <w:overflowPunct/>
        <w:spacing w:before="0" w:after="120"/>
        <w:jc w:val="both"/>
        <w:rPr>
          <w:rFonts w:ascii="Arial" w:hAnsi="Arial" w:cs="Arial"/>
        </w:rPr>
      </w:pPr>
      <w:r w:rsidRPr="001D642A">
        <w:rPr>
          <w:rFonts w:ascii="Arial" w:hAnsi="Arial" w:cs="Arial"/>
        </w:rPr>
        <w:t xml:space="preserve">La revisione media assoluta (RMA) fornisce una misura dell’ampiezza delle revisioni effettuate nell’arco di un determinato periodo. Nello specifico, la RMA è calcolata come media aritmetica semplice delle differenze, considerate in valore assoluto, tra le variazioni tendenziali delle stime provvisorie e quelle delle stime definitive, con riferimento agli ultimi tredici mesi. Nella Figura 1 sono riportati i valori della RMA per l’indice generale e i principali aggregati speciali IPCA nel periodo </w:t>
      </w:r>
      <w:r>
        <w:rPr>
          <w:rFonts w:ascii="Arial" w:hAnsi="Arial" w:cs="Arial"/>
        </w:rPr>
        <w:t>giugno</w:t>
      </w:r>
      <w:r w:rsidRPr="00BF2D38">
        <w:rPr>
          <w:rFonts w:ascii="Arial" w:hAnsi="Arial" w:cs="Arial"/>
        </w:rPr>
        <w:t xml:space="preserve"> </w:t>
      </w:r>
      <w:r w:rsidRPr="001D642A">
        <w:rPr>
          <w:rFonts w:ascii="Arial" w:hAnsi="Arial" w:cs="Arial"/>
        </w:rPr>
        <w:t>202</w:t>
      </w:r>
      <w:r>
        <w:rPr>
          <w:rFonts w:ascii="Arial" w:hAnsi="Arial" w:cs="Arial"/>
        </w:rPr>
        <w:t>3</w:t>
      </w:r>
      <w:r w:rsidRPr="001D642A">
        <w:rPr>
          <w:rFonts w:ascii="Arial" w:hAnsi="Arial" w:cs="Arial"/>
        </w:rPr>
        <w:t xml:space="preserve"> – </w:t>
      </w:r>
      <w:r>
        <w:rPr>
          <w:rFonts w:ascii="Arial" w:hAnsi="Arial" w:cs="Arial"/>
        </w:rPr>
        <w:t>giugno</w:t>
      </w:r>
      <w:r w:rsidRPr="00BF2D38">
        <w:rPr>
          <w:rFonts w:ascii="Arial" w:hAnsi="Arial" w:cs="Arial"/>
        </w:rPr>
        <w:t xml:space="preserve"> </w:t>
      </w:r>
      <w:r>
        <w:rPr>
          <w:rFonts w:ascii="Arial" w:hAnsi="Arial" w:cs="Arial"/>
        </w:rPr>
        <w:t>2024.</w:t>
      </w:r>
    </w:p>
    <w:p w:rsidR="00266BA4" w:rsidRPr="001D642A" w:rsidRDefault="00266BA4" w:rsidP="00266BA4">
      <w:pPr>
        <w:widowControl/>
        <w:overflowPunct/>
        <w:spacing w:before="0" w:after="120"/>
        <w:jc w:val="both"/>
        <w:rPr>
          <w:rFonts w:ascii="Arial" w:hAnsi="Arial" w:cs="Arial"/>
        </w:rPr>
      </w:pPr>
      <w:r w:rsidRPr="001D642A">
        <w:rPr>
          <w:rFonts w:ascii="Arial" w:hAnsi="Arial" w:cs="Arial"/>
        </w:rPr>
        <w:t>Le RMA più ampie nell’arco di tempo considerato hanno riguardato i tassi di variazione tendenziale dei prezzi degli Alimentari lavorati (0,</w:t>
      </w:r>
      <w:r>
        <w:rPr>
          <w:rFonts w:ascii="Arial" w:hAnsi="Arial" w:cs="Arial"/>
        </w:rPr>
        <w:t xml:space="preserve">254 </w:t>
      </w:r>
      <w:r w:rsidRPr="001D642A">
        <w:rPr>
          <w:rFonts w:ascii="Arial" w:hAnsi="Arial" w:cs="Arial"/>
        </w:rPr>
        <w:t>punti percentuali)</w:t>
      </w:r>
      <w:r>
        <w:rPr>
          <w:rFonts w:ascii="Arial" w:hAnsi="Arial" w:cs="Arial"/>
        </w:rPr>
        <w:t xml:space="preserve">, degli Alimentari non lavorati (0,138) e dell’Energia (0,100); a seguire, le RMA </w:t>
      </w:r>
      <w:r w:rsidRPr="001D642A">
        <w:rPr>
          <w:rFonts w:ascii="Arial" w:hAnsi="Arial" w:cs="Arial"/>
        </w:rPr>
        <w:t>dei Beni industriali non energetici (0,</w:t>
      </w:r>
      <w:r>
        <w:rPr>
          <w:rFonts w:ascii="Arial" w:hAnsi="Arial" w:cs="Arial"/>
        </w:rPr>
        <w:t>077</w:t>
      </w:r>
      <w:r w:rsidRPr="001D642A">
        <w:rPr>
          <w:rFonts w:ascii="Arial" w:hAnsi="Arial" w:cs="Arial"/>
        </w:rPr>
        <w:t xml:space="preserve"> punti percentuali)</w:t>
      </w:r>
      <w:r>
        <w:rPr>
          <w:rFonts w:ascii="Arial" w:hAnsi="Arial" w:cs="Arial"/>
        </w:rPr>
        <w:t xml:space="preserve"> e, infine, quelle dei Servizi (0,031 punti percentuali)</w:t>
      </w:r>
      <w:r w:rsidRPr="001D642A">
        <w:rPr>
          <w:rFonts w:ascii="Arial" w:hAnsi="Arial" w:cs="Arial"/>
        </w:rPr>
        <w:t>.</w:t>
      </w:r>
      <w:r w:rsidRPr="002C6993">
        <w:rPr>
          <w:rFonts w:ascii="Arial" w:hAnsi="Arial" w:cs="Arial"/>
        </w:rPr>
        <w:t xml:space="preserve"> </w:t>
      </w:r>
    </w:p>
    <w:p w:rsidR="00266BA4" w:rsidRPr="001D642A" w:rsidRDefault="00266BA4" w:rsidP="00266BA4">
      <w:pPr>
        <w:widowControl/>
        <w:overflowPunct/>
        <w:spacing w:before="0" w:after="120"/>
        <w:jc w:val="both"/>
        <w:rPr>
          <w:rFonts w:ascii="Arial" w:hAnsi="Arial" w:cs="Arial"/>
          <w:kern w:val="0"/>
        </w:rPr>
      </w:pPr>
      <w:r w:rsidRPr="001D642A">
        <w:rPr>
          <w:rFonts w:ascii="Arial" w:hAnsi="Arial" w:cs="Arial"/>
          <w:kern w:val="0"/>
        </w:rPr>
        <w:t xml:space="preserve">Per ulteriori informazioni relative alle revisioni degli indicatori congiunturali, consultare la </w:t>
      </w:r>
      <w:hyperlink r:id="rId40" w:history="1">
        <w:r w:rsidRPr="001D642A">
          <w:rPr>
            <w:rStyle w:val="Collegamentoipertestuale"/>
            <w:rFonts w:ascii="Arial" w:hAnsi="Arial" w:cs="Arial"/>
            <w:kern w:val="0"/>
          </w:rPr>
          <w:t>sezione dedicata</w:t>
        </w:r>
      </w:hyperlink>
      <w:r w:rsidRPr="001D642A">
        <w:rPr>
          <w:rFonts w:ascii="Arial" w:hAnsi="Arial" w:cs="Arial"/>
          <w:kern w:val="0"/>
        </w:rPr>
        <w:t>.</w:t>
      </w:r>
    </w:p>
    <w:p w:rsidR="00266BA4" w:rsidRPr="001D642A" w:rsidRDefault="00266BA4" w:rsidP="00266BA4">
      <w:pPr>
        <w:spacing w:before="0" w:after="120"/>
        <w:jc w:val="both"/>
        <w:rPr>
          <w:rFonts w:ascii="Arial" w:hAnsi="Arial" w:cs="Arial"/>
        </w:rPr>
      </w:pPr>
    </w:p>
    <w:p w:rsidR="00266BA4" w:rsidRPr="00E95D57" w:rsidRDefault="00266BA4" w:rsidP="00266BA4">
      <w:pPr>
        <w:pStyle w:val="001TitoGra"/>
        <w:rPr>
          <w:b w:val="0"/>
          <w:sz w:val="20"/>
          <w:szCs w:val="20"/>
        </w:rPr>
      </w:pPr>
      <w:r w:rsidRPr="001D642A">
        <w:rPr>
          <w:rStyle w:val="001TitoGraRed"/>
        </w:rPr>
        <w:t>FIGURA 1.</w:t>
      </w:r>
      <w:r w:rsidRPr="001D642A">
        <w:t xml:space="preserve"> REVISIONE MEDIA ASSOLUTA DELLE STIME PRELIMINARI DEI TASSI TENDENZIALI DEGLI INDICI IPCA</w:t>
      </w:r>
      <w:r w:rsidRPr="00C8504B">
        <w:rPr>
          <w:b w:val="0"/>
        </w:rPr>
        <w:br/>
      </w:r>
      <w:r>
        <w:rPr>
          <w:b w:val="0"/>
          <w:sz w:val="20"/>
          <w:szCs w:val="20"/>
        </w:rPr>
        <w:t>Giugno</w:t>
      </w:r>
      <w:r w:rsidRPr="00646A01">
        <w:rPr>
          <w:b w:val="0"/>
          <w:sz w:val="20"/>
          <w:szCs w:val="20"/>
        </w:rPr>
        <w:t xml:space="preserve"> </w:t>
      </w:r>
      <w:r w:rsidRPr="00E95D57">
        <w:rPr>
          <w:b w:val="0"/>
          <w:sz w:val="20"/>
          <w:szCs w:val="20"/>
        </w:rPr>
        <w:t>202</w:t>
      </w:r>
      <w:r>
        <w:rPr>
          <w:b w:val="0"/>
          <w:sz w:val="20"/>
          <w:szCs w:val="20"/>
        </w:rPr>
        <w:t>3</w:t>
      </w:r>
      <w:r w:rsidRPr="00E95D57">
        <w:rPr>
          <w:b w:val="0"/>
          <w:sz w:val="20"/>
          <w:szCs w:val="20"/>
        </w:rPr>
        <w:t xml:space="preserve"> – </w:t>
      </w:r>
      <w:r>
        <w:rPr>
          <w:b w:val="0"/>
          <w:sz w:val="20"/>
          <w:szCs w:val="20"/>
        </w:rPr>
        <w:t>giugno</w:t>
      </w:r>
      <w:r w:rsidRPr="00646A01">
        <w:rPr>
          <w:b w:val="0"/>
          <w:sz w:val="20"/>
          <w:szCs w:val="20"/>
        </w:rPr>
        <w:t xml:space="preserve"> </w:t>
      </w:r>
      <w:r w:rsidRPr="00E95D57">
        <w:rPr>
          <w:b w:val="0"/>
          <w:sz w:val="20"/>
          <w:szCs w:val="20"/>
        </w:rPr>
        <w:t>202</w:t>
      </w:r>
      <w:r>
        <w:rPr>
          <w:b w:val="0"/>
          <w:sz w:val="20"/>
          <w:szCs w:val="20"/>
        </w:rPr>
        <w:t>4</w:t>
      </w:r>
      <w:r w:rsidRPr="00E95D57">
        <w:rPr>
          <w:b w:val="0"/>
          <w:sz w:val="20"/>
          <w:szCs w:val="20"/>
        </w:rPr>
        <w:t>, punti percentuali</w:t>
      </w:r>
    </w:p>
    <w:p w:rsidR="00266BA4" w:rsidRDefault="00266BA4" w:rsidP="00266BA4">
      <w:pPr>
        <w:spacing w:before="0" w:after="120"/>
        <w:jc w:val="both"/>
        <w:rPr>
          <w:rFonts w:ascii="Arial" w:hAnsi="Arial" w:cs="Arial"/>
          <w:b/>
          <w:sz w:val="22"/>
          <w:szCs w:val="22"/>
        </w:rPr>
      </w:pPr>
      <w:r>
        <w:rPr>
          <w:rFonts w:ascii="Arial" w:hAnsi="Arial" w:cs="Arial"/>
          <w:b/>
          <w:noProof/>
          <w:sz w:val="22"/>
          <w:szCs w:val="22"/>
        </w:rPr>
        <w:drawing>
          <wp:inline distT="0" distB="0" distL="0" distR="0" wp14:anchorId="3A1A8B86" wp14:editId="27676D72">
            <wp:extent cx="6657340" cy="2158365"/>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6657340" cy="2158365"/>
                    </a:xfrm>
                    <a:prstGeom prst="rect">
                      <a:avLst/>
                    </a:prstGeom>
                    <a:noFill/>
                  </pic:spPr>
                </pic:pic>
              </a:graphicData>
            </a:graphic>
          </wp:inline>
        </w:drawing>
      </w:r>
    </w:p>
    <w:p w:rsidR="00266BA4" w:rsidRPr="00CC78C0" w:rsidRDefault="00266BA4" w:rsidP="00266BA4">
      <w:pPr>
        <w:spacing w:before="0" w:after="120"/>
        <w:jc w:val="both"/>
        <w:rPr>
          <w:rFonts w:ascii="Arial" w:hAnsi="Arial" w:cs="Arial"/>
          <w:b/>
          <w:sz w:val="22"/>
          <w:szCs w:val="22"/>
          <w:highlight w:val="yellow"/>
        </w:rPr>
      </w:pPr>
    </w:p>
    <w:p w:rsidR="00945580" w:rsidRPr="00495C7D" w:rsidRDefault="00945580" w:rsidP="00945580">
      <w:pPr>
        <w:spacing w:before="0" w:after="120"/>
        <w:jc w:val="both"/>
        <w:rPr>
          <w:rFonts w:ascii="Arial" w:hAnsi="Arial" w:cs="Arial"/>
          <w:b/>
          <w:sz w:val="22"/>
          <w:szCs w:val="22"/>
        </w:rPr>
      </w:pPr>
      <w:r w:rsidRPr="00495C7D">
        <w:rPr>
          <w:rFonts w:ascii="Arial" w:hAnsi="Arial" w:cs="Arial"/>
          <w:b/>
          <w:sz w:val="22"/>
          <w:szCs w:val="22"/>
        </w:rPr>
        <w:t xml:space="preserve">Calcolo delle variazioni degli indici </w:t>
      </w:r>
    </w:p>
    <w:p w:rsidR="00945580" w:rsidRPr="00495C7D" w:rsidRDefault="00945580" w:rsidP="00945580">
      <w:pPr>
        <w:pStyle w:val="Default"/>
        <w:spacing w:after="120"/>
        <w:jc w:val="both"/>
        <w:rPr>
          <w:rFonts w:ascii="Arial" w:hAnsi="Arial" w:cs="Arial"/>
          <w:sz w:val="20"/>
          <w:szCs w:val="20"/>
        </w:rPr>
      </w:pPr>
      <w:r w:rsidRPr="00495C7D">
        <w:rPr>
          <w:rFonts w:ascii="Arial" w:hAnsi="Arial" w:cs="Arial"/>
          <w:sz w:val="20"/>
          <w:szCs w:val="20"/>
        </w:rPr>
        <w:t>Il calcolo delle variazioni congiunturali e tendenziali degli indici dei prezzi al consumo si effettua, sulle serie pubblicate, secondo le regole seguenti:</w:t>
      </w:r>
    </w:p>
    <w:p w:rsidR="00945580" w:rsidRPr="00495C7D" w:rsidRDefault="00945580" w:rsidP="00945580">
      <w:pPr>
        <w:pStyle w:val="Default"/>
        <w:numPr>
          <w:ilvl w:val="0"/>
          <w:numId w:val="43"/>
        </w:numPr>
        <w:spacing w:after="120"/>
        <w:jc w:val="both"/>
        <w:rPr>
          <w:rFonts w:ascii="Arial" w:hAnsi="Arial" w:cs="Arial"/>
          <w:sz w:val="20"/>
          <w:szCs w:val="20"/>
        </w:rPr>
      </w:pPr>
      <w:r w:rsidRPr="00495C7D">
        <w:rPr>
          <w:rFonts w:ascii="Arial" w:hAnsi="Arial" w:cs="Arial"/>
          <w:sz w:val="20"/>
          <w:szCs w:val="20"/>
        </w:rPr>
        <w:t xml:space="preserve">la variazione percentuale tra indici mensili, espressi nella stessa base di riferimento, è pari al rapporto degli indici messi a confronto, per 100, meno 100. Il risultato finale è arrotondato a 1 decimale (per esempio per calcolare la variazione percentuale dell’indice generale NIC tra febbraio e marzo 2022, l’indice di marzo 2022 (base 2015=100) è pari a 110,4, quello di febbraio è 109,3, quindi il calcolo è 110,4/109,3*100-100=+1,0%); </w:t>
      </w:r>
    </w:p>
    <w:p w:rsidR="00945580" w:rsidRDefault="00945580" w:rsidP="00945580">
      <w:pPr>
        <w:pStyle w:val="Default"/>
        <w:numPr>
          <w:ilvl w:val="0"/>
          <w:numId w:val="43"/>
        </w:numPr>
        <w:ind w:left="714" w:hanging="357"/>
        <w:jc w:val="both"/>
        <w:rPr>
          <w:rFonts w:ascii="Arial" w:hAnsi="Arial" w:cs="Arial"/>
          <w:sz w:val="20"/>
          <w:szCs w:val="20"/>
        </w:rPr>
      </w:pPr>
      <w:r w:rsidRPr="00495C7D">
        <w:rPr>
          <w:rFonts w:ascii="Arial" w:hAnsi="Arial" w:cs="Arial"/>
          <w:sz w:val="20"/>
          <w:szCs w:val="20"/>
        </w:rPr>
        <w:t>la variazione percentuale tra indici medi annui, espressi nella medesima base di riferimento è pari al rapporto degli indici degli anni posti a confronto, per 100, meno 100; il risultato finale è arrotondato a 1 decimale (per esempio per calcolare la variazione percentuale dell’indice generale NIC tra gli anni 2022 e 2020, l’indice medio annuo del 2022, con base 2015=100, è 113,2, quello del 2020, con base 2015=100, è 102,7, quindi il calcolo è 113,2/102,7*100-100=+10,2%). Fa eccezione l’indice armonizzato (IPCA), per il quale la variazione percentuale media annua viene calcolata a partire dagli indici mensili; per esempio, per calcolare la variazione percentuale dell’indice generale IPCA tra gli anni 2022 e 2020, il calcolo è</w:t>
      </w:r>
    </w:p>
    <w:p w:rsidR="00945580" w:rsidRPr="00495C7D" w:rsidRDefault="00945580" w:rsidP="00945580">
      <w:pPr>
        <w:pStyle w:val="Default"/>
        <w:spacing w:after="120"/>
        <w:ind w:left="720"/>
        <w:jc w:val="both"/>
        <w:rPr>
          <w:rFonts w:ascii="Arial" w:hAnsi="Arial" w:cs="Arial"/>
          <w:sz w:val="20"/>
          <w:szCs w:val="20"/>
        </w:rPr>
      </w:pPr>
      <w:r w:rsidRPr="00495C7D">
        <w:rPr>
          <w:rFonts w:ascii="Arial" w:hAnsi="Arial" w:cs="Arial"/>
          <w:sz w:val="20"/>
          <w:szCs w:val="20"/>
        </w:rPr>
        <w:t>(107,8+108,7+111,3+111,7+112,7+114,1+112,8+113,8+115,6+120,0+120,8+121,1)/(101,9+ 101,4+103,6+104,1+103,8+103,8+103,1+101,8+102,7+103,3+103,3+103,5)*100-100=+10,8%</w:t>
      </w:r>
    </w:p>
    <w:p w:rsidR="00945580" w:rsidRPr="00495C7D" w:rsidRDefault="00945580" w:rsidP="00945580">
      <w:pPr>
        <w:pStyle w:val="Default"/>
        <w:numPr>
          <w:ilvl w:val="0"/>
          <w:numId w:val="43"/>
        </w:numPr>
        <w:spacing w:after="120"/>
        <w:jc w:val="both"/>
        <w:rPr>
          <w:rFonts w:ascii="Arial" w:hAnsi="Arial" w:cs="Arial"/>
          <w:sz w:val="20"/>
          <w:szCs w:val="20"/>
        </w:rPr>
      </w:pPr>
      <w:r w:rsidRPr="00495C7D">
        <w:rPr>
          <w:rFonts w:ascii="Arial" w:hAnsi="Arial" w:cs="Arial"/>
          <w:sz w:val="20"/>
          <w:szCs w:val="20"/>
        </w:rPr>
        <w:t xml:space="preserve">la variazione percentuale tra indici mensili o medi annui NIC (o alternativamente FOI), con diversa base di riferimento (per intervalli di tempo all’interno dei quali si registra uno o più cambiamenti di base) è pari al rapporto degli indici messi a confronto, moltiplicato per i coefficienti di raccordo tra basi contigue (tanti quanti sono i cambiamenti di base nell’intervallo considerato), per 100, meno 100. Il risultato finale è arrotondato a 1 decimale; per esempio, per calcolare variazione percentuale dell’indice generale NIC tra gli anni 2022 e 2008, l’indice medio annuo del 2022, con base 2015=100, è 113,2, quello del 2008, in base 1995=100, è 136,0; il coefficiente di raccordo da base 1995 a base 2010 è pari a </w:t>
      </w:r>
      <w:r w:rsidRPr="005C0EF3">
        <w:rPr>
          <w:rFonts w:ascii="Arial" w:hAnsi="Arial" w:cs="Arial"/>
          <w:sz w:val="20"/>
          <w:szCs w:val="20"/>
        </w:rPr>
        <w:t>1,398;</w:t>
      </w:r>
      <w:r w:rsidRPr="00495C7D">
        <w:rPr>
          <w:rFonts w:ascii="Arial" w:hAnsi="Arial" w:cs="Arial"/>
          <w:sz w:val="20"/>
          <w:szCs w:val="20"/>
        </w:rPr>
        <w:t xml:space="preserve"> quello da base 2010 a base 2015 è pari a </w:t>
      </w:r>
      <w:r w:rsidRPr="005C0EF3">
        <w:rPr>
          <w:rFonts w:ascii="Arial" w:hAnsi="Arial" w:cs="Arial"/>
          <w:color w:val="auto"/>
          <w:sz w:val="20"/>
          <w:szCs w:val="20"/>
        </w:rPr>
        <w:t>1,075</w:t>
      </w:r>
      <w:r w:rsidRPr="00495C7D">
        <w:rPr>
          <w:rFonts w:ascii="Arial" w:hAnsi="Arial" w:cs="Arial"/>
          <w:sz w:val="20"/>
          <w:szCs w:val="20"/>
        </w:rPr>
        <w:t>; il calcolo quindi è 113,2/136,0*</w:t>
      </w:r>
      <w:r w:rsidRPr="005C0EF3">
        <w:rPr>
          <w:rFonts w:ascii="Arial" w:hAnsi="Arial" w:cs="Arial"/>
          <w:color w:val="auto"/>
          <w:sz w:val="20"/>
          <w:szCs w:val="20"/>
        </w:rPr>
        <w:t>1,398*1,075</w:t>
      </w:r>
      <w:r w:rsidRPr="00495C7D">
        <w:rPr>
          <w:rFonts w:ascii="Arial" w:hAnsi="Arial" w:cs="Arial"/>
          <w:sz w:val="20"/>
          <w:szCs w:val="20"/>
        </w:rPr>
        <w:t xml:space="preserve">*100-100= +22,4%. </w:t>
      </w:r>
    </w:p>
    <w:p w:rsidR="00945580" w:rsidRDefault="00945580" w:rsidP="00945580">
      <w:pPr>
        <w:pStyle w:val="Default"/>
        <w:spacing w:after="120"/>
        <w:jc w:val="both"/>
        <w:rPr>
          <w:rFonts w:ascii="Arial" w:hAnsi="Arial" w:cs="Arial"/>
          <w:sz w:val="18"/>
          <w:szCs w:val="20"/>
        </w:rPr>
      </w:pPr>
    </w:p>
    <w:p w:rsidR="00AB5580" w:rsidRDefault="00AB5580" w:rsidP="00945580">
      <w:pPr>
        <w:pStyle w:val="Default"/>
        <w:spacing w:after="120"/>
        <w:jc w:val="both"/>
        <w:rPr>
          <w:rFonts w:ascii="Arial" w:hAnsi="Arial" w:cs="Arial"/>
          <w:sz w:val="18"/>
          <w:szCs w:val="20"/>
        </w:rPr>
      </w:pPr>
    </w:p>
    <w:p w:rsidR="00945580" w:rsidRPr="00833545" w:rsidRDefault="00945580" w:rsidP="00945580">
      <w:pPr>
        <w:spacing w:before="0" w:after="120"/>
        <w:jc w:val="both"/>
        <w:rPr>
          <w:rFonts w:ascii="Arial" w:hAnsi="Arial" w:cs="Arial"/>
          <w:b/>
          <w:sz w:val="22"/>
          <w:szCs w:val="22"/>
        </w:rPr>
      </w:pPr>
      <w:r w:rsidRPr="00833545">
        <w:rPr>
          <w:rFonts w:ascii="Arial" w:hAnsi="Arial" w:cs="Arial"/>
          <w:b/>
          <w:sz w:val="22"/>
          <w:szCs w:val="22"/>
        </w:rPr>
        <w:t>La diffusione: tempestività e banche dati</w:t>
      </w:r>
    </w:p>
    <w:p w:rsidR="00945580" w:rsidRPr="002875F7" w:rsidRDefault="00945580" w:rsidP="00945580">
      <w:pPr>
        <w:spacing w:before="0" w:after="120"/>
        <w:jc w:val="both"/>
        <w:rPr>
          <w:rFonts w:ascii="Arial" w:hAnsi="Arial" w:cs="Arial"/>
          <w:color w:val="000000"/>
          <w:kern w:val="0"/>
        </w:rPr>
      </w:pPr>
      <w:r w:rsidRPr="002875F7">
        <w:rPr>
          <w:rFonts w:ascii="Arial" w:hAnsi="Arial" w:cs="Arial"/>
          <w:color w:val="000000"/>
          <w:kern w:val="0"/>
        </w:rPr>
        <w:t>La diffusione degli indici dei prezzi al consumo da parte dell’Istat avviene in due momenti temporali successivi secondo una diversa modalità di rilascio dei dati: stima provvisoria e stima definitiva.</w:t>
      </w:r>
    </w:p>
    <w:p w:rsidR="00945580" w:rsidRDefault="00945580" w:rsidP="00945580">
      <w:pPr>
        <w:spacing w:before="0" w:after="120"/>
        <w:jc w:val="both"/>
        <w:rPr>
          <w:rFonts w:ascii="Arial" w:hAnsi="Arial" w:cs="Arial"/>
          <w:color w:val="000000"/>
          <w:kern w:val="0"/>
        </w:rPr>
      </w:pPr>
      <w:r w:rsidRPr="002875F7">
        <w:rPr>
          <w:rFonts w:ascii="Arial" w:hAnsi="Arial" w:cs="Arial"/>
          <w:color w:val="000000"/>
          <w:kern w:val="0"/>
        </w:rPr>
        <w:t xml:space="preserve">La diffusione della stima provvisoria degli indici NIC (generale, per divisione di spesa, per tipologia di prodotto e per frequenza d’acquisto) e dell’indice IPCA (generale, per divisione di spesa e per aggregati speciali) avviene alla fine del mese di riferimento, mentre la diffusione dei dati definitivi dei tre indici NIC, IPCA e FOI avviene non oltre la metà del mese successivo a quello di riferimento. I tempi di pubblicazione sono stabiliti da un calendario </w:t>
      </w:r>
      <w:hyperlink r:id="rId42" w:history="1">
        <w:r w:rsidRPr="002875F7">
          <w:rPr>
            <w:rStyle w:val="Collegamentoipertestuale"/>
            <w:rFonts w:ascii="Arial" w:hAnsi="Arial" w:cs="Arial"/>
            <w:kern w:val="0"/>
          </w:rPr>
          <w:t>https://www.istat.it/it/informazioni-e-servizi/per-i-giornalisti/appuntamenti/calendario-diffusioni-ed-eventi</w:t>
        </w:r>
      </w:hyperlink>
      <w:r w:rsidRPr="002875F7">
        <w:rPr>
          <w:rFonts w:ascii="Arial" w:hAnsi="Arial" w:cs="Arial"/>
          <w:color w:val="000000"/>
          <w:kern w:val="0"/>
        </w:rPr>
        <w:t xml:space="preserve"> concordato con Eurostat, nel mese di dicembre di ogni anno, per l’anno successivo e secondo gli standard di diffusione (SDDS – Special Data Dissemination Standard) definiti dal Fondo Monetario Internazionale.</w:t>
      </w:r>
    </w:p>
    <w:p w:rsidR="00945580" w:rsidRPr="002875F7" w:rsidRDefault="00945580" w:rsidP="00945580">
      <w:pPr>
        <w:spacing w:before="0" w:after="120"/>
        <w:jc w:val="both"/>
        <w:rPr>
          <w:rFonts w:ascii="Arial" w:hAnsi="Arial" w:cs="Arial"/>
          <w:color w:val="000000"/>
          <w:kern w:val="0"/>
        </w:rPr>
      </w:pPr>
      <w:r w:rsidRPr="002875F7">
        <w:rPr>
          <w:rFonts w:ascii="Arial" w:hAnsi="Arial" w:cs="Arial"/>
          <w:color w:val="000000"/>
          <w:kern w:val="0"/>
        </w:rPr>
        <w:t>Con la pubblicazione dei dati di gennaio 2019,</w:t>
      </w:r>
      <w:r w:rsidRPr="002875F7">
        <w:t xml:space="preserve"> </w:t>
      </w:r>
      <w:r w:rsidRPr="002875F7">
        <w:rPr>
          <w:rFonts w:ascii="Arial" w:hAnsi="Arial" w:cs="Arial"/>
          <w:color w:val="000000"/>
          <w:kern w:val="0"/>
        </w:rPr>
        <w:t xml:space="preserve">la diffusione diretta degli indici comunali dei prezzi al consumo è effettuata dai comuni autorizzati in concomitanza con l’uscita degli indici definitivi da parte dell’Istat. </w:t>
      </w:r>
    </w:p>
    <w:p w:rsidR="00945580" w:rsidRPr="002875F7" w:rsidRDefault="00945580" w:rsidP="00945580">
      <w:pPr>
        <w:spacing w:before="0" w:after="120"/>
        <w:jc w:val="both"/>
        <w:rPr>
          <w:rFonts w:ascii="Arial" w:hAnsi="Arial" w:cs="Arial"/>
          <w:color w:val="000000"/>
          <w:kern w:val="0"/>
        </w:rPr>
      </w:pPr>
      <w:r w:rsidRPr="002875F7">
        <w:rPr>
          <w:rFonts w:ascii="Arial" w:hAnsi="Arial" w:cs="Arial"/>
          <w:color w:val="000000"/>
          <w:kern w:val="0"/>
        </w:rPr>
        <w:t xml:space="preserve">Gli indici, sia per la stima preliminare sia per quella definitiva, sono diffusi attraverso il comunicato stampa “Prezzi al consumo” disponibile sul sito web dell’Istituto all’indirizzo </w:t>
      </w:r>
      <w:hyperlink r:id="rId43" w:history="1">
        <w:r w:rsidRPr="002875F7">
          <w:rPr>
            <w:rStyle w:val="Collegamentoipertestuale"/>
            <w:rFonts w:ascii="Arial" w:hAnsi="Arial" w:cs="Arial"/>
            <w:kern w:val="0"/>
          </w:rPr>
          <w:t>https://www.istat.it/it/archivio/prezzi+al+consumo</w:t>
        </w:r>
      </w:hyperlink>
      <w:r w:rsidRPr="002875F7">
        <w:rPr>
          <w:rFonts w:ascii="Arial" w:hAnsi="Arial" w:cs="Arial"/>
          <w:color w:val="000000"/>
          <w:kern w:val="0"/>
        </w:rPr>
        <w:t>.</w:t>
      </w:r>
    </w:p>
    <w:p w:rsidR="00945580" w:rsidRPr="002875F7" w:rsidRDefault="00945580" w:rsidP="00945580">
      <w:pPr>
        <w:spacing w:before="0" w:after="120"/>
        <w:jc w:val="both"/>
        <w:rPr>
          <w:rFonts w:ascii="Arial" w:hAnsi="Arial" w:cs="Arial"/>
          <w:color w:val="000000"/>
          <w:kern w:val="0"/>
        </w:rPr>
      </w:pPr>
      <w:r w:rsidRPr="002875F7">
        <w:rPr>
          <w:rFonts w:ascii="Arial" w:hAnsi="Arial" w:cs="Arial"/>
          <w:color w:val="000000"/>
          <w:kern w:val="0"/>
        </w:rPr>
        <w:t xml:space="preserve">Le serie degli indici aggiornate sono pubblicate, in concomitanza con la diffusione del comunicato stampa, sul data warehouse </w:t>
      </w:r>
      <w:r>
        <w:rPr>
          <w:rFonts w:ascii="Arial" w:hAnsi="Arial" w:cs="Arial"/>
          <w:color w:val="000000"/>
          <w:kern w:val="0"/>
        </w:rPr>
        <w:t>IstatData</w:t>
      </w:r>
      <w:r w:rsidRPr="002875F7">
        <w:rPr>
          <w:rFonts w:ascii="Arial" w:hAnsi="Arial" w:cs="Arial"/>
          <w:color w:val="000000"/>
          <w:kern w:val="0"/>
        </w:rPr>
        <w:t xml:space="preserve"> (</w:t>
      </w:r>
      <w:hyperlink r:id="rId44" w:history="1">
        <w:r w:rsidRPr="00E544C9">
          <w:rPr>
            <w:rStyle w:val="Collegamentoipertestuale"/>
            <w:rFonts w:ascii="Arial" w:hAnsi="Arial" w:cs="Arial"/>
            <w:kern w:val="0"/>
          </w:rPr>
          <w:t>https://esploradati.istat.it/</w:t>
        </w:r>
      </w:hyperlink>
      <w:r w:rsidRPr="002875F7">
        <w:rPr>
          <w:rFonts w:ascii="Arial" w:hAnsi="Arial" w:cs="Arial"/>
          <w:color w:val="000000"/>
          <w:kern w:val="0"/>
        </w:rPr>
        <w:t>) all’interno del tema Prezzi - Prezzi al consumo. Unitamente agli indici mensili sono diffuse le variazioni percentuali congiunturali e tendenziali, gli indici medi annui, le variazioni medie annue e i pesi calcolati annualmente. Gli indici ai diversi livelli di aggregazione e per i diversi livelli territoriali di riferimento che hanno avuto una quota di imputazioni superiore al 50% (in termini di prezzi mancanti e/o di peso) sono individuabili con il flag “i” (dato imputato).</w:t>
      </w:r>
    </w:p>
    <w:p w:rsidR="00945580" w:rsidRPr="002875F7" w:rsidRDefault="00945580" w:rsidP="00945580">
      <w:pPr>
        <w:spacing w:before="0" w:after="120"/>
        <w:jc w:val="both"/>
        <w:rPr>
          <w:rFonts w:ascii="Arial" w:hAnsi="Arial" w:cs="Arial"/>
        </w:rPr>
      </w:pPr>
      <w:r w:rsidRPr="002875F7">
        <w:rPr>
          <w:rFonts w:ascii="Arial" w:hAnsi="Arial" w:cs="Arial"/>
        </w:rPr>
        <w:t xml:space="preserve">Informazioni sugli indici dei prezzi al consumo sono disponibili sulla banca dati </w:t>
      </w:r>
      <w:hyperlink r:id="rId45" w:history="1">
        <w:r w:rsidRPr="002875F7">
          <w:rPr>
            <w:rStyle w:val="Collegamentoipertestuale"/>
            <w:rFonts w:ascii="Arial" w:hAnsi="Arial" w:cs="Arial"/>
          </w:rPr>
          <w:t>Congiuntura.Stat</w:t>
        </w:r>
      </w:hyperlink>
      <w:r w:rsidRPr="002875F7">
        <w:rPr>
          <w:rFonts w:ascii="Arial" w:hAnsi="Arial" w:cs="Arial"/>
        </w:rPr>
        <w:t>, che raccoglie e sistematizza le statistiche congiunturali prodotte dall’Istat e si propone quale strumento di approfondimento per policy maker, operatori sociali, studiosi e cittadini.</w:t>
      </w:r>
    </w:p>
    <w:p w:rsidR="00945580" w:rsidRDefault="00945580" w:rsidP="00945580">
      <w:pPr>
        <w:spacing w:before="0" w:after="120"/>
        <w:jc w:val="both"/>
        <w:rPr>
          <w:rFonts w:ascii="Arial" w:hAnsi="Arial" w:cs="Arial"/>
          <w:color w:val="000000"/>
          <w:kern w:val="0"/>
        </w:rPr>
      </w:pPr>
      <w:r w:rsidRPr="002875F7">
        <w:rPr>
          <w:rFonts w:ascii="Arial" w:hAnsi="Arial" w:cs="Arial"/>
          <w:color w:val="000000"/>
          <w:kern w:val="0"/>
        </w:rPr>
        <w:t xml:space="preserve">Informazioni sulle serie storiche di tutti e tre gli indici, a partire dal 1861 e fino al 2015, sono disponibili sul sito dell’Istat all’indirizzo </w:t>
      </w:r>
      <w:hyperlink r:id="rId46" w:history="1">
        <w:r w:rsidRPr="002875F7">
          <w:rPr>
            <w:rStyle w:val="Collegamentoipertestuale"/>
            <w:rFonts w:ascii="Arial" w:hAnsi="Arial" w:cs="Arial"/>
            <w:kern w:val="0"/>
          </w:rPr>
          <w:t>http://seriestoriche.istat.it/</w:t>
        </w:r>
      </w:hyperlink>
      <w:r w:rsidRPr="002875F7">
        <w:rPr>
          <w:rFonts w:ascii="Arial" w:hAnsi="Arial" w:cs="Arial"/>
          <w:color w:val="000000"/>
          <w:kern w:val="0"/>
        </w:rPr>
        <w:t>.</w:t>
      </w:r>
    </w:p>
    <w:p w:rsidR="00945580" w:rsidRPr="002875F7" w:rsidRDefault="00945580" w:rsidP="00945580">
      <w:pPr>
        <w:spacing w:before="0" w:after="120"/>
        <w:jc w:val="both"/>
        <w:rPr>
          <w:rFonts w:ascii="Arial" w:hAnsi="Arial" w:cs="Arial"/>
          <w:color w:val="000000"/>
          <w:kern w:val="0"/>
        </w:rPr>
      </w:pPr>
      <w:r w:rsidRPr="002875F7">
        <w:rPr>
          <w:rFonts w:ascii="Arial" w:hAnsi="Arial" w:cs="Arial"/>
          <w:color w:val="000000"/>
          <w:kern w:val="0"/>
        </w:rPr>
        <w:t>Dati riepilogativi e approfondimenti sui prezzi al consumo e sul paniere dei beni e servizi sono, inoltre, contenuti in alcuni prodotti editoriali diffusi dall’Istat a cadenza annuale, quali l’</w:t>
      </w:r>
      <w:r w:rsidRPr="002875F7">
        <w:rPr>
          <w:rFonts w:ascii="Arial" w:hAnsi="Arial" w:cs="Arial"/>
          <w:i/>
          <w:color w:val="000000"/>
          <w:kern w:val="0"/>
        </w:rPr>
        <w:t>Annuario statistico</w:t>
      </w:r>
      <w:r w:rsidRPr="002875F7">
        <w:rPr>
          <w:rFonts w:ascii="Arial" w:hAnsi="Arial" w:cs="Arial"/>
          <w:color w:val="000000"/>
          <w:kern w:val="0"/>
        </w:rPr>
        <w:t xml:space="preserve">, il </w:t>
      </w:r>
      <w:r w:rsidRPr="002875F7">
        <w:rPr>
          <w:rFonts w:ascii="Arial" w:hAnsi="Arial" w:cs="Arial"/>
          <w:i/>
          <w:color w:val="000000"/>
          <w:kern w:val="0"/>
        </w:rPr>
        <w:t>Rapporto annuale</w:t>
      </w:r>
      <w:r w:rsidRPr="002875F7">
        <w:rPr>
          <w:rFonts w:ascii="Arial" w:hAnsi="Arial" w:cs="Arial"/>
          <w:color w:val="000000"/>
          <w:kern w:val="0"/>
        </w:rPr>
        <w:t xml:space="preserve"> e la pubblicazione </w:t>
      </w:r>
      <w:r w:rsidRPr="002875F7">
        <w:rPr>
          <w:rFonts w:ascii="Arial" w:hAnsi="Arial" w:cs="Arial"/>
          <w:i/>
          <w:color w:val="000000"/>
          <w:kern w:val="0"/>
        </w:rPr>
        <w:t>Noi Italia</w:t>
      </w:r>
      <w:r w:rsidRPr="002875F7">
        <w:rPr>
          <w:rFonts w:ascii="Arial" w:hAnsi="Arial" w:cs="Arial"/>
          <w:color w:val="000000"/>
          <w:kern w:val="0"/>
        </w:rPr>
        <w:t>.</w:t>
      </w:r>
    </w:p>
    <w:p w:rsidR="00945580" w:rsidRPr="002875F7" w:rsidRDefault="00945580" w:rsidP="00945580">
      <w:pPr>
        <w:spacing w:before="0" w:after="120"/>
        <w:jc w:val="both"/>
        <w:rPr>
          <w:rFonts w:ascii="Arial" w:hAnsi="Arial" w:cs="Arial"/>
          <w:color w:val="000000"/>
          <w:kern w:val="0"/>
        </w:rPr>
      </w:pPr>
      <w:r w:rsidRPr="002875F7">
        <w:rPr>
          <w:rFonts w:ascii="Arial" w:hAnsi="Arial" w:cs="Arial"/>
          <w:color w:val="000000"/>
          <w:kern w:val="0"/>
        </w:rPr>
        <w:t xml:space="preserve">In adempimento al Regolamento europeo </w:t>
      </w:r>
      <w:r w:rsidRPr="002875F7">
        <w:rPr>
          <w:rFonts w:ascii="Arial" w:hAnsi="Arial" w:cs="Arial"/>
          <w:kern w:val="0"/>
        </w:rPr>
        <w:t>n. 792/2016,</w:t>
      </w:r>
      <w:r w:rsidRPr="002875F7">
        <w:rPr>
          <w:rFonts w:ascii="Arial" w:hAnsi="Arial" w:cs="Arial"/>
          <w:color w:val="000000"/>
          <w:kern w:val="0"/>
        </w:rPr>
        <w:t xml:space="preserve"> i dati dell’indagine sui prezzi al consumo sono trasmessi due volte al mese ad Eurostat. I principali indicatori, archiviati nel database di Eurostat, sono consultabili all’indirizzo </w:t>
      </w:r>
      <w:hyperlink r:id="rId47" w:history="1">
        <w:r w:rsidRPr="002875F7">
          <w:rPr>
            <w:rStyle w:val="Collegamentoipertestuale"/>
            <w:rFonts w:ascii="Arial" w:hAnsi="Arial" w:cs="Arial"/>
            <w:kern w:val="0"/>
          </w:rPr>
          <w:t>http://ec.europa.eu/eurostat/data/database</w:t>
        </w:r>
      </w:hyperlink>
      <w:r w:rsidRPr="002875F7">
        <w:rPr>
          <w:rFonts w:ascii="Arial" w:hAnsi="Arial" w:cs="Arial"/>
          <w:color w:val="000000"/>
          <w:kern w:val="0"/>
        </w:rPr>
        <w:t xml:space="preserve"> (Tema “</w:t>
      </w:r>
      <w:r w:rsidRPr="002875F7">
        <w:rPr>
          <w:rFonts w:ascii="Arial" w:hAnsi="Arial" w:cs="Arial"/>
          <w:i/>
          <w:iCs/>
          <w:color w:val="000000"/>
          <w:kern w:val="0"/>
        </w:rPr>
        <w:t>Economy and finance</w:t>
      </w:r>
      <w:r w:rsidRPr="002875F7">
        <w:rPr>
          <w:rFonts w:ascii="Arial" w:hAnsi="Arial" w:cs="Arial"/>
          <w:color w:val="000000"/>
          <w:kern w:val="0"/>
        </w:rPr>
        <w:t>”, argomento “</w:t>
      </w:r>
      <w:r w:rsidRPr="002875F7">
        <w:rPr>
          <w:rFonts w:ascii="Arial" w:hAnsi="Arial" w:cs="Arial"/>
          <w:i/>
          <w:iCs/>
          <w:color w:val="000000"/>
          <w:kern w:val="0"/>
        </w:rPr>
        <w:t>Prices</w:t>
      </w:r>
      <w:r w:rsidRPr="002875F7">
        <w:rPr>
          <w:rFonts w:ascii="Arial" w:hAnsi="Arial" w:cs="Arial"/>
          <w:color w:val="000000"/>
          <w:kern w:val="0"/>
        </w:rPr>
        <w:t>”).</w:t>
      </w:r>
    </w:p>
    <w:p w:rsidR="002869BD" w:rsidRDefault="002869BD" w:rsidP="002869BD">
      <w:pPr>
        <w:widowControl/>
        <w:overflowPunct/>
        <w:spacing w:before="0" w:after="0"/>
        <w:jc w:val="both"/>
        <w:rPr>
          <w:rFonts w:ascii="Arial" w:hAnsi="Arial" w:cs="Arial"/>
          <w:color w:val="000000"/>
          <w:kern w:val="0"/>
        </w:rPr>
      </w:pPr>
    </w:p>
    <w:p w:rsidR="003E5E5A" w:rsidRDefault="003E5E5A" w:rsidP="003E5E5A">
      <w:pPr>
        <w:spacing w:before="0" w:after="120"/>
        <w:jc w:val="both"/>
        <w:rPr>
          <w:rFonts w:ascii="Arial" w:hAnsi="Arial" w:cs="Arial"/>
          <w:sz w:val="18"/>
          <w:szCs w:val="22"/>
        </w:rPr>
      </w:pPr>
    </w:p>
    <w:p w:rsidR="003E5E5A" w:rsidRDefault="003E5E5A" w:rsidP="003E5E5A">
      <w:pPr>
        <w:spacing w:before="0" w:after="120"/>
        <w:jc w:val="both"/>
        <w:rPr>
          <w:rFonts w:ascii="Arial" w:hAnsi="Arial" w:cs="Arial"/>
          <w:sz w:val="18"/>
          <w:szCs w:val="22"/>
        </w:rPr>
      </w:pPr>
    </w:p>
    <w:p w:rsidR="003E5E5A" w:rsidRPr="001E6318" w:rsidRDefault="003E5E5A" w:rsidP="003E5E5A">
      <w:pPr>
        <w:widowControl/>
        <w:overflowPunct/>
        <w:spacing w:before="0" w:after="0"/>
        <w:jc w:val="both"/>
        <w:rPr>
          <w:rFonts w:ascii="Arial"/>
          <w:color w:val="CD232E"/>
          <w:spacing w:val="-1"/>
          <w:sz w:val="36"/>
        </w:rPr>
      </w:pPr>
      <w:r w:rsidRPr="001E6318">
        <w:rPr>
          <w:rFonts w:ascii="Arial"/>
          <w:color w:val="CD232E"/>
          <w:spacing w:val="-1"/>
          <w:sz w:val="36"/>
        </w:rPr>
        <w:t>Per chiarimenti</w:t>
      </w:r>
      <w:r w:rsidRPr="001E6318">
        <w:rPr>
          <w:rFonts w:ascii="Arial"/>
          <w:color w:val="CD232E"/>
          <w:spacing w:val="1"/>
          <w:sz w:val="36"/>
        </w:rPr>
        <w:t xml:space="preserve"> </w:t>
      </w:r>
      <w:r w:rsidRPr="001E6318">
        <w:rPr>
          <w:rFonts w:ascii="Arial"/>
          <w:color w:val="CD232E"/>
          <w:spacing w:val="-1"/>
          <w:sz w:val="36"/>
        </w:rPr>
        <w:t>tecnici</w:t>
      </w:r>
      <w:r w:rsidRPr="001E6318">
        <w:rPr>
          <w:rFonts w:ascii="Arial"/>
          <w:color w:val="CD232E"/>
          <w:spacing w:val="-2"/>
          <w:sz w:val="36"/>
        </w:rPr>
        <w:t xml:space="preserve"> </w:t>
      </w:r>
      <w:r w:rsidRPr="001E6318">
        <w:rPr>
          <w:rFonts w:ascii="Arial"/>
          <w:color w:val="CD232E"/>
          <w:sz w:val="36"/>
        </w:rPr>
        <w:t>e</w:t>
      </w:r>
      <w:r w:rsidRPr="001E6318">
        <w:rPr>
          <w:rFonts w:ascii="Arial"/>
          <w:color w:val="CD232E"/>
          <w:spacing w:val="-1"/>
          <w:sz w:val="36"/>
        </w:rPr>
        <w:t xml:space="preserve"> metodologici</w:t>
      </w: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7"/>
        <w:gridCol w:w="5098"/>
      </w:tblGrid>
      <w:tr w:rsidR="003E5E5A" w:rsidRPr="001E6318" w:rsidTr="00B7443E">
        <w:tc>
          <w:tcPr>
            <w:tcW w:w="5097" w:type="dxa"/>
          </w:tcPr>
          <w:p w:rsidR="003E5E5A" w:rsidRPr="001E6318" w:rsidRDefault="003E5E5A" w:rsidP="00B7443E">
            <w:pPr>
              <w:pStyle w:val="Titolo3"/>
              <w:spacing w:before="72"/>
              <w:rPr>
                <w:rFonts w:ascii="Arial" w:eastAsia="Arial" w:hAnsi="Arial" w:cs="Arial"/>
                <w:b w:val="0"/>
                <w:bCs w:val="0"/>
              </w:rPr>
            </w:pPr>
            <w:r>
              <w:rPr>
                <w:rFonts w:ascii="Arial"/>
                <w:color w:val="CD232E"/>
                <w:spacing w:val="-1"/>
              </w:rPr>
              <w:t>Manuela Morricone</w:t>
            </w:r>
          </w:p>
          <w:p w:rsidR="003E5E5A" w:rsidRPr="001E6318" w:rsidRDefault="003E5E5A" w:rsidP="00B7443E">
            <w:pPr>
              <w:spacing w:before="122"/>
              <w:rPr>
                <w:rFonts w:ascii="Arial" w:eastAsia="Arial" w:hAnsi="Arial" w:cs="Arial"/>
                <w:sz w:val="24"/>
                <w:szCs w:val="24"/>
              </w:rPr>
            </w:pPr>
            <w:r w:rsidRPr="001E6318">
              <w:rPr>
                <w:rFonts w:ascii="Arial"/>
                <w:sz w:val="24"/>
              </w:rPr>
              <w:t>tel.</w:t>
            </w:r>
            <w:r w:rsidRPr="001E6318">
              <w:rPr>
                <w:rFonts w:ascii="Arial"/>
                <w:spacing w:val="-1"/>
                <w:sz w:val="24"/>
              </w:rPr>
              <w:t xml:space="preserve"> +39</w:t>
            </w:r>
            <w:r w:rsidRPr="001E6318">
              <w:rPr>
                <w:rFonts w:ascii="Arial"/>
                <w:spacing w:val="-3"/>
                <w:sz w:val="24"/>
              </w:rPr>
              <w:t xml:space="preserve"> </w:t>
            </w:r>
            <w:r w:rsidRPr="001E6318">
              <w:rPr>
                <w:rFonts w:ascii="Arial"/>
                <w:sz w:val="24"/>
              </w:rPr>
              <w:t>06</w:t>
            </w:r>
            <w:r w:rsidRPr="001E6318">
              <w:rPr>
                <w:rFonts w:ascii="Arial"/>
                <w:spacing w:val="-3"/>
                <w:sz w:val="24"/>
              </w:rPr>
              <w:t xml:space="preserve"> </w:t>
            </w:r>
            <w:r>
              <w:rPr>
                <w:rFonts w:ascii="Arial"/>
                <w:spacing w:val="-1"/>
                <w:sz w:val="24"/>
              </w:rPr>
              <w:t>4673 2181</w:t>
            </w:r>
          </w:p>
          <w:p w:rsidR="003E5E5A" w:rsidRPr="001E6318" w:rsidRDefault="00333381" w:rsidP="00B7443E">
            <w:pPr>
              <w:widowControl/>
              <w:overflowPunct/>
              <w:spacing w:before="0" w:after="0"/>
              <w:jc w:val="both"/>
              <w:rPr>
                <w:rFonts w:ascii="Arial"/>
                <w:color w:val="0000FF"/>
                <w:spacing w:val="-1"/>
                <w:sz w:val="24"/>
                <w:u w:val="single" w:color="0000FF"/>
              </w:rPr>
            </w:pPr>
            <w:hyperlink r:id="rId48" w:history="1">
              <w:r w:rsidR="003E5E5A" w:rsidRPr="002815BE">
                <w:rPr>
                  <w:rStyle w:val="Collegamentoipertestuale"/>
                  <w:rFonts w:ascii="Arial"/>
                  <w:spacing w:val="-1"/>
                  <w:sz w:val="24"/>
                  <w:u w:color="0000FF"/>
                </w:rPr>
                <w:t>manuela.morricone@istat.it</w:t>
              </w:r>
            </w:hyperlink>
          </w:p>
        </w:tc>
        <w:tc>
          <w:tcPr>
            <w:tcW w:w="5098" w:type="dxa"/>
          </w:tcPr>
          <w:p w:rsidR="003E5E5A" w:rsidRPr="001E6318" w:rsidRDefault="003E5E5A" w:rsidP="00B7443E">
            <w:pPr>
              <w:spacing w:before="72"/>
              <w:ind w:left="112"/>
              <w:rPr>
                <w:rFonts w:ascii="Arial" w:eastAsia="Arial" w:hAnsi="Arial" w:cs="Arial"/>
              </w:rPr>
            </w:pPr>
            <w:r w:rsidRPr="001E6318">
              <w:rPr>
                <w:rFonts w:ascii="Arial"/>
                <w:b/>
                <w:color w:val="CD232E"/>
                <w:spacing w:val="-1"/>
              </w:rPr>
              <w:t>Alessandro Brunetti</w:t>
            </w:r>
          </w:p>
          <w:p w:rsidR="003E5E5A" w:rsidRPr="001E6318" w:rsidRDefault="003E5E5A" w:rsidP="00B7443E">
            <w:pPr>
              <w:spacing w:before="122"/>
              <w:ind w:left="112"/>
              <w:rPr>
                <w:rFonts w:ascii="Arial" w:eastAsia="Arial" w:hAnsi="Arial" w:cs="Arial"/>
                <w:sz w:val="24"/>
                <w:szCs w:val="24"/>
              </w:rPr>
            </w:pPr>
            <w:r w:rsidRPr="001E6318">
              <w:rPr>
                <w:rFonts w:ascii="Arial"/>
                <w:sz w:val="24"/>
              </w:rPr>
              <w:t>tel.</w:t>
            </w:r>
            <w:r w:rsidRPr="001E6318">
              <w:rPr>
                <w:rFonts w:ascii="Arial"/>
                <w:spacing w:val="-2"/>
                <w:sz w:val="24"/>
              </w:rPr>
              <w:t xml:space="preserve"> </w:t>
            </w:r>
            <w:r w:rsidRPr="001E6318">
              <w:rPr>
                <w:rFonts w:ascii="Arial"/>
                <w:spacing w:val="-1"/>
                <w:sz w:val="24"/>
              </w:rPr>
              <w:t>+39</w:t>
            </w:r>
            <w:r w:rsidRPr="001E6318">
              <w:rPr>
                <w:rFonts w:ascii="Arial"/>
                <w:spacing w:val="-3"/>
                <w:sz w:val="24"/>
              </w:rPr>
              <w:t xml:space="preserve"> </w:t>
            </w:r>
            <w:r w:rsidRPr="001E6318">
              <w:rPr>
                <w:rFonts w:ascii="Arial"/>
                <w:sz w:val="24"/>
              </w:rPr>
              <w:t>06</w:t>
            </w:r>
            <w:r w:rsidRPr="001E6318">
              <w:rPr>
                <w:rFonts w:ascii="Arial"/>
                <w:spacing w:val="-3"/>
                <w:sz w:val="24"/>
              </w:rPr>
              <w:t xml:space="preserve"> </w:t>
            </w:r>
            <w:r w:rsidRPr="001E6318">
              <w:rPr>
                <w:rFonts w:ascii="Arial"/>
                <w:spacing w:val="-1"/>
                <w:sz w:val="24"/>
              </w:rPr>
              <w:t>4673 2545</w:t>
            </w:r>
          </w:p>
          <w:p w:rsidR="003E5E5A" w:rsidRPr="001E6318" w:rsidRDefault="00333381" w:rsidP="00B7443E">
            <w:pPr>
              <w:spacing w:before="98"/>
              <w:ind w:left="112"/>
              <w:rPr>
                <w:rFonts w:ascii="Arial"/>
                <w:color w:val="0000FF"/>
                <w:spacing w:val="-1"/>
                <w:sz w:val="24"/>
                <w:u w:val="single" w:color="0000FF"/>
              </w:rPr>
            </w:pPr>
            <w:hyperlink r:id="rId49" w:history="1">
              <w:r w:rsidR="003E5E5A" w:rsidRPr="001E6318">
                <w:rPr>
                  <w:rStyle w:val="Collegamentoipertestuale"/>
                  <w:rFonts w:ascii="Arial"/>
                  <w:spacing w:val="-1"/>
                  <w:sz w:val="24"/>
                  <w:u w:color="0000FF"/>
                </w:rPr>
                <w:t>alessandro.brunetti@istat.it</w:t>
              </w:r>
            </w:hyperlink>
          </w:p>
        </w:tc>
      </w:tr>
    </w:tbl>
    <w:p w:rsidR="003E5E5A" w:rsidRPr="001E6318" w:rsidRDefault="003E5E5A" w:rsidP="003E5E5A">
      <w:pPr>
        <w:spacing w:before="0" w:after="120"/>
        <w:jc w:val="both"/>
        <w:rPr>
          <w:rFonts w:ascii="Arial" w:hAnsi="Arial" w:cs="Arial"/>
          <w:color w:val="000000"/>
          <w:kern w:val="0"/>
        </w:rPr>
      </w:pPr>
    </w:p>
    <w:p w:rsidR="003E5E5A" w:rsidRPr="001E6318" w:rsidRDefault="003E5E5A" w:rsidP="003E5E5A">
      <w:pPr>
        <w:spacing w:before="0" w:after="120"/>
        <w:jc w:val="both"/>
        <w:rPr>
          <w:rFonts w:ascii="Arial" w:hAnsi="Arial" w:cs="Arial"/>
          <w:color w:val="000000"/>
          <w:kern w:val="0"/>
        </w:rPr>
      </w:pPr>
    </w:p>
    <w:p w:rsidR="003E5E5A" w:rsidRDefault="003E5E5A" w:rsidP="002869BD">
      <w:pPr>
        <w:widowControl/>
        <w:overflowPunct/>
        <w:spacing w:before="0" w:after="0"/>
        <w:jc w:val="both"/>
        <w:rPr>
          <w:rFonts w:ascii="Arial" w:hAnsi="Arial" w:cs="Arial"/>
          <w:color w:val="000000"/>
          <w:kern w:val="0"/>
        </w:rPr>
      </w:pPr>
    </w:p>
    <w:sectPr w:rsidR="003E5E5A" w:rsidSect="003E5E5A">
      <w:headerReference w:type="default" r:id="rId50"/>
      <w:pgSz w:w="11907" w:h="16840" w:code="9"/>
      <w:pgMar w:top="1534" w:right="851" w:bottom="680" w:left="851" w:header="567" w:footer="567" w:gutter="0"/>
      <w:cols w:space="72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A6C2E" w:rsidRDefault="00FA6C2E">
      <w:r>
        <w:separator/>
      </w:r>
    </w:p>
  </w:endnote>
  <w:endnote w:type="continuationSeparator" w:id="0">
    <w:p w:rsidR="00FA6C2E" w:rsidRDefault="00FA6C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Times-Roman">
    <w:altName w:val="Times New Roman"/>
    <w:panose1 w:val="00000000000000000000"/>
    <w:charset w:val="4D"/>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3416E" w:rsidRPr="008B50B8" w:rsidRDefault="00C3416E" w:rsidP="008B50B8">
    <w:pPr>
      <w:pStyle w:val="Pidipagina"/>
      <w:ind w:left="1560"/>
    </w:pPr>
    <w:r>
      <w:rPr>
        <w:rFonts w:ascii="Calibri" w:hAnsi="Calibri"/>
        <w:noProof/>
        <w:color w:val="E42618"/>
        <w:sz w:val="28"/>
        <w:szCs w:val="28"/>
      </w:rPr>
      <w:drawing>
        <wp:anchor distT="0" distB="0" distL="114300" distR="114300" simplePos="0" relativeHeight="251676672" behindDoc="0" locked="0" layoutInCell="1" allowOverlap="1" wp14:anchorId="147309D9" wp14:editId="1C4D9105">
          <wp:simplePos x="0" y="0"/>
          <wp:positionH relativeFrom="column">
            <wp:posOffset>13335</wp:posOffset>
          </wp:positionH>
          <wp:positionV relativeFrom="paragraph">
            <wp:posOffset>-107950</wp:posOffset>
          </wp:positionV>
          <wp:extent cx="943610" cy="390525"/>
          <wp:effectExtent l="0" t="0" r="8890" b="9525"/>
          <wp:wrapNone/>
          <wp:docPr id="28" name="Immagine 28" descr="Descrizione: Logo a colo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8" descr="Descrizione: Logo a colori"/>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43610" cy="390525"/>
                  </a:xfrm>
                  <a:prstGeom prst="rect">
                    <a:avLst/>
                  </a:prstGeom>
                  <a:noFill/>
                  <a:ln>
                    <a:noFill/>
                  </a:ln>
                </pic:spPr>
              </pic:pic>
            </a:graphicData>
          </a:graphic>
        </wp:anchor>
      </w:drawing>
    </w:r>
    <w:r w:rsidRPr="000F43D3">
      <w:rPr>
        <w:rStyle w:val="Numeropagina"/>
        <w:rFonts w:ascii="Calibri" w:hAnsi="Calibri"/>
        <w:color w:val="E42618"/>
        <w:sz w:val="28"/>
        <w:szCs w:val="28"/>
      </w:rPr>
      <w:t>|</w:t>
    </w:r>
    <w:r>
      <w:rPr>
        <w:rStyle w:val="Numeropagina"/>
        <w:rFonts w:ascii="Calibri" w:hAnsi="Calibri"/>
        <w:color w:val="E31C18"/>
        <w:sz w:val="28"/>
        <w:szCs w:val="28"/>
      </w:rPr>
      <w:t xml:space="preserve"> </w:t>
    </w:r>
    <w:r w:rsidRPr="006B6BAF">
      <w:rPr>
        <w:rFonts w:ascii="Arial" w:hAnsi="Arial" w:cs="Arial"/>
        <w:b/>
        <w:color w:val="808080"/>
        <w:sz w:val="24"/>
        <w:szCs w:val="24"/>
      </w:rPr>
      <w:fldChar w:fldCharType="begin"/>
    </w:r>
    <w:r w:rsidRPr="006B6BAF">
      <w:rPr>
        <w:rFonts w:ascii="Arial" w:hAnsi="Arial" w:cs="Arial"/>
        <w:b/>
        <w:color w:val="808080"/>
        <w:sz w:val="24"/>
        <w:szCs w:val="24"/>
      </w:rPr>
      <w:instrText>PAGE   \* MERGEFORMAT</w:instrText>
    </w:r>
    <w:r w:rsidRPr="006B6BAF">
      <w:rPr>
        <w:rFonts w:ascii="Arial" w:hAnsi="Arial" w:cs="Arial"/>
        <w:b/>
        <w:color w:val="808080"/>
        <w:sz w:val="24"/>
        <w:szCs w:val="24"/>
      </w:rPr>
      <w:fldChar w:fldCharType="separate"/>
    </w:r>
    <w:r w:rsidR="00333381">
      <w:rPr>
        <w:rFonts w:ascii="Arial" w:hAnsi="Arial" w:cs="Arial"/>
        <w:b/>
        <w:noProof/>
        <w:color w:val="808080"/>
        <w:sz w:val="24"/>
        <w:szCs w:val="24"/>
      </w:rPr>
      <w:t>7</w:t>
    </w:r>
    <w:r w:rsidRPr="006B6BAF">
      <w:rPr>
        <w:rFonts w:ascii="Arial" w:hAnsi="Arial" w:cs="Arial"/>
        <w:b/>
        <w:color w:val="808080"/>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3416E" w:rsidRPr="008B50B8" w:rsidRDefault="00C3416E" w:rsidP="008B50B8">
    <w:pPr>
      <w:pStyle w:val="Pidipagina"/>
      <w:ind w:left="1560"/>
    </w:pPr>
    <w:r>
      <w:rPr>
        <w:rFonts w:ascii="Calibri" w:hAnsi="Calibri"/>
        <w:noProof/>
        <w:color w:val="E42618"/>
        <w:sz w:val="28"/>
        <w:szCs w:val="28"/>
      </w:rPr>
      <w:drawing>
        <wp:anchor distT="0" distB="0" distL="114300" distR="114300" simplePos="0" relativeHeight="251664384" behindDoc="0" locked="0" layoutInCell="1" allowOverlap="1" wp14:anchorId="3EFADD08" wp14:editId="38FE60FC">
          <wp:simplePos x="0" y="0"/>
          <wp:positionH relativeFrom="column">
            <wp:posOffset>13335</wp:posOffset>
          </wp:positionH>
          <wp:positionV relativeFrom="paragraph">
            <wp:posOffset>-107950</wp:posOffset>
          </wp:positionV>
          <wp:extent cx="943610" cy="390525"/>
          <wp:effectExtent l="0" t="0" r="8890" b="9525"/>
          <wp:wrapNone/>
          <wp:docPr id="38" name="Immagine 38" descr="Descrizione: Logo a colo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8" descr="Descrizione: Logo a colori"/>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43610" cy="390525"/>
                  </a:xfrm>
                  <a:prstGeom prst="rect">
                    <a:avLst/>
                  </a:prstGeom>
                  <a:noFill/>
                  <a:ln>
                    <a:noFill/>
                  </a:ln>
                </pic:spPr>
              </pic:pic>
            </a:graphicData>
          </a:graphic>
        </wp:anchor>
      </w:drawing>
    </w:r>
    <w:r w:rsidRPr="000F43D3">
      <w:rPr>
        <w:rStyle w:val="Numeropagina"/>
        <w:rFonts w:ascii="Calibri" w:hAnsi="Calibri"/>
        <w:color w:val="E42618"/>
        <w:sz w:val="28"/>
        <w:szCs w:val="28"/>
      </w:rPr>
      <w:t>|</w:t>
    </w:r>
    <w:r>
      <w:rPr>
        <w:rStyle w:val="Numeropagina"/>
        <w:rFonts w:ascii="Calibri" w:hAnsi="Calibri"/>
        <w:color w:val="E31C18"/>
        <w:sz w:val="28"/>
        <w:szCs w:val="28"/>
      </w:rPr>
      <w:t xml:space="preserve"> </w:t>
    </w:r>
    <w:r w:rsidRPr="006B6BAF">
      <w:rPr>
        <w:rFonts w:ascii="Arial" w:hAnsi="Arial" w:cs="Arial"/>
        <w:b/>
        <w:color w:val="808080"/>
        <w:sz w:val="24"/>
        <w:szCs w:val="24"/>
      </w:rPr>
      <w:fldChar w:fldCharType="begin"/>
    </w:r>
    <w:r w:rsidRPr="006B6BAF">
      <w:rPr>
        <w:rFonts w:ascii="Arial" w:hAnsi="Arial" w:cs="Arial"/>
        <w:b/>
        <w:color w:val="808080"/>
        <w:sz w:val="24"/>
        <w:szCs w:val="24"/>
      </w:rPr>
      <w:instrText>PAGE   \* MERGEFORMAT</w:instrText>
    </w:r>
    <w:r w:rsidRPr="006B6BAF">
      <w:rPr>
        <w:rFonts w:ascii="Arial" w:hAnsi="Arial" w:cs="Arial"/>
        <w:b/>
        <w:color w:val="808080"/>
        <w:sz w:val="24"/>
        <w:szCs w:val="24"/>
      </w:rPr>
      <w:fldChar w:fldCharType="separate"/>
    </w:r>
    <w:r w:rsidR="00220D49">
      <w:rPr>
        <w:rFonts w:ascii="Arial" w:hAnsi="Arial" w:cs="Arial"/>
        <w:b/>
        <w:noProof/>
        <w:color w:val="808080"/>
        <w:sz w:val="24"/>
        <w:szCs w:val="24"/>
      </w:rPr>
      <w:t>19</w:t>
    </w:r>
    <w:r w:rsidRPr="006B6BAF">
      <w:rPr>
        <w:rFonts w:ascii="Arial" w:hAnsi="Arial" w:cs="Arial"/>
        <w:b/>
        <w:color w:val="808080"/>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A6C2E" w:rsidRDefault="00FA6C2E">
      <w:r>
        <w:separator/>
      </w:r>
    </w:p>
  </w:footnote>
  <w:footnote w:type="continuationSeparator" w:id="0">
    <w:p w:rsidR="00FA6C2E" w:rsidRDefault="00FA6C2E">
      <w:r>
        <w:continuationSeparator/>
      </w:r>
    </w:p>
  </w:footnote>
  <w:footnote w:id="1">
    <w:p w:rsidR="00C3416E" w:rsidRPr="0081283A" w:rsidRDefault="00C3416E" w:rsidP="0081283A">
      <w:pPr>
        <w:pStyle w:val="Testonotaapidipagina"/>
        <w:jc w:val="both"/>
        <w:rPr>
          <w:rFonts w:ascii="Arial" w:hAnsi="Arial" w:cs="Arial"/>
          <w:sz w:val="16"/>
          <w:szCs w:val="16"/>
        </w:rPr>
      </w:pPr>
      <w:r>
        <w:rPr>
          <w:rStyle w:val="Rimandonotaapidipagina"/>
        </w:rPr>
        <w:footnoteRef/>
      </w:r>
      <w:r>
        <w:t xml:space="preserve"> </w:t>
      </w:r>
      <w:r w:rsidRPr="00AF3E09">
        <w:rPr>
          <w:rFonts w:ascii="Arial" w:hAnsi="Arial" w:cs="Arial"/>
          <w:sz w:val="16"/>
          <w:szCs w:val="16"/>
        </w:rPr>
        <w:t>La dinamica dei prezzi dei Beni energetici non regolamentati</w:t>
      </w:r>
      <w:r>
        <w:rPr>
          <w:rFonts w:ascii="Arial" w:hAnsi="Arial" w:cs="Arial"/>
          <w:sz w:val="16"/>
          <w:szCs w:val="16"/>
        </w:rPr>
        <w:t xml:space="preserve">, da gennaio 2024, risente della variazione dei prezzi delle famiglie in transizione dal mercato tutelato al mercato libero, includendo </w:t>
      </w:r>
      <w:r w:rsidRPr="0081283A">
        <w:rPr>
          <w:rFonts w:ascii="Arial" w:hAnsi="Arial" w:cs="Arial"/>
          <w:sz w:val="16"/>
          <w:szCs w:val="16"/>
        </w:rPr>
        <w:t>l’energia elettrica e gas di città e gas naturale per le famiglie in transizione dal mercato tutelato al mercato libero</w:t>
      </w:r>
      <w:r>
        <w:rPr>
          <w:rFonts w:ascii="Arial" w:hAnsi="Arial" w:cs="Arial"/>
          <w:sz w:val="16"/>
          <w:szCs w:val="16"/>
        </w:rPr>
        <w:t>. Per approfondimenti si veda la Nota informativa sugli aggiornamenti del paniere, della struttura di ponderazione e dell’indagine Anno 2024 (</w:t>
      </w:r>
      <w:r w:rsidRPr="00B51651">
        <w:rPr>
          <w:rFonts w:ascii="Arial" w:hAnsi="Arial" w:cs="Arial"/>
          <w:sz w:val="16"/>
          <w:szCs w:val="16"/>
        </w:rPr>
        <w:t>https://www.istat.it/it/files/2024/02/NOTA_INFORMATIVA_PANIERE_2024.pdf</w:t>
      </w:r>
      <w:r>
        <w:rPr>
          <w:rFonts w:ascii="Arial" w:hAnsi="Arial" w:cs="Arial"/>
          <w:sz w:val="16"/>
          <w:szCs w:val="16"/>
        </w:rPr>
        <w:t>).</w:t>
      </w:r>
    </w:p>
  </w:footnote>
  <w:footnote w:id="2">
    <w:p w:rsidR="00C3416E" w:rsidRDefault="00C3416E" w:rsidP="00945580">
      <w:pPr>
        <w:pStyle w:val="Testonotaapidipagina"/>
        <w:spacing w:before="0" w:after="0"/>
        <w:jc w:val="both"/>
      </w:pPr>
      <w:r>
        <w:rPr>
          <w:rStyle w:val="Rimandonotaapidipagina"/>
        </w:rPr>
        <w:footnoteRef/>
      </w:r>
      <w:r>
        <w:t xml:space="preserve"> </w:t>
      </w:r>
      <w:r w:rsidRPr="00C93B2F">
        <w:rPr>
          <w:rFonts w:ascii="Arial" w:hAnsi="Arial" w:cs="Arial"/>
          <w:sz w:val="16"/>
          <w:szCs w:val="16"/>
        </w:rPr>
        <w:t>A partire da gennaio 202</w:t>
      </w:r>
      <w:r>
        <w:rPr>
          <w:rFonts w:ascii="Arial" w:hAnsi="Arial" w:cs="Arial"/>
          <w:sz w:val="16"/>
          <w:szCs w:val="16"/>
        </w:rPr>
        <w:t>4</w:t>
      </w:r>
      <w:r w:rsidRPr="00C93B2F">
        <w:rPr>
          <w:rFonts w:ascii="Arial" w:hAnsi="Arial" w:cs="Arial"/>
          <w:sz w:val="16"/>
          <w:szCs w:val="16"/>
        </w:rPr>
        <w:t xml:space="preserve">, </w:t>
      </w:r>
      <w:r>
        <w:rPr>
          <w:rFonts w:ascii="Arial" w:hAnsi="Arial" w:cs="Arial"/>
          <w:sz w:val="16"/>
          <w:szCs w:val="16"/>
        </w:rPr>
        <w:t xml:space="preserve">il comune di Taranto è entrato a far parte del campione dei comuni </w:t>
      </w:r>
      <w:r w:rsidRPr="00C93B2F">
        <w:rPr>
          <w:rFonts w:ascii="Arial" w:hAnsi="Arial" w:cs="Arial"/>
          <w:sz w:val="16"/>
          <w:szCs w:val="16"/>
        </w:rPr>
        <w:t>che partecipano alla rilevazione territoriale dei prezzi al consumo</w:t>
      </w:r>
      <w:r>
        <w:rPr>
          <w:rFonts w:ascii="Arial" w:hAnsi="Arial" w:cs="Arial"/>
          <w:sz w:val="16"/>
          <w:szCs w:val="16"/>
        </w:rPr>
        <w:t>, mentre Caltanissetta</w:t>
      </w:r>
      <w:r w:rsidRPr="00A32897">
        <w:t xml:space="preserve"> </w:t>
      </w:r>
      <w:r w:rsidRPr="00A32897">
        <w:rPr>
          <w:rFonts w:ascii="Arial" w:hAnsi="Arial" w:cs="Arial"/>
          <w:sz w:val="16"/>
          <w:szCs w:val="16"/>
        </w:rPr>
        <w:t xml:space="preserve">non </w:t>
      </w:r>
      <w:r>
        <w:rPr>
          <w:rFonts w:ascii="Arial" w:hAnsi="Arial" w:cs="Arial"/>
          <w:sz w:val="16"/>
          <w:szCs w:val="16"/>
        </w:rPr>
        <w:t xml:space="preserve">ne </w:t>
      </w:r>
      <w:r w:rsidRPr="00A32897">
        <w:rPr>
          <w:rFonts w:ascii="Arial" w:hAnsi="Arial" w:cs="Arial"/>
          <w:sz w:val="16"/>
          <w:szCs w:val="16"/>
        </w:rPr>
        <w:t>fa più parte</w:t>
      </w:r>
      <w:r w:rsidRPr="00C93B2F">
        <w:rPr>
          <w:rFonts w:ascii="Arial" w:hAnsi="Arial" w:cs="Arial"/>
          <w:sz w:val="16"/>
          <w:szCs w:val="16"/>
        </w:rPr>
        <w:t>.</w:t>
      </w:r>
    </w:p>
  </w:footnote>
  <w:footnote w:id="3">
    <w:p w:rsidR="00C3416E" w:rsidRDefault="00C3416E" w:rsidP="00945580">
      <w:pPr>
        <w:pStyle w:val="Testonotaapidipagina"/>
        <w:spacing w:before="0" w:after="0"/>
      </w:pPr>
      <w:r>
        <w:rPr>
          <w:rStyle w:val="Rimandonotaapidipagina"/>
        </w:rPr>
        <w:footnoteRef/>
      </w:r>
      <w:r>
        <w:t xml:space="preserve"> </w:t>
      </w:r>
      <w:r>
        <w:rPr>
          <w:rFonts w:ascii="Arial" w:hAnsi="Arial" w:cs="Arial"/>
          <w:sz w:val="16"/>
          <w:szCs w:val="16"/>
        </w:rPr>
        <w:t>Dal</w:t>
      </w:r>
      <w:r w:rsidRPr="00E01C06">
        <w:rPr>
          <w:rFonts w:ascii="Arial" w:hAnsi="Arial" w:cs="Arial"/>
          <w:sz w:val="16"/>
          <w:szCs w:val="16"/>
        </w:rPr>
        <w:t xml:space="preserve"> 20</w:t>
      </w:r>
      <w:r>
        <w:rPr>
          <w:rFonts w:ascii="Arial" w:hAnsi="Arial" w:cs="Arial"/>
          <w:sz w:val="16"/>
          <w:szCs w:val="16"/>
        </w:rPr>
        <w:t>20 il comune di Olbia è entrata a far parte dei comuni che partecipano all’indagine.</w:t>
      </w:r>
    </w:p>
  </w:footnote>
  <w:footnote w:id="4">
    <w:p w:rsidR="00C3416E" w:rsidRDefault="00C3416E" w:rsidP="00945580">
      <w:pPr>
        <w:pStyle w:val="Testonotaapidipagina"/>
        <w:spacing w:before="0" w:after="0"/>
        <w:jc w:val="both"/>
      </w:pPr>
      <w:r>
        <w:rPr>
          <w:rStyle w:val="Rimandonotaapidipagina"/>
        </w:rPr>
        <w:footnoteRef/>
      </w:r>
      <w:r>
        <w:t xml:space="preserve"> </w:t>
      </w:r>
      <w:r>
        <w:rPr>
          <w:rFonts w:ascii="Arial" w:hAnsi="Arial" w:cs="Arial"/>
          <w:sz w:val="16"/>
          <w:szCs w:val="16"/>
        </w:rPr>
        <w:t xml:space="preserve">Si tratta dei comuni di Asti, </w:t>
      </w:r>
      <w:r>
        <w:rPr>
          <w:rFonts w:ascii="Arial" w:hAnsi="Arial" w:cs="Arial"/>
          <w:sz w:val="16"/>
        </w:rPr>
        <w:t xml:space="preserve">Chieti, Foggia, Frosinone, L’Aquila, Matera, </w:t>
      </w:r>
      <w:r>
        <w:rPr>
          <w:rFonts w:ascii="Arial" w:hAnsi="Arial" w:cs="Arial"/>
          <w:sz w:val="16"/>
          <w:szCs w:val="16"/>
        </w:rPr>
        <w:t xml:space="preserve">Monza, Prato, </w:t>
      </w:r>
      <w:r>
        <w:rPr>
          <w:rFonts w:ascii="Arial" w:hAnsi="Arial" w:cs="Arial"/>
          <w:sz w:val="16"/>
        </w:rPr>
        <w:t xml:space="preserve">Ragusa, </w:t>
      </w:r>
      <w:r>
        <w:rPr>
          <w:rFonts w:ascii="Arial" w:hAnsi="Arial" w:cs="Arial"/>
          <w:sz w:val="16"/>
          <w:szCs w:val="16"/>
        </w:rPr>
        <w:t>Savona</w:t>
      </w:r>
      <w:r>
        <w:rPr>
          <w:rFonts w:ascii="Arial" w:hAnsi="Arial" w:cs="Arial"/>
          <w:sz w:val="16"/>
        </w:rPr>
        <w:t>, Verbania e Vibo Valentia.</w:t>
      </w:r>
    </w:p>
  </w:footnote>
  <w:footnote w:id="5">
    <w:p w:rsidR="00C3416E" w:rsidRPr="008A6A18" w:rsidRDefault="00C3416E" w:rsidP="00945580">
      <w:pPr>
        <w:pStyle w:val="Testonotaapidipagina"/>
        <w:spacing w:before="0" w:after="0"/>
        <w:rPr>
          <w:rFonts w:ascii="Arial" w:hAnsi="Arial" w:cs="Arial"/>
          <w:sz w:val="16"/>
          <w:szCs w:val="16"/>
        </w:rPr>
      </w:pPr>
      <w:r>
        <w:rPr>
          <w:rStyle w:val="Rimandonotaapidipagina"/>
        </w:rPr>
        <w:footnoteRef/>
      </w:r>
      <w:r>
        <w:t xml:space="preserve"> </w:t>
      </w:r>
      <w:r w:rsidRPr="008A6A18">
        <w:rPr>
          <w:rFonts w:ascii="Arial" w:hAnsi="Arial" w:cs="Arial"/>
          <w:sz w:val="16"/>
          <w:szCs w:val="16"/>
        </w:rPr>
        <w:t>A partire da gennaio 2022 la rilevazione dei canoni di affitto per le abitazioni di privati è condotta centralmente dall’Istat tramite l’utilizzo di dati di fonte amministrativa e in particolare della base dati locazioni immobiliari dell’Osservatorio del mercato immobiliare dell’Agenzia delle entrate</w:t>
      </w:r>
      <w:r>
        <w:rPr>
          <w:rFonts w:ascii="Arial" w:hAnsi="Arial" w:cs="Arial"/>
          <w:sz w:val="16"/>
          <w:szCs w:val="16"/>
        </w:rPr>
        <w:t>.</w:t>
      </w:r>
    </w:p>
  </w:footnote>
  <w:footnote w:id="6">
    <w:p w:rsidR="00C3416E" w:rsidRDefault="00C3416E" w:rsidP="00945580">
      <w:pPr>
        <w:pStyle w:val="Testonotaapidipagina"/>
        <w:spacing w:before="0" w:after="0"/>
        <w:jc w:val="both"/>
        <w:rPr>
          <w:rFonts w:ascii="Arial" w:hAnsi="Arial" w:cs="Arial"/>
          <w:sz w:val="16"/>
          <w:szCs w:val="16"/>
        </w:rPr>
      </w:pPr>
      <w:r>
        <w:rPr>
          <w:rStyle w:val="Rimandonotaapidipagina"/>
          <w:rFonts w:ascii="Arial" w:hAnsi="Arial" w:cs="Arial"/>
          <w:sz w:val="16"/>
          <w:szCs w:val="16"/>
        </w:rPr>
        <w:footnoteRef/>
      </w:r>
      <w:r>
        <w:rPr>
          <w:rFonts w:ascii="Arial" w:hAnsi="Arial" w:cs="Arial"/>
          <w:sz w:val="16"/>
          <w:szCs w:val="16"/>
        </w:rPr>
        <w:t xml:space="preserve"> Gli indici riferiti agli Aggregati di prodotto, nei quali si articolano ulteriormente i Segmenti di consumo, sono forniti su richiesta per specifiche finalità di studio e analisi.</w:t>
      </w:r>
    </w:p>
  </w:footnote>
  <w:footnote w:id="7">
    <w:p w:rsidR="00C3416E" w:rsidRDefault="00C3416E" w:rsidP="00945580">
      <w:pPr>
        <w:pStyle w:val="Testonotaapidipagina"/>
        <w:tabs>
          <w:tab w:val="left" w:pos="10206"/>
        </w:tabs>
        <w:spacing w:before="0" w:after="0"/>
        <w:jc w:val="both"/>
        <w:rPr>
          <w:rFonts w:ascii="Arial" w:hAnsi="Arial" w:cs="Arial"/>
          <w:sz w:val="16"/>
          <w:szCs w:val="16"/>
        </w:rPr>
      </w:pPr>
      <w:r>
        <w:rPr>
          <w:rStyle w:val="Rimandonotaapidipagina"/>
          <w:rFonts w:ascii="Arial" w:hAnsi="Arial" w:cs="Arial"/>
          <w:sz w:val="16"/>
          <w:szCs w:val="16"/>
        </w:rPr>
        <w:footnoteRef/>
      </w:r>
      <w:r>
        <w:rPr>
          <w:rFonts w:ascii="Arial" w:hAnsi="Arial" w:cs="Arial"/>
          <w:sz w:val="16"/>
          <w:szCs w:val="16"/>
        </w:rPr>
        <w:t xml:space="preserve"> La pubblicazione degli indici IPCA-AS è stata avviata a partire dai dati di febbraio 2013. La descrizione delle categorie merceologiche che definiscono i diversi aggregati speciali è disponibile sul sito web di Eurostat al seguente indirizzo: </w:t>
      </w:r>
    </w:p>
    <w:p w:rsidR="00C3416E" w:rsidRPr="002C7A4F" w:rsidRDefault="00333381" w:rsidP="00945580">
      <w:pPr>
        <w:pStyle w:val="Testonotaapidipagina"/>
        <w:tabs>
          <w:tab w:val="left" w:pos="10206"/>
        </w:tabs>
        <w:spacing w:before="0" w:after="0"/>
        <w:jc w:val="both"/>
        <w:rPr>
          <w:rFonts w:ascii="Arial" w:hAnsi="Arial" w:cs="Arial"/>
          <w:sz w:val="14"/>
          <w:szCs w:val="14"/>
        </w:rPr>
      </w:pPr>
      <w:hyperlink r:id="rId1" w:history="1">
        <w:r w:rsidR="00C3416E" w:rsidRPr="00F11253">
          <w:rPr>
            <w:rStyle w:val="Collegamentoipertestuale"/>
            <w:rFonts w:ascii="Arial" w:hAnsi="Arial" w:cs="Arial"/>
            <w:sz w:val="14"/>
            <w:szCs w:val="14"/>
          </w:rPr>
          <w:t>http://ec.europa.eu/eurostat/ramon/nomenclatures/index.cfm?TargetUrl=LST_NOM_DTL&amp;StrNom=HICP_2000&amp;StrLanguageCode=EN&amp;IntPcKey=&amp;StrLayoutCode</w:t>
        </w:r>
      </w:hyperlink>
      <w:r w:rsidR="00C3416E" w:rsidRPr="002C7A4F">
        <w:rPr>
          <w:rFonts w:ascii="Arial" w:hAnsi="Arial" w:cs="Arial"/>
          <w:sz w:val="14"/>
          <w:szCs w:val="14"/>
        </w:rPr>
        <w:t xml:space="preserve"> </w:t>
      </w:r>
    </w:p>
    <w:p w:rsidR="00C3416E" w:rsidRDefault="00C3416E" w:rsidP="00945580">
      <w:pPr>
        <w:pStyle w:val="Testonotaapidipagina"/>
        <w:tabs>
          <w:tab w:val="left" w:pos="10206"/>
        </w:tabs>
        <w:spacing w:before="0" w:after="0"/>
        <w:jc w:val="both"/>
        <w:rPr>
          <w:rFonts w:ascii="Arial" w:hAnsi="Arial" w:cs="Arial"/>
          <w:sz w:val="16"/>
          <w:szCs w:val="16"/>
        </w:rPr>
      </w:pPr>
      <w:r>
        <w:rPr>
          <w:rFonts w:ascii="Arial" w:hAnsi="Arial" w:cs="Arial"/>
          <w:sz w:val="16"/>
          <w:szCs w:val="16"/>
        </w:rPr>
        <w:t xml:space="preserve">Per la metodologia utilizzata per la sintesi degli indici, si consulti il Compendio dell’IPCA disponibile in formato pdf all’indirizzo: </w:t>
      </w:r>
    </w:p>
    <w:p w:rsidR="00C3416E" w:rsidRPr="00904629" w:rsidRDefault="00333381" w:rsidP="00945580">
      <w:pPr>
        <w:pStyle w:val="Testonotaapidipagina"/>
        <w:tabs>
          <w:tab w:val="left" w:pos="10206"/>
        </w:tabs>
        <w:spacing w:before="0" w:after="0"/>
        <w:jc w:val="both"/>
        <w:rPr>
          <w:rFonts w:ascii="Arial" w:hAnsi="Arial" w:cs="Arial"/>
          <w:sz w:val="16"/>
          <w:szCs w:val="16"/>
        </w:rPr>
      </w:pPr>
      <w:hyperlink r:id="rId2" w:history="1">
        <w:r w:rsidR="00C3416E" w:rsidRPr="00904629">
          <w:rPr>
            <w:rStyle w:val="Collegamentoipertestuale"/>
            <w:rFonts w:ascii="Arial" w:hAnsi="Arial" w:cs="Arial"/>
            <w:sz w:val="16"/>
            <w:szCs w:val="16"/>
          </w:rPr>
          <w:t>http://ec.europa.eu/eurostat/documents/3859598/5926625/KS-RA-13-017-EN.PDF/59eb2c1c-da1f-472c-b191-3d0c76521f9b?version=1.0</w:t>
        </w:r>
      </w:hyperlink>
      <w:r w:rsidR="00C3416E" w:rsidRPr="00904629">
        <w:rPr>
          <w:rFonts w:ascii="Arial" w:hAnsi="Arial" w:cs="Arial"/>
          <w:sz w:val="16"/>
          <w:szCs w:val="16"/>
        </w:rPr>
        <w:t xml:space="preserve">. </w:t>
      </w:r>
    </w:p>
    <w:p w:rsidR="00C3416E" w:rsidRDefault="00C3416E" w:rsidP="00945580">
      <w:pPr>
        <w:pStyle w:val="Testonotaapidipagina"/>
        <w:tabs>
          <w:tab w:val="left" w:pos="10206"/>
        </w:tabs>
        <w:spacing w:before="0" w:after="60"/>
        <w:jc w:val="both"/>
        <w:rPr>
          <w:rFonts w:ascii="Arial" w:hAnsi="Arial" w:cs="Arial"/>
          <w:sz w:val="16"/>
          <w:szCs w:val="16"/>
        </w:rPr>
      </w:pPr>
      <w:r>
        <w:rPr>
          <w:rFonts w:ascii="Arial" w:hAnsi="Arial" w:cs="Arial"/>
          <w:sz w:val="16"/>
          <w:szCs w:val="16"/>
        </w:rPr>
        <w:t xml:space="preserve">Le serie a partire da gennaio 2001 sono disponibili su </w:t>
      </w:r>
      <w:hyperlink r:id="rId3" w:history="1">
        <w:r>
          <w:rPr>
            <w:rStyle w:val="Collegamentoipertestuale"/>
            <w:rFonts w:ascii="Arial" w:hAnsi="Arial" w:cs="Arial"/>
            <w:sz w:val="16"/>
            <w:szCs w:val="16"/>
          </w:rPr>
          <w:t>IstatData</w:t>
        </w:r>
      </w:hyperlink>
      <w:r w:rsidRPr="00904629">
        <w:rPr>
          <w:rFonts w:ascii="Arial" w:hAnsi="Arial" w:cs="Arial"/>
          <w:sz w:val="16"/>
          <w:szCs w:val="16"/>
        </w:rPr>
        <w:t>,</w:t>
      </w:r>
      <w:r>
        <w:rPr>
          <w:rFonts w:ascii="Arial" w:hAnsi="Arial" w:cs="Arial"/>
          <w:sz w:val="16"/>
          <w:szCs w:val="16"/>
        </w:rPr>
        <w:t xml:space="preserve"> il data warehouse delle statistiche prodotte dall’Istituto, sotto il tema “Prezzi” e “Prezzi al consumo”. </w:t>
      </w:r>
    </w:p>
  </w:footnote>
  <w:footnote w:id="8">
    <w:p w:rsidR="00C3416E" w:rsidRPr="004D0B88" w:rsidRDefault="00C3416E" w:rsidP="00945580">
      <w:pPr>
        <w:pStyle w:val="Testonotaapidipagina"/>
        <w:jc w:val="both"/>
        <w:rPr>
          <w:rFonts w:ascii="Arial" w:hAnsi="Arial" w:cs="Arial"/>
          <w:sz w:val="16"/>
          <w:szCs w:val="16"/>
        </w:rPr>
      </w:pPr>
      <w:r w:rsidRPr="00C80FB4">
        <w:rPr>
          <w:rStyle w:val="Rimandonotaapidipagina"/>
          <w:rFonts w:ascii="Arial" w:hAnsi="Arial" w:cs="Arial"/>
          <w:sz w:val="16"/>
          <w:szCs w:val="16"/>
        </w:rPr>
        <w:footnoteRef/>
      </w:r>
      <w:r w:rsidRPr="00C80FB4">
        <w:rPr>
          <w:rFonts w:ascii="Arial" w:hAnsi="Arial" w:cs="Arial"/>
          <w:sz w:val="16"/>
          <w:szCs w:val="16"/>
        </w:rPr>
        <w:t xml:space="preserve"> </w:t>
      </w:r>
      <w:r w:rsidRPr="00472A7F">
        <w:rPr>
          <w:rFonts w:ascii="Arial" w:hAnsi="Arial" w:cs="Arial"/>
          <w:sz w:val="16"/>
          <w:szCs w:val="16"/>
        </w:rPr>
        <w:t>Durante il periodo dell’emergenza sanitaria legata alla diffusione del Covid-19, l’insieme delle procedure per l’imputazione delle mancate rilevazioni è stato aggiornato, in cooperazione con gli altri Istituti nazionali di statistica dei paesi dell’Unione europea e sotto il coordinamento dell’Eurostat, per tenere conto delle criticità emerse relativamente alla raccolta dei dati nella fase di pandemia.</w:t>
      </w:r>
    </w:p>
  </w:footnote>
  <w:footnote w:id="9">
    <w:p w:rsidR="00C3416E" w:rsidRPr="004D0B88" w:rsidRDefault="00C3416E" w:rsidP="00945580">
      <w:pPr>
        <w:pStyle w:val="Default"/>
        <w:spacing w:after="120"/>
        <w:jc w:val="both"/>
      </w:pPr>
      <w:r w:rsidRPr="004D0B88">
        <w:rPr>
          <w:rStyle w:val="Rimandonotaapidipagina"/>
          <w:rFonts w:ascii="Arial" w:hAnsi="Arial" w:cs="Arial"/>
          <w:sz w:val="16"/>
          <w:szCs w:val="16"/>
        </w:rPr>
        <w:footnoteRef/>
      </w:r>
      <w:r w:rsidRPr="004D0B88">
        <w:rPr>
          <w:rFonts w:ascii="Arial" w:hAnsi="Arial" w:cs="Arial"/>
          <w:sz w:val="16"/>
          <w:szCs w:val="16"/>
        </w:rPr>
        <w:t xml:space="preserve"> Il criterio della </w:t>
      </w:r>
      <w:r w:rsidRPr="00472A7F">
        <w:rPr>
          <w:rFonts w:ascii="Arial" w:hAnsi="Arial" w:cs="Arial"/>
          <w:sz w:val="16"/>
          <w:szCs w:val="16"/>
        </w:rPr>
        <w:t>minimizzazione del numero di prezzi imputati implica che, nella selezione dei prodotti che compongono il paniere, si deve tenere conto della loro effettiva disponibilità all’acquisto da parte delle famiglie.</w:t>
      </w:r>
      <w:r w:rsidRPr="004D0B88">
        <w:t xml:space="preserve"> </w:t>
      </w:r>
    </w:p>
  </w:footnote>
  <w:footnote w:id="10">
    <w:p w:rsidR="00C3416E" w:rsidRPr="00C0657B" w:rsidRDefault="00C3416E" w:rsidP="00945580">
      <w:pPr>
        <w:pStyle w:val="Testonotaapidipagina"/>
        <w:rPr>
          <w:rFonts w:ascii="Arial" w:hAnsi="Arial" w:cs="Arial"/>
          <w:sz w:val="16"/>
          <w:szCs w:val="16"/>
        </w:rPr>
      </w:pPr>
      <w:r w:rsidRPr="004D0B88">
        <w:rPr>
          <w:rStyle w:val="Rimandonotaapidipagina"/>
          <w:rFonts w:ascii="Arial" w:hAnsi="Arial" w:cs="Arial"/>
          <w:sz w:val="16"/>
          <w:szCs w:val="16"/>
        </w:rPr>
        <w:footnoteRef/>
      </w:r>
      <w:r w:rsidRPr="004D0B88">
        <w:rPr>
          <w:rFonts w:ascii="Arial" w:hAnsi="Arial" w:cs="Arial"/>
          <w:sz w:val="16"/>
          <w:szCs w:val="16"/>
        </w:rPr>
        <w:t xml:space="preserve"> </w:t>
      </w:r>
      <w:r w:rsidRPr="00472A7F">
        <w:rPr>
          <w:rFonts w:ascii="Arial" w:hAnsi="Arial" w:cs="Arial"/>
          <w:sz w:val="16"/>
          <w:szCs w:val="16"/>
        </w:rPr>
        <w:t>La stessa procedura si applica al caso di stima dei prezzi outlier.</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3416E" w:rsidRPr="00347C78" w:rsidRDefault="00C3416E" w:rsidP="00347C78">
    <w:pPr>
      <w:pStyle w:val="Intestazione"/>
    </w:pPr>
    <w:r w:rsidRPr="001D330A">
      <w:rPr>
        <w:noProof/>
      </w:rPr>
      <mc:AlternateContent>
        <mc:Choice Requires="wps">
          <w:drawing>
            <wp:anchor distT="0" distB="0" distL="114300" distR="114300" simplePos="0" relativeHeight="251685888" behindDoc="0" locked="0" layoutInCell="1" allowOverlap="1" wp14:anchorId="33BD4482" wp14:editId="7EFA0983">
              <wp:simplePos x="0" y="0"/>
              <wp:positionH relativeFrom="margin">
                <wp:align>right</wp:align>
              </wp:positionH>
              <wp:positionV relativeFrom="paragraph">
                <wp:posOffset>243840</wp:posOffset>
              </wp:positionV>
              <wp:extent cx="1114425" cy="962025"/>
              <wp:effectExtent l="0" t="0" r="9525" b="9525"/>
              <wp:wrapNone/>
              <wp:docPr id="36" name="Casella di testo 36"/>
              <wp:cNvGraphicFramePr/>
              <a:graphic xmlns:a="http://schemas.openxmlformats.org/drawingml/2006/main">
                <a:graphicData uri="http://schemas.microsoft.com/office/word/2010/wordprocessingShape">
                  <wps:wsp>
                    <wps:cNvSpPr txBox="1"/>
                    <wps:spPr>
                      <a:xfrm>
                        <a:off x="0" y="0"/>
                        <a:ext cx="1114425" cy="962025"/>
                      </a:xfrm>
                      <a:prstGeom prst="rect">
                        <a:avLst/>
                      </a:prstGeom>
                      <a:solidFill>
                        <a:schemeClr val="lt1"/>
                      </a:solidFill>
                      <a:ln w="6350">
                        <a:noFill/>
                      </a:ln>
                    </wps:spPr>
                    <wps:txbx>
                      <w:txbxContent>
                        <w:p w:rsidR="00C3416E" w:rsidRDefault="00333381" w:rsidP="00134836">
                          <w:pPr>
                            <w:spacing w:before="0" w:after="120" w:line="180" w:lineRule="exact"/>
                            <w:rPr>
                              <w:rFonts w:ascii="Arial Narrow" w:hAnsi="Arial Narrow"/>
                              <w:sz w:val="18"/>
                              <w:szCs w:val="18"/>
                            </w:rPr>
                          </w:pPr>
                          <w:hyperlink r:id="rId1" w:history="1">
                            <w:r w:rsidR="00C3416E" w:rsidRPr="0059658A">
                              <w:rPr>
                                <w:rStyle w:val="Collegamentoipertestuale"/>
                                <w:rFonts w:ascii="Arial Narrow" w:hAnsi="Arial Narrow"/>
                                <w:sz w:val="18"/>
                                <w:szCs w:val="18"/>
                              </w:rPr>
                              <w:t>http://www.istat.it</w:t>
                            </w:r>
                          </w:hyperlink>
                        </w:p>
                        <w:p w:rsidR="00C3416E" w:rsidRDefault="00333381" w:rsidP="00134836">
                          <w:pPr>
                            <w:spacing w:before="0" w:after="0"/>
                            <w:rPr>
                              <w:rFonts w:ascii="Arial Narrow" w:hAnsi="Arial Narrow"/>
                              <w:b/>
                              <w:bCs/>
                              <w:sz w:val="18"/>
                              <w:szCs w:val="18"/>
                            </w:rPr>
                          </w:pPr>
                          <w:hyperlink r:id="rId2" w:history="1">
                            <w:r w:rsidR="00C3416E" w:rsidRPr="006C6DF9">
                              <w:rPr>
                                <w:rStyle w:val="Collegamentoipertestuale"/>
                                <w:rFonts w:ascii="Arial Narrow" w:hAnsi="Arial Narrow"/>
                                <w:b/>
                                <w:bCs/>
                                <w:sz w:val="18"/>
                                <w:szCs w:val="18"/>
                              </w:rPr>
                              <w:t>Contact Centre</w:t>
                            </w:r>
                          </w:hyperlink>
                        </w:p>
                        <w:p w:rsidR="00C3416E" w:rsidRPr="00235BD6" w:rsidRDefault="00C3416E" w:rsidP="00134836">
                          <w:pPr>
                            <w:spacing w:before="0" w:after="0"/>
                            <w:rPr>
                              <w:rFonts w:ascii="Arial Narrow" w:hAnsi="Arial Narrow"/>
                              <w:sz w:val="18"/>
                              <w:szCs w:val="18"/>
                            </w:rPr>
                          </w:pPr>
                        </w:p>
                        <w:p w:rsidR="00C3416E" w:rsidRPr="00C8512A" w:rsidRDefault="00C3416E" w:rsidP="00134836">
                          <w:pPr>
                            <w:spacing w:before="0" w:after="0"/>
                            <w:rPr>
                              <w:rFonts w:ascii="Arial Narrow" w:hAnsi="Arial Narrow"/>
                              <w:b/>
                              <w:bCs/>
                              <w:sz w:val="18"/>
                              <w:szCs w:val="18"/>
                            </w:rPr>
                          </w:pPr>
                          <w:r w:rsidRPr="00235BD6">
                            <w:rPr>
                              <w:rFonts w:ascii="Arial Narrow" w:hAnsi="Arial Narrow"/>
                              <w:b/>
                              <w:bCs/>
                              <w:sz w:val="18"/>
                              <w:szCs w:val="18"/>
                            </w:rPr>
                            <w:t>Ufficio Stampa</w:t>
                          </w:r>
                          <w:r w:rsidRPr="00235BD6">
                            <w:rPr>
                              <w:rFonts w:ascii="Arial Narrow" w:hAnsi="Arial Narrow"/>
                              <w:b/>
                              <w:bCs/>
                              <w:sz w:val="18"/>
                              <w:szCs w:val="18"/>
                            </w:rPr>
                            <w:br/>
                          </w:r>
                          <w:r w:rsidRPr="00235BD6">
                            <w:rPr>
                              <w:rFonts w:ascii="Arial Narrow" w:hAnsi="Arial Narrow"/>
                              <w:sz w:val="18"/>
                              <w:szCs w:val="18"/>
                            </w:rPr>
                            <w:t xml:space="preserve">tel. </w:t>
                          </w:r>
                          <w:r w:rsidRPr="00C8512A">
                            <w:rPr>
                              <w:rFonts w:ascii="Arial Narrow" w:hAnsi="Arial Narrow"/>
                              <w:sz w:val="18"/>
                              <w:szCs w:val="18"/>
                            </w:rPr>
                            <w:t>+39 06 4673.2243/4</w:t>
                          </w:r>
                        </w:p>
                        <w:p w:rsidR="00C3416E" w:rsidRPr="00C8512A" w:rsidRDefault="00333381" w:rsidP="00134836">
                          <w:pPr>
                            <w:spacing w:before="0" w:after="0"/>
                            <w:rPr>
                              <w:rFonts w:ascii="Arial Narrow" w:hAnsi="Arial Narrow"/>
                              <w:b/>
                              <w:bCs/>
                              <w:color w:val="7F7F7F"/>
                              <w:sz w:val="18"/>
                              <w:szCs w:val="18"/>
                            </w:rPr>
                          </w:pPr>
                          <w:hyperlink r:id="rId3" w:history="1">
                            <w:r w:rsidR="00C3416E" w:rsidRPr="00C8512A">
                              <w:rPr>
                                <w:rStyle w:val="Collegamentoipertestuale"/>
                                <w:rFonts w:ascii="Arial Narrow" w:hAnsi="Arial Narrow"/>
                                <w:b/>
                                <w:bCs/>
                                <w:sz w:val="18"/>
                                <w:szCs w:val="18"/>
                              </w:rPr>
                              <w:t>ufficiostampa@istat.it</w:t>
                            </w:r>
                          </w:hyperlink>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3BD4482" id="_x0000_t202" coordsize="21600,21600" o:spt="202" path="m,l,21600r21600,l21600,xe">
              <v:stroke joinstyle="miter"/>
              <v:path gradientshapeok="t" o:connecttype="rect"/>
            </v:shapetype>
            <v:shape id="Casella di testo 36" o:spid="_x0000_s1026" type="#_x0000_t202" style="position:absolute;margin-left:36.55pt;margin-top:19.2pt;width:87.75pt;height:75.75pt;z-index:25168588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" fillcolor="white [3201]" stroked="f" strokeweight=".5pt">
              <v:textbox inset="0,0,0,0">
                <w:txbxContent>
                  <w:p w:rsidR="00C3416E" w:rsidRDefault="00C3416E" w:rsidP="00134836">
                    <w:pPr>
                      <w:spacing w:before="0" w:after="120" w:line="180" w:lineRule="exact"/>
                      <w:rPr>
                        <w:rFonts w:ascii="Arial Narrow" w:hAnsi="Arial Narrow"/>
                        <w:sz w:val="18"/>
                        <w:szCs w:val="18"/>
                      </w:rPr>
                    </w:pPr>
                    <w:r>
                      <w:fldChar w:fldCharType="begin"/>
                    </w:r>
                    <w:r>
                      <w:instrText xml:space="preserve"> HYPERLINK "http://www.istat.it" </w:instrText>
                    </w:r>
                    <w:r>
                      <w:fldChar w:fldCharType="separate"/>
                    </w:r>
                    <w:r w:rsidRPr="0059658A">
                      <w:rPr>
                        <w:rStyle w:val="Collegamentoipertestuale"/>
                        <w:rFonts w:ascii="Arial Narrow" w:hAnsi="Arial Narrow"/>
                        <w:sz w:val="18"/>
                        <w:szCs w:val="18"/>
                      </w:rPr>
                      <w:t>http://www.istat.it</w:t>
                    </w:r>
                    <w:r>
                      <w:rPr>
                        <w:rStyle w:val="Collegamentoipertestuale"/>
                        <w:rFonts w:ascii="Arial Narrow" w:hAnsi="Arial Narrow"/>
                        <w:sz w:val="18"/>
                        <w:szCs w:val="18"/>
                      </w:rPr>
                      <w:fldChar w:fldCharType="end"/>
                    </w:r>
                  </w:p>
                  <w:p w:rsidR="00C3416E" w:rsidRDefault="00C3416E" w:rsidP="00134836">
                    <w:pPr>
                      <w:spacing w:before="0" w:after="0"/>
                      <w:rPr>
                        <w:rFonts w:ascii="Arial Narrow" w:hAnsi="Arial Narrow"/>
                        <w:b/>
                        <w:bCs/>
                        <w:sz w:val="18"/>
                        <w:szCs w:val="18"/>
                      </w:rPr>
                    </w:pPr>
                    <w:hyperlink r:id="rId4" w:history="1">
                      <w:proofErr w:type="spellStart"/>
                      <w:r w:rsidRPr="006C6DF9">
                        <w:rPr>
                          <w:rStyle w:val="Collegamentoipertestuale"/>
                          <w:rFonts w:ascii="Arial Narrow" w:hAnsi="Arial Narrow"/>
                          <w:b/>
                          <w:bCs/>
                          <w:sz w:val="18"/>
                          <w:szCs w:val="18"/>
                        </w:rPr>
                        <w:t>Contact</w:t>
                      </w:r>
                      <w:proofErr w:type="spellEnd"/>
                      <w:r w:rsidRPr="006C6DF9">
                        <w:rPr>
                          <w:rStyle w:val="Collegamentoipertestuale"/>
                          <w:rFonts w:ascii="Arial Narrow" w:hAnsi="Arial Narrow"/>
                          <w:b/>
                          <w:bCs/>
                          <w:sz w:val="18"/>
                          <w:szCs w:val="18"/>
                        </w:rPr>
                        <w:t xml:space="preserve"> Centre</w:t>
                      </w:r>
                    </w:hyperlink>
                  </w:p>
                  <w:p w:rsidR="00C3416E" w:rsidRPr="00235BD6" w:rsidRDefault="00C3416E" w:rsidP="00134836">
                    <w:pPr>
                      <w:spacing w:before="0" w:after="0"/>
                      <w:rPr>
                        <w:rFonts w:ascii="Arial Narrow" w:hAnsi="Arial Narrow"/>
                        <w:sz w:val="18"/>
                        <w:szCs w:val="18"/>
                      </w:rPr>
                    </w:pPr>
                  </w:p>
                  <w:p w:rsidR="00C3416E" w:rsidRPr="00C8512A" w:rsidRDefault="00C3416E" w:rsidP="00134836">
                    <w:pPr>
                      <w:spacing w:before="0" w:after="0"/>
                      <w:rPr>
                        <w:rFonts w:ascii="Arial Narrow" w:hAnsi="Arial Narrow"/>
                        <w:b/>
                        <w:bCs/>
                        <w:sz w:val="18"/>
                        <w:szCs w:val="18"/>
                      </w:rPr>
                    </w:pPr>
                    <w:r w:rsidRPr="00235BD6">
                      <w:rPr>
                        <w:rFonts w:ascii="Arial Narrow" w:hAnsi="Arial Narrow"/>
                        <w:b/>
                        <w:bCs/>
                        <w:sz w:val="18"/>
                        <w:szCs w:val="18"/>
                      </w:rPr>
                      <w:t>Ufficio Stampa</w:t>
                    </w:r>
                    <w:r w:rsidRPr="00235BD6">
                      <w:rPr>
                        <w:rFonts w:ascii="Arial Narrow" w:hAnsi="Arial Narrow"/>
                        <w:b/>
                        <w:bCs/>
                        <w:sz w:val="18"/>
                        <w:szCs w:val="18"/>
                      </w:rPr>
                      <w:br/>
                    </w:r>
                    <w:r w:rsidRPr="00235BD6">
                      <w:rPr>
                        <w:rFonts w:ascii="Arial Narrow" w:hAnsi="Arial Narrow"/>
                        <w:sz w:val="18"/>
                        <w:szCs w:val="18"/>
                      </w:rPr>
                      <w:t xml:space="preserve">tel. </w:t>
                    </w:r>
                    <w:r w:rsidRPr="00C8512A">
                      <w:rPr>
                        <w:rFonts w:ascii="Arial Narrow" w:hAnsi="Arial Narrow"/>
                        <w:sz w:val="18"/>
                        <w:szCs w:val="18"/>
                      </w:rPr>
                      <w:t>+39 06 4673.2243/4</w:t>
                    </w:r>
                  </w:p>
                  <w:p w:rsidR="00C3416E" w:rsidRPr="00C8512A" w:rsidRDefault="00C3416E" w:rsidP="00134836">
                    <w:pPr>
                      <w:spacing w:before="0" w:after="0"/>
                      <w:rPr>
                        <w:rFonts w:ascii="Arial Narrow" w:hAnsi="Arial Narrow"/>
                        <w:b/>
                        <w:bCs/>
                        <w:color w:val="7F7F7F"/>
                        <w:sz w:val="18"/>
                        <w:szCs w:val="18"/>
                      </w:rPr>
                    </w:pPr>
                    <w:hyperlink r:id="rId5" w:history="1">
                      <w:r w:rsidRPr="00C8512A">
                        <w:rPr>
                          <w:rStyle w:val="Collegamentoipertestuale"/>
                          <w:rFonts w:ascii="Arial Narrow" w:hAnsi="Arial Narrow"/>
                          <w:b/>
                          <w:bCs/>
                          <w:sz w:val="18"/>
                          <w:szCs w:val="18"/>
                        </w:rPr>
                        <w:t>ufficiostampa@istat.it</w:t>
                      </w:r>
                    </w:hyperlink>
                  </w:p>
                </w:txbxContent>
              </v:textbox>
              <w10:wrap anchorx="margin"/>
            </v:shape>
          </w:pict>
        </mc:Fallback>
      </mc:AlternateContent>
    </w:r>
    <w:r w:rsidRPr="001D330A">
      <w:rPr>
        <w:noProof/>
      </w:rPr>
      <w:drawing>
        <wp:anchor distT="0" distB="0" distL="114300" distR="114300" simplePos="0" relativeHeight="251678720" behindDoc="0" locked="0" layoutInCell="1" allowOverlap="1" wp14:anchorId="594BE212" wp14:editId="4F2CB391">
          <wp:simplePos x="0" y="0"/>
          <wp:positionH relativeFrom="column">
            <wp:posOffset>0</wp:posOffset>
          </wp:positionH>
          <wp:positionV relativeFrom="paragraph">
            <wp:posOffset>0</wp:posOffset>
          </wp:positionV>
          <wp:extent cx="5332781" cy="1137834"/>
          <wp:effectExtent l="0" t="0" r="1270" b="5715"/>
          <wp:wrapNone/>
          <wp:docPr id="12" name="Immagine 6" descr="iconeComunicatiRosso-0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magine 6" descr="iconeComunicatiRosso-01"/>
                  <pic:cNvPicPr>
                    <a:picLocks/>
                  </pic:cNvPicPr>
                </pic:nvPicPr>
                <pic:blipFill rotWithShape="1">
                  <a:blip r:embed="rId6">
                    <a:extLst>
                      <a:ext uri="{28A0092B-C50C-407E-A947-70E740481C1C}">
                        <a14:useLocalDpi xmlns:a14="http://schemas.microsoft.com/office/drawing/2010/main" val="0"/>
                      </a:ext>
                    </a:extLst>
                  </a:blip>
                  <a:srcRect l="4" t="-12706" r="16052" b="7286"/>
                  <a:stretch/>
                </pic:blipFill>
                <pic:spPr bwMode="auto">
                  <a:xfrm>
                    <a:off x="0" y="0"/>
                    <a:ext cx="5333658" cy="1138021"/>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D330A">
      <w:rPr>
        <w:noProof/>
      </w:rPr>
      <mc:AlternateContent>
        <mc:Choice Requires="wps">
          <w:drawing>
            <wp:anchor distT="0" distB="0" distL="114300" distR="114300" simplePos="0" relativeHeight="251680768" behindDoc="0" locked="0" layoutInCell="1" allowOverlap="1" wp14:anchorId="00F19227" wp14:editId="4E8098CA">
              <wp:simplePos x="0" y="0"/>
              <wp:positionH relativeFrom="column">
                <wp:posOffset>-15240</wp:posOffset>
              </wp:positionH>
              <wp:positionV relativeFrom="paragraph">
                <wp:posOffset>1219835</wp:posOffset>
              </wp:positionV>
              <wp:extent cx="6414770" cy="0"/>
              <wp:effectExtent l="0" t="0" r="11430" b="12700"/>
              <wp:wrapNone/>
              <wp:docPr id="21" name="Connettore 1 37"/>
              <wp:cNvGraphicFramePr/>
              <a:graphic xmlns:a="http://schemas.openxmlformats.org/drawingml/2006/main">
                <a:graphicData uri="http://schemas.microsoft.com/office/word/2010/wordprocessingShape">
                  <wps:wsp>
                    <wps:cNvCnPr/>
                    <wps:spPr>
                      <a:xfrm>
                        <a:off x="0" y="0"/>
                        <a:ext cx="6414770" cy="0"/>
                      </a:xfrm>
                      <a:prstGeom prst="line">
                        <a:avLst/>
                      </a:prstGeom>
                      <a:ln w="9525">
                        <a:solidFill>
                          <a:schemeClr val="bg1">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7388250B" id="Connettore 1 37" o:spid="_x0000_s1026" style="position:absolute;z-index:2516807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2pt,96.05pt" to="503.9pt,9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" strokecolor="#7f7f7f [1612]"/>
          </w:pict>
        </mc:Fallback>
      </mc:AlternateContent>
    </w:r>
    <w:r w:rsidRPr="001D330A">
      <w:rPr>
        <w:noProof/>
      </w:rPr>
      <mc:AlternateContent>
        <mc:Choice Requires="wps">
          <w:drawing>
            <wp:anchor distT="0" distB="0" distL="114300" distR="114300" simplePos="0" relativeHeight="251681792" behindDoc="0" locked="0" layoutInCell="1" allowOverlap="1" wp14:anchorId="3672672F" wp14:editId="5DED474C">
              <wp:simplePos x="0" y="0"/>
              <wp:positionH relativeFrom="column">
                <wp:posOffset>3825240</wp:posOffset>
              </wp:positionH>
              <wp:positionV relativeFrom="paragraph">
                <wp:posOffset>255905</wp:posOffset>
              </wp:positionV>
              <wp:extent cx="1321435" cy="325755"/>
              <wp:effectExtent l="0" t="0" r="0" b="5080"/>
              <wp:wrapNone/>
              <wp:docPr id="17"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321435" cy="325755"/>
                      </a:xfrm>
                      <a:prstGeom prst="rect">
                        <a:avLst/>
                      </a:prstGeom>
                      <a:solidFill>
                        <a:srgbClr val="FFFFFF"/>
                      </a:solidFill>
                      <a:ln w="9525">
                        <a:solidFill>
                          <a:srgbClr val="FFFFFF"/>
                        </a:solidFill>
                        <a:miter lim="800000"/>
                        <a:headEnd/>
                        <a:tailEnd/>
                      </a:ln>
                    </wps:spPr>
                    <wps:txbx>
                      <w:txbxContent>
                        <w:p w:rsidR="00C3416E" w:rsidRPr="00BC2B33" w:rsidRDefault="00C3416E" w:rsidP="001D330A">
                          <w:pPr>
                            <w:jc w:val="right"/>
                            <w:rPr>
                              <w:color w:val="7F7F7F" w:themeColor="text1" w:themeTint="80"/>
                              <w:kern w:val="0"/>
                            </w:rPr>
                          </w:pPr>
                          <w:r>
                            <w:rPr>
                              <w:rFonts w:ascii="Arial Narrow" w:hAnsi="Arial Narrow"/>
                              <w:b/>
                              <w:color w:val="7F7F7F" w:themeColor="text1" w:themeTint="80"/>
                              <w:sz w:val="26"/>
                              <w:szCs w:val="26"/>
                            </w:rPr>
                            <w:t xml:space="preserve">31 luglio 2024 </w:t>
                          </w:r>
                        </w:p>
                      </w:txbxContent>
                    </wps:txbx>
                    <wps:bodyPr rot="0" vert="horz" wrap="square" lIns="0" tIns="0" rIns="0" bIns="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3672672F" id="Casella di testo 2" o:spid="_x0000_s1027" type="#_x0000_t202" style="position:absolute;margin-left:301.2pt;margin-top:20.15pt;width:104.05pt;height:25.65pt;z-index:25168179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" strokecolor="white">
              <v:path arrowok="t"/>
              <v:textbox style="mso-fit-shape-to-text:t" inset="0,0,0,0">
                <w:txbxContent>
                  <w:p w:rsidR="00C3416E" w:rsidRPr="00BC2B33" w:rsidRDefault="00C3416E" w:rsidP="001D330A">
                    <w:pPr>
                      <w:jc w:val="right"/>
                      <w:rPr>
                        <w:color w:val="7F7F7F" w:themeColor="text1" w:themeTint="80"/>
                        <w:kern w:val="0"/>
                      </w:rPr>
                    </w:pPr>
                    <w:r>
                      <w:rPr>
                        <w:rFonts w:ascii="Arial Narrow" w:hAnsi="Arial Narrow"/>
                        <w:b/>
                        <w:color w:val="7F7F7F" w:themeColor="text1" w:themeTint="80"/>
                        <w:sz w:val="26"/>
                        <w:szCs w:val="26"/>
                      </w:rPr>
                      <w:t xml:space="preserve">31 luglio 2024 </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3416E" w:rsidRDefault="00C3416E">
    <w:pPr>
      <w:pStyle w:val="Intestazione"/>
    </w:pPr>
    <w:r>
      <w:rPr>
        <w:noProof/>
      </w:rPr>
      <mc:AlternateContent>
        <mc:Choice Requires="wps">
          <w:drawing>
            <wp:anchor distT="0" distB="0" distL="114300" distR="114300" simplePos="0" relativeHeight="251672576" behindDoc="0" locked="0" layoutInCell="1" allowOverlap="1" wp14:anchorId="72D5048D" wp14:editId="711C7C2C">
              <wp:simplePos x="0" y="0"/>
              <wp:positionH relativeFrom="column">
                <wp:posOffset>531495</wp:posOffset>
              </wp:positionH>
              <wp:positionV relativeFrom="paragraph">
                <wp:posOffset>69850</wp:posOffset>
              </wp:positionV>
              <wp:extent cx="1078230" cy="263525"/>
              <wp:effectExtent l="12700" t="13970" r="13970" b="8255"/>
              <wp:wrapNone/>
              <wp:docPr id="8"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8230" cy="263525"/>
                      </a:xfrm>
                      <a:prstGeom prst="rect">
                        <a:avLst/>
                      </a:prstGeom>
                      <a:solidFill>
                        <a:srgbClr val="FFFFFF"/>
                      </a:solidFill>
                      <a:ln w="9525">
                        <a:solidFill>
                          <a:srgbClr val="FFFFFF"/>
                        </a:solidFill>
                        <a:miter lim="800000"/>
                        <a:headEnd/>
                        <a:tailEnd/>
                      </a:ln>
                    </wps:spPr>
                    <wps:txbx>
                      <w:txbxContent>
                        <w:p w:rsidR="00C3416E" w:rsidRDefault="00C3416E" w:rsidP="003728D3">
                          <w:pPr>
                            <w:pStyle w:val="Intestazione"/>
                            <w:overflowPunct/>
                            <w:autoSpaceDE/>
                            <w:autoSpaceDN/>
                            <w:adjustRightInd/>
                            <w:spacing w:before="0" w:after="0" w:line="200" w:lineRule="exact"/>
                            <w:rPr>
                              <w:rFonts w:ascii="Arial Narrow" w:hAnsi="Arial Narrow"/>
                              <w:b/>
                              <w:color w:val="5F5F5F"/>
                              <w:kern w:val="0"/>
                            </w:rPr>
                          </w:pPr>
                          <w:r>
                            <w:rPr>
                              <w:rFonts w:ascii="Arial Narrow" w:hAnsi="Arial Narrow"/>
                              <w:b/>
                              <w:color w:val="5F5F5F"/>
                              <w:kern w:val="0"/>
                            </w:rPr>
                            <w:t xml:space="preserve">PREZZI </w:t>
                          </w:r>
                        </w:p>
                        <w:p w:rsidR="00C3416E" w:rsidRPr="00C423DB" w:rsidRDefault="00C3416E" w:rsidP="003728D3">
                          <w:pPr>
                            <w:pStyle w:val="Intestazione"/>
                            <w:overflowPunct/>
                            <w:autoSpaceDE/>
                            <w:autoSpaceDN/>
                            <w:adjustRightInd/>
                            <w:spacing w:before="0" w:after="0" w:line="200" w:lineRule="exact"/>
                            <w:rPr>
                              <w:rFonts w:ascii="Arial Narrow" w:hAnsi="Arial Narrow"/>
                              <w:b/>
                              <w:color w:val="5F5F5F"/>
                              <w:kern w:val="0"/>
                            </w:rPr>
                          </w:pPr>
                          <w:r>
                            <w:rPr>
                              <w:rFonts w:ascii="Arial Narrow" w:hAnsi="Arial Narrow"/>
                              <w:b/>
                              <w:color w:val="5F5F5F"/>
                              <w:kern w:val="0"/>
                            </w:rPr>
                            <w:t>AL CONSUMO</w:t>
                          </w:r>
                        </w:p>
                      </w:txbxContent>
                    </wps:txbx>
                    <wps:bodyPr rot="0" vert="horz" wrap="square" lIns="0" tIns="0" rIns="0" bIns="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72D5048D" id="_x0000_t202" coordsize="21600,21600" o:spt="202" path="m,l,21600r21600,l21600,xe">
              <v:stroke joinstyle="miter"/>
              <v:path gradientshapeok="t" o:connecttype="rect"/>
            </v:shapetype>
            <v:shape id="_x0000_s1028" type="#_x0000_t202" style="position:absolute;margin-left:41.85pt;margin-top:5.5pt;width:84.9pt;height:20.75pt;z-index:25167257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" strokecolor="white">
              <v:textbox style="mso-fit-shape-to-text:t" inset="0,0,0,0">
                <w:txbxContent>
                  <w:p w:rsidR="00C3416E" w:rsidRDefault="00C3416E" w:rsidP="003728D3">
                    <w:pPr>
                      <w:pStyle w:val="Intestazione"/>
                      <w:overflowPunct/>
                      <w:autoSpaceDE/>
                      <w:autoSpaceDN/>
                      <w:adjustRightInd/>
                      <w:spacing w:before="0" w:after="0" w:line="200" w:lineRule="exact"/>
                      <w:rPr>
                        <w:rFonts w:ascii="Arial Narrow" w:hAnsi="Arial Narrow"/>
                        <w:b/>
                        <w:color w:val="5F5F5F"/>
                        <w:kern w:val="0"/>
                      </w:rPr>
                    </w:pPr>
                    <w:r>
                      <w:rPr>
                        <w:rFonts w:ascii="Arial Narrow" w:hAnsi="Arial Narrow"/>
                        <w:b/>
                        <w:color w:val="5F5F5F"/>
                        <w:kern w:val="0"/>
                      </w:rPr>
                      <w:t xml:space="preserve">PREZZI </w:t>
                    </w:r>
                  </w:p>
                  <w:p w:rsidR="00C3416E" w:rsidRPr="00C423DB" w:rsidRDefault="00C3416E" w:rsidP="003728D3">
                    <w:pPr>
                      <w:pStyle w:val="Intestazione"/>
                      <w:overflowPunct/>
                      <w:autoSpaceDE/>
                      <w:autoSpaceDN/>
                      <w:adjustRightInd/>
                      <w:spacing w:before="0" w:after="0" w:line="200" w:lineRule="exact"/>
                      <w:rPr>
                        <w:rFonts w:ascii="Arial Narrow" w:hAnsi="Arial Narrow"/>
                        <w:b/>
                        <w:color w:val="5F5F5F"/>
                        <w:kern w:val="0"/>
                      </w:rPr>
                    </w:pPr>
                    <w:r>
                      <w:rPr>
                        <w:rFonts w:ascii="Arial Narrow" w:hAnsi="Arial Narrow"/>
                        <w:b/>
                        <w:color w:val="5F5F5F"/>
                        <w:kern w:val="0"/>
                      </w:rPr>
                      <w:t>AL CONSUMO</w:t>
                    </w:r>
                  </w:p>
                </w:txbxContent>
              </v:textbox>
            </v:shape>
          </w:pict>
        </mc:Fallback>
      </mc:AlternateContent>
    </w:r>
    <w:r>
      <w:rPr>
        <w:noProof/>
      </w:rPr>
      <w:drawing>
        <wp:inline distT="0" distB="0" distL="0" distR="0" wp14:anchorId="6CD49400" wp14:editId="323EB31F">
          <wp:extent cx="6480175" cy="588645"/>
          <wp:effectExtent l="0" t="0" r="0" b="1905"/>
          <wp:docPr id="9" name="Immagine 9" descr="iconeComunicatiRosso-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coneComunicatiRosso-0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80175" cy="588645"/>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3416E" w:rsidRPr="009E5F03" w:rsidRDefault="00C3416E" w:rsidP="009E5F03">
    <w:pPr>
      <w:pStyle w:val="Intestazione"/>
    </w:pPr>
    <w:r>
      <w:rPr>
        <w:noProof/>
      </w:rPr>
      <mc:AlternateContent>
        <mc:Choice Requires="wps">
          <w:drawing>
            <wp:anchor distT="0" distB="0" distL="114300" distR="114300" simplePos="0" relativeHeight="251674624" behindDoc="0" locked="0" layoutInCell="1" allowOverlap="1" wp14:anchorId="2A6A6E20" wp14:editId="500F8E80">
              <wp:simplePos x="0" y="0"/>
              <wp:positionH relativeFrom="column">
                <wp:posOffset>520700</wp:posOffset>
              </wp:positionH>
              <wp:positionV relativeFrom="paragraph">
                <wp:posOffset>55245</wp:posOffset>
              </wp:positionV>
              <wp:extent cx="1078230" cy="263525"/>
              <wp:effectExtent l="0" t="0" r="26670" b="22860"/>
              <wp:wrapNone/>
              <wp:docPr id="22"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8230" cy="263525"/>
                      </a:xfrm>
                      <a:prstGeom prst="rect">
                        <a:avLst/>
                      </a:prstGeom>
                      <a:solidFill>
                        <a:srgbClr val="FFFFFF"/>
                      </a:solidFill>
                      <a:ln w="9525">
                        <a:solidFill>
                          <a:srgbClr val="FFFFFF"/>
                        </a:solidFill>
                        <a:miter lim="800000"/>
                        <a:headEnd/>
                        <a:tailEnd/>
                      </a:ln>
                    </wps:spPr>
                    <wps:txbx>
                      <w:txbxContent>
                        <w:p w:rsidR="00C3416E" w:rsidRPr="002812D7" w:rsidRDefault="00C3416E" w:rsidP="00914A6D">
                          <w:pPr>
                            <w:pStyle w:val="Intestazione"/>
                            <w:overflowPunct/>
                            <w:autoSpaceDE/>
                            <w:autoSpaceDN/>
                            <w:adjustRightInd/>
                            <w:spacing w:before="0" w:after="0" w:line="200" w:lineRule="exact"/>
                            <w:rPr>
                              <w:rFonts w:ascii="Arial Narrow" w:hAnsi="Arial Narrow"/>
                              <w:b/>
                              <w:color w:val="808080"/>
                              <w:kern w:val="0"/>
                            </w:rPr>
                          </w:pPr>
                          <w:r w:rsidRPr="002812D7">
                            <w:rPr>
                              <w:rFonts w:ascii="Arial Narrow" w:hAnsi="Arial Narrow"/>
                              <w:b/>
                              <w:color w:val="808080"/>
                              <w:kern w:val="0"/>
                            </w:rPr>
                            <w:t xml:space="preserve">PREZZI </w:t>
                          </w:r>
                        </w:p>
                        <w:p w:rsidR="00C3416E" w:rsidRPr="002812D7" w:rsidRDefault="00C3416E" w:rsidP="00914A6D">
                          <w:pPr>
                            <w:pStyle w:val="Intestazione"/>
                            <w:overflowPunct/>
                            <w:autoSpaceDE/>
                            <w:autoSpaceDN/>
                            <w:adjustRightInd/>
                            <w:spacing w:before="0" w:after="0" w:line="200" w:lineRule="exact"/>
                            <w:rPr>
                              <w:rFonts w:ascii="Arial Narrow" w:hAnsi="Arial Narrow"/>
                              <w:b/>
                              <w:color w:val="808080"/>
                              <w:kern w:val="0"/>
                            </w:rPr>
                          </w:pPr>
                          <w:r w:rsidRPr="002812D7">
                            <w:rPr>
                              <w:rFonts w:ascii="Arial Narrow" w:hAnsi="Arial Narrow"/>
                              <w:b/>
                              <w:color w:val="808080"/>
                              <w:kern w:val="0"/>
                            </w:rPr>
                            <w:t>AL CONSUMO</w:t>
                          </w:r>
                        </w:p>
                      </w:txbxContent>
                    </wps:txbx>
                    <wps:bodyPr rot="0" vert="horz" wrap="square" lIns="0" tIns="0" rIns="0" bIns="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2A6A6E20" id="_x0000_t202" coordsize="21600,21600" o:spt="202" path="m,l,21600r21600,l21600,xe">
              <v:stroke joinstyle="miter"/>
              <v:path gradientshapeok="t" o:connecttype="rect"/>
            </v:shapetype>
            <v:shape id="Text Box 11" o:spid="_x0000_s1029" type="#_x0000_t202" style="position:absolute;margin-left:41pt;margin-top:4.35pt;width:84.9pt;height:20.75pt;z-index:25167462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" strokecolor="white">
              <v:textbox style="mso-fit-shape-to-text:t" inset="0,0,0,0">
                <w:txbxContent>
                  <w:p w:rsidR="00C3416E" w:rsidRPr="002812D7" w:rsidRDefault="00C3416E" w:rsidP="00914A6D">
                    <w:pPr>
                      <w:pStyle w:val="Intestazione"/>
                      <w:overflowPunct/>
                      <w:autoSpaceDE/>
                      <w:autoSpaceDN/>
                      <w:adjustRightInd/>
                      <w:spacing w:before="0" w:after="0" w:line="200" w:lineRule="exact"/>
                      <w:rPr>
                        <w:rFonts w:ascii="Arial Narrow" w:hAnsi="Arial Narrow"/>
                        <w:b/>
                        <w:color w:val="808080"/>
                        <w:kern w:val="0"/>
                      </w:rPr>
                    </w:pPr>
                    <w:r w:rsidRPr="002812D7">
                      <w:rPr>
                        <w:rFonts w:ascii="Arial Narrow" w:hAnsi="Arial Narrow"/>
                        <w:b/>
                        <w:color w:val="808080"/>
                        <w:kern w:val="0"/>
                      </w:rPr>
                      <w:t xml:space="preserve">PREZZI </w:t>
                    </w:r>
                  </w:p>
                  <w:p w:rsidR="00C3416E" w:rsidRPr="002812D7" w:rsidRDefault="00C3416E" w:rsidP="00914A6D">
                    <w:pPr>
                      <w:pStyle w:val="Intestazione"/>
                      <w:overflowPunct/>
                      <w:autoSpaceDE/>
                      <w:autoSpaceDN/>
                      <w:adjustRightInd/>
                      <w:spacing w:before="0" w:after="0" w:line="200" w:lineRule="exact"/>
                      <w:rPr>
                        <w:rFonts w:ascii="Arial Narrow" w:hAnsi="Arial Narrow"/>
                        <w:b/>
                        <w:color w:val="808080"/>
                        <w:kern w:val="0"/>
                      </w:rPr>
                    </w:pPr>
                    <w:r w:rsidRPr="002812D7">
                      <w:rPr>
                        <w:rFonts w:ascii="Arial Narrow" w:hAnsi="Arial Narrow"/>
                        <w:b/>
                        <w:color w:val="808080"/>
                        <w:kern w:val="0"/>
                      </w:rPr>
                      <w:t>AL CONSUMO</w:t>
                    </w:r>
                  </w:p>
                </w:txbxContent>
              </v:textbox>
            </v:shape>
          </w:pict>
        </mc:Fallback>
      </mc:AlternateContent>
    </w:r>
    <w:r>
      <w:rPr>
        <w:noProof/>
      </w:rPr>
      <w:drawing>
        <wp:inline distT="0" distB="0" distL="0" distR="0" wp14:anchorId="7FDAAC46" wp14:editId="030FE93A">
          <wp:extent cx="6477000" cy="590550"/>
          <wp:effectExtent l="0" t="0" r="0" b="0"/>
          <wp:docPr id="26" name="Immagine 26" descr="iconeComunicatiRosso-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coneComunicatiRosso-0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77000" cy="590550"/>
                  </a:xfrm>
                  <a:prstGeom prst="rect">
                    <a:avLst/>
                  </a:prstGeom>
                  <a:noFill/>
                  <a:ln>
                    <a:noFill/>
                  </a:ln>
                </pic:spPr>
              </pic:pic>
            </a:graphicData>
          </a:graphic>
        </wp:inline>
      </w:drawing>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3416E" w:rsidRPr="009E5F03" w:rsidRDefault="00C3416E" w:rsidP="009E5F03">
    <w:pPr>
      <w:pStyle w:val="Intestazione"/>
    </w:pPr>
    <w:r>
      <w:rPr>
        <w:noProof/>
      </w:rPr>
      <w:drawing>
        <wp:inline distT="0" distB="0" distL="0" distR="0" wp14:anchorId="66C1265C" wp14:editId="1AE98472">
          <wp:extent cx="6478270" cy="586740"/>
          <wp:effectExtent l="0" t="0" r="0" b="3810"/>
          <wp:docPr id="48" name="Immagine 48" descr="C:\Users\lifagiol\Desktop\iconeComunicati-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6" descr="C:\Users\lifagiol\Desktop\iconeComunicati-10.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78270" cy="586740"/>
                  </a:xfrm>
                  <a:prstGeom prst="rect">
                    <a:avLst/>
                  </a:prstGeom>
                  <a:noFill/>
                  <a:ln>
                    <a:noFill/>
                  </a:ln>
                </pic:spPr>
              </pic:pic>
            </a:graphicData>
          </a:graphic>
        </wp:inline>
      </w:drawing>
    </w:r>
    <w:r>
      <w:rPr>
        <w:noProof/>
      </w:rPr>
      <mc:AlternateContent>
        <mc:Choice Requires="wps">
          <w:drawing>
            <wp:anchor distT="0" distB="0" distL="114300" distR="114300" simplePos="0" relativeHeight="251675648" behindDoc="0" locked="0" layoutInCell="1" allowOverlap="1" wp14:anchorId="0B8AC7E8" wp14:editId="6623D57D">
              <wp:simplePos x="0" y="0"/>
              <wp:positionH relativeFrom="column">
                <wp:posOffset>520700</wp:posOffset>
              </wp:positionH>
              <wp:positionV relativeFrom="paragraph">
                <wp:posOffset>55245</wp:posOffset>
              </wp:positionV>
              <wp:extent cx="1078230" cy="263525"/>
              <wp:effectExtent l="0" t="0" r="26670" b="22860"/>
              <wp:wrapNone/>
              <wp:docPr id="15"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8230" cy="263525"/>
                      </a:xfrm>
                      <a:prstGeom prst="rect">
                        <a:avLst/>
                      </a:prstGeom>
                      <a:solidFill>
                        <a:srgbClr val="FFFFFF"/>
                      </a:solidFill>
                      <a:ln w="9525">
                        <a:solidFill>
                          <a:srgbClr val="FFFFFF"/>
                        </a:solidFill>
                        <a:miter lim="800000"/>
                        <a:headEnd/>
                        <a:tailEnd/>
                      </a:ln>
                    </wps:spPr>
                    <wps:txbx>
                      <w:txbxContent>
                        <w:p w:rsidR="00C3416E" w:rsidRPr="002812D7" w:rsidRDefault="00C3416E" w:rsidP="00914A6D">
                          <w:pPr>
                            <w:pStyle w:val="Intestazione"/>
                            <w:overflowPunct/>
                            <w:autoSpaceDE/>
                            <w:autoSpaceDN/>
                            <w:adjustRightInd/>
                            <w:spacing w:before="0" w:after="0" w:line="200" w:lineRule="exact"/>
                            <w:rPr>
                              <w:rFonts w:ascii="Arial Narrow" w:hAnsi="Arial Narrow"/>
                              <w:b/>
                              <w:color w:val="808080"/>
                              <w:kern w:val="0"/>
                            </w:rPr>
                          </w:pPr>
                          <w:r w:rsidRPr="002812D7">
                            <w:rPr>
                              <w:rFonts w:ascii="Arial Narrow" w:hAnsi="Arial Narrow"/>
                              <w:b/>
                              <w:color w:val="808080"/>
                              <w:kern w:val="0"/>
                            </w:rPr>
                            <w:t xml:space="preserve">PREZZI </w:t>
                          </w:r>
                        </w:p>
                        <w:p w:rsidR="00C3416E" w:rsidRPr="002812D7" w:rsidRDefault="00C3416E" w:rsidP="00914A6D">
                          <w:pPr>
                            <w:pStyle w:val="Intestazione"/>
                            <w:overflowPunct/>
                            <w:autoSpaceDE/>
                            <w:autoSpaceDN/>
                            <w:adjustRightInd/>
                            <w:spacing w:before="0" w:after="0" w:line="200" w:lineRule="exact"/>
                            <w:rPr>
                              <w:rFonts w:ascii="Arial Narrow" w:hAnsi="Arial Narrow"/>
                              <w:b/>
                              <w:color w:val="808080"/>
                              <w:kern w:val="0"/>
                            </w:rPr>
                          </w:pPr>
                          <w:r w:rsidRPr="002812D7">
                            <w:rPr>
                              <w:rFonts w:ascii="Arial Narrow" w:hAnsi="Arial Narrow"/>
                              <w:b/>
                              <w:color w:val="808080"/>
                              <w:kern w:val="0"/>
                            </w:rPr>
                            <w:t>AL CONSUMO</w:t>
                          </w:r>
                        </w:p>
                      </w:txbxContent>
                    </wps:txbx>
                    <wps:bodyPr rot="0" vert="horz" wrap="square" lIns="0" tIns="0" rIns="0" bIns="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0B8AC7E8" id="_x0000_t202" coordsize="21600,21600" o:spt="202" path="m,l,21600r21600,l21600,xe">
              <v:stroke joinstyle="miter"/>
              <v:path gradientshapeok="t" o:connecttype="rect"/>
            </v:shapetype>
            <v:shape id="_x0000_s1030" type="#_x0000_t202" style="position:absolute;margin-left:41pt;margin-top:4.35pt;width:84.9pt;height:20.75pt;z-index:25167564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" strokecolor="white">
              <v:textbox style="mso-fit-shape-to-text:t" inset="0,0,0,0">
                <w:txbxContent>
                  <w:p w:rsidR="00C3416E" w:rsidRPr="002812D7" w:rsidRDefault="00C3416E" w:rsidP="00914A6D">
                    <w:pPr>
                      <w:pStyle w:val="Intestazione"/>
                      <w:overflowPunct/>
                      <w:autoSpaceDE/>
                      <w:autoSpaceDN/>
                      <w:adjustRightInd/>
                      <w:spacing w:before="0" w:after="0" w:line="200" w:lineRule="exact"/>
                      <w:rPr>
                        <w:rFonts w:ascii="Arial Narrow" w:hAnsi="Arial Narrow"/>
                        <w:b/>
                        <w:color w:val="808080"/>
                        <w:kern w:val="0"/>
                      </w:rPr>
                    </w:pPr>
                    <w:r w:rsidRPr="002812D7">
                      <w:rPr>
                        <w:rFonts w:ascii="Arial Narrow" w:hAnsi="Arial Narrow"/>
                        <w:b/>
                        <w:color w:val="808080"/>
                        <w:kern w:val="0"/>
                      </w:rPr>
                      <w:t xml:space="preserve">PREZZI </w:t>
                    </w:r>
                  </w:p>
                  <w:p w:rsidR="00C3416E" w:rsidRPr="002812D7" w:rsidRDefault="00C3416E" w:rsidP="00914A6D">
                    <w:pPr>
                      <w:pStyle w:val="Intestazione"/>
                      <w:overflowPunct/>
                      <w:autoSpaceDE/>
                      <w:autoSpaceDN/>
                      <w:adjustRightInd/>
                      <w:spacing w:before="0" w:after="0" w:line="200" w:lineRule="exact"/>
                      <w:rPr>
                        <w:rFonts w:ascii="Arial Narrow" w:hAnsi="Arial Narrow"/>
                        <w:b/>
                        <w:color w:val="808080"/>
                        <w:kern w:val="0"/>
                      </w:rPr>
                    </w:pPr>
                    <w:r w:rsidRPr="002812D7">
                      <w:rPr>
                        <w:rFonts w:ascii="Arial Narrow" w:hAnsi="Arial Narrow"/>
                        <w:b/>
                        <w:color w:val="808080"/>
                        <w:kern w:val="0"/>
                      </w:rPr>
                      <w:t>AL CONSUMO</w:t>
                    </w:r>
                  </w:p>
                </w:txbxContent>
              </v:textbox>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3416E" w:rsidRPr="009E5F03" w:rsidRDefault="00C3416E" w:rsidP="009E5F03">
    <w:pPr>
      <w:pStyle w:val="Intestazione"/>
    </w:pPr>
    <w:r>
      <w:rPr>
        <w:noProof/>
      </w:rPr>
      <mc:AlternateContent>
        <mc:Choice Requires="wps">
          <w:drawing>
            <wp:anchor distT="0" distB="0" distL="114300" distR="114300" simplePos="0" relativeHeight="251660288" behindDoc="0" locked="0" layoutInCell="1" allowOverlap="1" wp14:anchorId="7D685C4C" wp14:editId="27A9C71F">
              <wp:simplePos x="0" y="0"/>
              <wp:positionH relativeFrom="column">
                <wp:posOffset>520700</wp:posOffset>
              </wp:positionH>
              <wp:positionV relativeFrom="paragraph">
                <wp:posOffset>55245</wp:posOffset>
              </wp:positionV>
              <wp:extent cx="1078230" cy="263525"/>
              <wp:effectExtent l="0" t="0" r="26670" b="22860"/>
              <wp:wrapNone/>
              <wp:docPr id="13"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8230" cy="263525"/>
                      </a:xfrm>
                      <a:prstGeom prst="rect">
                        <a:avLst/>
                      </a:prstGeom>
                      <a:solidFill>
                        <a:srgbClr val="FFFFFF"/>
                      </a:solidFill>
                      <a:ln w="9525">
                        <a:solidFill>
                          <a:srgbClr val="FFFFFF"/>
                        </a:solidFill>
                        <a:miter lim="800000"/>
                        <a:headEnd/>
                        <a:tailEnd/>
                      </a:ln>
                    </wps:spPr>
                    <wps:txbx>
                      <w:txbxContent>
                        <w:p w:rsidR="00C3416E" w:rsidRPr="002812D7" w:rsidRDefault="00C3416E" w:rsidP="00914A6D">
                          <w:pPr>
                            <w:pStyle w:val="Intestazione"/>
                            <w:overflowPunct/>
                            <w:autoSpaceDE/>
                            <w:autoSpaceDN/>
                            <w:adjustRightInd/>
                            <w:spacing w:before="0" w:after="0" w:line="200" w:lineRule="exact"/>
                            <w:rPr>
                              <w:rFonts w:ascii="Arial Narrow" w:hAnsi="Arial Narrow"/>
                              <w:b/>
                              <w:color w:val="808080"/>
                              <w:kern w:val="0"/>
                            </w:rPr>
                          </w:pPr>
                          <w:r w:rsidRPr="002812D7">
                            <w:rPr>
                              <w:rFonts w:ascii="Arial Narrow" w:hAnsi="Arial Narrow"/>
                              <w:b/>
                              <w:color w:val="808080"/>
                              <w:kern w:val="0"/>
                            </w:rPr>
                            <w:t xml:space="preserve">PREZZI </w:t>
                          </w:r>
                        </w:p>
                        <w:p w:rsidR="00C3416E" w:rsidRPr="002812D7" w:rsidRDefault="00C3416E" w:rsidP="00914A6D">
                          <w:pPr>
                            <w:pStyle w:val="Intestazione"/>
                            <w:overflowPunct/>
                            <w:autoSpaceDE/>
                            <w:autoSpaceDN/>
                            <w:adjustRightInd/>
                            <w:spacing w:before="0" w:after="0" w:line="200" w:lineRule="exact"/>
                            <w:rPr>
                              <w:rFonts w:ascii="Arial Narrow" w:hAnsi="Arial Narrow"/>
                              <w:b/>
                              <w:color w:val="808080"/>
                              <w:kern w:val="0"/>
                            </w:rPr>
                          </w:pPr>
                          <w:r w:rsidRPr="002812D7">
                            <w:rPr>
                              <w:rFonts w:ascii="Arial Narrow" w:hAnsi="Arial Narrow"/>
                              <w:b/>
                              <w:color w:val="808080"/>
                              <w:kern w:val="0"/>
                            </w:rPr>
                            <w:t>AL CONSUMO</w:t>
                          </w:r>
                        </w:p>
                      </w:txbxContent>
                    </wps:txbx>
                    <wps:bodyPr rot="0" vert="horz" wrap="square" lIns="0" tIns="0" rIns="0" bIns="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7D685C4C" id="_x0000_t202" coordsize="21600,21600" o:spt="202" path="m,l,21600r21600,l21600,xe">
              <v:stroke joinstyle="miter"/>
              <v:path gradientshapeok="t" o:connecttype="rect"/>
            </v:shapetype>
            <v:shape id="_x0000_s1031" type="#_x0000_t202" style="position:absolute;margin-left:41pt;margin-top:4.35pt;width:84.9pt;height:20.75pt;z-index:25166028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" strokecolor="white">
              <v:textbox style="mso-fit-shape-to-text:t" inset="0,0,0,0">
                <w:txbxContent>
                  <w:p w:rsidR="00C3416E" w:rsidRPr="002812D7" w:rsidRDefault="00C3416E" w:rsidP="00914A6D">
                    <w:pPr>
                      <w:pStyle w:val="Intestazione"/>
                      <w:overflowPunct/>
                      <w:autoSpaceDE/>
                      <w:autoSpaceDN/>
                      <w:adjustRightInd/>
                      <w:spacing w:before="0" w:after="0" w:line="200" w:lineRule="exact"/>
                      <w:rPr>
                        <w:rFonts w:ascii="Arial Narrow" w:hAnsi="Arial Narrow"/>
                        <w:b/>
                        <w:color w:val="808080"/>
                        <w:kern w:val="0"/>
                      </w:rPr>
                    </w:pPr>
                    <w:r w:rsidRPr="002812D7">
                      <w:rPr>
                        <w:rFonts w:ascii="Arial Narrow" w:hAnsi="Arial Narrow"/>
                        <w:b/>
                        <w:color w:val="808080"/>
                        <w:kern w:val="0"/>
                      </w:rPr>
                      <w:t xml:space="preserve">PREZZI </w:t>
                    </w:r>
                  </w:p>
                  <w:p w:rsidR="00C3416E" w:rsidRPr="002812D7" w:rsidRDefault="00C3416E" w:rsidP="00914A6D">
                    <w:pPr>
                      <w:pStyle w:val="Intestazione"/>
                      <w:overflowPunct/>
                      <w:autoSpaceDE/>
                      <w:autoSpaceDN/>
                      <w:adjustRightInd/>
                      <w:spacing w:before="0" w:after="0" w:line="200" w:lineRule="exact"/>
                      <w:rPr>
                        <w:rFonts w:ascii="Arial Narrow" w:hAnsi="Arial Narrow"/>
                        <w:b/>
                        <w:color w:val="808080"/>
                        <w:kern w:val="0"/>
                      </w:rPr>
                    </w:pPr>
                    <w:r w:rsidRPr="002812D7">
                      <w:rPr>
                        <w:rFonts w:ascii="Arial Narrow" w:hAnsi="Arial Narrow"/>
                        <w:b/>
                        <w:color w:val="808080"/>
                        <w:kern w:val="0"/>
                      </w:rPr>
                      <w:t>AL CONSUMO</w:t>
                    </w:r>
                  </w:p>
                </w:txbxContent>
              </v:textbox>
            </v:shape>
          </w:pict>
        </mc:Fallback>
      </mc:AlternateContent>
    </w:r>
    <w:r>
      <w:rPr>
        <w:noProof/>
      </w:rPr>
      <w:drawing>
        <wp:inline distT="0" distB="0" distL="0" distR="0" wp14:anchorId="3748BF50" wp14:editId="7CE02BBD">
          <wp:extent cx="6477000" cy="590550"/>
          <wp:effectExtent l="0" t="0" r="0" b="0"/>
          <wp:docPr id="37" name="Immagine 37" descr="iconeComunicatiRosso-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coneComunicatiRosso-0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77000" cy="590550"/>
                  </a:xfrm>
                  <a:prstGeom prst="rect">
                    <a:avLst/>
                  </a:prstGeom>
                  <a:noFill/>
                  <a:ln>
                    <a:noFill/>
                  </a:ln>
                </pic:spPr>
              </pic:pic>
            </a:graphicData>
          </a:graphic>
        </wp:inline>
      </w:drawing>
    </w: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3416E" w:rsidRPr="00CC0BEA" w:rsidRDefault="00C3416E" w:rsidP="002C01C5">
    <w:pPr>
      <w:pStyle w:val="Intestazione"/>
    </w:pPr>
    <w:r>
      <w:rPr>
        <w:noProof/>
      </w:rPr>
      <mc:AlternateContent>
        <mc:Choice Requires="wps">
          <w:drawing>
            <wp:anchor distT="0" distB="0" distL="114300" distR="114300" simplePos="0" relativeHeight="251689984" behindDoc="0" locked="0" layoutInCell="1" allowOverlap="1" wp14:anchorId="17D73275" wp14:editId="35B78155">
              <wp:simplePos x="0" y="0"/>
              <wp:positionH relativeFrom="column">
                <wp:posOffset>520700</wp:posOffset>
              </wp:positionH>
              <wp:positionV relativeFrom="paragraph">
                <wp:posOffset>71120</wp:posOffset>
              </wp:positionV>
              <wp:extent cx="1078230" cy="263525"/>
              <wp:effectExtent l="0" t="0" r="26670" b="22860"/>
              <wp:wrapNone/>
              <wp:docPr id="25"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8230" cy="263525"/>
                      </a:xfrm>
                      <a:prstGeom prst="rect">
                        <a:avLst/>
                      </a:prstGeom>
                      <a:solidFill>
                        <a:srgbClr val="FFFFFF"/>
                      </a:solidFill>
                      <a:ln w="9525">
                        <a:solidFill>
                          <a:srgbClr val="FFFFFF"/>
                        </a:solidFill>
                        <a:miter lim="800000"/>
                        <a:headEnd/>
                        <a:tailEnd/>
                      </a:ln>
                    </wps:spPr>
                    <wps:txbx>
                      <w:txbxContent>
                        <w:p w:rsidR="00C3416E" w:rsidRDefault="00C3416E" w:rsidP="002C01C5">
                          <w:pPr>
                            <w:pStyle w:val="Intestazione"/>
                            <w:overflowPunct/>
                            <w:autoSpaceDE/>
                            <w:autoSpaceDN/>
                            <w:adjustRightInd/>
                            <w:spacing w:before="0" w:after="0" w:line="200" w:lineRule="exact"/>
                            <w:rPr>
                              <w:rFonts w:ascii="Arial Narrow" w:hAnsi="Arial Narrow"/>
                              <w:b/>
                              <w:color w:val="5F5F5F"/>
                              <w:kern w:val="0"/>
                            </w:rPr>
                          </w:pPr>
                          <w:r>
                            <w:rPr>
                              <w:rFonts w:ascii="Arial Narrow" w:hAnsi="Arial Narrow"/>
                              <w:b/>
                              <w:color w:val="5F5F5F"/>
                              <w:kern w:val="0"/>
                            </w:rPr>
                            <w:t xml:space="preserve">PREZZI </w:t>
                          </w:r>
                        </w:p>
                        <w:p w:rsidR="00C3416E" w:rsidRPr="00C423DB" w:rsidRDefault="00C3416E" w:rsidP="002C01C5">
                          <w:pPr>
                            <w:pStyle w:val="Intestazione"/>
                            <w:overflowPunct/>
                            <w:autoSpaceDE/>
                            <w:autoSpaceDN/>
                            <w:adjustRightInd/>
                            <w:spacing w:before="0" w:after="0" w:line="200" w:lineRule="exact"/>
                            <w:rPr>
                              <w:rFonts w:ascii="Arial Narrow" w:hAnsi="Arial Narrow"/>
                              <w:b/>
                              <w:color w:val="5F5F5F"/>
                              <w:kern w:val="0"/>
                            </w:rPr>
                          </w:pPr>
                          <w:r>
                            <w:rPr>
                              <w:rFonts w:ascii="Arial Narrow" w:hAnsi="Arial Narrow"/>
                              <w:b/>
                              <w:color w:val="5F5F5F"/>
                              <w:kern w:val="0"/>
                            </w:rPr>
                            <w:t>AL CONSUMO</w:t>
                          </w:r>
                        </w:p>
                      </w:txbxContent>
                    </wps:txbx>
                    <wps:bodyPr rot="0" vert="horz" wrap="square" lIns="0" tIns="0" rIns="0" bIns="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17D73275" id="_x0000_t202" coordsize="21600,21600" o:spt="202" path="m,l,21600r21600,l21600,xe">
              <v:stroke joinstyle="miter"/>
              <v:path gradientshapeok="t" o:connecttype="rect"/>
            </v:shapetype>
            <v:shape id="_x0000_s1032" type="#_x0000_t202" style="position:absolute;margin-left:41pt;margin-top:5.6pt;width:84.9pt;height:20.75pt;z-index:25168998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" strokecolor="white">
              <v:textbox style="mso-fit-shape-to-text:t" inset="0,0,0,0">
                <w:txbxContent>
                  <w:p w:rsidR="00C3416E" w:rsidRDefault="00C3416E" w:rsidP="002C01C5">
                    <w:pPr>
                      <w:pStyle w:val="Intestazione"/>
                      <w:overflowPunct/>
                      <w:autoSpaceDE/>
                      <w:autoSpaceDN/>
                      <w:adjustRightInd/>
                      <w:spacing w:before="0" w:after="0" w:line="200" w:lineRule="exact"/>
                      <w:rPr>
                        <w:rFonts w:ascii="Arial Narrow" w:hAnsi="Arial Narrow"/>
                        <w:b/>
                        <w:color w:val="5F5F5F"/>
                        <w:kern w:val="0"/>
                      </w:rPr>
                    </w:pPr>
                    <w:r>
                      <w:rPr>
                        <w:rFonts w:ascii="Arial Narrow" w:hAnsi="Arial Narrow"/>
                        <w:b/>
                        <w:color w:val="5F5F5F"/>
                        <w:kern w:val="0"/>
                      </w:rPr>
                      <w:t xml:space="preserve">PREZZI </w:t>
                    </w:r>
                  </w:p>
                  <w:p w:rsidR="00C3416E" w:rsidRPr="00C423DB" w:rsidRDefault="00C3416E" w:rsidP="002C01C5">
                    <w:pPr>
                      <w:pStyle w:val="Intestazione"/>
                      <w:overflowPunct/>
                      <w:autoSpaceDE/>
                      <w:autoSpaceDN/>
                      <w:adjustRightInd/>
                      <w:spacing w:before="0" w:after="0" w:line="200" w:lineRule="exact"/>
                      <w:rPr>
                        <w:rFonts w:ascii="Arial Narrow" w:hAnsi="Arial Narrow"/>
                        <w:b/>
                        <w:color w:val="5F5F5F"/>
                        <w:kern w:val="0"/>
                      </w:rPr>
                    </w:pPr>
                    <w:r>
                      <w:rPr>
                        <w:rFonts w:ascii="Arial Narrow" w:hAnsi="Arial Narrow"/>
                        <w:b/>
                        <w:color w:val="5F5F5F"/>
                        <w:kern w:val="0"/>
                      </w:rPr>
                      <w:t>AL CONSUMO</w:t>
                    </w:r>
                  </w:p>
                </w:txbxContent>
              </v:textbox>
            </v:shape>
          </w:pict>
        </mc:Fallback>
      </mc:AlternateContent>
    </w:r>
    <w:r>
      <w:rPr>
        <w:noProof/>
      </w:rPr>
      <w:drawing>
        <wp:inline distT="0" distB="0" distL="0" distR="0" wp14:anchorId="5BE95C27" wp14:editId="2281243A">
          <wp:extent cx="6480175" cy="580390"/>
          <wp:effectExtent l="0" t="0" r="0" b="0"/>
          <wp:docPr id="33" name="Immagine 33" descr="iconeComunicatiRosso-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iconeComunicatiRosso-0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80175" cy="580390"/>
                  </a:xfrm>
                  <a:prstGeom prst="rect">
                    <a:avLst/>
                  </a:prstGeom>
                  <a:noFill/>
                  <a:ln>
                    <a:noFill/>
                  </a:ln>
                </pic:spPr>
              </pic:pic>
            </a:graphicData>
          </a:graphic>
        </wp:inline>
      </w:drawing>
    </w: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3416E" w:rsidRPr="009E5F03" w:rsidRDefault="00C3416E" w:rsidP="009E5F03">
    <w:pPr>
      <w:pStyle w:val="Intestazione"/>
    </w:pPr>
    <w:r>
      <w:rPr>
        <w:noProof/>
      </w:rPr>
      <w:drawing>
        <wp:inline distT="0" distB="0" distL="0" distR="0" wp14:anchorId="29FCF28E" wp14:editId="67F1FE3C">
          <wp:extent cx="6477000" cy="590550"/>
          <wp:effectExtent l="0" t="0" r="0" b="0"/>
          <wp:docPr id="32" name="Immagine 32" descr="iconeComunicati-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iconeComunicati-0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77000" cy="590550"/>
                  </a:xfrm>
                  <a:prstGeom prst="rect">
                    <a:avLst/>
                  </a:prstGeom>
                  <a:noFill/>
                  <a:ln>
                    <a:noFill/>
                  </a:ln>
                </pic:spPr>
              </pic:pic>
            </a:graphicData>
          </a:graphic>
        </wp:inline>
      </w:drawing>
    </w:r>
    <w:r>
      <w:rPr>
        <w:noProof/>
      </w:rPr>
      <mc:AlternateContent>
        <mc:Choice Requires="wps">
          <w:drawing>
            <wp:anchor distT="0" distB="0" distL="114300" distR="114300" simplePos="0" relativeHeight="251687936" behindDoc="0" locked="0" layoutInCell="1" allowOverlap="1" wp14:anchorId="66F6521D" wp14:editId="12B91840">
              <wp:simplePos x="0" y="0"/>
              <wp:positionH relativeFrom="column">
                <wp:posOffset>536575</wp:posOffset>
              </wp:positionH>
              <wp:positionV relativeFrom="paragraph">
                <wp:posOffset>41910</wp:posOffset>
              </wp:positionV>
              <wp:extent cx="1078230" cy="263525"/>
              <wp:effectExtent l="0" t="0" r="26670" b="22860"/>
              <wp:wrapNone/>
              <wp:docPr id="18" name="Casella di testo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8230" cy="263525"/>
                      </a:xfrm>
                      <a:prstGeom prst="rect">
                        <a:avLst/>
                      </a:prstGeom>
                      <a:solidFill>
                        <a:srgbClr val="FFFFFF"/>
                      </a:solidFill>
                      <a:ln w="9525">
                        <a:solidFill>
                          <a:srgbClr val="FFFFFF"/>
                        </a:solidFill>
                        <a:miter lim="800000"/>
                        <a:headEnd/>
                        <a:tailEnd/>
                      </a:ln>
                    </wps:spPr>
                    <wps:txbx>
                      <w:txbxContent>
                        <w:p w:rsidR="00C3416E" w:rsidRDefault="00C3416E" w:rsidP="00D24DE7">
                          <w:pPr>
                            <w:pStyle w:val="Intestazione"/>
                            <w:overflowPunct/>
                            <w:autoSpaceDE/>
                            <w:autoSpaceDN/>
                            <w:adjustRightInd/>
                            <w:spacing w:before="0" w:after="0" w:line="200" w:lineRule="exact"/>
                            <w:rPr>
                              <w:rFonts w:ascii="Arial Narrow" w:hAnsi="Arial Narrow"/>
                              <w:b/>
                              <w:color w:val="5F5F5F"/>
                              <w:kern w:val="0"/>
                            </w:rPr>
                          </w:pPr>
                          <w:r>
                            <w:rPr>
                              <w:rFonts w:ascii="Arial Narrow" w:hAnsi="Arial Narrow"/>
                              <w:b/>
                              <w:color w:val="5F5F5F"/>
                              <w:kern w:val="0"/>
                            </w:rPr>
                            <w:t xml:space="preserve">PREZZI </w:t>
                          </w:r>
                        </w:p>
                        <w:p w:rsidR="00C3416E" w:rsidRPr="00C423DB" w:rsidRDefault="00C3416E" w:rsidP="00B249D0">
                          <w:pPr>
                            <w:pStyle w:val="Intestazione"/>
                            <w:overflowPunct/>
                            <w:autoSpaceDE/>
                            <w:autoSpaceDN/>
                            <w:adjustRightInd/>
                            <w:spacing w:before="0" w:after="0" w:line="200" w:lineRule="exact"/>
                            <w:rPr>
                              <w:rFonts w:ascii="Arial Narrow" w:hAnsi="Arial Narrow"/>
                              <w:b/>
                              <w:color w:val="5F5F5F"/>
                              <w:kern w:val="0"/>
                            </w:rPr>
                          </w:pPr>
                          <w:r>
                            <w:rPr>
                              <w:rFonts w:ascii="Arial Narrow" w:hAnsi="Arial Narrow"/>
                              <w:b/>
                              <w:color w:val="5F5F5F"/>
                              <w:kern w:val="0"/>
                            </w:rPr>
                            <w:t>AL CONSUMO</w:t>
                          </w:r>
                        </w:p>
                      </w:txbxContent>
                    </wps:txbx>
                    <wps:bodyPr rot="0" vert="horz" wrap="square" lIns="0" tIns="0" rIns="0" bIns="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66F6521D" id="_x0000_t202" coordsize="21600,21600" o:spt="202" path="m,l,21600r21600,l21600,xe">
              <v:stroke joinstyle="miter"/>
              <v:path gradientshapeok="t" o:connecttype="rect"/>
            </v:shapetype>
            <v:shape id="Casella di testo 18" o:spid="_x0000_s1033" type="#_x0000_t202" style="position:absolute;margin-left:42.25pt;margin-top:3.3pt;width:84.9pt;height:20.75pt;z-index:25168793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" strokecolor="white">
              <v:textbox style="mso-fit-shape-to-text:t" inset="0,0,0,0">
                <w:txbxContent>
                  <w:p w:rsidR="00B5624C" w:rsidRDefault="00B5624C" w:rsidP="00D24DE7">
                    <w:pPr>
                      <w:pStyle w:val="Intestazione"/>
                      <w:overflowPunct/>
                      <w:autoSpaceDE/>
                      <w:autoSpaceDN/>
                      <w:adjustRightInd/>
                      <w:spacing w:before="0" w:after="0" w:line="200" w:lineRule="exact"/>
                      <w:rPr>
                        <w:rFonts w:ascii="Arial Narrow" w:hAnsi="Arial Narrow"/>
                        <w:b/>
                        <w:color w:val="5F5F5F"/>
                        <w:kern w:val="0"/>
                      </w:rPr>
                    </w:pPr>
                    <w:r>
                      <w:rPr>
                        <w:rFonts w:ascii="Arial Narrow" w:hAnsi="Arial Narrow"/>
                        <w:b/>
                        <w:color w:val="5F5F5F"/>
                        <w:kern w:val="0"/>
                      </w:rPr>
                      <w:t xml:space="preserve">PREZZI </w:t>
                    </w:r>
                  </w:p>
                  <w:p w:rsidR="00B5624C" w:rsidRPr="00C423DB" w:rsidRDefault="00B5624C" w:rsidP="00B249D0">
                    <w:pPr>
                      <w:pStyle w:val="Intestazione"/>
                      <w:overflowPunct/>
                      <w:autoSpaceDE/>
                      <w:autoSpaceDN/>
                      <w:adjustRightInd/>
                      <w:spacing w:before="0" w:after="0" w:line="200" w:lineRule="exact"/>
                      <w:rPr>
                        <w:rFonts w:ascii="Arial Narrow" w:hAnsi="Arial Narrow"/>
                        <w:b/>
                        <w:color w:val="5F5F5F"/>
                        <w:kern w:val="0"/>
                      </w:rPr>
                    </w:pPr>
                    <w:r>
                      <w:rPr>
                        <w:rFonts w:ascii="Arial Narrow" w:hAnsi="Arial Narrow"/>
                        <w:b/>
                        <w:color w:val="5F5F5F"/>
                        <w:kern w:val="0"/>
                      </w:rPr>
                      <w:t>AL CONSUMO</w:t>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0" type="#_x0000_t75" style="width:8.45pt;height:8.45pt" o:bullet="t">
        <v:imagedata r:id="rId1" o:title=""/>
      </v:shape>
    </w:pict>
  </w:numPicBullet>
  <w:numPicBullet w:numPicBulletId="1">
    <w:pict>
      <v:shape id="_x0000_i1041" type="#_x0000_t75" style="width:4.5pt;height:7.2pt" o:bullet="t">
        <v:imagedata r:id="rId2" o:title=""/>
      </v:shape>
    </w:pict>
  </w:numPicBullet>
  <w:abstractNum w:abstractNumId="0" w15:restartNumberingAfterBreak="0">
    <w:nsid w:val="FFFFFF1D"/>
    <w:multiLevelType w:val="multilevel"/>
    <w:tmpl w:val="F1A4DCE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1622D62"/>
    <w:multiLevelType w:val="hybridMultilevel"/>
    <w:tmpl w:val="2EA4AA2A"/>
    <w:lvl w:ilvl="0" w:tplc="7FE041A6">
      <w:start w:val="1"/>
      <w:numFmt w:val="bullet"/>
      <w:lvlText w:val=""/>
      <w:lvlJc w:val="left"/>
      <w:pPr>
        <w:ind w:left="720" w:hanging="360"/>
      </w:pPr>
      <w:rPr>
        <w:rFonts w:ascii="Wingdings" w:hAnsi="Wingdings" w:hint="default"/>
        <w:b/>
        <w:i w:val="0"/>
        <w:color w:val="FF0000"/>
        <w:sz w:val="18"/>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26E56C4"/>
    <w:multiLevelType w:val="hybridMultilevel"/>
    <w:tmpl w:val="AF8ABDF0"/>
    <w:lvl w:ilvl="0" w:tplc="2BDCE470">
      <w:start w:val="1"/>
      <w:numFmt w:val="bullet"/>
      <w:lvlText w:val=""/>
      <w:lvlPicBulletId w:val="1"/>
      <w:lvlJc w:val="left"/>
      <w:pPr>
        <w:ind w:left="2534" w:hanging="360"/>
      </w:pPr>
      <w:rPr>
        <w:rFonts w:ascii="Symbol" w:hAnsi="Symbol" w:hint="default"/>
        <w:color w:val="E42618"/>
      </w:rPr>
    </w:lvl>
    <w:lvl w:ilvl="1" w:tplc="04100003" w:tentative="1">
      <w:start w:val="1"/>
      <w:numFmt w:val="bullet"/>
      <w:lvlText w:val="o"/>
      <w:lvlJc w:val="left"/>
      <w:pPr>
        <w:ind w:left="3254" w:hanging="360"/>
      </w:pPr>
      <w:rPr>
        <w:rFonts w:ascii="Courier New" w:hAnsi="Courier New" w:cs="Courier New" w:hint="default"/>
      </w:rPr>
    </w:lvl>
    <w:lvl w:ilvl="2" w:tplc="04100005" w:tentative="1">
      <w:start w:val="1"/>
      <w:numFmt w:val="bullet"/>
      <w:lvlText w:val=""/>
      <w:lvlJc w:val="left"/>
      <w:pPr>
        <w:ind w:left="3974" w:hanging="360"/>
      </w:pPr>
      <w:rPr>
        <w:rFonts w:ascii="Wingdings" w:hAnsi="Wingdings" w:hint="default"/>
      </w:rPr>
    </w:lvl>
    <w:lvl w:ilvl="3" w:tplc="04100001" w:tentative="1">
      <w:start w:val="1"/>
      <w:numFmt w:val="bullet"/>
      <w:lvlText w:val=""/>
      <w:lvlJc w:val="left"/>
      <w:pPr>
        <w:ind w:left="4694" w:hanging="360"/>
      </w:pPr>
      <w:rPr>
        <w:rFonts w:ascii="Symbol" w:hAnsi="Symbol" w:hint="default"/>
      </w:rPr>
    </w:lvl>
    <w:lvl w:ilvl="4" w:tplc="04100003" w:tentative="1">
      <w:start w:val="1"/>
      <w:numFmt w:val="bullet"/>
      <w:lvlText w:val="o"/>
      <w:lvlJc w:val="left"/>
      <w:pPr>
        <w:ind w:left="5414" w:hanging="360"/>
      </w:pPr>
      <w:rPr>
        <w:rFonts w:ascii="Courier New" w:hAnsi="Courier New" w:cs="Courier New" w:hint="default"/>
      </w:rPr>
    </w:lvl>
    <w:lvl w:ilvl="5" w:tplc="04100005" w:tentative="1">
      <w:start w:val="1"/>
      <w:numFmt w:val="bullet"/>
      <w:lvlText w:val=""/>
      <w:lvlJc w:val="left"/>
      <w:pPr>
        <w:ind w:left="6134" w:hanging="360"/>
      </w:pPr>
      <w:rPr>
        <w:rFonts w:ascii="Wingdings" w:hAnsi="Wingdings" w:hint="default"/>
      </w:rPr>
    </w:lvl>
    <w:lvl w:ilvl="6" w:tplc="04100001" w:tentative="1">
      <w:start w:val="1"/>
      <w:numFmt w:val="bullet"/>
      <w:lvlText w:val=""/>
      <w:lvlJc w:val="left"/>
      <w:pPr>
        <w:ind w:left="6854" w:hanging="360"/>
      </w:pPr>
      <w:rPr>
        <w:rFonts w:ascii="Symbol" w:hAnsi="Symbol" w:hint="default"/>
      </w:rPr>
    </w:lvl>
    <w:lvl w:ilvl="7" w:tplc="04100003" w:tentative="1">
      <w:start w:val="1"/>
      <w:numFmt w:val="bullet"/>
      <w:lvlText w:val="o"/>
      <w:lvlJc w:val="left"/>
      <w:pPr>
        <w:ind w:left="7574" w:hanging="360"/>
      </w:pPr>
      <w:rPr>
        <w:rFonts w:ascii="Courier New" w:hAnsi="Courier New" w:cs="Courier New" w:hint="default"/>
      </w:rPr>
    </w:lvl>
    <w:lvl w:ilvl="8" w:tplc="04100005" w:tentative="1">
      <w:start w:val="1"/>
      <w:numFmt w:val="bullet"/>
      <w:lvlText w:val=""/>
      <w:lvlJc w:val="left"/>
      <w:pPr>
        <w:ind w:left="8294" w:hanging="360"/>
      </w:pPr>
      <w:rPr>
        <w:rFonts w:ascii="Wingdings" w:hAnsi="Wingdings" w:hint="default"/>
      </w:rPr>
    </w:lvl>
  </w:abstractNum>
  <w:abstractNum w:abstractNumId="3" w15:restartNumberingAfterBreak="0">
    <w:nsid w:val="056C3596"/>
    <w:multiLevelType w:val="multilevel"/>
    <w:tmpl w:val="98E2AEF0"/>
    <w:lvl w:ilvl="0">
      <w:start w:val="1"/>
      <w:numFmt w:val="bullet"/>
      <w:lvlText w:val=""/>
      <w:lvlPicBulletId w:val="0"/>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lvl w:ilvl="8">
      <w:start w:val="1"/>
      <w:numFmt w:val="bullet"/>
      <w:lvlText w:val=""/>
      <w:lvlJc w:val="left"/>
      <w:pPr>
        <w:tabs>
          <w:tab w:val="num" w:pos="6480"/>
        </w:tabs>
        <w:ind w:left="6480" w:hanging="360"/>
      </w:pPr>
      <w:rPr>
        <w:rFonts w:ascii="Symbol" w:hAnsi="Symbol" w:hint="default"/>
      </w:rPr>
    </w:lvl>
  </w:abstractNum>
  <w:abstractNum w:abstractNumId="4" w15:restartNumberingAfterBreak="0">
    <w:nsid w:val="059315D3"/>
    <w:multiLevelType w:val="hybridMultilevel"/>
    <w:tmpl w:val="EF400274"/>
    <w:lvl w:ilvl="0" w:tplc="8CAC103E">
      <w:start w:val="1"/>
      <w:numFmt w:val="bullet"/>
      <w:lvlText w:val=""/>
      <w:lvlPicBulletId w:val="1"/>
      <w:lvlJc w:val="left"/>
      <w:pPr>
        <w:tabs>
          <w:tab w:val="num" w:pos="720"/>
        </w:tabs>
        <w:ind w:left="720" w:hanging="360"/>
      </w:pPr>
      <w:rPr>
        <w:rFonts w:ascii="Symbol" w:hAnsi="Symbol" w:hint="default"/>
      </w:rPr>
    </w:lvl>
    <w:lvl w:ilvl="1" w:tplc="950A23AE" w:tentative="1">
      <w:start w:val="1"/>
      <w:numFmt w:val="bullet"/>
      <w:lvlText w:val=""/>
      <w:lvlJc w:val="left"/>
      <w:pPr>
        <w:tabs>
          <w:tab w:val="num" w:pos="1440"/>
        </w:tabs>
        <w:ind w:left="1440" w:hanging="360"/>
      </w:pPr>
      <w:rPr>
        <w:rFonts w:ascii="Symbol" w:hAnsi="Symbol" w:hint="default"/>
      </w:rPr>
    </w:lvl>
    <w:lvl w:ilvl="2" w:tplc="10E0DD76" w:tentative="1">
      <w:start w:val="1"/>
      <w:numFmt w:val="bullet"/>
      <w:lvlText w:val=""/>
      <w:lvlJc w:val="left"/>
      <w:pPr>
        <w:tabs>
          <w:tab w:val="num" w:pos="2160"/>
        </w:tabs>
        <w:ind w:left="2160" w:hanging="360"/>
      </w:pPr>
      <w:rPr>
        <w:rFonts w:ascii="Symbol" w:hAnsi="Symbol" w:hint="default"/>
      </w:rPr>
    </w:lvl>
    <w:lvl w:ilvl="3" w:tplc="A5229CBE" w:tentative="1">
      <w:start w:val="1"/>
      <w:numFmt w:val="bullet"/>
      <w:lvlText w:val=""/>
      <w:lvlJc w:val="left"/>
      <w:pPr>
        <w:tabs>
          <w:tab w:val="num" w:pos="2880"/>
        </w:tabs>
        <w:ind w:left="2880" w:hanging="360"/>
      </w:pPr>
      <w:rPr>
        <w:rFonts w:ascii="Symbol" w:hAnsi="Symbol" w:hint="default"/>
      </w:rPr>
    </w:lvl>
    <w:lvl w:ilvl="4" w:tplc="BD863054" w:tentative="1">
      <w:start w:val="1"/>
      <w:numFmt w:val="bullet"/>
      <w:lvlText w:val=""/>
      <w:lvlJc w:val="left"/>
      <w:pPr>
        <w:tabs>
          <w:tab w:val="num" w:pos="3600"/>
        </w:tabs>
        <w:ind w:left="3600" w:hanging="360"/>
      </w:pPr>
      <w:rPr>
        <w:rFonts w:ascii="Symbol" w:hAnsi="Symbol" w:hint="default"/>
      </w:rPr>
    </w:lvl>
    <w:lvl w:ilvl="5" w:tplc="6046C154" w:tentative="1">
      <w:start w:val="1"/>
      <w:numFmt w:val="bullet"/>
      <w:lvlText w:val=""/>
      <w:lvlJc w:val="left"/>
      <w:pPr>
        <w:tabs>
          <w:tab w:val="num" w:pos="4320"/>
        </w:tabs>
        <w:ind w:left="4320" w:hanging="360"/>
      </w:pPr>
      <w:rPr>
        <w:rFonts w:ascii="Symbol" w:hAnsi="Symbol" w:hint="default"/>
      </w:rPr>
    </w:lvl>
    <w:lvl w:ilvl="6" w:tplc="377ACC06" w:tentative="1">
      <w:start w:val="1"/>
      <w:numFmt w:val="bullet"/>
      <w:lvlText w:val=""/>
      <w:lvlJc w:val="left"/>
      <w:pPr>
        <w:tabs>
          <w:tab w:val="num" w:pos="5040"/>
        </w:tabs>
        <w:ind w:left="5040" w:hanging="360"/>
      </w:pPr>
      <w:rPr>
        <w:rFonts w:ascii="Symbol" w:hAnsi="Symbol" w:hint="default"/>
      </w:rPr>
    </w:lvl>
    <w:lvl w:ilvl="7" w:tplc="8D744430" w:tentative="1">
      <w:start w:val="1"/>
      <w:numFmt w:val="bullet"/>
      <w:lvlText w:val=""/>
      <w:lvlJc w:val="left"/>
      <w:pPr>
        <w:tabs>
          <w:tab w:val="num" w:pos="5760"/>
        </w:tabs>
        <w:ind w:left="5760" w:hanging="360"/>
      </w:pPr>
      <w:rPr>
        <w:rFonts w:ascii="Symbol" w:hAnsi="Symbol" w:hint="default"/>
      </w:rPr>
    </w:lvl>
    <w:lvl w:ilvl="8" w:tplc="49A80EFA"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06EB06D5"/>
    <w:multiLevelType w:val="hybridMultilevel"/>
    <w:tmpl w:val="FB56AB9A"/>
    <w:lvl w:ilvl="0" w:tplc="B2FE55E2">
      <w:start w:val="1"/>
      <w:numFmt w:val="bullet"/>
      <w:lvlText w:val=""/>
      <w:lvlPicBulletId w:val="1"/>
      <w:lvlJc w:val="left"/>
      <w:pPr>
        <w:tabs>
          <w:tab w:val="num" w:pos="720"/>
        </w:tabs>
        <w:ind w:left="720" w:hanging="360"/>
      </w:pPr>
      <w:rPr>
        <w:rFonts w:ascii="Symbol" w:hAnsi="Symbol" w:hint="default"/>
      </w:rPr>
    </w:lvl>
    <w:lvl w:ilvl="1" w:tplc="92C4D3EE" w:tentative="1">
      <w:start w:val="1"/>
      <w:numFmt w:val="bullet"/>
      <w:lvlText w:val=""/>
      <w:lvlJc w:val="left"/>
      <w:pPr>
        <w:tabs>
          <w:tab w:val="num" w:pos="1440"/>
        </w:tabs>
        <w:ind w:left="1440" w:hanging="360"/>
      </w:pPr>
      <w:rPr>
        <w:rFonts w:ascii="Symbol" w:hAnsi="Symbol" w:hint="default"/>
      </w:rPr>
    </w:lvl>
    <w:lvl w:ilvl="2" w:tplc="D30C083A" w:tentative="1">
      <w:start w:val="1"/>
      <w:numFmt w:val="bullet"/>
      <w:lvlText w:val=""/>
      <w:lvlJc w:val="left"/>
      <w:pPr>
        <w:tabs>
          <w:tab w:val="num" w:pos="2160"/>
        </w:tabs>
        <w:ind w:left="2160" w:hanging="360"/>
      </w:pPr>
      <w:rPr>
        <w:rFonts w:ascii="Symbol" w:hAnsi="Symbol" w:hint="default"/>
      </w:rPr>
    </w:lvl>
    <w:lvl w:ilvl="3" w:tplc="02223036" w:tentative="1">
      <w:start w:val="1"/>
      <w:numFmt w:val="bullet"/>
      <w:lvlText w:val=""/>
      <w:lvlJc w:val="left"/>
      <w:pPr>
        <w:tabs>
          <w:tab w:val="num" w:pos="2880"/>
        </w:tabs>
        <w:ind w:left="2880" w:hanging="360"/>
      </w:pPr>
      <w:rPr>
        <w:rFonts w:ascii="Symbol" w:hAnsi="Symbol" w:hint="default"/>
      </w:rPr>
    </w:lvl>
    <w:lvl w:ilvl="4" w:tplc="E7FC4076" w:tentative="1">
      <w:start w:val="1"/>
      <w:numFmt w:val="bullet"/>
      <w:lvlText w:val=""/>
      <w:lvlJc w:val="left"/>
      <w:pPr>
        <w:tabs>
          <w:tab w:val="num" w:pos="3600"/>
        </w:tabs>
        <w:ind w:left="3600" w:hanging="360"/>
      </w:pPr>
      <w:rPr>
        <w:rFonts w:ascii="Symbol" w:hAnsi="Symbol" w:hint="default"/>
      </w:rPr>
    </w:lvl>
    <w:lvl w:ilvl="5" w:tplc="819EFF5A" w:tentative="1">
      <w:start w:val="1"/>
      <w:numFmt w:val="bullet"/>
      <w:lvlText w:val=""/>
      <w:lvlJc w:val="left"/>
      <w:pPr>
        <w:tabs>
          <w:tab w:val="num" w:pos="4320"/>
        </w:tabs>
        <w:ind w:left="4320" w:hanging="360"/>
      </w:pPr>
      <w:rPr>
        <w:rFonts w:ascii="Symbol" w:hAnsi="Symbol" w:hint="default"/>
      </w:rPr>
    </w:lvl>
    <w:lvl w:ilvl="6" w:tplc="ABC074C0" w:tentative="1">
      <w:start w:val="1"/>
      <w:numFmt w:val="bullet"/>
      <w:lvlText w:val=""/>
      <w:lvlJc w:val="left"/>
      <w:pPr>
        <w:tabs>
          <w:tab w:val="num" w:pos="5040"/>
        </w:tabs>
        <w:ind w:left="5040" w:hanging="360"/>
      </w:pPr>
      <w:rPr>
        <w:rFonts w:ascii="Symbol" w:hAnsi="Symbol" w:hint="default"/>
      </w:rPr>
    </w:lvl>
    <w:lvl w:ilvl="7" w:tplc="8E583D36" w:tentative="1">
      <w:start w:val="1"/>
      <w:numFmt w:val="bullet"/>
      <w:lvlText w:val=""/>
      <w:lvlJc w:val="left"/>
      <w:pPr>
        <w:tabs>
          <w:tab w:val="num" w:pos="5760"/>
        </w:tabs>
        <w:ind w:left="5760" w:hanging="360"/>
      </w:pPr>
      <w:rPr>
        <w:rFonts w:ascii="Symbol" w:hAnsi="Symbol" w:hint="default"/>
      </w:rPr>
    </w:lvl>
    <w:lvl w:ilvl="8" w:tplc="B1D602DA" w:tentative="1">
      <w:start w:val="1"/>
      <w:numFmt w:val="bullet"/>
      <w:lvlText w:val=""/>
      <w:lvlJc w:val="left"/>
      <w:pPr>
        <w:tabs>
          <w:tab w:val="num" w:pos="6480"/>
        </w:tabs>
        <w:ind w:left="6480" w:hanging="360"/>
      </w:pPr>
      <w:rPr>
        <w:rFonts w:ascii="Symbol" w:hAnsi="Symbol" w:hint="default"/>
      </w:rPr>
    </w:lvl>
  </w:abstractNum>
  <w:abstractNum w:abstractNumId="6" w15:restartNumberingAfterBreak="0">
    <w:nsid w:val="08BF3BFF"/>
    <w:multiLevelType w:val="hybridMultilevel"/>
    <w:tmpl w:val="FDD2E72E"/>
    <w:lvl w:ilvl="0" w:tplc="5F0E29A6">
      <w:start w:val="1"/>
      <w:numFmt w:val="bullet"/>
      <w:lvlText w:val=""/>
      <w:lvlPicBulletId w:val="1"/>
      <w:lvlJc w:val="left"/>
      <w:pPr>
        <w:ind w:left="2534" w:hanging="360"/>
      </w:pPr>
      <w:rPr>
        <w:rFonts w:ascii="Symbol" w:hAnsi="Symbol" w:hint="default"/>
        <w:color w:val="E42618"/>
      </w:rPr>
    </w:lvl>
    <w:lvl w:ilvl="1" w:tplc="04100003" w:tentative="1">
      <w:start w:val="1"/>
      <w:numFmt w:val="bullet"/>
      <w:lvlText w:val="o"/>
      <w:lvlJc w:val="left"/>
      <w:pPr>
        <w:ind w:left="3254" w:hanging="360"/>
      </w:pPr>
      <w:rPr>
        <w:rFonts w:ascii="Courier New" w:hAnsi="Courier New" w:cs="Courier New" w:hint="default"/>
      </w:rPr>
    </w:lvl>
    <w:lvl w:ilvl="2" w:tplc="04100005" w:tentative="1">
      <w:start w:val="1"/>
      <w:numFmt w:val="bullet"/>
      <w:lvlText w:val=""/>
      <w:lvlJc w:val="left"/>
      <w:pPr>
        <w:ind w:left="3974" w:hanging="360"/>
      </w:pPr>
      <w:rPr>
        <w:rFonts w:ascii="Wingdings" w:hAnsi="Wingdings" w:hint="default"/>
      </w:rPr>
    </w:lvl>
    <w:lvl w:ilvl="3" w:tplc="04100001" w:tentative="1">
      <w:start w:val="1"/>
      <w:numFmt w:val="bullet"/>
      <w:lvlText w:val=""/>
      <w:lvlJc w:val="left"/>
      <w:pPr>
        <w:ind w:left="4694" w:hanging="360"/>
      </w:pPr>
      <w:rPr>
        <w:rFonts w:ascii="Symbol" w:hAnsi="Symbol" w:hint="default"/>
      </w:rPr>
    </w:lvl>
    <w:lvl w:ilvl="4" w:tplc="04100003" w:tentative="1">
      <w:start w:val="1"/>
      <w:numFmt w:val="bullet"/>
      <w:lvlText w:val="o"/>
      <w:lvlJc w:val="left"/>
      <w:pPr>
        <w:ind w:left="5414" w:hanging="360"/>
      </w:pPr>
      <w:rPr>
        <w:rFonts w:ascii="Courier New" w:hAnsi="Courier New" w:cs="Courier New" w:hint="default"/>
      </w:rPr>
    </w:lvl>
    <w:lvl w:ilvl="5" w:tplc="04100005" w:tentative="1">
      <w:start w:val="1"/>
      <w:numFmt w:val="bullet"/>
      <w:lvlText w:val=""/>
      <w:lvlJc w:val="left"/>
      <w:pPr>
        <w:ind w:left="6134" w:hanging="360"/>
      </w:pPr>
      <w:rPr>
        <w:rFonts w:ascii="Wingdings" w:hAnsi="Wingdings" w:hint="default"/>
      </w:rPr>
    </w:lvl>
    <w:lvl w:ilvl="6" w:tplc="04100001" w:tentative="1">
      <w:start w:val="1"/>
      <w:numFmt w:val="bullet"/>
      <w:lvlText w:val=""/>
      <w:lvlJc w:val="left"/>
      <w:pPr>
        <w:ind w:left="6854" w:hanging="360"/>
      </w:pPr>
      <w:rPr>
        <w:rFonts w:ascii="Symbol" w:hAnsi="Symbol" w:hint="default"/>
      </w:rPr>
    </w:lvl>
    <w:lvl w:ilvl="7" w:tplc="04100003" w:tentative="1">
      <w:start w:val="1"/>
      <w:numFmt w:val="bullet"/>
      <w:lvlText w:val="o"/>
      <w:lvlJc w:val="left"/>
      <w:pPr>
        <w:ind w:left="7574" w:hanging="360"/>
      </w:pPr>
      <w:rPr>
        <w:rFonts w:ascii="Courier New" w:hAnsi="Courier New" w:cs="Courier New" w:hint="default"/>
      </w:rPr>
    </w:lvl>
    <w:lvl w:ilvl="8" w:tplc="04100005" w:tentative="1">
      <w:start w:val="1"/>
      <w:numFmt w:val="bullet"/>
      <w:lvlText w:val=""/>
      <w:lvlJc w:val="left"/>
      <w:pPr>
        <w:ind w:left="8294" w:hanging="360"/>
      </w:pPr>
      <w:rPr>
        <w:rFonts w:ascii="Wingdings" w:hAnsi="Wingdings" w:hint="default"/>
      </w:rPr>
    </w:lvl>
  </w:abstractNum>
  <w:abstractNum w:abstractNumId="7" w15:restartNumberingAfterBreak="0">
    <w:nsid w:val="09B04BFB"/>
    <w:multiLevelType w:val="hybridMultilevel"/>
    <w:tmpl w:val="C52A7568"/>
    <w:lvl w:ilvl="0" w:tplc="82C8BDA8">
      <w:start w:val="1"/>
      <w:numFmt w:val="bullet"/>
      <w:lvlText w:val=""/>
      <w:lvlJc w:val="left"/>
      <w:pPr>
        <w:ind w:left="360" w:hanging="360"/>
      </w:pPr>
      <w:rPr>
        <w:rFonts w:ascii="Wingdings" w:hAnsi="Wingdings" w:hint="default"/>
        <w:color w:val="E42618"/>
        <w:sz w:val="18"/>
        <w:szCs w:val="18"/>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0A272349"/>
    <w:multiLevelType w:val="hybridMultilevel"/>
    <w:tmpl w:val="B596EB7A"/>
    <w:lvl w:ilvl="0" w:tplc="04100019">
      <w:start w:val="1"/>
      <w:numFmt w:val="lowerLetter"/>
      <w:lvlText w:val="%1."/>
      <w:lvlJc w:val="left"/>
      <w:pPr>
        <w:ind w:left="1004" w:hanging="360"/>
      </w:pPr>
    </w:lvl>
    <w:lvl w:ilvl="1" w:tplc="04100019" w:tentative="1">
      <w:start w:val="1"/>
      <w:numFmt w:val="lowerLetter"/>
      <w:lvlText w:val="%2."/>
      <w:lvlJc w:val="left"/>
      <w:pPr>
        <w:ind w:left="1724" w:hanging="360"/>
      </w:pPr>
    </w:lvl>
    <w:lvl w:ilvl="2" w:tplc="0410001B" w:tentative="1">
      <w:start w:val="1"/>
      <w:numFmt w:val="lowerRoman"/>
      <w:lvlText w:val="%3."/>
      <w:lvlJc w:val="right"/>
      <w:pPr>
        <w:ind w:left="2444" w:hanging="180"/>
      </w:pPr>
    </w:lvl>
    <w:lvl w:ilvl="3" w:tplc="0410000F" w:tentative="1">
      <w:start w:val="1"/>
      <w:numFmt w:val="decimal"/>
      <w:lvlText w:val="%4."/>
      <w:lvlJc w:val="left"/>
      <w:pPr>
        <w:ind w:left="3164" w:hanging="360"/>
      </w:pPr>
    </w:lvl>
    <w:lvl w:ilvl="4" w:tplc="04100019" w:tentative="1">
      <w:start w:val="1"/>
      <w:numFmt w:val="lowerLetter"/>
      <w:lvlText w:val="%5."/>
      <w:lvlJc w:val="left"/>
      <w:pPr>
        <w:ind w:left="3884" w:hanging="360"/>
      </w:pPr>
    </w:lvl>
    <w:lvl w:ilvl="5" w:tplc="0410001B" w:tentative="1">
      <w:start w:val="1"/>
      <w:numFmt w:val="lowerRoman"/>
      <w:lvlText w:val="%6."/>
      <w:lvlJc w:val="right"/>
      <w:pPr>
        <w:ind w:left="4604" w:hanging="180"/>
      </w:pPr>
    </w:lvl>
    <w:lvl w:ilvl="6" w:tplc="0410000F" w:tentative="1">
      <w:start w:val="1"/>
      <w:numFmt w:val="decimal"/>
      <w:lvlText w:val="%7."/>
      <w:lvlJc w:val="left"/>
      <w:pPr>
        <w:ind w:left="5324" w:hanging="360"/>
      </w:pPr>
    </w:lvl>
    <w:lvl w:ilvl="7" w:tplc="04100019" w:tentative="1">
      <w:start w:val="1"/>
      <w:numFmt w:val="lowerLetter"/>
      <w:lvlText w:val="%8."/>
      <w:lvlJc w:val="left"/>
      <w:pPr>
        <w:ind w:left="6044" w:hanging="360"/>
      </w:pPr>
    </w:lvl>
    <w:lvl w:ilvl="8" w:tplc="0410001B" w:tentative="1">
      <w:start w:val="1"/>
      <w:numFmt w:val="lowerRoman"/>
      <w:lvlText w:val="%9."/>
      <w:lvlJc w:val="right"/>
      <w:pPr>
        <w:ind w:left="6764" w:hanging="180"/>
      </w:pPr>
    </w:lvl>
  </w:abstractNum>
  <w:abstractNum w:abstractNumId="9" w15:restartNumberingAfterBreak="0">
    <w:nsid w:val="0AB86367"/>
    <w:multiLevelType w:val="hybridMultilevel"/>
    <w:tmpl w:val="4FFCC8FE"/>
    <w:lvl w:ilvl="0" w:tplc="723CD9BA">
      <w:start w:val="1"/>
      <w:numFmt w:val="bullet"/>
      <w:lvlText w:val=""/>
      <w:lvlPicBulletId w:val="1"/>
      <w:lvlJc w:val="left"/>
      <w:pPr>
        <w:ind w:left="2534" w:hanging="360"/>
      </w:pPr>
      <w:rPr>
        <w:rFonts w:ascii="Symbol" w:hAnsi="Symbol" w:hint="default"/>
      </w:rPr>
    </w:lvl>
    <w:lvl w:ilvl="1" w:tplc="04100003" w:tentative="1">
      <w:start w:val="1"/>
      <w:numFmt w:val="bullet"/>
      <w:lvlText w:val="o"/>
      <w:lvlJc w:val="left"/>
      <w:pPr>
        <w:ind w:left="3254" w:hanging="360"/>
      </w:pPr>
      <w:rPr>
        <w:rFonts w:ascii="Courier New" w:hAnsi="Courier New" w:cs="Courier New" w:hint="default"/>
      </w:rPr>
    </w:lvl>
    <w:lvl w:ilvl="2" w:tplc="04100005" w:tentative="1">
      <w:start w:val="1"/>
      <w:numFmt w:val="bullet"/>
      <w:lvlText w:val=""/>
      <w:lvlJc w:val="left"/>
      <w:pPr>
        <w:ind w:left="3974" w:hanging="360"/>
      </w:pPr>
      <w:rPr>
        <w:rFonts w:ascii="Wingdings" w:hAnsi="Wingdings" w:hint="default"/>
      </w:rPr>
    </w:lvl>
    <w:lvl w:ilvl="3" w:tplc="04100001" w:tentative="1">
      <w:start w:val="1"/>
      <w:numFmt w:val="bullet"/>
      <w:lvlText w:val=""/>
      <w:lvlJc w:val="left"/>
      <w:pPr>
        <w:ind w:left="4694" w:hanging="360"/>
      </w:pPr>
      <w:rPr>
        <w:rFonts w:ascii="Symbol" w:hAnsi="Symbol" w:hint="default"/>
      </w:rPr>
    </w:lvl>
    <w:lvl w:ilvl="4" w:tplc="04100003" w:tentative="1">
      <w:start w:val="1"/>
      <w:numFmt w:val="bullet"/>
      <w:lvlText w:val="o"/>
      <w:lvlJc w:val="left"/>
      <w:pPr>
        <w:ind w:left="5414" w:hanging="360"/>
      </w:pPr>
      <w:rPr>
        <w:rFonts w:ascii="Courier New" w:hAnsi="Courier New" w:cs="Courier New" w:hint="default"/>
      </w:rPr>
    </w:lvl>
    <w:lvl w:ilvl="5" w:tplc="04100005" w:tentative="1">
      <w:start w:val="1"/>
      <w:numFmt w:val="bullet"/>
      <w:lvlText w:val=""/>
      <w:lvlJc w:val="left"/>
      <w:pPr>
        <w:ind w:left="6134" w:hanging="360"/>
      </w:pPr>
      <w:rPr>
        <w:rFonts w:ascii="Wingdings" w:hAnsi="Wingdings" w:hint="default"/>
      </w:rPr>
    </w:lvl>
    <w:lvl w:ilvl="6" w:tplc="04100001" w:tentative="1">
      <w:start w:val="1"/>
      <w:numFmt w:val="bullet"/>
      <w:lvlText w:val=""/>
      <w:lvlJc w:val="left"/>
      <w:pPr>
        <w:ind w:left="6854" w:hanging="360"/>
      </w:pPr>
      <w:rPr>
        <w:rFonts w:ascii="Symbol" w:hAnsi="Symbol" w:hint="default"/>
      </w:rPr>
    </w:lvl>
    <w:lvl w:ilvl="7" w:tplc="04100003" w:tentative="1">
      <w:start w:val="1"/>
      <w:numFmt w:val="bullet"/>
      <w:lvlText w:val="o"/>
      <w:lvlJc w:val="left"/>
      <w:pPr>
        <w:ind w:left="7574" w:hanging="360"/>
      </w:pPr>
      <w:rPr>
        <w:rFonts w:ascii="Courier New" w:hAnsi="Courier New" w:cs="Courier New" w:hint="default"/>
      </w:rPr>
    </w:lvl>
    <w:lvl w:ilvl="8" w:tplc="04100005" w:tentative="1">
      <w:start w:val="1"/>
      <w:numFmt w:val="bullet"/>
      <w:lvlText w:val=""/>
      <w:lvlJc w:val="left"/>
      <w:pPr>
        <w:ind w:left="8294" w:hanging="360"/>
      </w:pPr>
      <w:rPr>
        <w:rFonts w:ascii="Wingdings" w:hAnsi="Wingdings" w:hint="default"/>
      </w:rPr>
    </w:lvl>
  </w:abstractNum>
  <w:abstractNum w:abstractNumId="10" w15:restartNumberingAfterBreak="0">
    <w:nsid w:val="0CE739D6"/>
    <w:multiLevelType w:val="hybridMultilevel"/>
    <w:tmpl w:val="2C004114"/>
    <w:lvl w:ilvl="0" w:tplc="FFFFFFFF">
      <w:start w:val="1"/>
      <w:numFmt w:val="bullet"/>
      <w:lvlText w:val=""/>
      <w:lvlJc w:val="left"/>
      <w:pPr>
        <w:tabs>
          <w:tab w:val="num" w:pos="340"/>
        </w:tabs>
        <w:ind w:left="0" w:firstLine="0"/>
      </w:pPr>
      <w:rPr>
        <w:rFonts w:ascii="Wingdings" w:hAnsi="Wingdings" w:hint="default"/>
        <w:b w:val="0"/>
        <w:i w:val="0"/>
        <w:color w:val="FF0000"/>
        <w:spacing w:val="0"/>
        <w:sz w:val="24"/>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E172E02"/>
    <w:multiLevelType w:val="hybridMultilevel"/>
    <w:tmpl w:val="98E2AEF0"/>
    <w:lvl w:ilvl="0" w:tplc="A8762A92">
      <w:start w:val="1"/>
      <w:numFmt w:val="bullet"/>
      <w:lvlText w:val=""/>
      <w:lvlPicBulletId w:val="0"/>
      <w:lvlJc w:val="left"/>
      <w:pPr>
        <w:tabs>
          <w:tab w:val="num" w:pos="720"/>
        </w:tabs>
        <w:ind w:left="720" w:hanging="360"/>
      </w:pPr>
      <w:rPr>
        <w:rFonts w:ascii="Symbol" w:hAnsi="Symbol" w:hint="default"/>
      </w:rPr>
    </w:lvl>
    <w:lvl w:ilvl="1" w:tplc="6D6EAF6E">
      <w:start w:val="1"/>
      <w:numFmt w:val="bullet"/>
      <w:lvlText w:val=""/>
      <w:lvlJc w:val="left"/>
      <w:pPr>
        <w:tabs>
          <w:tab w:val="num" w:pos="1440"/>
        </w:tabs>
        <w:ind w:left="1440" w:hanging="360"/>
      </w:pPr>
      <w:rPr>
        <w:rFonts w:ascii="Symbol" w:hAnsi="Symbol" w:hint="default"/>
      </w:rPr>
    </w:lvl>
    <w:lvl w:ilvl="2" w:tplc="7A64CB7E" w:tentative="1">
      <w:start w:val="1"/>
      <w:numFmt w:val="bullet"/>
      <w:lvlText w:val=""/>
      <w:lvlJc w:val="left"/>
      <w:pPr>
        <w:tabs>
          <w:tab w:val="num" w:pos="2160"/>
        </w:tabs>
        <w:ind w:left="2160" w:hanging="360"/>
      </w:pPr>
      <w:rPr>
        <w:rFonts w:ascii="Symbol" w:hAnsi="Symbol" w:hint="default"/>
      </w:rPr>
    </w:lvl>
    <w:lvl w:ilvl="3" w:tplc="19A2BEA6" w:tentative="1">
      <w:start w:val="1"/>
      <w:numFmt w:val="bullet"/>
      <w:lvlText w:val=""/>
      <w:lvlJc w:val="left"/>
      <w:pPr>
        <w:tabs>
          <w:tab w:val="num" w:pos="2880"/>
        </w:tabs>
        <w:ind w:left="2880" w:hanging="360"/>
      </w:pPr>
      <w:rPr>
        <w:rFonts w:ascii="Symbol" w:hAnsi="Symbol" w:hint="default"/>
      </w:rPr>
    </w:lvl>
    <w:lvl w:ilvl="4" w:tplc="7A906554" w:tentative="1">
      <w:start w:val="1"/>
      <w:numFmt w:val="bullet"/>
      <w:lvlText w:val=""/>
      <w:lvlJc w:val="left"/>
      <w:pPr>
        <w:tabs>
          <w:tab w:val="num" w:pos="3600"/>
        </w:tabs>
        <w:ind w:left="3600" w:hanging="360"/>
      </w:pPr>
      <w:rPr>
        <w:rFonts w:ascii="Symbol" w:hAnsi="Symbol" w:hint="default"/>
      </w:rPr>
    </w:lvl>
    <w:lvl w:ilvl="5" w:tplc="DF94CC1E" w:tentative="1">
      <w:start w:val="1"/>
      <w:numFmt w:val="bullet"/>
      <w:lvlText w:val=""/>
      <w:lvlJc w:val="left"/>
      <w:pPr>
        <w:tabs>
          <w:tab w:val="num" w:pos="4320"/>
        </w:tabs>
        <w:ind w:left="4320" w:hanging="360"/>
      </w:pPr>
      <w:rPr>
        <w:rFonts w:ascii="Symbol" w:hAnsi="Symbol" w:hint="default"/>
      </w:rPr>
    </w:lvl>
    <w:lvl w:ilvl="6" w:tplc="10AAB236" w:tentative="1">
      <w:start w:val="1"/>
      <w:numFmt w:val="bullet"/>
      <w:lvlText w:val=""/>
      <w:lvlJc w:val="left"/>
      <w:pPr>
        <w:tabs>
          <w:tab w:val="num" w:pos="5040"/>
        </w:tabs>
        <w:ind w:left="5040" w:hanging="360"/>
      </w:pPr>
      <w:rPr>
        <w:rFonts w:ascii="Symbol" w:hAnsi="Symbol" w:hint="default"/>
      </w:rPr>
    </w:lvl>
    <w:lvl w:ilvl="7" w:tplc="387E825A" w:tentative="1">
      <w:start w:val="1"/>
      <w:numFmt w:val="bullet"/>
      <w:lvlText w:val=""/>
      <w:lvlJc w:val="left"/>
      <w:pPr>
        <w:tabs>
          <w:tab w:val="num" w:pos="5760"/>
        </w:tabs>
        <w:ind w:left="5760" w:hanging="360"/>
      </w:pPr>
      <w:rPr>
        <w:rFonts w:ascii="Symbol" w:hAnsi="Symbol" w:hint="default"/>
      </w:rPr>
    </w:lvl>
    <w:lvl w:ilvl="8" w:tplc="4A643362" w:tentative="1">
      <w:start w:val="1"/>
      <w:numFmt w:val="bullet"/>
      <w:lvlText w:val=""/>
      <w:lvlJc w:val="left"/>
      <w:pPr>
        <w:tabs>
          <w:tab w:val="num" w:pos="6480"/>
        </w:tabs>
        <w:ind w:left="6480" w:hanging="360"/>
      </w:pPr>
      <w:rPr>
        <w:rFonts w:ascii="Symbol" w:hAnsi="Symbol" w:hint="default"/>
      </w:rPr>
    </w:lvl>
  </w:abstractNum>
  <w:abstractNum w:abstractNumId="12" w15:restartNumberingAfterBreak="0">
    <w:nsid w:val="12474EB0"/>
    <w:multiLevelType w:val="hybridMultilevel"/>
    <w:tmpl w:val="D556ECE8"/>
    <w:lvl w:ilvl="0" w:tplc="0410000D">
      <w:start w:val="1"/>
      <w:numFmt w:val="bullet"/>
      <w:lvlText w:val=""/>
      <w:lvlJc w:val="left"/>
      <w:pPr>
        <w:tabs>
          <w:tab w:val="num" w:pos="2156"/>
        </w:tabs>
        <w:ind w:left="2156" w:hanging="284"/>
      </w:pPr>
      <w:rPr>
        <w:rFonts w:ascii="Wingdings" w:hAnsi="Wingdings" w:hint="default"/>
        <w:b/>
        <w:i w:val="0"/>
        <w:color w:val="808080"/>
      </w:rPr>
    </w:lvl>
    <w:lvl w:ilvl="1" w:tplc="FFFFFFFF">
      <w:start w:val="1"/>
      <w:numFmt w:val="bullet"/>
      <w:lvlText w:val="o"/>
      <w:lvlJc w:val="left"/>
      <w:pPr>
        <w:tabs>
          <w:tab w:val="num" w:pos="3312"/>
        </w:tabs>
        <w:ind w:left="3312" w:hanging="360"/>
      </w:pPr>
      <w:rPr>
        <w:rFonts w:ascii="Courier New" w:hAnsi="Courier New" w:cs="Courier New" w:hint="default"/>
      </w:rPr>
    </w:lvl>
    <w:lvl w:ilvl="2" w:tplc="FFFFFFFF">
      <w:start w:val="1"/>
      <w:numFmt w:val="bullet"/>
      <w:lvlText w:val=""/>
      <w:lvlJc w:val="left"/>
      <w:pPr>
        <w:tabs>
          <w:tab w:val="num" w:pos="4032"/>
        </w:tabs>
        <w:ind w:left="4032" w:hanging="360"/>
      </w:pPr>
      <w:rPr>
        <w:rFonts w:ascii="Wingdings" w:hAnsi="Wingdings" w:hint="default"/>
      </w:rPr>
    </w:lvl>
    <w:lvl w:ilvl="3" w:tplc="FFFFFFFF">
      <w:start w:val="1"/>
      <w:numFmt w:val="bullet"/>
      <w:lvlText w:val=""/>
      <w:lvlJc w:val="left"/>
      <w:pPr>
        <w:tabs>
          <w:tab w:val="num" w:pos="4752"/>
        </w:tabs>
        <w:ind w:left="4752" w:hanging="360"/>
      </w:pPr>
      <w:rPr>
        <w:rFonts w:ascii="Symbol" w:hAnsi="Symbol" w:hint="default"/>
      </w:rPr>
    </w:lvl>
    <w:lvl w:ilvl="4" w:tplc="FFFFFFFF">
      <w:start w:val="1"/>
      <w:numFmt w:val="bullet"/>
      <w:lvlText w:val="o"/>
      <w:lvlJc w:val="left"/>
      <w:pPr>
        <w:tabs>
          <w:tab w:val="num" w:pos="5472"/>
        </w:tabs>
        <w:ind w:left="5472" w:hanging="360"/>
      </w:pPr>
      <w:rPr>
        <w:rFonts w:ascii="Courier New" w:hAnsi="Courier New" w:cs="Courier New" w:hint="default"/>
      </w:rPr>
    </w:lvl>
    <w:lvl w:ilvl="5" w:tplc="FFFFFFFF">
      <w:start w:val="1"/>
      <w:numFmt w:val="bullet"/>
      <w:lvlText w:val=""/>
      <w:lvlJc w:val="left"/>
      <w:pPr>
        <w:tabs>
          <w:tab w:val="num" w:pos="6192"/>
        </w:tabs>
        <w:ind w:left="6192" w:hanging="360"/>
      </w:pPr>
      <w:rPr>
        <w:rFonts w:ascii="Wingdings" w:hAnsi="Wingdings" w:hint="default"/>
      </w:rPr>
    </w:lvl>
    <w:lvl w:ilvl="6" w:tplc="FFFFFFFF">
      <w:start w:val="1"/>
      <w:numFmt w:val="bullet"/>
      <w:lvlText w:val=""/>
      <w:lvlJc w:val="left"/>
      <w:pPr>
        <w:tabs>
          <w:tab w:val="num" w:pos="6912"/>
        </w:tabs>
        <w:ind w:left="6912" w:hanging="360"/>
      </w:pPr>
      <w:rPr>
        <w:rFonts w:ascii="Symbol" w:hAnsi="Symbol" w:hint="default"/>
      </w:rPr>
    </w:lvl>
    <w:lvl w:ilvl="7" w:tplc="FFFFFFFF">
      <w:start w:val="1"/>
      <w:numFmt w:val="bullet"/>
      <w:lvlText w:val="o"/>
      <w:lvlJc w:val="left"/>
      <w:pPr>
        <w:tabs>
          <w:tab w:val="num" w:pos="7632"/>
        </w:tabs>
        <w:ind w:left="7632" w:hanging="360"/>
      </w:pPr>
      <w:rPr>
        <w:rFonts w:ascii="Courier New" w:hAnsi="Courier New" w:cs="Courier New" w:hint="default"/>
      </w:rPr>
    </w:lvl>
    <w:lvl w:ilvl="8" w:tplc="FFFFFFFF">
      <w:start w:val="1"/>
      <w:numFmt w:val="bullet"/>
      <w:lvlText w:val=""/>
      <w:lvlJc w:val="left"/>
      <w:pPr>
        <w:tabs>
          <w:tab w:val="num" w:pos="8352"/>
        </w:tabs>
        <w:ind w:left="8352" w:hanging="360"/>
      </w:pPr>
      <w:rPr>
        <w:rFonts w:ascii="Wingdings" w:hAnsi="Wingdings" w:hint="default"/>
      </w:rPr>
    </w:lvl>
  </w:abstractNum>
  <w:abstractNum w:abstractNumId="13" w15:restartNumberingAfterBreak="0">
    <w:nsid w:val="15B33207"/>
    <w:multiLevelType w:val="hybridMultilevel"/>
    <w:tmpl w:val="0D7A838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16EC23CD"/>
    <w:multiLevelType w:val="hybridMultilevel"/>
    <w:tmpl w:val="515230EE"/>
    <w:lvl w:ilvl="0" w:tplc="A8762A92">
      <w:start w:val="1"/>
      <w:numFmt w:val="bullet"/>
      <w:lvlText w:val=""/>
      <w:lvlPicBulletId w:val="0"/>
      <w:lvlJc w:val="left"/>
      <w:pPr>
        <w:ind w:left="36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227D531E"/>
    <w:multiLevelType w:val="hybridMultilevel"/>
    <w:tmpl w:val="73003C7A"/>
    <w:lvl w:ilvl="0" w:tplc="7FE041A6">
      <w:start w:val="1"/>
      <w:numFmt w:val="bullet"/>
      <w:lvlText w:val=""/>
      <w:lvlJc w:val="left"/>
      <w:pPr>
        <w:ind w:left="2534" w:hanging="360"/>
      </w:pPr>
      <w:rPr>
        <w:rFonts w:ascii="Wingdings" w:hAnsi="Wingdings" w:hint="default"/>
        <w:b/>
        <w:i w:val="0"/>
        <w:color w:val="FF0000"/>
        <w:sz w:val="18"/>
      </w:rPr>
    </w:lvl>
    <w:lvl w:ilvl="1" w:tplc="04100003" w:tentative="1">
      <w:start w:val="1"/>
      <w:numFmt w:val="bullet"/>
      <w:lvlText w:val="o"/>
      <w:lvlJc w:val="left"/>
      <w:pPr>
        <w:ind w:left="3254" w:hanging="360"/>
      </w:pPr>
      <w:rPr>
        <w:rFonts w:ascii="Courier New" w:hAnsi="Courier New" w:cs="Courier New" w:hint="default"/>
      </w:rPr>
    </w:lvl>
    <w:lvl w:ilvl="2" w:tplc="04100005" w:tentative="1">
      <w:start w:val="1"/>
      <w:numFmt w:val="bullet"/>
      <w:lvlText w:val=""/>
      <w:lvlJc w:val="left"/>
      <w:pPr>
        <w:ind w:left="3974" w:hanging="360"/>
      </w:pPr>
      <w:rPr>
        <w:rFonts w:ascii="Wingdings" w:hAnsi="Wingdings" w:hint="default"/>
      </w:rPr>
    </w:lvl>
    <w:lvl w:ilvl="3" w:tplc="04100001" w:tentative="1">
      <w:start w:val="1"/>
      <w:numFmt w:val="bullet"/>
      <w:lvlText w:val=""/>
      <w:lvlJc w:val="left"/>
      <w:pPr>
        <w:ind w:left="4694" w:hanging="360"/>
      </w:pPr>
      <w:rPr>
        <w:rFonts w:ascii="Symbol" w:hAnsi="Symbol" w:hint="default"/>
      </w:rPr>
    </w:lvl>
    <w:lvl w:ilvl="4" w:tplc="04100003" w:tentative="1">
      <w:start w:val="1"/>
      <w:numFmt w:val="bullet"/>
      <w:lvlText w:val="o"/>
      <w:lvlJc w:val="left"/>
      <w:pPr>
        <w:ind w:left="5414" w:hanging="360"/>
      </w:pPr>
      <w:rPr>
        <w:rFonts w:ascii="Courier New" w:hAnsi="Courier New" w:cs="Courier New" w:hint="default"/>
      </w:rPr>
    </w:lvl>
    <w:lvl w:ilvl="5" w:tplc="04100005" w:tentative="1">
      <w:start w:val="1"/>
      <w:numFmt w:val="bullet"/>
      <w:lvlText w:val=""/>
      <w:lvlJc w:val="left"/>
      <w:pPr>
        <w:ind w:left="6134" w:hanging="360"/>
      </w:pPr>
      <w:rPr>
        <w:rFonts w:ascii="Wingdings" w:hAnsi="Wingdings" w:hint="default"/>
      </w:rPr>
    </w:lvl>
    <w:lvl w:ilvl="6" w:tplc="04100001" w:tentative="1">
      <w:start w:val="1"/>
      <w:numFmt w:val="bullet"/>
      <w:lvlText w:val=""/>
      <w:lvlJc w:val="left"/>
      <w:pPr>
        <w:ind w:left="6854" w:hanging="360"/>
      </w:pPr>
      <w:rPr>
        <w:rFonts w:ascii="Symbol" w:hAnsi="Symbol" w:hint="default"/>
      </w:rPr>
    </w:lvl>
    <w:lvl w:ilvl="7" w:tplc="04100003" w:tentative="1">
      <w:start w:val="1"/>
      <w:numFmt w:val="bullet"/>
      <w:lvlText w:val="o"/>
      <w:lvlJc w:val="left"/>
      <w:pPr>
        <w:ind w:left="7574" w:hanging="360"/>
      </w:pPr>
      <w:rPr>
        <w:rFonts w:ascii="Courier New" w:hAnsi="Courier New" w:cs="Courier New" w:hint="default"/>
      </w:rPr>
    </w:lvl>
    <w:lvl w:ilvl="8" w:tplc="04100005" w:tentative="1">
      <w:start w:val="1"/>
      <w:numFmt w:val="bullet"/>
      <w:lvlText w:val=""/>
      <w:lvlJc w:val="left"/>
      <w:pPr>
        <w:ind w:left="8294" w:hanging="360"/>
      </w:pPr>
      <w:rPr>
        <w:rFonts w:ascii="Wingdings" w:hAnsi="Wingdings" w:hint="default"/>
      </w:rPr>
    </w:lvl>
  </w:abstractNum>
  <w:abstractNum w:abstractNumId="16" w15:restartNumberingAfterBreak="0">
    <w:nsid w:val="27400167"/>
    <w:multiLevelType w:val="hybridMultilevel"/>
    <w:tmpl w:val="71D0AC6A"/>
    <w:lvl w:ilvl="0" w:tplc="48A08B96">
      <w:start w:val="1"/>
      <w:numFmt w:val="lowerLetter"/>
      <w:lvlText w:val="%1)"/>
      <w:lvlJc w:val="left"/>
      <w:pPr>
        <w:ind w:left="644" w:hanging="360"/>
      </w:pPr>
      <w:rPr>
        <w:rFonts w:hint="default"/>
      </w:rPr>
    </w:lvl>
    <w:lvl w:ilvl="1" w:tplc="04100019" w:tentative="1">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17" w15:restartNumberingAfterBreak="0">
    <w:nsid w:val="29FC5E71"/>
    <w:multiLevelType w:val="multilevel"/>
    <w:tmpl w:val="98E2AEF0"/>
    <w:lvl w:ilvl="0">
      <w:start w:val="1"/>
      <w:numFmt w:val="bullet"/>
      <w:lvlText w:val=""/>
      <w:lvlPicBulletId w:val="0"/>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lvl w:ilvl="8">
      <w:start w:val="1"/>
      <w:numFmt w:val="bullet"/>
      <w:lvlText w:val=""/>
      <w:lvlJc w:val="left"/>
      <w:pPr>
        <w:tabs>
          <w:tab w:val="num" w:pos="6480"/>
        </w:tabs>
        <w:ind w:left="6480" w:hanging="360"/>
      </w:pPr>
      <w:rPr>
        <w:rFonts w:ascii="Symbol" w:hAnsi="Symbol" w:hint="default"/>
      </w:rPr>
    </w:lvl>
  </w:abstractNum>
  <w:abstractNum w:abstractNumId="18" w15:restartNumberingAfterBreak="0">
    <w:nsid w:val="2A8D1546"/>
    <w:multiLevelType w:val="hybridMultilevel"/>
    <w:tmpl w:val="8D50C4BA"/>
    <w:lvl w:ilvl="0" w:tplc="BEB84E40">
      <w:start w:val="1"/>
      <w:numFmt w:val="bullet"/>
      <w:lvlText w:val=""/>
      <w:lvlPicBulletId w:val="1"/>
      <w:lvlJc w:val="left"/>
      <w:pPr>
        <w:tabs>
          <w:tab w:val="num" w:pos="720"/>
        </w:tabs>
        <w:ind w:left="720" w:hanging="360"/>
      </w:pPr>
      <w:rPr>
        <w:rFonts w:ascii="Symbol" w:hAnsi="Symbol" w:hint="default"/>
      </w:rPr>
    </w:lvl>
    <w:lvl w:ilvl="1" w:tplc="842E4F52" w:tentative="1">
      <w:start w:val="1"/>
      <w:numFmt w:val="bullet"/>
      <w:lvlText w:val=""/>
      <w:lvlJc w:val="left"/>
      <w:pPr>
        <w:tabs>
          <w:tab w:val="num" w:pos="1440"/>
        </w:tabs>
        <w:ind w:left="1440" w:hanging="360"/>
      </w:pPr>
      <w:rPr>
        <w:rFonts w:ascii="Symbol" w:hAnsi="Symbol" w:hint="default"/>
      </w:rPr>
    </w:lvl>
    <w:lvl w:ilvl="2" w:tplc="96ACCD0A" w:tentative="1">
      <w:start w:val="1"/>
      <w:numFmt w:val="bullet"/>
      <w:lvlText w:val=""/>
      <w:lvlJc w:val="left"/>
      <w:pPr>
        <w:tabs>
          <w:tab w:val="num" w:pos="2160"/>
        </w:tabs>
        <w:ind w:left="2160" w:hanging="360"/>
      </w:pPr>
      <w:rPr>
        <w:rFonts w:ascii="Symbol" w:hAnsi="Symbol" w:hint="default"/>
      </w:rPr>
    </w:lvl>
    <w:lvl w:ilvl="3" w:tplc="8C622964" w:tentative="1">
      <w:start w:val="1"/>
      <w:numFmt w:val="bullet"/>
      <w:lvlText w:val=""/>
      <w:lvlJc w:val="left"/>
      <w:pPr>
        <w:tabs>
          <w:tab w:val="num" w:pos="2880"/>
        </w:tabs>
        <w:ind w:left="2880" w:hanging="360"/>
      </w:pPr>
      <w:rPr>
        <w:rFonts w:ascii="Symbol" w:hAnsi="Symbol" w:hint="default"/>
      </w:rPr>
    </w:lvl>
    <w:lvl w:ilvl="4" w:tplc="3614E794" w:tentative="1">
      <w:start w:val="1"/>
      <w:numFmt w:val="bullet"/>
      <w:lvlText w:val=""/>
      <w:lvlJc w:val="left"/>
      <w:pPr>
        <w:tabs>
          <w:tab w:val="num" w:pos="3600"/>
        </w:tabs>
        <w:ind w:left="3600" w:hanging="360"/>
      </w:pPr>
      <w:rPr>
        <w:rFonts w:ascii="Symbol" w:hAnsi="Symbol" w:hint="default"/>
      </w:rPr>
    </w:lvl>
    <w:lvl w:ilvl="5" w:tplc="BE5EC1D8" w:tentative="1">
      <w:start w:val="1"/>
      <w:numFmt w:val="bullet"/>
      <w:lvlText w:val=""/>
      <w:lvlJc w:val="left"/>
      <w:pPr>
        <w:tabs>
          <w:tab w:val="num" w:pos="4320"/>
        </w:tabs>
        <w:ind w:left="4320" w:hanging="360"/>
      </w:pPr>
      <w:rPr>
        <w:rFonts w:ascii="Symbol" w:hAnsi="Symbol" w:hint="default"/>
      </w:rPr>
    </w:lvl>
    <w:lvl w:ilvl="6" w:tplc="F0A6AC2E" w:tentative="1">
      <w:start w:val="1"/>
      <w:numFmt w:val="bullet"/>
      <w:lvlText w:val=""/>
      <w:lvlJc w:val="left"/>
      <w:pPr>
        <w:tabs>
          <w:tab w:val="num" w:pos="5040"/>
        </w:tabs>
        <w:ind w:left="5040" w:hanging="360"/>
      </w:pPr>
      <w:rPr>
        <w:rFonts w:ascii="Symbol" w:hAnsi="Symbol" w:hint="default"/>
      </w:rPr>
    </w:lvl>
    <w:lvl w:ilvl="7" w:tplc="0AD273DE" w:tentative="1">
      <w:start w:val="1"/>
      <w:numFmt w:val="bullet"/>
      <w:lvlText w:val=""/>
      <w:lvlJc w:val="left"/>
      <w:pPr>
        <w:tabs>
          <w:tab w:val="num" w:pos="5760"/>
        </w:tabs>
        <w:ind w:left="5760" w:hanging="360"/>
      </w:pPr>
      <w:rPr>
        <w:rFonts w:ascii="Symbol" w:hAnsi="Symbol" w:hint="default"/>
      </w:rPr>
    </w:lvl>
    <w:lvl w:ilvl="8" w:tplc="8F402038" w:tentative="1">
      <w:start w:val="1"/>
      <w:numFmt w:val="bullet"/>
      <w:lvlText w:val=""/>
      <w:lvlJc w:val="left"/>
      <w:pPr>
        <w:tabs>
          <w:tab w:val="num" w:pos="6480"/>
        </w:tabs>
        <w:ind w:left="6480" w:hanging="360"/>
      </w:pPr>
      <w:rPr>
        <w:rFonts w:ascii="Symbol" w:hAnsi="Symbol" w:hint="default"/>
      </w:rPr>
    </w:lvl>
  </w:abstractNum>
  <w:abstractNum w:abstractNumId="19" w15:restartNumberingAfterBreak="0">
    <w:nsid w:val="2E9263E3"/>
    <w:multiLevelType w:val="hybridMultilevel"/>
    <w:tmpl w:val="B4363020"/>
    <w:lvl w:ilvl="0" w:tplc="86A00B88">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 w15:restartNumberingAfterBreak="0">
    <w:nsid w:val="31361525"/>
    <w:multiLevelType w:val="hybridMultilevel"/>
    <w:tmpl w:val="C6F64AD6"/>
    <w:lvl w:ilvl="0" w:tplc="723CD9BA">
      <w:start w:val="1"/>
      <w:numFmt w:val="bullet"/>
      <w:lvlText w:val=""/>
      <w:lvlPicBulletId w:val="1"/>
      <w:lvlJc w:val="left"/>
      <w:pPr>
        <w:tabs>
          <w:tab w:val="num" w:pos="2156"/>
        </w:tabs>
        <w:ind w:left="2156" w:hanging="284"/>
      </w:pPr>
      <w:rPr>
        <w:rFonts w:ascii="Symbol" w:hAnsi="Symbol" w:hint="default"/>
        <w:b/>
        <w:i w:val="0"/>
        <w:color w:val="FF0000"/>
        <w:sz w:val="18"/>
      </w:rPr>
    </w:lvl>
    <w:lvl w:ilvl="1" w:tplc="FFFFFFFF">
      <w:start w:val="1"/>
      <w:numFmt w:val="bullet"/>
      <w:lvlText w:val="o"/>
      <w:lvlJc w:val="left"/>
      <w:pPr>
        <w:tabs>
          <w:tab w:val="num" w:pos="3312"/>
        </w:tabs>
        <w:ind w:left="3312" w:hanging="360"/>
      </w:pPr>
      <w:rPr>
        <w:rFonts w:ascii="Courier New" w:hAnsi="Courier New" w:cs="Courier New" w:hint="default"/>
      </w:rPr>
    </w:lvl>
    <w:lvl w:ilvl="2" w:tplc="FFFFFFFF">
      <w:start w:val="1"/>
      <w:numFmt w:val="bullet"/>
      <w:lvlText w:val=""/>
      <w:lvlJc w:val="left"/>
      <w:pPr>
        <w:tabs>
          <w:tab w:val="num" w:pos="4032"/>
        </w:tabs>
        <w:ind w:left="4032" w:hanging="360"/>
      </w:pPr>
      <w:rPr>
        <w:rFonts w:ascii="Wingdings" w:hAnsi="Wingdings" w:hint="default"/>
      </w:rPr>
    </w:lvl>
    <w:lvl w:ilvl="3" w:tplc="FFFFFFFF">
      <w:start w:val="1"/>
      <w:numFmt w:val="bullet"/>
      <w:lvlText w:val=""/>
      <w:lvlJc w:val="left"/>
      <w:pPr>
        <w:tabs>
          <w:tab w:val="num" w:pos="4752"/>
        </w:tabs>
        <w:ind w:left="4752" w:hanging="360"/>
      </w:pPr>
      <w:rPr>
        <w:rFonts w:ascii="Symbol" w:hAnsi="Symbol" w:hint="default"/>
      </w:rPr>
    </w:lvl>
    <w:lvl w:ilvl="4" w:tplc="FFFFFFFF">
      <w:start w:val="1"/>
      <w:numFmt w:val="bullet"/>
      <w:lvlText w:val="o"/>
      <w:lvlJc w:val="left"/>
      <w:pPr>
        <w:tabs>
          <w:tab w:val="num" w:pos="5472"/>
        </w:tabs>
        <w:ind w:left="5472" w:hanging="360"/>
      </w:pPr>
      <w:rPr>
        <w:rFonts w:ascii="Courier New" w:hAnsi="Courier New" w:cs="Courier New" w:hint="default"/>
      </w:rPr>
    </w:lvl>
    <w:lvl w:ilvl="5" w:tplc="FFFFFFFF">
      <w:start w:val="1"/>
      <w:numFmt w:val="bullet"/>
      <w:lvlText w:val=""/>
      <w:lvlJc w:val="left"/>
      <w:pPr>
        <w:tabs>
          <w:tab w:val="num" w:pos="6192"/>
        </w:tabs>
        <w:ind w:left="6192" w:hanging="360"/>
      </w:pPr>
      <w:rPr>
        <w:rFonts w:ascii="Wingdings" w:hAnsi="Wingdings" w:hint="default"/>
      </w:rPr>
    </w:lvl>
    <w:lvl w:ilvl="6" w:tplc="FFFFFFFF">
      <w:start w:val="1"/>
      <w:numFmt w:val="bullet"/>
      <w:lvlText w:val=""/>
      <w:lvlJc w:val="left"/>
      <w:pPr>
        <w:tabs>
          <w:tab w:val="num" w:pos="6912"/>
        </w:tabs>
        <w:ind w:left="6912" w:hanging="360"/>
      </w:pPr>
      <w:rPr>
        <w:rFonts w:ascii="Symbol" w:hAnsi="Symbol" w:hint="default"/>
      </w:rPr>
    </w:lvl>
    <w:lvl w:ilvl="7" w:tplc="FFFFFFFF">
      <w:start w:val="1"/>
      <w:numFmt w:val="bullet"/>
      <w:lvlText w:val="o"/>
      <w:lvlJc w:val="left"/>
      <w:pPr>
        <w:tabs>
          <w:tab w:val="num" w:pos="7632"/>
        </w:tabs>
        <w:ind w:left="7632" w:hanging="360"/>
      </w:pPr>
      <w:rPr>
        <w:rFonts w:ascii="Courier New" w:hAnsi="Courier New" w:cs="Courier New" w:hint="default"/>
      </w:rPr>
    </w:lvl>
    <w:lvl w:ilvl="8" w:tplc="FFFFFFFF">
      <w:start w:val="1"/>
      <w:numFmt w:val="bullet"/>
      <w:lvlText w:val=""/>
      <w:lvlJc w:val="left"/>
      <w:pPr>
        <w:tabs>
          <w:tab w:val="num" w:pos="8352"/>
        </w:tabs>
        <w:ind w:left="8352" w:hanging="360"/>
      </w:pPr>
      <w:rPr>
        <w:rFonts w:ascii="Wingdings" w:hAnsi="Wingdings" w:hint="default"/>
      </w:rPr>
    </w:lvl>
  </w:abstractNum>
  <w:abstractNum w:abstractNumId="21" w15:restartNumberingAfterBreak="0">
    <w:nsid w:val="313F7E03"/>
    <w:multiLevelType w:val="hybridMultilevel"/>
    <w:tmpl w:val="EF88D464"/>
    <w:lvl w:ilvl="0" w:tplc="DC6831EE">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15:restartNumberingAfterBreak="0">
    <w:nsid w:val="32534E50"/>
    <w:multiLevelType w:val="hybridMultilevel"/>
    <w:tmpl w:val="143823E6"/>
    <w:lvl w:ilvl="0" w:tplc="D72441C4">
      <w:start w:val="1"/>
      <w:numFmt w:val="bullet"/>
      <w:lvlText w:val=""/>
      <w:lvlJc w:val="left"/>
      <w:pPr>
        <w:tabs>
          <w:tab w:val="num" w:pos="720"/>
        </w:tabs>
        <w:ind w:left="720" w:hanging="360"/>
      </w:pPr>
      <w:rPr>
        <w:rFonts w:ascii="Symbol" w:hAnsi="Symbol"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3" w15:restartNumberingAfterBreak="0">
    <w:nsid w:val="34CC2B15"/>
    <w:multiLevelType w:val="hybridMultilevel"/>
    <w:tmpl w:val="7DF6A352"/>
    <w:lvl w:ilvl="0" w:tplc="065E899C">
      <w:start w:val="1"/>
      <w:numFmt w:val="bullet"/>
      <w:lvlText w:val=""/>
      <w:lvlPicBulletId w:val="1"/>
      <w:lvlJc w:val="left"/>
      <w:pPr>
        <w:ind w:left="2534" w:hanging="360"/>
      </w:pPr>
      <w:rPr>
        <w:rFonts w:ascii="Symbol" w:hAnsi="Symbol" w:hint="default"/>
        <w:color w:val="E42618"/>
      </w:rPr>
    </w:lvl>
    <w:lvl w:ilvl="1" w:tplc="04100003" w:tentative="1">
      <w:start w:val="1"/>
      <w:numFmt w:val="bullet"/>
      <w:lvlText w:val="o"/>
      <w:lvlJc w:val="left"/>
      <w:pPr>
        <w:ind w:left="3254" w:hanging="360"/>
      </w:pPr>
      <w:rPr>
        <w:rFonts w:ascii="Courier New" w:hAnsi="Courier New" w:cs="Courier New" w:hint="default"/>
      </w:rPr>
    </w:lvl>
    <w:lvl w:ilvl="2" w:tplc="04100005" w:tentative="1">
      <w:start w:val="1"/>
      <w:numFmt w:val="bullet"/>
      <w:lvlText w:val=""/>
      <w:lvlJc w:val="left"/>
      <w:pPr>
        <w:ind w:left="3974" w:hanging="360"/>
      </w:pPr>
      <w:rPr>
        <w:rFonts w:ascii="Wingdings" w:hAnsi="Wingdings" w:hint="default"/>
      </w:rPr>
    </w:lvl>
    <w:lvl w:ilvl="3" w:tplc="04100001" w:tentative="1">
      <w:start w:val="1"/>
      <w:numFmt w:val="bullet"/>
      <w:lvlText w:val=""/>
      <w:lvlJc w:val="left"/>
      <w:pPr>
        <w:ind w:left="4694" w:hanging="360"/>
      </w:pPr>
      <w:rPr>
        <w:rFonts w:ascii="Symbol" w:hAnsi="Symbol" w:hint="default"/>
      </w:rPr>
    </w:lvl>
    <w:lvl w:ilvl="4" w:tplc="04100003" w:tentative="1">
      <w:start w:val="1"/>
      <w:numFmt w:val="bullet"/>
      <w:lvlText w:val="o"/>
      <w:lvlJc w:val="left"/>
      <w:pPr>
        <w:ind w:left="5414" w:hanging="360"/>
      </w:pPr>
      <w:rPr>
        <w:rFonts w:ascii="Courier New" w:hAnsi="Courier New" w:cs="Courier New" w:hint="default"/>
      </w:rPr>
    </w:lvl>
    <w:lvl w:ilvl="5" w:tplc="04100005" w:tentative="1">
      <w:start w:val="1"/>
      <w:numFmt w:val="bullet"/>
      <w:lvlText w:val=""/>
      <w:lvlJc w:val="left"/>
      <w:pPr>
        <w:ind w:left="6134" w:hanging="360"/>
      </w:pPr>
      <w:rPr>
        <w:rFonts w:ascii="Wingdings" w:hAnsi="Wingdings" w:hint="default"/>
      </w:rPr>
    </w:lvl>
    <w:lvl w:ilvl="6" w:tplc="04100001" w:tentative="1">
      <w:start w:val="1"/>
      <w:numFmt w:val="bullet"/>
      <w:lvlText w:val=""/>
      <w:lvlJc w:val="left"/>
      <w:pPr>
        <w:ind w:left="6854" w:hanging="360"/>
      </w:pPr>
      <w:rPr>
        <w:rFonts w:ascii="Symbol" w:hAnsi="Symbol" w:hint="default"/>
      </w:rPr>
    </w:lvl>
    <w:lvl w:ilvl="7" w:tplc="04100003" w:tentative="1">
      <w:start w:val="1"/>
      <w:numFmt w:val="bullet"/>
      <w:lvlText w:val="o"/>
      <w:lvlJc w:val="left"/>
      <w:pPr>
        <w:ind w:left="7574" w:hanging="360"/>
      </w:pPr>
      <w:rPr>
        <w:rFonts w:ascii="Courier New" w:hAnsi="Courier New" w:cs="Courier New" w:hint="default"/>
      </w:rPr>
    </w:lvl>
    <w:lvl w:ilvl="8" w:tplc="04100005" w:tentative="1">
      <w:start w:val="1"/>
      <w:numFmt w:val="bullet"/>
      <w:lvlText w:val=""/>
      <w:lvlJc w:val="left"/>
      <w:pPr>
        <w:ind w:left="8294" w:hanging="360"/>
      </w:pPr>
      <w:rPr>
        <w:rFonts w:ascii="Wingdings" w:hAnsi="Wingdings" w:hint="default"/>
      </w:rPr>
    </w:lvl>
  </w:abstractNum>
  <w:abstractNum w:abstractNumId="24" w15:restartNumberingAfterBreak="0">
    <w:nsid w:val="3B126581"/>
    <w:multiLevelType w:val="hybridMultilevel"/>
    <w:tmpl w:val="3EDCEA5C"/>
    <w:lvl w:ilvl="0" w:tplc="723CD9BA">
      <w:start w:val="1"/>
      <w:numFmt w:val="bullet"/>
      <w:lvlText w:val=""/>
      <w:lvlPicBulletId w:val="1"/>
      <w:lvlJc w:val="left"/>
      <w:pPr>
        <w:tabs>
          <w:tab w:val="num" w:pos="720"/>
        </w:tabs>
        <w:ind w:left="720" w:hanging="360"/>
      </w:pPr>
      <w:rPr>
        <w:rFonts w:ascii="Symbol" w:hAnsi="Symbol" w:hint="default"/>
      </w:rPr>
    </w:lvl>
    <w:lvl w:ilvl="1" w:tplc="F08261B2" w:tentative="1">
      <w:start w:val="1"/>
      <w:numFmt w:val="bullet"/>
      <w:lvlText w:val=""/>
      <w:lvlJc w:val="left"/>
      <w:pPr>
        <w:tabs>
          <w:tab w:val="num" w:pos="1440"/>
        </w:tabs>
        <w:ind w:left="1440" w:hanging="360"/>
      </w:pPr>
      <w:rPr>
        <w:rFonts w:ascii="Symbol" w:hAnsi="Symbol" w:hint="default"/>
      </w:rPr>
    </w:lvl>
    <w:lvl w:ilvl="2" w:tplc="6414E90C" w:tentative="1">
      <w:start w:val="1"/>
      <w:numFmt w:val="bullet"/>
      <w:lvlText w:val=""/>
      <w:lvlJc w:val="left"/>
      <w:pPr>
        <w:tabs>
          <w:tab w:val="num" w:pos="2160"/>
        </w:tabs>
        <w:ind w:left="2160" w:hanging="360"/>
      </w:pPr>
      <w:rPr>
        <w:rFonts w:ascii="Symbol" w:hAnsi="Symbol" w:hint="default"/>
      </w:rPr>
    </w:lvl>
    <w:lvl w:ilvl="3" w:tplc="35F41C48" w:tentative="1">
      <w:start w:val="1"/>
      <w:numFmt w:val="bullet"/>
      <w:lvlText w:val=""/>
      <w:lvlJc w:val="left"/>
      <w:pPr>
        <w:tabs>
          <w:tab w:val="num" w:pos="2880"/>
        </w:tabs>
        <w:ind w:left="2880" w:hanging="360"/>
      </w:pPr>
      <w:rPr>
        <w:rFonts w:ascii="Symbol" w:hAnsi="Symbol" w:hint="default"/>
      </w:rPr>
    </w:lvl>
    <w:lvl w:ilvl="4" w:tplc="76DC5C08" w:tentative="1">
      <w:start w:val="1"/>
      <w:numFmt w:val="bullet"/>
      <w:lvlText w:val=""/>
      <w:lvlJc w:val="left"/>
      <w:pPr>
        <w:tabs>
          <w:tab w:val="num" w:pos="3600"/>
        </w:tabs>
        <w:ind w:left="3600" w:hanging="360"/>
      </w:pPr>
      <w:rPr>
        <w:rFonts w:ascii="Symbol" w:hAnsi="Symbol" w:hint="default"/>
      </w:rPr>
    </w:lvl>
    <w:lvl w:ilvl="5" w:tplc="078CC066" w:tentative="1">
      <w:start w:val="1"/>
      <w:numFmt w:val="bullet"/>
      <w:lvlText w:val=""/>
      <w:lvlJc w:val="left"/>
      <w:pPr>
        <w:tabs>
          <w:tab w:val="num" w:pos="4320"/>
        </w:tabs>
        <w:ind w:left="4320" w:hanging="360"/>
      </w:pPr>
      <w:rPr>
        <w:rFonts w:ascii="Symbol" w:hAnsi="Symbol" w:hint="default"/>
      </w:rPr>
    </w:lvl>
    <w:lvl w:ilvl="6" w:tplc="993C39C0" w:tentative="1">
      <w:start w:val="1"/>
      <w:numFmt w:val="bullet"/>
      <w:lvlText w:val=""/>
      <w:lvlJc w:val="left"/>
      <w:pPr>
        <w:tabs>
          <w:tab w:val="num" w:pos="5040"/>
        </w:tabs>
        <w:ind w:left="5040" w:hanging="360"/>
      </w:pPr>
      <w:rPr>
        <w:rFonts w:ascii="Symbol" w:hAnsi="Symbol" w:hint="default"/>
      </w:rPr>
    </w:lvl>
    <w:lvl w:ilvl="7" w:tplc="0EB0D25C" w:tentative="1">
      <w:start w:val="1"/>
      <w:numFmt w:val="bullet"/>
      <w:lvlText w:val=""/>
      <w:lvlJc w:val="left"/>
      <w:pPr>
        <w:tabs>
          <w:tab w:val="num" w:pos="5760"/>
        </w:tabs>
        <w:ind w:left="5760" w:hanging="360"/>
      </w:pPr>
      <w:rPr>
        <w:rFonts w:ascii="Symbol" w:hAnsi="Symbol" w:hint="default"/>
      </w:rPr>
    </w:lvl>
    <w:lvl w:ilvl="8" w:tplc="B874B23E" w:tentative="1">
      <w:start w:val="1"/>
      <w:numFmt w:val="bullet"/>
      <w:lvlText w:val=""/>
      <w:lvlJc w:val="left"/>
      <w:pPr>
        <w:tabs>
          <w:tab w:val="num" w:pos="6480"/>
        </w:tabs>
        <w:ind w:left="6480" w:hanging="360"/>
      </w:pPr>
      <w:rPr>
        <w:rFonts w:ascii="Symbol" w:hAnsi="Symbol" w:hint="default"/>
      </w:rPr>
    </w:lvl>
  </w:abstractNum>
  <w:abstractNum w:abstractNumId="25" w15:restartNumberingAfterBreak="0">
    <w:nsid w:val="3F8F0948"/>
    <w:multiLevelType w:val="multilevel"/>
    <w:tmpl w:val="98E2AEF0"/>
    <w:lvl w:ilvl="0">
      <w:start w:val="1"/>
      <w:numFmt w:val="bullet"/>
      <w:lvlText w:val=""/>
      <w:lvlPicBulletId w:val="0"/>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lvl w:ilvl="8">
      <w:start w:val="1"/>
      <w:numFmt w:val="bullet"/>
      <w:lvlText w:val=""/>
      <w:lvlJc w:val="left"/>
      <w:pPr>
        <w:tabs>
          <w:tab w:val="num" w:pos="6480"/>
        </w:tabs>
        <w:ind w:left="6480" w:hanging="360"/>
      </w:pPr>
      <w:rPr>
        <w:rFonts w:ascii="Symbol" w:hAnsi="Symbol" w:hint="default"/>
      </w:rPr>
    </w:lvl>
  </w:abstractNum>
  <w:abstractNum w:abstractNumId="26" w15:restartNumberingAfterBreak="0">
    <w:nsid w:val="40037B4E"/>
    <w:multiLevelType w:val="hybridMultilevel"/>
    <w:tmpl w:val="2EE8FC76"/>
    <w:lvl w:ilvl="0" w:tplc="53A204BE">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7" w15:restartNumberingAfterBreak="0">
    <w:nsid w:val="402B69B0"/>
    <w:multiLevelType w:val="hybridMultilevel"/>
    <w:tmpl w:val="DDA46440"/>
    <w:lvl w:ilvl="0" w:tplc="980A3E20">
      <w:start w:val="2"/>
      <w:numFmt w:val="lowerLetter"/>
      <w:lvlText w:val="%1)"/>
      <w:lvlJc w:val="left"/>
      <w:pPr>
        <w:ind w:left="1004" w:hanging="360"/>
      </w:pPr>
      <w:rPr>
        <w:rFonts w:hint="default"/>
      </w:rPr>
    </w:lvl>
    <w:lvl w:ilvl="1" w:tplc="04100019" w:tentative="1">
      <w:start w:val="1"/>
      <w:numFmt w:val="lowerLetter"/>
      <w:lvlText w:val="%2."/>
      <w:lvlJc w:val="left"/>
      <w:pPr>
        <w:ind w:left="1724" w:hanging="360"/>
      </w:pPr>
    </w:lvl>
    <w:lvl w:ilvl="2" w:tplc="0410001B" w:tentative="1">
      <w:start w:val="1"/>
      <w:numFmt w:val="lowerRoman"/>
      <w:lvlText w:val="%3."/>
      <w:lvlJc w:val="right"/>
      <w:pPr>
        <w:ind w:left="2444" w:hanging="180"/>
      </w:pPr>
    </w:lvl>
    <w:lvl w:ilvl="3" w:tplc="0410000F" w:tentative="1">
      <w:start w:val="1"/>
      <w:numFmt w:val="decimal"/>
      <w:lvlText w:val="%4."/>
      <w:lvlJc w:val="left"/>
      <w:pPr>
        <w:ind w:left="3164" w:hanging="360"/>
      </w:pPr>
    </w:lvl>
    <w:lvl w:ilvl="4" w:tplc="04100019" w:tentative="1">
      <w:start w:val="1"/>
      <w:numFmt w:val="lowerLetter"/>
      <w:lvlText w:val="%5."/>
      <w:lvlJc w:val="left"/>
      <w:pPr>
        <w:ind w:left="3884" w:hanging="360"/>
      </w:pPr>
    </w:lvl>
    <w:lvl w:ilvl="5" w:tplc="0410001B" w:tentative="1">
      <w:start w:val="1"/>
      <w:numFmt w:val="lowerRoman"/>
      <w:lvlText w:val="%6."/>
      <w:lvlJc w:val="right"/>
      <w:pPr>
        <w:ind w:left="4604" w:hanging="180"/>
      </w:pPr>
    </w:lvl>
    <w:lvl w:ilvl="6" w:tplc="0410000F" w:tentative="1">
      <w:start w:val="1"/>
      <w:numFmt w:val="decimal"/>
      <w:lvlText w:val="%7."/>
      <w:lvlJc w:val="left"/>
      <w:pPr>
        <w:ind w:left="5324" w:hanging="360"/>
      </w:pPr>
    </w:lvl>
    <w:lvl w:ilvl="7" w:tplc="04100019" w:tentative="1">
      <w:start w:val="1"/>
      <w:numFmt w:val="lowerLetter"/>
      <w:lvlText w:val="%8."/>
      <w:lvlJc w:val="left"/>
      <w:pPr>
        <w:ind w:left="6044" w:hanging="360"/>
      </w:pPr>
    </w:lvl>
    <w:lvl w:ilvl="8" w:tplc="0410001B" w:tentative="1">
      <w:start w:val="1"/>
      <w:numFmt w:val="lowerRoman"/>
      <w:lvlText w:val="%9."/>
      <w:lvlJc w:val="right"/>
      <w:pPr>
        <w:ind w:left="6764" w:hanging="180"/>
      </w:pPr>
    </w:lvl>
  </w:abstractNum>
  <w:abstractNum w:abstractNumId="28" w15:restartNumberingAfterBreak="0">
    <w:nsid w:val="43DB5AF6"/>
    <w:multiLevelType w:val="hybridMultilevel"/>
    <w:tmpl w:val="1F1CF902"/>
    <w:lvl w:ilvl="0" w:tplc="812022A2">
      <w:start w:val="1"/>
      <w:numFmt w:val="lowerLetter"/>
      <w:lvlText w:val="(%1)"/>
      <w:lvlJc w:val="left"/>
      <w:pPr>
        <w:ind w:left="990" w:hanging="63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9" w15:restartNumberingAfterBreak="0">
    <w:nsid w:val="4B7641BD"/>
    <w:multiLevelType w:val="hybridMultilevel"/>
    <w:tmpl w:val="6ADE222C"/>
    <w:lvl w:ilvl="0" w:tplc="723CD9BA">
      <w:start w:val="1"/>
      <w:numFmt w:val="bullet"/>
      <w:lvlText w:val=""/>
      <w:lvlPicBulletId w:val="1"/>
      <w:lvlJc w:val="left"/>
      <w:pPr>
        <w:ind w:left="2563" w:hanging="360"/>
      </w:pPr>
      <w:rPr>
        <w:rFonts w:ascii="Symbol" w:hAnsi="Symbol" w:hint="default"/>
      </w:rPr>
    </w:lvl>
    <w:lvl w:ilvl="1" w:tplc="08090003" w:tentative="1">
      <w:start w:val="1"/>
      <w:numFmt w:val="bullet"/>
      <w:lvlText w:val="o"/>
      <w:lvlJc w:val="left"/>
      <w:pPr>
        <w:ind w:left="3283" w:hanging="360"/>
      </w:pPr>
      <w:rPr>
        <w:rFonts w:ascii="Courier New" w:hAnsi="Courier New" w:cs="Courier New" w:hint="default"/>
      </w:rPr>
    </w:lvl>
    <w:lvl w:ilvl="2" w:tplc="08090005" w:tentative="1">
      <w:start w:val="1"/>
      <w:numFmt w:val="bullet"/>
      <w:lvlText w:val=""/>
      <w:lvlJc w:val="left"/>
      <w:pPr>
        <w:ind w:left="4003" w:hanging="360"/>
      </w:pPr>
      <w:rPr>
        <w:rFonts w:ascii="Wingdings" w:hAnsi="Wingdings" w:hint="default"/>
      </w:rPr>
    </w:lvl>
    <w:lvl w:ilvl="3" w:tplc="08090001" w:tentative="1">
      <w:start w:val="1"/>
      <w:numFmt w:val="bullet"/>
      <w:lvlText w:val=""/>
      <w:lvlJc w:val="left"/>
      <w:pPr>
        <w:ind w:left="4723" w:hanging="360"/>
      </w:pPr>
      <w:rPr>
        <w:rFonts w:ascii="Symbol" w:hAnsi="Symbol" w:hint="default"/>
      </w:rPr>
    </w:lvl>
    <w:lvl w:ilvl="4" w:tplc="08090003" w:tentative="1">
      <w:start w:val="1"/>
      <w:numFmt w:val="bullet"/>
      <w:lvlText w:val="o"/>
      <w:lvlJc w:val="left"/>
      <w:pPr>
        <w:ind w:left="5443" w:hanging="360"/>
      </w:pPr>
      <w:rPr>
        <w:rFonts w:ascii="Courier New" w:hAnsi="Courier New" w:cs="Courier New" w:hint="default"/>
      </w:rPr>
    </w:lvl>
    <w:lvl w:ilvl="5" w:tplc="08090005" w:tentative="1">
      <w:start w:val="1"/>
      <w:numFmt w:val="bullet"/>
      <w:lvlText w:val=""/>
      <w:lvlJc w:val="left"/>
      <w:pPr>
        <w:ind w:left="6163" w:hanging="360"/>
      </w:pPr>
      <w:rPr>
        <w:rFonts w:ascii="Wingdings" w:hAnsi="Wingdings" w:hint="default"/>
      </w:rPr>
    </w:lvl>
    <w:lvl w:ilvl="6" w:tplc="08090001" w:tentative="1">
      <w:start w:val="1"/>
      <w:numFmt w:val="bullet"/>
      <w:lvlText w:val=""/>
      <w:lvlJc w:val="left"/>
      <w:pPr>
        <w:ind w:left="6883" w:hanging="360"/>
      </w:pPr>
      <w:rPr>
        <w:rFonts w:ascii="Symbol" w:hAnsi="Symbol" w:hint="default"/>
      </w:rPr>
    </w:lvl>
    <w:lvl w:ilvl="7" w:tplc="08090003" w:tentative="1">
      <w:start w:val="1"/>
      <w:numFmt w:val="bullet"/>
      <w:lvlText w:val="o"/>
      <w:lvlJc w:val="left"/>
      <w:pPr>
        <w:ind w:left="7603" w:hanging="360"/>
      </w:pPr>
      <w:rPr>
        <w:rFonts w:ascii="Courier New" w:hAnsi="Courier New" w:cs="Courier New" w:hint="default"/>
      </w:rPr>
    </w:lvl>
    <w:lvl w:ilvl="8" w:tplc="08090005" w:tentative="1">
      <w:start w:val="1"/>
      <w:numFmt w:val="bullet"/>
      <w:lvlText w:val=""/>
      <w:lvlJc w:val="left"/>
      <w:pPr>
        <w:ind w:left="8323" w:hanging="360"/>
      </w:pPr>
      <w:rPr>
        <w:rFonts w:ascii="Wingdings" w:hAnsi="Wingdings" w:hint="default"/>
      </w:rPr>
    </w:lvl>
  </w:abstractNum>
  <w:abstractNum w:abstractNumId="30" w15:restartNumberingAfterBreak="0">
    <w:nsid w:val="4C7E4CE7"/>
    <w:multiLevelType w:val="hybridMultilevel"/>
    <w:tmpl w:val="24682D9E"/>
    <w:lvl w:ilvl="0" w:tplc="7FE041A6">
      <w:start w:val="1"/>
      <w:numFmt w:val="bullet"/>
      <w:lvlText w:val=""/>
      <w:lvlJc w:val="left"/>
      <w:pPr>
        <w:tabs>
          <w:tab w:val="num" w:pos="2156"/>
        </w:tabs>
        <w:ind w:left="2156" w:hanging="284"/>
      </w:pPr>
      <w:rPr>
        <w:rFonts w:ascii="Wingdings" w:hAnsi="Wingdings" w:hint="default"/>
        <w:b/>
        <w:i w:val="0"/>
        <w:color w:val="FF0000"/>
        <w:sz w:val="18"/>
      </w:rPr>
    </w:lvl>
    <w:lvl w:ilvl="1" w:tplc="FFFFFFFF">
      <w:start w:val="1"/>
      <w:numFmt w:val="bullet"/>
      <w:lvlText w:val="o"/>
      <w:lvlJc w:val="left"/>
      <w:pPr>
        <w:tabs>
          <w:tab w:val="num" w:pos="3312"/>
        </w:tabs>
        <w:ind w:left="3312" w:hanging="360"/>
      </w:pPr>
      <w:rPr>
        <w:rFonts w:ascii="Courier New" w:hAnsi="Courier New" w:cs="Courier New" w:hint="default"/>
      </w:rPr>
    </w:lvl>
    <w:lvl w:ilvl="2" w:tplc="FFFFFFFF">
      <w:start w:val="1"/>
      <w:numFmt w:val="bullet"/>
      <w:lvlText w:val=""/>
      <w:lvlJc w:val="left"/>
      <w:pPr>
        <w:tabs>
          <w:tab w:val="num" w:pos="4032"/>
        </w:tabs>
        <w:ind w:left="4032" w:hanging="360"/>
      </w:pPr>
      <w:rPr>
        <w:rFonts w:ascii="Wingdings" w:hAnsi="Wingdings" w:hint="default"/>
      </w:rPr>
    </w:lvl>
    <w:lvl w:ilvl="3" w:tplc="FFFFFFFF">
      <w:start w:val="1"/>
      <w:numFmt w:val="bullet"/>
      <w:lvlText w:val=""/>
      <w:lvlJc w:val="left"/>
      <w:pPr>
        <w:tabs>
          <w:tab w:val="num" w:pos="4752"/>
        </w:tabs>
        <w:ind w:left="4752" w:hanging="360"/>
      </w:pPr>
      <w:rPr>
        <w:rFonts w:ascii="Symbol" w:hAnsi="Symbol" w:hint="default"/>
      </w:rPr>
    </w:lvl>
    <w:lvl w:ilvl="4" w:tplc="FFFFFFFF">
      <w:start w:val="1"/>
      <w:numFmt w:val="bullet"/>
      <w:lvlText w:val="o"/>
      <w:lvlJc w:val="left"/>
      <w:pPr>
        <w:tabs>
          <w:tab w:val="num" w:pos="5472"/>
        </w:tabs>
        <w:ind w:left="5472" w:hanging="360"/>
      </w:pPr>
      <w:rPr>
        <w:rFonts w:ascii="Courier New" w:hAnsi="Courier New" w:cs="Courier New" w:hint="default"/>
      </w:rPr>
    </w:lvl>
    <w:lvl w:ilvl="5" w:tplc="FFFFFFFF">
      <w:start w:val="1"/>
      <w:numFmt w:val="bullet"/>
      <w:lvlText w:val=""/>
      <w:lvlJc w:val="left"/>
      <w:pPr>
        <w:tabs>
          <w:tab w:val="num" w:pos="6192"/>
        </w:tabs>
        <w:ind w:left="6192" w:hanging="360"/>
      </w:pPr>
      <w:rPr>
        <w:rFonts w:ascii="Wingdings" w:hAnsi="Wingdings" w:hint="default"/>
      </w:rPr>
    </w:lvl>
    <w:lvl w:ilvl="6" w:tplc="FFFFFFFF">
      <w:start w:val="1"/>
      <w:numFmt w:val="bullet"/>
      <w:lvlText w:val=""/>
      <w:lvlJc w:val="left"/>
      <w:pPr>
        <w:tabs>
          <w:tab w:val="num" w:pos="6912"/>
        </w:tabs>
        <w:ind w:left="6912" w:hanging="360"/>
      </w:pPr>
      <w:rPr>
        <w:rFonts w:ascii="Symbol" w:hAnsi="Symbol" w:hint="default"/>
      </w:rPr>
    </w:lvl>
    <w:lvl w:ilvl="7" w:tplc="FFFFFFFF">
      <w:start w:val="1"/>
      <w:numFmt w:val="bullet"/>
      <w:lvlText w:val="o"/>
      <w:lvlJc w:val="left"/>
      <w:pPr>
        <w:tabs>
          <w:tab w:val="num" w:pos="7632"/>
        </w:tabs>
        <w:ind w:left="7632" w:hanging="360"/>
      </w:pPr>
      <w:rPr>
        <w:rFonts w:ascii="Courier New" w:hAnsi="Courier New" w:cs="Courier New" w:hint="default"/>
      </w:rPr>
    </w:lvl>
    <w:lvl w:ilvl="8" w:tplc="FFFFFFFF">
      <w:start w:val="1"/>
      <w:numFmt w:val="bullet"/>
      <w:lvlText w:val=""/>
      <w:lvlJc w:val="left"/>
      <w:pPr>
        <w:tabs>
          <w:tab w:val="num" w:pos="8352"/>
        </w:tabs>
        <w:ind w:left="8352" w:hanging="360"/>
      </w:pPr>
      <w:rPr>
        <w:rFonts w:ascii="Wingdings" w:hAnsi="Wingdings" w:hint="default"/>
      </w:rPr>
    </w:lvl>
  </w:abstractNum>
  <w:abstractNum w:abstractNumId="31" w15:restartNumberingAfterBreak="0">
    <w:nsid w:val="53AC3738"/>
    <w:multiLevelType w:val="hybridMultilevel"/>
    <w:tmpl w:val="7F00C2E6"/>
    <w:lvl w:ilvl="0" w:tplc="3C143362">
      <w:start w:val="1"/>
      <w:numFmt w:val="lowerLetter"/>
      <w:lvlText w:val="(%1)"/>
      <w:lvlJc w:val="left"/>
      <w:pPr>
        <w:ind w:left="644" w:hanging="360"/>
      </w:pPr>
      <w:rPr>
        <w:rFonts w:hint="default"/>
      </w:rPr>
    </w:lvl>
    <w:lvl w:ilvl="1" w:tplc="04100019" w:tentative="1">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32" w15:restartNumberingAfterBreak="0">
    <w:nsid w:val="56D208CF"/>
    <w:multiLevelType w:val="hybridMultilevel"/>
    <w:tmpl w:val="3364CF3C"/>
    <w:lvl w:ilvl="0" w:tplc="DFE4B1A6">
      <w:start w:val="1"/>
      <w:numFmt w:val="bullet"/>
      <w:lvlText w:val=""/>
      <w:lvlPicBulletId w:val="1"/>
      <w:lvlJc w:val="left"/>
      <w:pPr>
        <w:tabs>
          <w:tab w:val="num" w:pos="720"/>
        </w:tabs>
        <w:ind w:left="720" w:hanging="360"/>
      </w:pPr>
      <w:rPr>
        <w:rFonts w:ascii="Symbol" w:hAnsi="Symbol" w:hint="default"/>
      </w:rPr>
    </w:lvl>
    <w:lvl w:ilvl="1" w:tplc="A6883440" w:tentative="1">
      <w:start w:val="1"/>
      <w:numFmt w:val="bullet"/>
      <w:lvlText w:val=""/>
      <w:lvlJc w:val="left"/>
      <w:pPr>
        <w:tabs>
          <w:tab w:val="num" w:pos="1440"/>
        </w:tabs>
        <w:ind w:left="1440" w:hanging="360"/>
      </w:pPr>
      <w:rPr>
        <w:rFonts w:ascii="Symbol" w:hAnsi="Symbol" w:hint="default"/>
      </w:rPr>
    </w:lvl>
    <w:lvl w:ilvl="2" w:tplc="CB68053C" w:tentative="1">
      <w:start w:val="1"/>
      <w:numFmt w:val="bullet"/>
      <w:lvlText w:val=""/>
      <w:lvlJc w:val="left"/>
      <w:pPr>
        <w:tabs>
          <w:tab w:val="num" w:pos="2160"/>
        </w:tabs>
        <w:ind w:left="2160" w:hanging="360"/>
      </w:pPr>
      <w:rPr>
        <w:rFonts w:ascii="Symbol" w:hAnsi="Symbol" w:hint="default"/>
      </w:rPr>
    </w:lvl>
    <w:lvl w:ilvl="3" w:tplc="3800A33E" w:tentative="1">
      <w:start w:val="1"/>
      <w:numFmt w:val="bullet"/>
      <w:lvlText w:val=""/>
      <w:lvlJc w:val="left"/>
      <w:pPr>
        <w:tabs>
          <w:tab w:val="num" w:pos="2880"/>
        </w:tabs>
        <w:ind w:left="2880" w:hanging="360"/>
      </w:pPr>
      <w:rPr>
        <w:rFonts w:ascii="Symbol" w:hAnsi="Symbol" w:hint="default"/>
      </w:rPr>
    </w:lvl>
    <w:lvl w:ilvl="4" w:tplc="0FFEE34C" w:tentative="1">
      <w:start w:val="1"/>
      <w:numFmt w:val="bullet"/>
      <w:lvlText w:val=""/>
      <w:lvlJc w:val="left"/>
      <w:pPr>
        <w:tabs>
          <w:tab w:val="num" w:pos="3600"/>
        </w:tabs>
        <w:ind w:left="3600" w:hanging="360"/>
      </w:pPr>
      <w:rPr>
        <w:rFonts w:ascii="Symbol" w:hAnsi="Symbol" w:hint="default"/>
      </w:rPr>
    </w:lvl>
    <w:lvl w:ilvl="5" w:tplc="6228356A" w:tentative="1">
      <w:start w:val="1"/>
      <w:numFmt w:val="bullet"/>
      <w:lvlText w:val=""/>
      <w:lvlJc w:val="left"/>
      <w:pPr>
        <w:tabs>
          <w:tab w:val="num" w:pos="4320"/>
        </w:tabs>
        <w:ind w:left="4320" w:hanging="360"/>
      </w:pPr>
      <w:rPr>
        <w:rFonts w:ascii="Symbol" w:hAnsi="Symbol" w:hint="default"/>
      </w:rPr>
    </w:lvl>
    <w:lvl w:ilvl="6" w:tplc="8D5A4C08" w:tentative="1">
      <w:start w:val="1"/>
      <w:numFmt w:val="bullet"/>
      <w:lvlText w:val=""/>
      <w:lvlJc w:val="left"/>
      <w:pPr>
        <w:tabs>
          <w:tab w:val="num" w:pos="5040"/>
        </w:tabs>
        <w:ind w:left="5040" w:hanging="360"/>
      </w:pPr>
      <w:rPr>
        <w:rFonts w:ascii="Symbol" w:hAnsi="Symbol" w:hint="default"/>
      </w:rPr>
    </w:lvl>
    <w:lvl w:ilvl="7" w:tplc="42D69AF4" w:tentative="1">
      <w:start w:val="1"/>
      <w:numFmt w:val="bullet"/>
      <w:lvlText w:val=""/>
      <w:lvlJc w:val="left"/>
      <w:pPr>
        <w:tabs>
          <w:tab w:val="num" w:pos="5760"/>
        </w:tabs>
        <w:ind w:left="5760" w:hanging="360"/>
      </w:pPr>
      <w:rPr>
        <w:rFonts w:ascii="Symbol" w:hAnsi="Symbol" w:hint="default"/>
      </w:rPr>
    </w:lvl>
    <w:lvl w:ilvl="8" w:tplc="2876B1C8" w:tentative="1">
      <w:start w:val="1"/>
      <w:numFmt w:val="bullet"/>
      <w:lvlText w:val=""/>
      <w:lvlJc w:val="left"/>
      <w:pPr>
        <w:tabs>
          <w:tab w:val="num" w:pos="6480"/>
        </w:tabs>
        <w:ind w:left="6480" w:hanging="360"/>
      </w:pPr>
      <w:rPr>
        <w:rFonts w:ascii="Symbol" w:hAnsi="Symbol" w:hint="default"/>
      </w:rPr>
    </w:lvl>
  </w:abstractNum>
  <w:abstractNum w:abstractNumId="33" w15:restartNumberingAfterBreak="0">
    <w:nsid w:val="5C660AF1"/>
    <w:multiLevelType w:val="hybridMultilevel"/>
    <w:tmpl w:val="F8FEE642"/>
    <w:lvl w:ilvl="0" w:tplc="04100017">
      <w:start w:val="1"/>
      <w:numFmt w:val="lowerLetter"/>
      <w:lvlText w:val="%1)"/>
      <w:lvlJc w:val="left"/>
      <w:pPr>
        <w:ind w:left="1004" w:hanging="360"/>
      </w:pPr>
      <w:rPr>
        <w:rFonts w:hint="default"/>
      </w:rPr>
    </w:lvl>
    <w:lvl w:ilvl="1" w:tplc="04100019" w:tentative="1">
      <w:start w:val="1"/>
      <w:numFmt w:val="lowerLetter"/>
      <w:lvlText w:val="%2."/>
      <w:lvlJc w:val="left"/>
      <w:pPr>
        <w:ind w:left="1724" w:hanging="360"/>
      </w:pPr>
    </w:lvl>
    <w:lvl w:ilvl="2" w:tplc="0410001B" w:tentative="1">
      <w:start w:val="1"/>
      <w:numFmt w:val="lowerRoman"/>
      <w:lvlText w:val="%3."/>
      <w:lvlJc w:val="right"/>
      <w:pPr>
        <w:ind w:left="2444" w:hanging="180"/>
      </w:pPr>
    </w:lvl>
    <w:lvl w:ilvl="3" w:tplc="0410000F" w:tentative="1">
      <w:start w:val="1"/>
      <w:numFmt w:val="decimal"/>
      <w:lvlText w:val="%4."/>
      <w:lvlJc w:val="left"/>
      <w:pPr>
        <w:ind w:left="3164" w:hanging="360"/>
      </w:pPr>
    </w:lvl>
    <w:lvl w:ilvl="4" w:tplc="04100019" w:tentative="1">
      <w:start w:val="1"/>
      <w:numFmt w:val="lowerLetter"/>
      <w:lvlText w:val="%5."/>
      <w:lvlJc w:val="left"/>
      <w:pPr>
        <w:ind w:left="3884" w:hanging="360"/>
      </w:pPr>
    </w:lvl>
    <w:lvl w:ilvl="5" w:tplc="0410001B" w:tentative="1">
      <w:start w:val="1"/>
      <w:numFmt w:val="lowerRoman"/>
      <w:lvlText w:val="%6."/>
      <w:lvlJc w:val="right"/>
      <w:pPr>
        <w:ind w:left="4604" w:hanging="180"/>
      </w:pPr>
    </w:lvl>
    <w:lvl w:ilvl="6" w:tplc="0410000F" w:tentative="1">
      <w:start w:val="1"/>
      <w:numFmt w:val="decimal"/>
      <w:lvlText w:val="%7."/>
      <w:lvlJc w:val="left"/>
      <w:pPr>
        <w:ind w:left="5324" w:hanging="360"/>
      </w:pPr>
    </w:lvl>
    <w:lvl w:ilvl="7" w:tplc="04100019" w:tentative="1">
      <w:start w:val="1"/>
      <w:numFmt w:val="lowerLetter"/>
      <w:lvlText w:val="%8."/>
      <w:lvlJc w:val="left"/>
      <w:pPr>
        <w:ind w:left="6044" w:hanging="360"/>
      </w:pPr>
    </w:lvl>
    <w:lvl w:ilvl="8" w:tplc="0410001B" w:tentative="1">
      <w:start w:val="1"/>
      <w:numFmt w:val="lowerRoman"/>
      <w:lvlText w:val="%9."/>
      <w:lvlJc w:val="right"/>
      <w:pPr>
        <w:ind w:left="6764" w:hanging="180"/>
      </w:pPr>
    </w:lvl>
  </w:abstractNum>
  <w:abstractNum w:abstractNumId="34" w15:restartNumberingAfterBreak="0">
    <w:nsid w:val="5F61623A"/>
    <w:multiLevelType w:val="hybridMultilevel"/>
    <w:tmpl w:val="7F00C2E6"/>
    <w:lvl w:ilvl="0" w:tplc="3C143362">
      <w:start w:val="1"/>
      <w:numFmt w:val="lowerLetter"/>
      <w:lvlText w:val="(%1)"/>
      <w:lvlJc w:val="left"/>
      <w:pPr>
        <w:ind w:left="644" w:hanging="360"/>
      </w:pPr>
      <w:rPr>
        <w:rFonts w:hint="default"/>
      </w:rPr>
    </w:lvl>
    <w:lvl w:ilvl="1" w:tplc="04100019" w:tentative="1">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35" w15:restartNumberingAfterBreak="0">
    <w:nsid w:val="5F6A2BB5"/>
    <w:multiLevelType w:val="hybridMultilevel"/>
    <w:tmpl w:val="02FA6F3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6" w15:restartNumberingAfterBreak="0">
    <w:nsid w:val="66A10E50"/>
    <w:multiLevelType w:val="hybridMultilevel"/>
    <w:tmpl w:val="F8DE1BF8"/>
    <w:lvl w:ilvl="0" w:tplc="37C26DD4">
      <w:start w:val="1"/>
      <w:numFmt w:val="lowerLetter"/>
      <w:lvlText w:val="(%1)"/>
      <w:lvlJc w:val="left"/>
      <w:pPr>
        <w:ind w:left="717" w:hanging="360"/>
      </w:pPr>
      <w:rPr>
        <w:rFonts w:hint="default"/>
      </w:rPr>
    </w:lvl>
    <w:lvl w:ilvl="1" w:tplc="04100019" w:tentative="1">
      <w:start w:val="1"/>
      <w:numFmt w:val="lowerLetter"/>
      <w:lvlText w:val="%2."/>
      <w:lvlJc w:val="left"/>
      <w:pPr>
        <w:ind w:left="1437" w:hanging="360"/>
      </w:pPr>
    </w:lvl>
    <w:lvl w:ilvl="2" w:tplc="0410001B" w:tentative="1">
      <w:start w:val="1"/>
      <w:numFmt w:val="lowerRoman"/>
      <w:lvlText w:val="%3."/>
      <w:lvlJc w:val="right"/>
      <w:pPr>
        <w:ind w:left="2157" w:hanging="180"/>
      </w:pPr>
    </w:lvl>
    <w:lvl w:ilvl="3" w:tplc="0410000F" w:tentative="1">
      <w:start w:val="1"/>
      <w:numFmt w:val="decimal"/>
      <w:lvlText w:val="%4."/>
      <w:lvlJc w:val="left"/>
      <w:pPr>
        <w:ind w:left="2877" w:hanging="360"/>
      </w:pPr>
    </w:lvl>
    <w:lvl w:ilvl="4" w:tplc="04100019" w:tentative="1">
      <w:start w:val="1"/>
      <w:numFmt w:val="lowerLetter"/>
      <w:lvlText w:val="%5."/>
      <w:lvlJc w:val="left"/>
      <w:pPr>
        <w:ind w:left="3597" w:hanging="360"/>
      </w:pPr>
    </w:lvl>
    <w:lvl w:ilvl="5" w:tplc="0410001B" w:tentative="1">
      <w:start w:val="1"/>
      <w:numFmt w:val="lowerRoman"/>
      <w:lvlText w:val="%6."/>
      <w:lvlJc w:val="right"/>
      <w:pPr>
        <w:ind w:left="4317" w:hanging="180"/>
      </w:pPr>
    </w:lvl>
    <w:lvl w:ilvl="6" w:tplc="0410000F" w:tentative="1">
      <w:start w:val="1"/>
      <w:numFmt w:val="decimal"/>
      <w:lvlText w:val="%7."/>
      <w:lvlJc w:val="left"/>
      <w:pPr>
        <w:ind w:left="5037" w:hanging="360"/>
      </w:pPr>
    </w:lvl>
    <w:lvl w:ilvl="7" w:tplc="04100019" w:tentative="1">
      <w:start w:val="1"/>
      <w:numFmt w:val="lowerLetter"/>
      <w:lvlText w:val="%8."/>
      <w:lvlJc w:val="left"/>
      <w:pPr>
        <w:ind w:left="5757" w:hanging="360"/>
      </w:pPr>
    </w:lvl>
    <w:lvl w:ilvl="8" w:tplc="0410001B" w:tentative="1">
      <w:start w:val="1"/>
      <w:numFmt w:val="lowerRoman"/>
      <w:lvlText w:val="%9."/>
      <w:lvlJc w:val="right"/>
      <w:pPr>
        <w:ind w:left="6477" w:hanging="180"/>
      </w:pPr>
    </w:lvl>
  </w:abstractNum>
  <w:abstractNum w:abstractNumId="37" w15:restartNumberingAfterBreak="0">
    <w:nsid w:val="66D53A64"/>
    <w:multiLevelType w:val="hybridMultilevel"/>
    <w:tmpl w:val="3CB4185E"/>
    <w:lvl w:ilvl="0" w:tplc="2842F0A2">
      <w:start w:val="1"/>
      <w:numFmt w:val="bullet"/>
      <w:lvlText w:val=""/>
      <w:lvlPicBulletId w:val="1"/>
      <w:lvlJc w:val="left"/>
      <w:pPr>
        <w:tabs>
          <w:tab w:val="num" w:pos="720"/>
        </w:tabs>
        <w:ind w:left="720" w:hanging="360"/>
      </w:pPr>
      <w:rPr>
        <w:rFonts w:ascii="Symbol" w:hAnsi="Symbol" w:hint="default"/>
        <w:color w:val="E42618"/>
      </w:rPr>
    </w:lvl>
    <w:lvl w:ilvl="1" w:tplc="58A4F34A" w:tentative="1">
      <w:start w:val="1"/>
      <w:numFmt w:val="bullet"/>
      <w:lvlText w:val=""/>
      <w:lvlJc w:val="left"/>
      <w:pPr>
        <w:tabs>
          <w:tab w:val="num" w:pos="1440"/>
        </w:tabs>
        <w:ind w:left="1440" w:hanging="360"/>
      </w:pPr>
      <w:rPr>
        <w:rFonts w:ascii="Symbol" w:hAnsi="Symbol" w:hint="default"/>
      </w:rPr>
    </w:lvl>
    <w:lvl w:ilvl="2" w:tplc="10282158" w:tentative="1">
      <w:start w:val="1"/>
      <w:numFmt w:val="bullet"/>
      <w:lvlText w:val=""/>
      <w:lvlJc w:val="left"/>
      <w:pPr>
        <w:tabs>
          <w:tab w:val="num" w:pos="2160"/>
        </w:tabs>
        <w:ind w:left="2160" w:hanging="360"/>
      </w:pPr>
      <w:rPr>
        <w:rFonts w:ascii="Symbol" w:hAnsi="Symbol" w:hint="default"/>
      </w:rPr>
    </w:lvl>
    <w:lvl w:ilvl="3" w:tplc="9C6C8776" w:tentative="1">
      <w:start w:val="1"/>
      <w:numFmt w:val="bullet"/>
      <w:lvlText w:val=""/>
      <w:lvlJc w:val="left"/>
      <w:pPr>
        <w:tabs>
          <w:tab w:val="num" w:pos="2880"/>
        </w:tabs>
        <w:ind w:left="2880" w:hanging="360"/>
      </w:pPr>
      <w:rPr>
        <w:rFonts w:ascii="Symbol" w:hAnsi="Symbol" w:hint="default"/>
      </w:rPr>
    </w:lvl>
    <w:lvl w:ilvl="4" w:tplc="539C2334" w:tentative="1">
      <w:start w:val="1"/>
      <w:numFmt w:val="bullet"/>
      <w:lvlText w:val=""/>
      <w:lvlJc w:val="left"/>
      <w:pPr>
        <w:tabs>
          <w:tab w:val="num" w:pos="3600"/>
        </w:tabs>
        <w:ind w:left="3600" w:hanging="360"/>
      </w:pPr>
      <w:rPr>
        <w:rFonts w:ascii="Symbol" w:hAnsi="Symbol" w:hint="default"/>
      </w:rPr>
    </w:lvl>
    <w:lvl w:ilvl="5" w:tplc="E6ECA502" w:tentative="1">
      <w:start w:val="1"/>
      <w:numFmt w:val="bullet"/>
      <w:lvlText w:val=""/>
      <w:lvlJc w:val="left"/>
      <w:pPr>
        <w:tabs>
          <w:tab w:val="num" w:pos="4320"/>
        </w:tabs>
        <w:ind w:left="4320" w:hanging="360"/>
      </w:pPr>
      <w:rPr>
        <w:rFonts w:ascii="Symbol" w:hAnsi="Symbol" w:hint="default"/>
      </w:rPr>
    </w:lvl>
    <w:lvl w:ilvl="6" w:tplc="BF40799E" w:tentative="1">
      <w:start w:val="1"/>
      <w:numFmt w:val="bullet"/>
      <w:lvlText w:val=""/>
      <w:lvlJc w:val="left"/>
      <w:pPr>
        <w:tabs>
          <w:tab w:val="num" w:pos="5040"/>
        </w:tabs>
        <w:ind w:left="5040" w:hanging="360"/>
      </w:pPr>
      <w:rPr>
        <w:rFonts w:ascii="Symbol" w:hAnsi="Symbol" w:hint="default"/>
      </w:rPr>
    </w:lvl>
    <w:lvl w:ilvl="7" w:tplc="3502FF1A" w:tentative="1">
      <w:start w:val="1"/>
      <w:numFmt w:val="bullet"/>
      <w:lvlText w:val=""/>
      <w:lvlJc w:val="left"/>
      <w:pPr>
        <w:tabs>
          <w:tab w:val="num" w:pos="5760"/>
        </w:tabs>
        <w:ind w:left="5760" w:hanging="360"/>
      </w:pPr>
      <w:rPr>
        <w:rFonts w:ascii="Symbol" w:hAnsi="Symbol" w:hint="default"/>
      </w:rPr>
    </w:lvl>
    <w:lvl w:ilvl="8" w:tplc="3312820E" w:tentative="1">
      <w:start w:val="1"/>
      <w:numFmt w:val="bullet"/>
      <w:lvlText w:val=""/>
      <w:lvlJc w:val="left"/>
      <w:pPr>
        <w:tabs>
          <w:tab w:val="num" w:pos="6480"/>
        </w:tabs>
        <w:ind w:left="6480" w:hanging="360"/>
      </w:pPr>
      <w:rPr>
        <w:rFonts w:ascii="Symbol" w:hAnsi="Symbol" w:hint="default"/>
      </w:rPr>
    </w:lvl>
  </w:abstractNum>
  <w:abstractNum w:abstractNumId="38" w15:restartNumberingAfterBreak="0">
    <w:nsid w:val="67BB2EB1"/>
    <w:multiLevelType w:val="hybridMultilevel"/>
    <w:tmpl w:val="E3FA6C7E"/>
    <w:lvl w:ilvl="0" w:tplc="82C8BDA8">
      <w:start w:val="1"/>
      <w:numFmt w:val="bullet"/>
      <w:lvlText w:val=""/>
      <w:lvlJc w:val="left"/>
      <w:pPr>
        <w:ind w:left="720" w:hanging="360"/>
      </w:pPr>
      <w:rPr>
        <w:rFonts w:ascii="Wingdings" w:hAnsi="Wingdings" w:hint="default"/>
        <w:color w:val="E42618"/>
        <w:sz w:val="18"/>
        <w:szCs w:val="18"/>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9" w15:restartNumberingAfterBreak="0">
    <w:nsid w:val="6DF23C05"/>
    <w:multiLevelType w:val="hybridMultilevel"/>
    <w:tmpl w:val="7434819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0" w15:restartNumberingAfterBreak="0">
    <w:nsid w:val="72F1680C"/>
    <w:multiLevelType w:val="hybridMultilevel"/>
    <w:tmpl w:val="7ADAA040"/>
    <w:lvl w:ilvl="0" w:tplc="3274E4F6">
      <w:start w:val="1"/>
      <w:numFmt w:val="bullet"/>
      <w:lvlText w:val=""/>
      <w:lvlPicBulletId w:val="1"/>
      <w:lvlJc w:val="left"/>
      <w:pPr>
        <w:ind w:left="2534" w:hanging="360"/>
      </w:pPr>
      <w:rPr>
        <w:rFonts w:ascii="Symbol" w:hAnsi="Symbol" w:hint="default"/>
        <w:color w:val="E42618"/>
      </w:rPr>
    </w:lvl>
    <w:lvl w:ilvl="1" w:tplc="04100003" w:tentative="1">
      <w:start w:val="1"/>
      <w:numFmt w:val="bullet"/>
      <w:lvlText w:val="o"/>
      <w:lvlJc w:val="left"/>
      <w:pPr>
        <w:ind w:left="3254" w:hanging="360"/>
      </w:pPr>
      <w:rPr>
        <w:rFonts w:ascii="Courier New" w:hAnsi="Courier New" w:cs="Courier New" w:hint="default"/>
      </w:rPr>
    </w:lvl>
    <w:lvl w:ilvl="2" w:tplc="04100005" w:tentative="1">
      <w:start w:val="1"/>
      <w:numFmt w:val="bullet"/>
      <w:lvlText w:val=""/>
      <w:lvlJc w:val="left"/>
      <w:pPr>
        <w:ind w:left="3974" w:hanging="360"/>
      </w:pPr>
      <w:rPr>
        <w:rFonts w:ascii="Wingdings" w:hAnsi="Wingdings" w:hint="default"/>
      </w:rPr>
    </w:lvl>
    <w:lvl w:ilvl="3" w:tplc="04100001" w:tentative="1">
      <w:start w:val="1"/>
      <w:numFmt w:val="bullet"/>
      <w:lvlText w:val=""/>
      <w:lvlJc w:val="left"/>
      <w:pPr>
        <w:ind w:left="4694" w:hanging="360"/>
      </w:pPr>
      <w:rPr>
        <w:rFonts w:ascii="Symbol" w:hAnsi="Symbol" w:hint="default"/>
      </w:rPr>
    </w:lvl>
    <w:lvl w:ilvl="4" w:tplc="04100003" w:tentative="1">
      <w:start w:val="1"/>
      <w:numFmt w:val="bullet"/>
      <w:lvlText w:val="o"/>
      <w:lvlJc w:val="left"/>
      <w:pPr>
        <w:ind w:left="5414" w:hanging="360"/>
      </w:pPr>
      <w:rPr>
        <w:rFonts w:ascii="Courier New" w:hAnsi="Courier New" w:cs="Courier New" w:hint="default"/>
      </w:rPr>
    </w:lvl>
    <w:lvl w:ilvl="5" w:tplc="04100005" w:tentative="1">
      <w:start w:val="1"/>
      <w:numFmt w:val="bullet"/>
      <w:lvlText w:val=""/>
      <w:lvlJc w:val="left"/>
      <w:pPr>
        <w:ind w:left="6134" w:hanging="360"/>
      </w:pPr>
      <w:rPr>
        <w:rFonts w:ascii="Wingdings" w:hAnsi="Wingdings" w:hint="default"/>
      </w:rPr>
    </w:lvl>
    <w:lvl w:ilvl="6" w:tplc="04100001" w:tentative="1">
      <w:start w:val="1"/>
      <w:numFmt w:val="bullet"/>
      <w:lvlText w:val=""/>
      <w:lvlJc w:val="left"/>
      <w:pPr>
        <w:ind w:left="6854" w:hanging="360"/>
      </w:pPr>
      <w:rPr>
        <w:rFonts w:ascii="Symbol" w:hAnsi="Symbol" w:hint="default"/>
      </w:rPr>
    </w:lvl>
    <w:lvl w:ilvl="7" w:tplc="04100003" w:tentative="1">
      <w:start w:val="1"/>
      <w:numFmt w:val="bullet"/>
      <w:lvlText w:val="o"/>
      <w:lvlJc w:val="left"/>
      <w:pPr>
        <w:ind w:left="7574" w:hanging="360"/>
      </w:pPr>
      <w:rPr>
        <w:rFonts w:ascii="Courier New" w:hAnsi="Courier New" w:cs="Courier New" w:hint="default"/>
      </w:rPr>
    </w:lvl>
    <w:lvl w:ilvl="8" w:tplc="04100005" w:tentative="1">
      <w:start w:val="1"/>
      <w:numFmt w:val="bullet"/>
      <w:lvlText w:val=""/>
      <w:lvlJc w:val="left"/>
      <w:pPr>
        <w:ind w:left="8294" w:hanging="360"/>
      </w:pPr>
      <w:rPr>
        <w:rFonts w:ascii="Wingdings" w:hAnsi="Wingdings" w:hint="default"/>
      </w:rPr>
    </w:lvl>
  </w:abstractNum>
  <w:abstractNum w:abstractNumId="41" w15:restartNumberingAfterBreak="0">
    <w:nsid w:val="7F331D91"/>
    <w:multiLevelType w:val="hybridMultilevel"/>
    <w:tmpl w:val="E0E0959C"/>
    <w:lvl w:ilvl="0" w:tplc="28BE514C">
      <w:start w:val="1"/>
      <w:numFmt w:val="bullet"/>
      <w:lvlText w:val=""/>
      <w:lvlPicBulletId w:val="0"/>
      <w:lvlJc w:val="left"/>
      <w:pPr>
        <w:tabs>
          <w:tab w:val="num" w:pos="360"/>
        </w:tabs>
        <w:ind w:left="360" w:hanging="360"/>
      </w:pPr>
      <w:rPr>
        <w:rFonts w:ascii="Symbol" w:hAnsi="Symbol" w:hint="default"/>
      </w:rPr>
    </w:lvl>
    <w:lvl w:ilvl="1" w:tplc="372E4104" w:tentative="1">
      <w:start w:val="1"/>
      <w:numFmt w:val="bullet"/>
      <w:lvlText w:val=""/>
      <w:lvlJc w:val="left"/>
      <w:pPr>
        <w:tabs>
          <w:tab w:val="num" w:pos="1440"/>
        </w:tabs>
        <w:ind w:left="1440" w:hanging="360"/>
      </w:pPr>
      <w:rPr>
        <w:rFonts w:ascii="Symbol" w:hAnsi="Symbol" w:hint="default"/>
      </w:rPr>
    </w:lvl>
    <w:lvl w:ilvl="2" w:tplc="AB266C9A" w:tentative="1">
      <w:start w:val="1"/>
      <w:numFmt w:val="bullet"/>
      <w:lvlText w:val=""/>
      <w:lvlJc w:val="left"/>
      <w:pPr>
        <w:tabs>
          <w:tab w:val="num" w:pos="2160"/>
        </w:tabs>
        <w:ind w:left="2160" w:hanging="360"/>
      </w:pPr>
      <w:rPr>
        <w:rFonts w:ascii="Symbol" w:hAnsi="Symbol" w:hint="default"/>
      </w:rPr>
    </w:lvl>
    <w:lvl w:ilvl="3" w:tplc="B7F6CE70" w:tentative="1">
      <w:start w:val="1"/>
      <w:numFmt w:val="bullet"/>
      <w:lvlText w:val=""/>
      <w:lvlJc w:val="left"/>
      <w:pPr>
        <w:tabs>
          <w:tab w:val="num" w:pos="2880"/>
        </w:tabs>
        <w:ind w:left="2880" w:hanging="360"/>
      </w:pPr>
      <w:rPr>
        <w:rFonts w:ascii="Symbol" w:hAnsi="Symbol" w:hint="default"/>
      </w:rPr>
    </w:lvl>
    <w:lvl w:ilvl="4" w:tplc="4AE81FFA" w:tentative="1">
      <w:start w:val="1"/>
      <w:numFmt w:val="bullet"/>
      <w:lvlText w:val=""/>
      <w:lvlJc w:val="left"/>
      <w:pPr>
        <w:tabs>
          <w:tab w:val="num" w:pos="3600"/>
        </w:tabs>
        <w:ind w:left="3600" w:hanging="360"/>
      </w:pPr>
      <w:rPr>
        <w:rFonts w:ascii="Symbol" w:hAnsi="Symbol" w:hint="default"/>
      </w:rPr>
    </w:lvl>
    <w:lvl w:ilvl="5" w:tplc="04908836" w:tentative="1">
      <w:start w:val="1"/>
      <w:numFmt w:val="bullet"/>
      <w:lvlText w:val=""/>
      <w:lvlJc w:val="left"/>
      <w:pPr>
        <w:tabs>
          <w:tab w:val="num" w:pos="4320"/>
        </w:tabs>
        <w:ind w:left="4320" w:hanging="360"/>
      </w:pPr>
      <w:rPr>
        <w:rFonts w:ascii="Symbol" w:hAnsi="Symbol" w:hint="default"/>
      </w:rPr>
    </w:lvl>
    <w:lvl w:ilvl="6" w:tplc="0BE003B2" w:tentative="1">
      <w:start w:val="1"/>
      <w:numFmt w:val="bullet"/>
      <w:lvlText w:val=""/>
      <w:lvlJc w:val="left"/>
      <w:pPr>
        <w:tabs>
          <w:tab w:val="num" w:pos="5040"/>
        </w:tabs>
        <w:ind w:left="5040" w:hanging="360"/>
      </w:pPr>
      <w:rPr>
        <w:rFonts w:ascii="Symbol" w:hAnsi="Symbol" w:hint="default"/>
      </w:rPr>
    </w:lvl>
    <w:lvl w:ilvl="7" w:tplc="FD8810A4" w:tentative="1">
      <w:start w:val="1"/>
      <w:numFmt w:val="bullet"/>
      <w:lvlText w:val=""/>
      <w:lvlJc w:val="left"/>
      <w:pPr>
        <w:tabs>
          <w:tab w:val="num" w:pos="5760"/>
        </w:tabs>
        <w:ind w:left="5760" w:hanging="360"/>
      </w:pPr>
      <w:rPr>
        <w:rFonts w:ascii="Symbol" w:hAnsi="Symbol" w:hint="default"/>
      </w:rPr>
    </w:lvl>
    <w:lvl w:ilvl="8" w:tplc="B1E65C1A" w:tentative="1">
      <w:start w:val="1"/>
      <w:numFmt w:val="bullet"/>
      <w:lvlText w:val=""/>
      <w:lvlJc w:val="left"/>
      <w:pPr>
        <w:tabs>
          <w:tab w:val="num" w:pos="6480"/>
        </w:tabs>
        <w:ind w:left="6480" w:hanging="360"/>
      </w:pPr>
      <w:rPr>
        <w:rFonts w:ascii="Symbol" w:hAnsi="Symbol" w:hint="default"/>
      </w:rPr>
    </w:lvl>
  </w:abstractNum>
  <w:num w:numId="1">
    <w:abstractNumId w:val="11"/>
  </w:num>
  <w:num w:numId="2">
    <w:abstractNumId w:val="24"/>
  </w:num>
  <w:num w:numId="3">
    <w:abstractNumId w:val="29"/>
  </w:num>
  <w:num w:numId="4">
    <w:abstractNumId w:val="4"/>
  </w:num>
  <w:num w:numId="5">
    <w:abstractNumId w:val="15"/>
  </w:num>
  <w:num w:numId="6">
    <w:abstractNumId w:val="3"/>
  </w:num>
  <w:num w:numId="7">
    <w:abstractNumId w:val="0"/>
  </w:num>
  <w:num w:numId="8">
    <w:abstractNumId w:val="17"/>
  </w:num>
  <w:num w:numId="9">
    <w:abstractNumId w:val="25"/>
  </w:num>
  <w:num w:numId="10">
    <w:abstractNumId w:val="9"/>
  </w:num>
  <w:num w:numId="11">
    <w:abstractNumId w:val="23"/>
  </w:num>
  <w:num w:numId="12">
    <w:abstractNumId w:val="2"/>
  </w:num>
  <w:num w:numId="13">
    <w:abstractNumId w:val="37"/>
  </w:num>
  <w:num w:numId="14">
    <w:abstractNumId w:val="6"/>
  </w:num>
  <w:num w:numId="15">
    <w:abstractNumId w:val="40"/>
  </w:num>
  <w:num w:numId="16">
    <w:abstractNumId w:val="10"/>
  </w:num>
  <w:num w:numId="17">
    <w:abstractNumId w:val="22"/>
  </w:num>
  <w:num w:numId="18">
    <w:abstractNumId w:val="1"/>
  </w:num>
  <w:num w:numId="19">
    <w:abstractNumId w:val="41"/>
  </w:num>
  <w:num w:numId="20">
    <w:abstractNumId w:val="18"/>
  </w:num>
  <w:num w:numId="21">
    <w:abstractNumId w:val="32"/>
  </w:num>
  <w:num w:numId="22">
    <w:abstractNumId w:val="12"/>
  </w:num>
  <w:num w:numId="23">
    <w:abstractNumId w:val="30"/>
  </w:num>
  <w:num w:numId="24">
    <w:abstractNumId w:val="20"/>
  </w:num>
  <w:num w:numId="25">
    <w:abstractNumId w:val="19"/>
  </w:num>
  <w:num w:numId="26">
    <w:abstractNumId w:val="14"/>
  </w:num>
  <w:num w:numId="27">
    <w:abstractNumId w:val="5"/>
  </w:num>
  <w:num w:numId="28">
    <w:abstractNumId w:val="13"/>
  </w:num>
  <w:num w:numId="29">
    <w:abstractNumId w:val="14"/>
  </w:num>
  <w:num w:numId="30">
    <w:abstractNumId w:val="38"/>
  </w:num>
  <w:num w:numId="31">
    <w:abstractNumId w:val="7"/>
  </w:num>
  <w:num w:numId="32">
    <w:abstractNumId w:val="28"/>
  </w:num>
  <w:num w:numId="33">
    <w:abstractNumId w:val="26"/>
  </w:num>
  <w:num w:numId="34">
    <w:abstractNumId w:val="31"/>
  </w:num>
  <w:num w:numId="35">
    <w:abstractNumId w:val="34"/>
  </w:num>
  <w:num w:numId="36">
    <w:abstractNumId w:val="36"/>
  </w:num>
  <w:num w:numId="37">
    <w:abstractNumId w:val="8"/>
  </w:num>
  <w:num w:numId="38">
    <w:abstractNumId w:val="27"/>
  </w:num>
  <w:num w:numId="39">
    <w:abstractNumId w:val="16"/>
  </w:num>
  <w:num w:numId="40">
    <w:abstractNumId w:val="21"/>
  </w:num>
  <w:num w:numId="41">
    <w:abstractNumId w:val="33"/>
  </w:num>
  <w:num w:numId="42">
    <w:abstractNumId w:val="39"/>
  </w:num>
  <w:num w:numId="43">
    <w:abstractNumId w:val="3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283"/>
  <w:drawingGridHorizontalSpacing w:val="120"/>
  <w:drawingGridVerticalSpacing w:val="120"/>
  <w:displayHorizontalDrawingGridEvery w:val="0"/>
  <w:displayVerticalDrawingGridEvery w:val="3"/>
  <w:doNotUseMarginsForDrawingGridOrigin/>
  <w:doNotShadeFormData/>
  <w:characterSpacingControl w:val="compressPunctuation"/>
  <w:noLineBreaksAfter w:lang="ja-JP" w:val="$([\egikmoqsuwy{¢’"/>
  <w:noLineBreaksBefore w:lang="ja-JP" w:val="!%),.:;?@ABCDEFGHIJKRSTUX[]bfhjlnprtvxz}¡£¤¥§¨©ª«¬­®¯°ÁÞßáãåìñŒŸŽƒ–‘‚“‡•…‹"/>
  <w:doNotValidateAgainstSchema/>
  <w:doNotDemarcateInvalidXml/>
  <w:hdrShapeDefaults>
    <o:shapedefaults v:ext="edit" spidmax="2049" style="mso-position-horizontal:center;mso-width-percent:400;mso-height-percent:200;mso-width-relative:margin;mso-height-relative:margin" fillcolor="white">
      <v:fill color="white"/>
      <v:textbox style="mso-fit-shape-to-text:t"/>
      <o:colormru v:ext="edit" colors="#bd1f2b,#cf1e24,#d90b13,#e31c18"/>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0C7E"/>
    <w:rsid w:val="00000148"/>
    <w:rsid w:val="000013A9"/>
    <w:rsid w:val="00001C85"/>
    <w:rsid w:val="000020B7"/>
    <w:rsid w:val="0000242C"/>
    <w:rsid w:val="000026CA"/>
    <w:rsid w:val="000026DF"/>
    <w:rsid w:val="00002F2D"/>
    <w:rsid w:val="000034C8"/>
    <w:rsid w:val="00003834"/>
    <w:rsid w:val="00003A76"/>
    <w:rsid w:val="00003AAA"/>
    <w:rsid w:val="00003AB5"/>
    <w:rsid w:val="00003AD9"/>
    <w:rsid w:val="00003F46"/>
    <w:rsid w:val="000041BD"/>
    <w:rsid w:val="00004387"/>
    <w:rsid w:val="000043D5"/>
    <w:rsid w:val="00004794"/>
    <w:rsid w:val="000047AF"/>
    <w:rsid w:val="000049DD"/>
    <w:rsid w:val="00004DDD"/>
    <w:rsid w:val="00004DF3"/>
    <w:rsid w:val="00004E38"/>
    <w:rsid w:val="00005A6B"/>
    <w:rsid w:val="00006031"/>
    <w:rsid w:val="0000683C"/>
    <w:rsid w:val="00006DB7"/>
    <w:rsid w:val="00007042"/>
    <w:rsid w:val="0000740E"/>
    <w:rsid w:val="00010041"/>
    <w:rsid w:val="000101B6"/>
    <w:rsid w:val="000102D5"/>
    <w:rsid w:val="00010573"/>
    <w:rsid w:val="0001089C"/>
    <w:rsid w:val="000108ED"/>
    <w:rsid w:val="00010957"/>
    <w:rsid w:val="000109BD"/>
    <w:rsid w:val="000109E3"/>
    <w:rsid w:val="00010A46"/>
    <w:rsid w:val="00010B15"/>
    <w:rsid w:val="00010B3C"/>
    <w:rsid w:val="00010C89"/>
    <w:rsid w:val="000113F8"/>
    <w:rsid w:val="00011610"/>
    <w:rsid w:val="0001189E"/>
    <w:rsid w:val="000119A0"/>
    <w:rsid w:val="00011A51"/>
    <w:rsid w:val="00011C85"/>
    <w:rsid w:val="00011F76"/>
    <w:rsid w:val="00012364"/>
    <w:rsid w:val="000127DA"/>
    <w:rsid w:val="0001283C"/>
    <w:rsid w:val="00012A11"/>
    <w:rsid w:val="00012B7A"/>
    <w:rsid w:val="000134A3"/>
    <w:rsid w:val="000135AB"/>
    <w:rsid w:val="00013751"/>
    <w:rsid w:val="00013995"/>
    <w:rsid w:val="00013A1E"/>
    <w:rsid w:val="00013D04"/>
    <w:rsid w:val="00013ED5"/>
    <w:rsid w:val="00013F41"/>
    <w:rsid w:val="00014227"/>
    <w:rsid w:val="000143A8"/>
    <w:rsid w:val="00014927"/>
    <w:rsid w:val="00015A3B"/>
    <w:rsid w:val="00015D22"/>
    <w:rsid w:val="00015EAD"/>
    <w:rsid w:val="000161BF"/>
    <w:rsid w:val="00016B13"/>
    <w:rsid w:val="00017353"/>
    <w:rsid w:val="00017756"/>
    <w:rsid w:val="000205CA"/>
    <w:rsid w:val="0002065A"/>
    <w:rsid w:val="000211AD"/>
    <w:rsid w:val="000213E2"/>
    <w:rsid w:val="00021652"/>
    <w:rsid w:val="000217E2"/>
    <w:rsid w:val="0002181D"/>
    <w:rsid w:val="00021B34"/>
    <w:rsid w:val="00022197"/>
    <w:rsid w:val="00022763"/>
    <w:rsid w:val="000228CB"/>
    <w:rsid w:val="00022CBD"/>
    <w:rsid w:val="000241B7"/>
    <w:rsid w:val="00024BDA"/>
    <w:rsid w:val="000250BE"/>
    <w:rsid w:val="00025294"/>
    <w:rsid w:val="000254AC"/>
    <w:rsid w:val="00025503"/>
    <w:rsid w:val="0002574E"/>
    <w:rsid w:val="000257C6"/>
    <w:rsid w:val="00025822"/>
    <w:rsid w:val="0002587D"/>
    <w:rsid w:val="00025AA7"/>
    <w:rsid w:val="000266A7"/>
    <w:rsid w:val="00027CFD"/>
    <w:rsid w:val="00027FBC"/>
    <w:rsid w:val="00030014"/>
    <w:rsid w:val="00030183"/>
    <w:rsid w:val="00030522"/>
    <w:rsid w:val="00030BEE"/>
    <w:rsid w:val="0003114F"/>
    <w:rsid w:val="00031258"/>
    <w:rsid w:val="000312DF"/>
    <w:rsid w:val="00031864"/>
    <w:rsid w:val="00031934"/>
    <w:rsid w:val="00031C2E"/>
    <w:rsid w:val="000320B7"/>
    <w:rsid w:val="0003218A"/>
    <w:rsid w:val="000322CF"/>
    <w:rsid w:val="00032972"/>
    <w:rsid w:val="00032A4E"/>
    <w:rsid w:val="00033432"/>
    <w:rsid w:val="000350E3"/>
    <w:rsid w:val="00035164"/>
    <w:rsid w:val="00035837"/>
    <w:rsid w:val="00035A57"/>
    <w:rsid w:val="00035C40"/>
    <w:rsid w:val="0003629C"/>
    <w:rsid w:val="000363D3"/>
    <w:rsid w:val="0003704B"/>
    <w:rsid w:val="0003781A"/>
    <w:rsid w:val="00037DCC"/>
    <w:rsid w:val="0004002D"/>
    <w:rsid w:val="00040033"/>
    <w:rsid w:val="000402DE"/>
    <w:rsid w:val="00040CDD"/>
    <w:rsid w:val="00041081"/>
    <w:rsid w:val="00041726"/>
    <w:rsid w:val="00041DD2"/>
    <w:rsid w:val="00041DDD"/>
    <w:rsid w:val="00041DEF"/>
    <w:rsid w:val="0004257E"/>
    <w:rsid w:val="00042694"/>
    <w:rsid w:val="00042B16"/>
    <w:rsid w:val="00042D21"/>
    <w:rsid w:val="00042F77"/>
    <w:rsid w:val="000433C2"/>
    <w:rsid w:val="0004346C"/>
    <w:rsid w:val="00043C67"/>
    <w:rsid w:val="000447F6"/>
    <w:rsid w:val="00044806"/>
    <w:rsid w:val="00044BA2"/>
    <w:rsid w:val="00044DCD"/>
    <w:rsid w:val="000451B2"/>
    <w:rsid w:val="000455A6"/>
    <w:rsid w:val="0004572F"/>
    <w:rsid w:val="000457A7"/>
    <w:rsid w:val="00045BC9"/>
    <w:rsid w:val="00045F6A"/>
    <w:rsid w:val="000462ED"/>
    <w:rsid w:val="00046347"/>
    <w:rsid w:val="00046668"/>
    <w:rsid w:val="00046881"/>
    <w:rsid w:val="00046950"/>
    <w:rsid w:val="00046AF5"/>
    <w:rsid w:val="00046EDF"/>
    <w:rsid w:val="0004715D"/>
    <w:rsid w:val="000474A3"/>
    <w:rsid w:val="000478E6"/>
    <w:rsid w:val="000479D4"/>
    <w:rsid w:val="00047CCE"/>
    <w:rsid w:val="00047E42"/>
    <w:rsid w:val="00050117"/>
    <w:rsid w:val="00050441"/>
    <w:rsid w:val="00050489"/>
    <w:rsid w:val="00050496"/>
    <w:rsid w:val="00050679"/>
    <w:rsid w:val="000508D1"/>
    <w:rsid w:val="000512D1"/>
    <w:rsid w:val="0005182E"/>
    <w:rsid w:val="00051D92"/>
    <w:rsid w:val="00051E6A"/>
    <w:rsid w:val="00051FC2"/>
    <w:rsid w:val="00052AE3"/>
    <w:rsid w:val="00053471"/>
    <w:rsid w:val="000537BB"/>
    <w:rsid w:val="000538A1"/>
    <w:rsid w:val="00053B44"/>
    <w:rsid w:val="0005401B"/>
    <w:rsid w:val="000541C7"/>
    <w:rsid w:val="00054645"/>
    <w:rsid w:val="0005548D"/>
    <w:rsid w:val="000557ED"/>
    <w:rsid w:val="00055D9C"/>
    <w:rsid w:val="00055E26"/>
    <w:rsid w:val="00055E3A"/>
    <w:rsid w:val="000565A3"/>
    <w:rsid w:val="00056612"/>
    <w:rsid w:val="00056635"/>
    <w:rsid w:val="000567BC"/>
    <w:rsid w:val="000569E0"/>
    <w:rsid w:val="000569E6"/>
    <w:rsid w:val="000572AC"/>
    <w:rsid w:val="00057588"/>
    <w:rsid w:val="00057640"/>
    <w:rsid w:val="000578A2"/>
    <w:rsid w:val="00060194"/>
    <w:rsid w:val="00060769"/>
    <w:rsid w:val="000607A6"/>
    <w:rsid w:val="0006148E"/>
    <w:rsid w:val="000617FF"/>
    <w:rsid w:val="00061BEA"/>
    <w:rsid w:val="00061DC7"/>
    <w:rsid w:val="00061E48"/>
    <w:rsid w:val="00061E67"/>
    <w:rsid w:val="000620FB"/>
    <w:rsid w:val="000621DF"/>
    <w:rsid w:val="00062437"/>
    <w:rsid w:val="00062447"/>
    <w:rsid w:val="000629AB"/>
    <w:rsid w:val="00062C7C"/>
    <w:rsid w:val="00062E45"/>
    <w:rsid w:val="000635F7"/>
    <w:rsid w:val="00063D28"/>
    <w:rsid w:val="000643F7"/>
    <w:rsid w:val="00064404"/>
    <w:rsid w:val="00064527"/>
    <w:rsid w:val="00064E2A"/>
    <w:rsid w:val="00065341"/>
    <w:rsid w:val="0006537C"/>
    <w:rsid w:val="00065467"/>
    <w:rsid w:val="0006575A"/>
    <w:rsid w:val="000657E2"/>
    <w:rsid w:val="00065E03"/>
    <w:rsid w:val="0006623E"/>
    <w:rsid w:val="000662FB"/>
    <w:rsid w:val="0006654D"/>
    <w:rsid w:val="0006665B"/>
    <w:rsid w:val="00067AB5"/>
    <w:rsid w:val="00067F81"/>
    <w:rsid w:val="00070718"/>
    <w:rsid w:val="0007076D"/>
    <w:rsid w:val="000708D3"/>
    <w:rsid w:val="0007136C"/>
    <w:rsid w:val="00071DDB"/>
    <w:rsid w:val="00071EFA"/>
    <w:rsid w:val="000720F5"/>
    <w:rsid w:val="000720F8"/>
    <w:rsid w:val="00072142"/>
    <w:rsid w:val="00072711"/>
    <w:rsid w:val="00072728"/>
    <w:rsid w:val="00072B3F"/>
    <w:rsid w:val="00072BE2"/>
    <w:rsid w:val="000732DF"/>
    <w:rsid w:val="0007358E"/>
    <w:rsid w:val="00073872"/>
    <w:rsid w:val="00073F42"/>
    <w:rsid w:val="00074665"/>
    <w:rsid w:val="000746D5"/>
    <w:rsid w:val="00074709"/>
    <w:rsid w:val="000749B9"/>
    <w:rsid w:val="00074E34"/>
    <w:rsid w:val="000755F9"/>
    <w:rsid w:val="00075605"/>
    <w:rsid w:val="0007593A"/>
    <w:rsid w:val="00075941"/>
    <w:rsid w:val="00075CC6"/>
    <w:rsid w:val="0007650D"/>
    <w:rsid w:val="00076C27"/>
    <w:rsid w:val="00077534"/>
    <w:rsid w:val="0007754A"/>
    <w:rsid w:val="00077592"/>
    <w:rsid w:val="00077897"/>
    <w:rsid w:val="00077E7D"/>
    <w:rsid w:val="00080263"/>
    <w:rsid w:val="000803AD"/>
    <w:rsid w:val="00080F62"/>
    <w:rsid w:val="00081026"/>
    <w:rsid w:val="000811D8"/>
    <w:rsid w:val="000817F5"/>
    <w:rsid w:val="000818DD"/>
    <w:rsid w:val="000819D4"/>
    <w:rsid w:val="000826C3"/>
    <w:rsid w:val="000828E6"/>
    <w:rsid w:val="000829B6"/>
    <w:rsid w:val="00082A62"/>
    <w:rsid w:val="00082D21"/>
    <w:rsid w:val="00082E1E"/>
    <w:rsid w:val="00082F2A"/>
    <w:rsid w:val="00083173"/>
    <w:rsid w:val="000832E2"/>
    <w:rsid w:val="00083429"/>
    <w:rsid w:val="00083FE3"/>
    <w:rsid w:val="00084387"/>
    <w:rsid w:val="00084761"/>
    <w:rsid w:val="00084AF6"/>
    <w:rsid w:val="00084E02"/>
    <w:rsid w:val="00084EE6"/>
    <w:rsid w:val="0008506C"/>
    <w:rsid w:val="0008527C"/>
    <w:rsid w:val="0008545A"/>
    <w:rsid w:val="00085AC2"/>
    <w:rsid w:val="00085AFD"/>
    <w:rsid w:val="00085B01"/>
    <w:rsid w:val="00085BC7"/>
    <w:rsid w:val="00085C51"/>
    <w:rsid w:val="00085E26"/>
    <w:rsid w:val="0008600B"/>
    <w:rsid w:val="00086154"/>
    <w:rsid w:val="00086620"/>
    <w:rsid w:val="000868F5"/>
    <w:rsid w:val="00086C83"/>
    <w:rsid w:val="00086F11"/>
    <w:rsid w:val="00087335"/>
    <w:rsid w:val="000873CD"/>
    <w:rsid w:val="000876FA"/>
    <w:rsid w:val="00087774"/>
    <w:rsid w:val="00087A0A"/>
    <w:rsid w:val="00087BB3"/>
    <w:rsid w:val="0009016A"/>
    <w:rsid w:val="000909B9"/>
    <w:rsid w:val="00090A07"/>
    <w:rsid w:val="00090B9F"/>
    <w:rsid w:val="00090D41"/>
    <w:rsid w:val="00090DE6"/>
    <w:rsid w:val="0009127D"/>
    <w:rsid w:val="000924D4"/>
    <w:rsid w:val="00092C29"/>
    <w:rsid w:val="00093938"/>
    <w:rsid w:val="00093B5D"/>
    <w:rsid w:val="00094B3C"/>
    <w:rsid w:val="00094CB4"/>
    <w:rsid w:val="00094E38"/>
    <w:rsid w:val="00095213"/>
    <w:rsid w:val="00095ABF"/>
    <w:rsid w:val="00095EBA"/>
    <w:rsid w:val="00096313"/>
    <w:rsid w:val="00096371"/>
    <w:rsid w:val="0009657B"/>
    <w:rsid w:val="0009679D"/>
    <w:rsid w:val="00096954"/>
    <w:rsid w:val="00096C13"/>
    <w:rsid w:val="00096DB8"/>
    <w:rsid w:val="000971AB"/>
    <w:rsid w:val="000972EF"/>
    <w:rsid w:val="0009734F"/>
    <w:rsid w:val="000977C6"/>
    <w:rsid w:val="00097945"/>
    <w:rsid w:val="000A0805"/>
    <w:rsid w:val="000A0936"/>
    <w:rsid w:val="000A09E7"/>
    <w:rsid w:val="000A0AC7"/>
    <w:rsid w:val="000A0D76"/>
    <w:rsid w:val="000A1026"/>
    <w:rsid w:val="000A1070"/>
    <w:rsid w:val="000A123E"/>
    <w:rsid w:val="000A169F"/>
    <w:rsid w:val="000A1D54"/>
    <w:rsid w:val="000A206E"/>
    <w:rsid w:val="000A2640"/>
    <w:rsid w:val="000A27BB"/>
    <w:rsid w:val="000A320D"/>
    <w:rsid w:val="000A32BD"/>
    <w:rsid w:val="000A3D66"/>
    <w:rsid w:val="000A3E31"/>
    <w:rsid w:val="000A3EBA"/>
    <w:rsid w:val="000A4087"/>
    <w:rsid w:val="000A40FD"/>
    <w:rsid w:val="000A4131"/>
    <w:rsid w:val="000A4E9A"/>
    <w:rsid w:val="000A5314"/>
    <w:rsid w:val="000A53FD"/>
    <w:rsid w:val="000A5D8F"/>
    <w:rsid w:val="000A5D99"/>
    <w:rsid w:val="000A63AD"/>
    <w:rsid w:val="000A6591"/>
    <w:rsid w:val="000A677A"/>
    <w:rsid w:val="000A69D2"/>
    <w:rsid w:val="000A7213"/>
    <w:rsid w:val="000A72CA"/>
    <w:rsid w:val="000A77D6"/>
    <w:rsid w:val="000A78EC"/>
    <w:rsid w:val="000A7A9F"/>
    <w:rsid w:val="000A7B77"/>
    <w:rsid w:val="000A7CF9"/>
    <w:rsid w:val="000B01FA"/>
    <w:rsid w:val="000B022B"/>
    <w:rsid w:val="000B02ED"/>
    <w:rsid w:val="000B0DCE"/>
    <w:rsid w:val="000B0FD7"/>
    <w:rsid w:val="000B1910"/>
    <w:rsid w:val="000B1BA4"/>
    <w:rsid w:val="000B1C44"/>
    <w:rsid w:val="000B1D7E"/>
    <w:rsid w:val="000B1F20"/>
    <w:rsid w:val="000B1F2B"/>
    <w:rsid w:val="000B27E0"/>
    <w:rsid w:val="000B2A82"/>
    <w:rsid w:val="000B2AAC"/>
    <w:rsid w:val="000B32C5"/>
    <w:rsid w:val="000B32E4"/>
    <w:rsid w:val="000B3304"/>
    <w:rsid w:val="000B38EA"/>
    <w:rsid w:val="000B399E"/>
    <w:rsid w:val="000B3F89"/>
    <w:rsid w:val="000B51E7"/>
    <w:rsid w:val="000B56C0"/>
    <w:rsid w:val="000B5A90"/>
    <w:rsid w:val="000B5B83"/>
    <w:rsid w:val="000B5DC1"/>
    <w:rsid w:val="000B625F"/>
    <w:rsid w:val="000B6575"/>
    <w:rsid w:val="000B6A87"/>
    <w:rsid w:val="000B6C6C"/>
    <w:rsid w:val="000B6D0F"/>
    <w:rsid w:val="000B6E6D"/>
    <w:rsid w:val="000B6F52"/>
    <w:rsid w:val="000B72E0"/>
    <w:rsid w:val="000B7989"/>
    <w:rsid w:val="000C0226"/>
    <w:rsid w:val="000C076E"/>
    <w:rsid w:val="000C099C"/>
    <w:rsid w:val="000C0F55"/>
    <w:rsid w:val="000C1097"/>
    <w:rsid w:val="000C11ED"/>
    <w:rsid w:val="000C1C3E"/>
    <w:rsid w:val="000C233C"/>
    <w:rsid w:val="000C25D8"/>
    <w:rsid w:val="000C267B"/>
    <w:rsid w:val="000C2980"/>
    <w:rsid w:val="000C2FB7"/>
    <w:rsid w:val="000C35FB"/>
    <w:rsid w:val="000C3630"/>
    <w:rsid w:val="000C3830"/>
    <w:rsid w:val="000C39B4"/>
    <w:rsid w:val="000C3BA7"/>
    <w:rsid w:val="000C3DA5"/>
    <w:rsid w:val="000C4457"/>
    <w:rsid w:val="000C4689"/>
    <w:rsid w:val="000C4D5C"/>
    <w:rsid w:val="000C4F84"/>
    <w:rsid w:val="000C5202"/>
    <w:rsid w:val="000C53F5"/>
    <w:rsid w:val="000C5564"/>
    <w:rsid w:val="000C5602"/>
    <w:rsid w:val="000C58B0"/>
    <w:rsid w:val="000C59C4"/>
    <w:rsid w:val="000C5B36"/>
    <w:rsid w:val="000C627A"/>
    <w:rsid w:val="000C6408"/>
    <w:rsid w:val="000C6819"/>
    <w:rsid w:val="000C6867"/>
    <w:rsid w:val="000C6F05"/>
    <w:rsid w:val="000C71C5"/>
    <w:rsid w:val="000C727A"/>
    <w:rsid w:val="000C7697"/>
    <w:rsid w:val="000C789E"/>
    <w:rsid w:val="000C7B4C"/>
    <w:rsid w:val="000C7EF4"/>
    <w:rsid w:val="000D072A"/>
    <w:rsid w:val="000D0F51"/>
    <w:rsid w:val="000D1221"/>
    <w:rsid w:val="000D1781"/>
    <w:rsid w:val="000D1B06"/>
    <w:rsid w:val="000D1E54"/>
    <w:rsid w:val="000D23EF"/>
    <w:rsid w:val="000D24E2"/>
    <w:rsid w:val="000D2BA7"/>
    <w:rsid w:val="000D2C85"/>
    <w:rsid w:val="000D36A3"/>
    <w:rsid w:val="000D3A7C"/>
    <w:rsid w:val="000D3CAE"/>
    <w:rsid w:val="000D3E53"/>
    <w:rsid w:val="000D4568"/>
    <w:rsid w:val="000D4BAF"/>
    <w:rsid w:val="000D4EE8"/>
    <w:rsid w:val="000D4FE9"/>
    <w:rsid w:val="000D5383"/>
    <w:rsid w:val="000D53B8"/>
    <w:rsid w:val="000D5645"/>
    <w:rsid w:val="000D5B97"/>
    <w:rsid w:val="000D5EA1"/>
    <w:rsid w:val="000D64B7"/>
    <w:rsid w:val="000D68E4"/>
    <w:rsid w:val="000D6C3B"/>
    <w:rsid w:val="000D70FA"/>
    <w:rsid w:val="000D7279"/>
    <w:rsid w:val="000D7679"/>
    <w:rsid w:val="000E0672"/>
    <w:rsid w:val="000E0D71"/>
    <w:rsid w:val="000E0FC9"/>
    <w:rsid w:val="000E1054"/>
    <w:rsid w:val="000E1473"/>
    <w:rsid w:val="000E162A"/>
    <w:rsid w:val="000E177D"/>
    <w:rsid w:val="000E19F0"/>
    <w:rsid w:val="000E1E6F"/>
    <w:rsid w:val="000E2098"/>
    <w:rsid w:val="000E237E"/>
    <w:rsid w:val="000E23BF"/>
    <w:rsid w:val="000E23EF"/>
    <w:rsid w:val="000E2BE0"/>
    <w:rsid w:val="000E2E1B"/>
    <w:rsid w:val="000E327D"/>
    <w:rsid w:val="000E32BE"/>
    <w:rsid w:val="000E32CD"/>
    <w:rsid w:val="000E33C5"/>
    <w:rsid w:val="000E3886"/>
    <w:rsid w:val="000E3AE8"/>
    <w:rsid w:val="000E3CFC"/>
    <w:rsid w:val="000E40CB"/>
    <w:rsid w:val="000E420F"/>
    <w:rsid w:val="000E4295"/>
    <w:rsid w:val="000E42DF"/>
    <w:rsid w:val="000E44A9"/>
    <w:rsid w:val="000E4A55"/>
    <w:rsid w:val="000E4A6D"/>
    <w:rsid w:val="000E4E04"/>
    <w:rsid w:val="000E5429"/>
    <w:rsid w:val="000E62CE"/>
    <w:rsid w:val="000E6324"/>
    <w:rsid w:val="000E63BC"/>
    <w:rsid w:val="000E649F"/>
    <w:rsid w:val="000E66DF"/>
    <w:rsid w:val="000E6B08"/>
    <w:rsid w:val="000E6B42"/>
    <w:rsid w:val="000E70A5"/>
    <w:rsid w:val="000E7523"/>
    <w:rsid w:val="000E785C"/>
    <w:rsid w:val="000E78BC"/>
    <w:rsid w:val="000E7F42"/>
    <w:rsid w:val="000F039B"/>
    <w:rsid w:val="000F0888"/>
    <w:rsid w:val="000F09BC"/>
    <w:rsid w:val="000F0DEA"/>
    <w:rsid w:val="000F0DFE"/>
    <w:rsid w:val="000F1394"/>
    <w:rsid w:val="000F14F7"/>
    <w:rsid w:val="000F1519"/>
    <w:rsid w:val="000F18A3"/>
    <w:rsid w:val="000F19CA"/>
    <w:rsid w:val="000F1A51"/>
    <w:rsid w:val="000F1CEF"/>
    <w:rsid w:val="000F25EE"/>
    <w:rsid w:val="000F269A"/>
    <w:rsid w:val="000F26C0"/>
    <w:rsid w:val="000F2873"/>
    <w:rsid w:val="000F2BE7"/>
    <w:rsid w:val="000F2CEF"/>
    <w:rsid w:val="000F2FB2"/>
    <w:rsid w:val="000F32AC"/>
    <w:rsid w:val="000F370D"/>
    <w:rsid w:val="000F380D"/>
    <w:rsid w:val="000F3E1E"/>
    <w:rsid w:val="000F4698"/>
    <w:rsid w:val="000F46CB"/>
    <w:rsid w:val="000F4D00"/>
    <w:rsid w:val="000F4FE7"/>
    <w:rsid w:val="000F5E41"/>
    <w:rsid w:val="000F5EC4"/>
    <w:rsid w:val="000F5EC9"/>
    <w:rsid w:val="000F6161"/>
    <w:rsid w:val="000F716C"/>
    <w:rsid w:val="000F7520"/>
    <w:rsid w:val="000F7AD5"/>
    <w:rsid w:val="000F7CB4"/>
    <w:rsid w:val="000F7D62"/>
    <w:rsid w:val="000F7F64"/>
    <w:rsid w:val="000F7FAE"/>
    <w:rsid w:val="00100058"/>
    <w:rsid w:val="00100268"/>
    <w:rsid w:val="001002DA"/>
    <w:rsid w:val="00100472"/>
    <w:rsid w:val="0010072C"/>
    <w:rsid w:val="00100B0C"/>
    <w:rsid w:val="00100FAA"/>
    <w:rsid w:val="00101285"/>
    <w:rsid w:val="00101A55"/>
    <w:rsid w:val="00101F21"/>
    <w:rsid w:val="0010203F"/>
    <w:rsid w:val="00102B37"/>
    <w:rsid w:val="00102E12"/>
    <w:rsid w:val="001030AE"/>
    <w:rsid w:val="0010327A"/>
    <w:rsid w:val="00103356"/>
    <w:rsid w:val="00103433"/>
    <w:rsid w:val="00103564"/>
    <w:rsid w:val="001035FC"/>
    <w:rsid w:val="00103A48"/>
    <w:rsid w:val="00103D71"/>
    <w:rsid w:val="00104168"/>
    <w:rsid w:val="00104E34"/>
    <w:rsid w:val="00104E68"/>
    <w:rsid w:val="00104EC6"/>
    <w:rsid w:val="00105774"/>
    <w:rsid w:val="00105B08"/>
    <w:rsid w:val="00105CFF"/>
    <w:rsid w:val="0010607E"/>
    <w:rsid w:val="0010642A"/>
    <w:rsid w:val="0010687A"/>
    <w:rsid w:val="00106AA3"/>
    <w:rsid w:val="00107126"/>
    <w:rsid w:val="001075A8"/>
    <w:rsid w:val="001079C3"/>
    <w:rsid w:val="00107B24"/>
    <w:rsid w:val="00110856"/>
    <w:rsid w:val="00110D5D"/>
    <w:rsid w:val="001112CB"/>
    <w:rsid w:val="00111347"/>
    <w:rsid w:val="00111823"/>
    <w:rsid w:val="00111CBB"/>
    <w:rsid w:val="00111D49"/>
    <w:rsid w:val="0011212C"/>
    <w:rsid w:val="001124E6"/>
    <w:rsid w:val="001125D9"/>
    <w:rsid w:val="00112A83"/>
    <w:rsid w:val="00112AF7"/>
    <w:rsid w:val="00112B79"/>
    <w:rsid w:val="00112FD6"/>
    <w:rsid w:val="00113BDB"/>
    <w:rsid w:val="00113E20"/>
    <w:rsid w:val="00113E61"/>
    <w:rsid w:val="00113F0D"/>
    <w:rsid w:val="00114045"/>
    <w:rsid w:val="00114364"/>
    <w:rsid w:val="001143AE"/>
    <w:rsid w:val="001143D0"/>
    <w:rsid w:val="00114488"/>
    <w:rsid w:val="001146BF"/>
    <w:rsid w:val="001148C3"/>
    <w:rsid w:val="001150D8"/>
    <w:rsid w:val="0011562D"/>
    <w:rsid w:val="001156D5"/>
    <w:rsid w:val="0011636E"/>
    <w:rsid w:val="00116DD5"/>
    <w:rsid w:val="00117309"/>
    <w:rsid w:val="00117AF1"/>
    <w:rsid w:val="00117BB0"/>
    <w:rsid w:val="00117C1F"/>
    <w:rsid w:val="0012011D"/>
    <w:rsid w:val="00120457"/>
    <w:rsid w:val="00120D7F"/>
    <w:rsid w:val="00120F89"/>
    <w:rsid w:val="00121177"/>
    <w:rsid w:val="001216FA"/>
    <w:rsid w:val="00121F1E"/>
    <w:rsid w:val="00122912"/>
    <w:rsid w:val="00122976"/>
    <w:rsid w:val="00122E75"/>
    <w:rsid w:val="0012380F"/>
    <w:rsid w:val="00123978"/>
    <w:rsid w:val="00123A77"/>
    <w:rsid w:val="00124117"/>
    <w:rsid w:val="001248B9"/>
    <w:rsid w:val="001249B2"/>
    <w:rsid w:val="001250EB"/>
    <w:rsid w:val="001254C6"/>
    <w:rsid w:val="00125651"/>
    <w:rsid w:val="00125958"/>
    <w:rsid w:val="00125AC1"/>
    <w:rsid w:val="00125C51"/>
    <w:rsid w:val="00125D56"/>
    <w:rsid w:val="00125FC1"/>
    <w:rsid w:val="00125FD7"/>
    <w:rsid w:val="001261E2"/>
    <w:rsid w:val="00126235"/>
    <w:rsid w:val="0012636E"/>
    <w:rsid w:val="001267F9"/>
    <w:rsid w:val="00126876"/>
    <w:rsid w:val="001273DA"/>
    <w:rsid w:val="00127ADF"/>
    <w:rsid w:val="00127CCE"/>
    <w:rsid w:val="0013060B"/>
    <w:rsid w:val="001306A7"/>
    <w:rsid w:val="00130759"/>
    <w:rsid w:val="00130A88"/>
    <w:rsid w:val="00131084"/>
    <w:rsid w:val="0013114E"/>
    <w:rsid w:val="001315D4"/>
    <w:rsid w:val="001315EA"/>
    <w:rsid w:val="0013171C"/>
    <w:rsid w:val="001319AE"/>
    <w:rsid w:val="00132098"/>
    <w:rsid w:val="0013239A"/>
    <w:rsid w:val="00132674"/>
    <w:rsid w:val="00132A09"/>
    <w:rsid w:val="00132D0E"/>
    <w:rsid w:val="00132F27"/>
    <w:rsid w:val="001334D9"/>
    <w:rsid w:val="001335FA"/>
    <w:rsid w:val="0013399B"/>
    <w:rsid w:val="00134063"/>
    <w:rsid w:val="0013455F"/>
    <w:rsid w:val="00134836"/>
    <w:rsid w:val="00135207"/>
    <w:rsid w:val="001358CD"/>
    <w:rsid w:val="00135D93"/>
    <w:rsid w:val="00135EC9"/>
    <w:rsid w:val="001376AE"/>
    <w:rsid w:val="00137940"/>
    <w:rsid w:val="00137B50"/>
    <w:rsid w:val="00137FEB"/>
    <w:rsid w:val="001400C6"/>
    <w:rsid w:val="0014041C"/>
    <w:rsid w:val="00140552"/>
    <w:rsid w:val="0014197D"/>
    <w:rsid w:val="001419EF"/>
    <w:rsid w:val="00141A37"/>
    <w:rsid w:val="00141B4A"/>
    <w:rsid w:val="00141C42"/>
    <w:rsid w:val="001421E4"/>
    <w:rsid w:val="0014289C"/>
    <w:rsid w:val="00142F44"/>
    <w:rsid w:val="00143151"/>
    <w:rsid w:val="001431DB"/>
    <w:rsid w:val="00143799"/>
    <w:rsid w:val="001439E8"/>
    <w:rsid w:val="00143A49"/>
    <w:rsid w:val="00143C18"/>
    <w:rsid w:val="0014409A"/>
    <w:rsid w:val="001440DD"/>
    <w:rsid w:val="00144DF8"/>
    <w:rsid w:val="001456F4"/>
    <w:rsid w:val="00145A1D"/>
    <w:rsid w:val="001463B3"/>
    <w:rsid w:val="00147253"/>
    <w:rsid w:val="00147300"/>
    <w:rsid w:val="0014748A"/>
    <w:rsid w:val="00147559"/>
    <w:rsid w:val="001478BA"/>
    <w:rsid w:val="00147CF6"/>
    <w:rsid w:val="00150616"/>
    <w:rsid w:val="001506A9"/>
    <w:rsid w:val="00150F92"/>
    <w:rsid w:val="001511A4"/>
    <w:rsid w:val="0015128D"/>
    <w:rsid w:val="00151343"/>
    <w:rsid w:val="001516DB"/>
    <w:rsid w:val="00151BB3"/>
    <w:rsid w:val="00152BBE"/>
    <w:rsid w:val="00152E56"/>
    <w:rsid w:val="001532E5"/>
    <w:rsid w:val="0015378F"/>
    <w:rsid w:val="001538D3"/>
    <w:rsid w:val="00153A3C"/>
    <w:rsid w:val="00153BD1"/>
    <w:rsid w:val="00153D5E"/>
    <w:rsid w:val="00154850"/>
    <w:rsid w:val="0015485C"/>
    <w:rsid w:val="00154B63"/>
    <w:rsid w:val="00154CB3"/>
    <w:rsid w:val="00155117"/>
    <w:rsid w:val="001555D0"/>
    <w:rsid w:val="001559AA"/>
    <w:rsid w:val="00156C7D"/>
    <w:rsid w:val="00156D13"/>
    <w:rsid w:val="00156F02"/>
    <w:rsid w:val="00157260"/>
    <w:rsid w:val="0015733B"/>
    <w:rsid w:val="001575D8"/>
    <w:rsid w:val="00157664"/>
    <w:rsid w:val="001600DF"/>
    <w:rsid w:val="00160180"/>
    <w:rsid w:val="00160503"/>
    <w:rsid w:val="00161148"/>
    <w:rsid w:val="001611C8"/>
    <w:rsid w:val="00161230"/>
    <w:rsid w:val="001612D8"/>
    <w:rsid w:val="00161444"/>
    <w:rsid w:val="0016149C"/>
    <w:rsid w:val="001614D8"/>
    <w:rsid w:val="00161A69"/>
    <w:rsid w:val="00161AEE"/>
    <w:rsid w:val="00161BFF"/>
    <w:rsid w:val="00161C15"/>
    <w:rsid w:val="00161D33"/>
    <w:rsid w:val="00162056"/>
    <w:rsid w:val="001622D3"/>
    <w:rsid w:val="00162C0B"/>
    <w:rsid w:val="0016323D"/>
    <w:rsid w:val="001632FB"/>
    <w:rsid w:val="0016343C"/>
    <w:rsid w:val="00163540"/>
    <w:rsid w:val="001645B6"/>
    <w:rsid w:val="00164938"/>
    <w:rsid w:val="001649B5"/>
    <w:rsid w:val="00164C3E"/>
    <w:rsid w:val="00164DAA"/>
    <w:rsid w:val="001652F4"/>
    <w:rsid w:val="00165947"/>
    <w:rsid w:val="00165C76"/>
    <w:rsid w:val="00165E0A"/>
    <w:rsid w:val="001661D3"/>
    <w:rsid w:val="00166288"/>
    <w:rsid w:val="00166316"/>
    <w:rsid w:val="00166319"/>
    <w:rsid w:val="001664CA"/>
    <w:rsid w:val="001671CF"/>
    <w:rsid w:val="00167687"/>
    <w:rsid w:val="00167757"/>
    <w:rsid w:val="00167891"/>
    <w:rsid w:val="00167A99"/>
    <w:rsid w:val="00167FAA"/>
    <w:rsid w:val="00167FBE"/>
    <w:rsid w:val="00167FDD"/>
    <w:rsid w:val="001703A0"/>
    <w:rsid w:val="00170967"/>
    <w:rsid w:val="00170991"/>
    <w:rsid w:val="00170A4B"/>
    <w:rsid w:val="00170CE1"/>
    <w:rsid w:val="00170E15"/>
    <w:rsid w:val="00170E70"/>
    <w:rsid w:val="001711DC"/>
    <w:rsid w:val="0017188E"/>
    <w:rsid w:val="00172A01"/>
    <w:rsid w:val="00172E48"/>
    <w:rsid w:val="00173151"/>
    <w:rsid w:val="00173955"/>
    <w:rsid w:val="001747FB"/>
    <w:rsid w:val="00174879"/>
    <w:rsid w:val="0017489B"/>
    <w:rsid w:val="00174B36"/>
    <w:rsid w:val="00174D35"/>
    <w:rsid w:val="00175079"/>
    <w:rsid w:val="0017508C"/>
    <w:rsid w:val="00175120"/>
    <w:rsid w:val="00175364"/>
    <w:rsid w:val="00175897"/>
    <w:rsid w:val="00175B59"/>
    <w:rsid w:val="00175DBA"/>
    <w:rsid w:val="00175FBA"/>
    <w:rsid w:val="0017600F"/>
    <w:rsid w:val="001765A3"/>
    <w:rsid w:val="00176F23"/>
    <w:rsid w:val="001770F1"/>
    <w:rsid w:val="001772A7"/>
    <w:rsid w:val="00177A94"/>
    <w:rsid w:val="0018016F"/>
    <w:rsid w:val="00180464"/>
    <w:rsid w:val="00180A46"/>
    <w:rsid w:val="00180B4B"/>
    <w:rsid w:val="00180F58"/>
    <w:rsid w:val="00181180"/>
    <w:rsid w:val="0018133F"/>
    <w:rsid w:val="00181555"/>
    <w:rsid w:val="00181A1C"/>
    <w:rsid w:val="00182103"/>
    <w:rsid w:val="001823B9"/>
    <w:rsid w:val="00182A18"/>
    <w:rsid w:val="00182B9D"/>
    <w:rsid w:val="00183052"/>
    <w:rsid w:val="001836BE"/>
    <w:rsid w:val="00183ACA"/>
    <w:rsid w:val="00183B4D"/>
    <w:rsid w:val="00183F63"/>
    <w:rsid w:val="00184632"/>
    <w:rsid w:val="00184694"/>
    <w:rsid w:val="00185048"/>
    <w:rsid w:val="001857BC"/>
    <w:rsid w:val="00185DEC"/>
    <w:rsid w:val="00185F1A"/>
    <w:rsid w:val="00186029"/>
    <w:rsid w:val="00186E87"/>
    <w:rsid w:val="001871F1"/>
    <w:rsid w:val="0018767A"/>
    <w:rsid w:val="00187799"/>
    <w:rsid w:val="00190077"/>
    <w:rsid w:val="00190333"/>
    <w:rsid w:val="001906DB"/>
    <w:rsid w:val="0019079B"/>
    <w:rsid w:val="001910F4"/>
    <w:rsid w:val="00191237"/>
    <w:rsid w:val="0019150C"/>
    <w:rsid w:val="00191515"/>
    <w:rsid w:val="00191B8A"/>
    <w:rsid w:val="00192293"/>
    <w:rsid w:val="00192353"/>
    <w:rsid w:val="0019272F"/>
    <w:rsid w:val="00192736"/>
    <w:rsid w:val="001927F0"/>
    <w:rsid w:val="00192880"/>
    <w:rsid w:val="00192937"/>
    <w:rsid w:val="00192E96"/>
    <w:rsid w:val="00192F98"/>
    <w:rsid w:val="00193A14"/>
    <w:rsid w:val="00193A4B"/>
    <w:rsid w:val="00193CF7"/>
    <w:rsid w:val="00193D54"/>
    <w:rsid w:val="00194384"/>
    <w:rsid w:val="00194DAF"/>
    <w:rsid w:val="00195940"/>
    <w:rsid w:val="001959E9"/>
    <w:rsid w:val="00195B32"/>
    <w:rsid w:val="001967A3"/>
    <w:rsid w:val="001967B2"/>
    <w:rsid w:val="00196C94"/>
    <w:rsid w:val="00196D70"/>
    <w:rsid w:val="001971CB"/>
    <w:rsid w:val="0019720C"/>
    <w:rsid w:val="001973D5"/>
    <w:rsid w:val="001977AD"/>
    <w:rsid w:val="00197AD3"/>
    <w:rsid w:val="00197EAC"/>
    <w:rsid w:val="001A047F"/>
    <w:rsid w:val="001A0668"/>
    <w:rsid w:val="001A0BA4"/>
    <w:rsid w:val="001A0D3B"/>
    <w:rsid w:val="001A11E5"/>
    <w:rsid w:val="001A13B6"/>
    <w:rsid w:val="001A14D5"/>
    <w:rsid w:val="001A19E6"/>
    <w:rsid w:val="001A1FCD"/>
    <w:rsid w:val="001A20C6"/>
    <w:rsid w:val="001A22C1"/>
    <w:rsid w:val="001A25AE"/>
    <w:rsid w:val="001A2616"/>
    <w:rsid w:val="001A28FB"/>
    <w:rsid w:val="001A2902"/>
    <w:rsid w:val="001A2967"/>
    <w:rsid w:val="001A34D7"/>
    <w:rsid w:val="001A38F0"/>
    <w:rsid w:val="001A3A0A"/>
    <w:rsid w:val="001A3F3F"/>
    <w:rsid w:val="001A41BF"/>
    <w:rsid w:val="001A4D76"/>
    <w:rsid w:val="001A5199"/>
    <w:rsid w:val="001A57C1"/>
    <w:rsid w:val="001A5AFA"/>
    <w:rsid w:val="001A7AAD"/>
    <w:rsid w:val="001A7B3C"/>
    <w:rsid w:val="001B000F"/>
    <w:rsid w:val="001B01CB"/>
    <w:rsid w:val="001B07B9"/>
    <w:rsid w:val="001B0ADE"/>
    <w:rsid w:val="001B10B4"/>
    <w:rsid w:val="001B1426"/>
    <w:rsid w:val="001B15BA"/>
    <w:rsid w:val="001B1A43"/>
    <w:rsid w:val="001B20F5"/>
    <w:rsid w:val="001B26D9"/>
    <w:rsid w:val="001B28C7"/>
    <w:rsid w:val="001B2A8B"/>
    <w:rsid w:val="001B3221"/>
    <w:rsid w:val="001B3775"/>
    <w:rsid w:val="001B3AD8"/>
    <w:rsid w:val="001B3F06"/>
    <w:rsid w:val="001B4695"/>
    <w:rsid w:val="001B46E7"/>
    <w:rsid w:val="001B4A8F"/>
    <w:rsid w:val="001B52C9"/>
    <w:rsid w:val="001B5337"/>
    <w:rsid w:val="001B53BC"/>
    <w:rsid w:val="001B57BC"/>
    <w:rsid w:val="001B599E"/>
    <w:rsid w:val="001B5A78"/>
    <w:rsid w:val="001B5CAF"/>
    <w:rsid w:val="001B665C"/>
    <w:rsid w:val="001B6B0B"/>
    <w:rsid w:val="001B7735"/>
    <w:rsid w:val="001B77ED"/>
    <w:rsid w:val="001B7B68"/>
    <w:rsid w:val="001C0221"/>
    <w:rsid w:val="001C061E"/>
    <w:rsid w:val="001C0F4B"/>
    <w:rsid w:val="001C0FBC"/>
    <w:rsid w:val="001C129F"/>
    <w:rsid w:val="001C13ED"/>
    <w:rsid w:val="001C1687"/>
    <w:rsid w:val="001C1F72"/>
    <w:rsid w:val="001C218A"/>
    <w:rsid w:val="001C2213"/>
    <w:rsid w:val="001C2C8A"/>
    <w:rsid w:val="001C2E71"/>
    <w:rsid w:val="001C3A11"/>
    <w:rsid w:val="001C3B24"/>
    <w:rsid w:val="001C3D9E"/>
    <w:rsid w:val="001C4877"/>
    <w:rsid w:val="001C51E1"/>
    <w:rsid w:val="001C5236"/>
    <w:rsid w:val="001C5458"/>
    <w:rsid w:val="001C5F64"/>
    <w:rsid w:val="001C6181"/>
    <w:rsid w:val="001C6347"/>
    <w:rsid w:val="001C6887"/>
    <w:rsid w:val="001C6B3C"/>
    <w:rsid w:val="001C736C"/>
    <w:rsid w:val="001C78BB"/>
    <w:rsid w:val="001C7E3F"/>
    <w:rsid w:val="001D07C1"/>
    <w:rsid w:val="001D0963"/>
    <w:rsid w:val="001D0D4A"/>
    <w:rsid w:val="001D0DC3"/>
    <w:rsid w:val="001D0F42"/>
    <w:rsid w:val="001D1045"/>
    <w:rsid w:val="001D2416"/>
    <w:rsid w:val="001D2592"/>
    <w:rsid w:val="001D26FF"/>
    <w:rsid w:val="001D2C5F"/>
    <w:rsid w:val="001D3155"/>
    <w:rsid w:val="001D330A"/>
    <w:rsid w:val="001D35C0"/>
    <w:rsid w:val="001D3A08"/>
    <w:rsid w:val="001D4279"/>
    <w:rsid w:val="001D447C"/>
    <w:rsid w:val="001D4745"/>
    <w:rsid w:val="001D4AD4"/>
    <w:rsid w:val="001D4E3C"/>
    <w:rsid w:val="001D5006"/>
    <w:rsid w:val="001D58AB"/>
    <w:rsid w:val="001D5E51"/>
    <w:rsid w:val="001D682E"/>
    <w:rsid w:val="001D6B31"/>
    <w:rsid w:val="001D6B45"/>
    <w:rsid w:val="001D6CF4"/>
    <w:rsid w:val="001D744B"/>
    <w:rsid w:val="001E079A"/>
    <w:rsid w:val="001E081F"/>
    <w:rsid w:val="001E08DA"/>
    <w:rsid w:val="001E0B27"/>
    <w:rsid w:val="001E0EDB"/>
    <w:rsid w:val="001E13D3"/>
    <w:rsid w:val="001E15E8"/>
    <w:rsid w:val="001E1B40"/>
    <w:rsid w:val="001E1BE8"/>
    <w:rsid w:val="001E204F"/>
    <w:rsid w:val="001E24EA"/>
    <w:rsid w:val="001E2F57"/>
    <w:rsid w:val="001E4755"/>
    <w:rsid w:val="001E4804"/>
    <w:rsid w:val="001E4F73"/>
    <w:rsid w:val="001E51F7"/>
    <w:rsid w:val="001E531B"/>
    <w:rsid w:val="001E54C0"/>
    <w:rsid w:val="001E551F"/>
    <w:rsid w:val="001E55E6"/>
    <w:rsid w:val="001E5952"/>
    <w:rsid w:val="001E5D07"/>
    <w:rsid w:val="001E5DAC"/>
    <w:rsid w:val="001E6089"/>
    <w:rsid w:val="001E67C4"/>
    <w:rsid w:val="001E7779"/>
    <w:rsid w:val="001E779F"/>
    <w:rsid w:val="001E79F6"/>
    <w:rsid w:val="001F0235"/>
    <w:rsid w:val="001F0698"/>
    <w:rsid w:val="001F0879"/>
    <w:rsid w:val="001F0E4B"/>
    <w:rsid w:val="001F1597"/>
    <w:rsid w:val="001F1ABF"/>
    <w:rsid w:val="001F1DAA"/>
    <w:rsid w:val="001F21EC"/>
    <w:rsid w:val="001F3366"/>
    <w:rsid w:val="001F352E"/>
    <w:rsid w:val="001F38D3"/>
    <w:rsid w:val="001F3E90"/>
    <w:rsid w:val="001F3EF9"/>
    <w:rsid w:val="001F4360"/>
    <w:rsid w:val="001F4B05"/>
    <w:rsid w:val="001F4BC7"/>
    <w:rsid w:val="001F53EF"/>
    <w:rsid w:val="001F5498"/>
    <w:rsid w:val="001F573B"/>
    <w:rsid w:val="001F5C37"/>
    <w:rsid w:val="001F5EA0"/>
    <w:rsid w:val="001F60A2"/>
    <w:rsid w:val="001F6302"/>
    <w:rsid w:val="001F64D7"/>
    <w:rsid w:val="001F66D3"/>
    <w:rsid w:val="001F7077"/>
    <w:rsid w:val="001F70B7"/>
    <w:rsid w:val="001F7282"/>
    <w:rsid w:val="001F77BE"/>
    <w:rsid w:val="001F7D1B"/>
    <w:rsid w:val="002000EB"/>
    <w:rsid w:val="002005F7"/>
    <w:rsid w:val="00200A45"/>
    <w:rsid w:val="00200C03"/>
    <w:rsid w:val="00200EAC"/>
    <w:rsid w:val="0020169C"/>
    <w:rsid w:val="00201C23"/>
    <w:rsid w:val="00201D2E"/>
    <w:rsid w:val="002023EE"/>
    <w:rsid w:val="00202773"/>
    <w:rsid w:val="00202BBE"/>
    <w:rsid w:val="00202BC9"/>
    <w:rsid w:val="00202F9C"/>
    <w:rsid w:val="00202FBE"/>
    <w:rsid w:val="002034BA"/>
    <w:rsid w:val="0020368C"/>
    <w:rsid w:val="00203790"/>
    <w:rsid w:val="002039D7"/>
    <w:rsid w:val="00203B8B"/>
    <w:rsid w:val="00203C0F"/>
    <w:rsid w:val="00203C61"/>
    <w:rsid w:val="00204018"/>
    <w:rsid w:val="00204871"/>
    <w:rsid w:val="00204C24"/>
    <w:rsid w:val="00204C6A"/>
    <w:rsid w:val="002057AA"/>
    <w:rsid w:val="00205C76"/>
    <w:rsid w:val="002068C9"/>
    <w:rsid w:val="00206BBF"/>
    <w:rsid w:val="00206E6F"/>
    <w:rsid w:val="00207188"/>
    <w:rsid w:val="002073C2"/>
    <w:rsid w:val="0020766F"/>
    <w:rsid w:val="00207EF4"/>
    <w:rsid w:val="00210DD3"/>
    <w:rsid w:val="00211045"/>
    <w:rsid w:val="002112B8"/>
    <w:rsid w:val="00211448"/>
    <w:rsid w:val="002116C4"/>
    <w:rsid w:val="00211886"/>
    <w:rsid w:val="00211AE2"/>
    <w:rsid w:val="00211EC0"/>
    <w:rsid w:val="00211EF1"/>
    <w:rsid w:val="0021265C"/>
    <w:rsid w:val="00212661"/>
    <w:rsid w:val="0021357B"/>
    <w:rsid w:val="002142A5"/>
    <w:rsid w:val="0021442F"/>
    <w:rsid w:val="00214777"/>
    <w:rsid w:val="00214CFE"/>
    <w:rsid w:val="00214F26"/>
    <w:rsid w:val="00215176"/>
    <w:rsid w:val="00215554"/>
    <w:rsid w:val="00215733"/>
    <w:rsid w:val="0021595C"/>
    <w:rsid w:val="00215FC4"/>
    <w:rsid w:val="002161F6"/>
    <w:rsid w:val="002165F4"/>
    <w:rsid w:val="00216FFC"/>
    <w:rsid w:val="00217777"/>
    <w:rsid w:val="00217B7E"/>
    <w:rsid w:val="00217C10"/>
    <w:rsid w:val="00217F9A"/>
    <w:rsid w:val="00220D49"/>
    <w:rsid w:val="002210D5"/>
    <w:rsid w:val="00221BAA"/>
    <w:rsid w:val="00221DAE"/>
    <w:rsid w:val="00221EF9"/>
    <w:rsid w:val="002222B9"/>
    <w:rsid w:val="002227FF"/>
    <w:rsid w:val="0022293C"/>
    <w:rsid w:val="00222B53"/>
    <w:rsid w:val="00222F6D"/>
    <w:rsid w:val="00223A96"/>
    <w:rsid w:val="00223EEC"/>
    <w:rsid w:val="002244F6"/>
    <w:rsid w:val="002244FD"/>
    <w:rsid w:val="0022476B"/>
    <w:rsid w:val="00224A5E"/>
    <w:rsid w:val="00224BE7"/>
    <w:rsid w:val="00224DC1"/>
    <w:rsid w:val="00224E8B"/>
    <w:rsid w:val="002250A9"/>
    <w:rsid w:val="00225129"/>
    <w:rsid w:val="0022535F"/>
    <w:rsid w:val="00225704"/>
    <w:rsid w:val="002258CD"/>
    <w:rsid w:val="00225B5B"/>
    <w:rsid w:val="00226403"/>
    <w:rsid w:val="00226461"/>
    <w:rsid w:val="00226679"/>
    <w:rsid w:val="00226782"/>
    <w:rsid w:val="00226932"/>
    <w:rsid w:val="00226F29"/>
    <w:rsid w:val="00227068"/>
    <w:rsid w:val="002272AB"/>
    <w:rsid w:val="002274CB"/>
    <w:rsid w:val="00227555"/>
    <w:rsid w:val="00227E2D"/>
    <w:rsid w:val="002300AE"/>
    <w:rsid w:val="00230515"/>
    <w:rsid w:val="00230ABF"/>
    <w:rsid w:val="00230E55"/>
    <w:rsid w:val="002311C5"/>
    <w:rsid w:val="002317F1"/>
    <w:rsid w:val="00231891"/>
    <w:rsid w:val="00231899"/>
    <w:rsid w:val="00231C07"/>
    <w:rsid w:val="00231E46"/>
    <w:rsid w:val="002320ED"/>
    <w:rsid w:val="002328F7"/>
    <w:rsid w:val="0023361F"/>
    <w:rsid w:val="00233824"/>
    <w:rsid w:val="002338C4"/>
    <w:rsid w:val="00233908"/>
    <w:rsid w:val="00233B11"/>
    <w:rsid w:val="00233E05"/>
    <w:rsid w:val="0023428C"/>
    <w:rsid w:val="002344A7"/>
    <w:rsid w:val="00234B37"/>
    <w:rsid w:val="00234D9F"/>
    <w:rsid w:val="00234F0F"/>
    <w:rsid w:val="00235A66"/>
    <w:rsid w:val="00235EFE"/>
    <w:rsid w:val="0023612D"/>
    <w:rsid w:val="0023622A"/>
    <w:rsid w:val="002363B1"/>
    <w:rsid w:val="0023707F"/>
    <w:rsid w:val="00237263"/>
    <w:rsid w:val="00237837"/>
    <w:rsid w:val="00237914"/>
    <w:rsid w:val="002409A9"/>
    <w:rsid w:val="00240A7B"/>
    <w:rsid w:val="00240C21"/>
    <w:rsid w:val="00240F22"/>
    <w:rsid w:val="002417D6"/>
    <w:rsid w:val="002417F9"/>
    <w:rsid w:val="00241BE0"/>
    <w:rsid w:val="002421BC"/>
    <w:rsid w:val="00242210"/>
    <w:rsid w:val="00242263"/>
    <w:rsid w:val="00242CF9"/>
    <w:rsid w:val="00243133"/>
    <w:rsid w:val="00243660"/>
    <w:rsid w:val="00243A79"/>
    <w:rsid w:val="00243B1E"/>
    <w:rsid w:val="00244133"/>
    <w:rsid w:val="002443A9"/>
    <w:rsid w:val="00244441"/>
    <w:rsid w:val="002447BE"/>
    <w:rsid w:val="002449AF"/>
    <w:rsid w:val="00244C69"/>
    <w:rsid w:val="002450DB"/>
    <w:rsid w:val="0024546D"/>
    <w:rsid w:val="00245E94"/>
    <w:rsid w:val="00245ECC"/>
    <w:rsid w:val="00246CF4"/>
    <w:rsid w:val="002471C5"/>
    <w:rsid w:val="002473BB"/>
    <w:rsid w:val="0024768D"/>
    <w:rsid w:val="002476D0"/>
    <w:rsid w:val="00247D0F"/>
    <w:rsid w:val="002500FB"/>
    <w:rsid w:val="00250697"/>
    <w:rsid w:val="00250829"/>
    <w:rsid w:val="00251722"/>
    <w:rsid w:val="00251B16"/>
    <w:rsid w:val="0025254B"/>
    <w:rsid w:val="00252594"/>
    <w:rsid w:val="00252697"/>
    <w:rsid w:val="00252B02"/>
    <w:rsid w:val="00252F1D"/>
    <w:rsid w:val="002534FD"/>
    <w:rsid w:val="002538CC"/>
    <w:rsid w:val="00253AC8"/>
    <w:rsid w:val="00253E7F"/>
    <w:rsid w:val="00254122"/>
    <w:rsid w:val="002546FF"/>
    <w:rsid w:val="00254781"/>
    <w:rsid w:val="002548DD"/>
    <w:rsid w:val="002555A3"/>
    <w:rsid w:val="0025597E"/>
    <w:rsid w:val="00255B2E"/>
    <w:rsid w:val="0025636A"/>
    <w:rsid w:val="00256443"/>
    <w:rsid w:val="002564F9"/>
    <w:rsid w:val="00256A69"/>
    <w:rsid w:val="00256C8A"/>
    <w:rsid w:val="00256E1E"/>
    <w:rsid w:val="0025771E"/>
    <w:rsid w:val="00257EA6"/>
    <w:rsid w:val="00257F9D"/>
    <w:rsid w:val="0026018C"/>
    <w:rsid w:val="00260508"/>
    <w:rsid w:val="0026094B"/>
    <w:rsid w:val="00260A10"/>
    <w:rsid w:val="00260A19"/>
    <w:rsid w:val="00260B0F"/>
    <w:rsid w:val="00260C44"/>
    <w:rsid w:val="00261067"/>
    <w:rsid w:val="002610AB"/>
    <w:rsid w:val="0026158D"/>
    <w:rsid w:val="00261836"/>
    <w:rsid w:val="0026195B"/>
    <w:rsid w:val="00261967"/>
    <w:rsid w:val="0026196A"/>
    <w:rsid w:val="002619F6"/>
    <w:rsid w:val="002621B0"/>
    <w:rsid w:val="0026234A"/>
    <w:rsid w:val="0026240F"/>
    <w:rsid w:val="00262636"/>
    <w:rsid w:val="00262C3B"/>
    <w:rsid w:val="002639B6"/>
    <w:rsid w:val="00263B85"/>
    <w:rsid w:val="00263B9E"/>
    <w:rsid w:val="00263C5B"/>
    <w:rsid w:val="00263F1D"/>
    <w:rsid w:val="0026417C"/>
    <w:rsid w:val="002645E0"/>
    <w:rsid w:val="002646BC"/>
    <w:rsid w:val="00264C3C"/>
    <w:rsid w:val="00264D1C"/>
    <w:rsid w:val="002651C4"/>
    <w:rsid w:val="002652E2"/>
    <w:rsid w:val="0026533A"/>
    <w:rsid w:val="00265594"/>
    <w:rsid w:val="002656E7"/>
    <w:rsid w:val="00265A7E"/>
    <w:rsid w:val="002660E7"/>
    <w:rsid w:val="00266427"/>
    <w:rsid w:val="0026698A"/>
    <w:rsid w:val="00266A37"/>
    <w:rsid w:val="00266A4E"/>
    <w:rsid w:val="00266B5E"/>
    <w:rsid w:val="00266BA4"/>
    <w:rsid w:val="0026788C"/>
    <w:rsid w:val="00270176"/>
    <w:rsid w:val="002703EE"/>
    <w:rsid w:val="00270486"/>
    <w:rsid w:val="00270BA6"/>
    <w:rsid w:val="002711A3"/>
    <w:rsid w:val="00271495"/>
    <w:rsid w:val="00271BB0"/>
    <w:rsid w:val="0027215F"/>
    <w:rsid w:val="00272239"/>
    <w:rsid w:val="0027254B"/>
    <w:rsid w:val="0027257D"/>
    <w:rsid w:val="0027278D"/>
    <w:rsid w:val="002727F1"/>
    <w:rsid w:val="0027284A"/>
    <w:rsid w:val="002733D4"/>
    <w:rsid w:val="0027349E"/>
    <w:rsid w:val="00273798"/>
    <w:rsid w:val="0027381D"/>
    <w:rsid w:val="0027386A"/>
    <w:rsid w:val="002743FA"/>
    <w:rsid w:val="00274620"/>
    <w:rsid w:val="00274BBB"/>
    <w:rsid w:val="0027566E"/>
    <w:rsid w:val="00275A35"/>
    <w:rsid w:val="00275D3C"/>
    <w:rsid w:val="00275D68"/>
    <w:rsid w:val="00276171"/>
    <w:rsid w:val="00276900"/>
    <w:rsid w:val="00276C62"/>
    <w:rsid w:val="0027710B"/>
    <w:rsid w:val="0027752A"/>
    <w:rsid w:val="00277C1C"/>
    <w:rsid w:val="00277D4A"/>
    <w:rsid w:val="00277E37"/>
    <w:rsid w:val="00277E82"/>
    <w:rsid w:val="00280061"/>
    <w:rsid w:val="00280144"/>
    <w:rsid w:val="00280375"/>
    <w:rsid w:val="00280377"/>
    <w:rsid w:val="002804AC"/>
    <w:rsid w:val="002804EB"/>
    <w:rsid w:val="00280E87"/>
    <w:rsid w:val="00281059"/>
    <w:rsid w:val="002812D7"/>
    <w:rsid w:val="00281554"/>
    <w:rsid w:val="00281A05"/>
    <w:rsid w:val="00281C4A"/>
    <w:rsid w:val="00281D6B"/>
    <w:rsid w:val="00282110"/>
    <w:rsid w:val="00282236"/>
    <w:rsid w:val="002828FD"/>
    <w:rsid w:val="002832B0"/>
    <w:rsid w:val="002838EA"/>
    <w:rsid w:val="00283AE9"/>
    <w:rsid w:val="002840A3"/>
    <w:rsid w:val="00284AB7"/>
    <w:rsid w:val="00284D53"/>
    <w:rsid w:val="002850DB"/>
    <w:rsid w:val="00285D73"/>
    <w:rsid w:val="00285F5C"/>
    <w:rsid w:val="002862AB"/>
    <w:rsid w:val="002862DE"/>
    <w:rsid w:val="002865EA"/>
    <w:rsid w:val="002869BD"/>
    <w:rsid w:val="00286CFA"/>
    <w:rsid w:val="00287290"/>
    <w:rsid w:val="0028777D"/>
    <w:rsid w:val="00290211"/>
    <w:rsid w:val="00290849"/>
    <w:rsid w:val="00290945"/>
    <w:rsid w:val="00290DD8"/>
    <w:rsid w:val="0029142B"/>
    <w:rsid w:val="0029200F"/>
    <w:rsid w:val="0029253F"/>
    <w:rsid w:val="00292686"/>
    <w:rsid w:val="00292729"/>
    <w:rsid w:val="00292DD1"/>
    <w:rsid w:val="00292E42"/>
    <w:rsid w:val="002930F0"/>
    <w:rsid w:val="0029317C"/>
    <w:rsid w:val="002934D7"/>
    <w:rsid w:val="00293972"/>
    <w:rsid w:val="002939A1"/>
    <w:rsid w:val="00293E11"/>
    <w:rsid w:val="00294271"/>
    <w:rsid w:val="0029428F"/>
    <w:rsid w:val="002943C8"/>
    <w:rsid w:val="002943D6"/>
    <w:rsid w:val="00294CC4"/>
    <w:rsid w:val="00294DB4"/>
    <w:rsid w:val="00294E55"/>
    <w:rsid w:val="00294E58"/>
    <w:rsid w:val="00295478"/>
    <w:rsid w:val="002957D8"/>
    <w:rsid w:val="00295EAE"/>
    <w:rsid w:val="0029619C"/>
    <w:rsid w:val="0029661E"/>
    <w:rsid w:val="00296AA9"/>
    <w:rsid w:val="00296BFD"/>
    <w:rsid w:val="00296CA0"/>
    <w:rsid w:val="00296E94"/>
    <w:rsid w:val="0029700A"/>
    <w:rsid w:val="00297699"/>
    <w:rsid w:val="00297761"/>
    <w:rsid w:val="002978BE"/>
    <w:rsid w:val="00297F47"/>
    <w:rsid w:val="002A0347"/>
    <w:rsid w:val="002A060F"/>
    <w:rsid w:val="002A0A1D"/>
    <w:rsid w:val="002A0D0D"/>
    <w:rsid w:val="002A12FD"/>
    <w:rsid w:val="002A1ECA"/>
    <w:rsid w:val="002A2139"/>
    <w:rsid w:val="002A3389"/>
    <w:rsid w:val="002A373D"/>
    <w:rsid w:val="002A3DE5"/>
    <w:rsid w:val="002A3E42"/>
    <w:rsid w:val="002A3EE0"/>
    <w:rsid w:val="002A44A4"/>
    <w:rsid w:val="002A44D1"/>
    <w:rsid w:val="002A4657"/>
    <w:rsid w:val="002A484E"/>
    <w:rsid w:val="002A5C5A"/>
    <w:rsid w:val="002A629A"/>
    <w:rsid w:val="002A670F"/>
    <w:rsid w:val="002A6EF8"/>
    <w:rsid w:val="002A7D91"/>
    <w:rsid w:val="002A7EC9"/>
    <w:rsid w:val="002B0249"/>
    <w:rsid w:val="002B03F7"/>
    <w:rsid w:val="002B0CB4"/>
    <w:rsid w:val="002B1088"/>
    <w:rsid w:val="002B113A"/>
    <w:rsid w:val="002B130B"/>
    <w:rsid w:val="002B1344"/>
    <w:rsid w:val="002B1735"/>
    <w:rsid w:val="002B1812"/>
    <w:rsid w:val="002B1B35"/>
    <w:rsid w:val="002B1B82"/>
    <w:rsid w:val="002B25FB"/>
    <w:rsid w:val="002B2D7C"/>
    <w:rsid w:val="002B3064"/>
    <w:rsid w:val="002B323E"/>
    <w:rsid w:val="002B3352"/>
    <w:rsid w:val="002B34FF"/>
    <w:rsid w:val="002B3890"/>
    <w:rsid w:val="002B3B22"/>
    <w:rsid w:val="002B3C30"/>
    <w:rsid w:val="002B3EB9"/>
    <w:rsid w:val="002B487A"/>
    <w:rsid w:val="002B4B86"/>
    <w:rsid w:val="002B4EA8"/>
    <w:rsid w:val="002B596F"/>
    <w:rsid w:val="002B5A11"/>
    <w:rsid w:val="002B5B1A"/>
    <w:rsid w:val="002B5BCB"/>
    <w:rsid w:val="002B5D56"/>
    <w:rsid w:val="002B5EAA"/>
    <w:rsid w:val="002B645E"/>
    <w:rsid w:val="002B6831"/>
    <w:rsid w:val="002B6F8C"/>
    <w:rsid w:val="002B706E"/>
    <w:rsid w:val="002B745C"/>
    <w:rsid w:val="002B7529"/>
    <w:rsid w:val="002B75CB"/>
    <w:rsid w:val="002B7983"/>
    <w:rsid w:val="002C0080"/>
    <w:rsid w:val="002C01C5"/>
    <w:rsid w:val="002C03CE"/>
    <w:rsid w:val="002C0E2C"/>
    <w:rsid w:val="002C0ECE"/>
    <w:rsid w:val="002C112A"/>
    <w:rsid w:val="002C13AE"/>
    <w:rsid w:val="002C17A3"/>
    <w:rsid w:val="002C1BD4"/>
    <w:rsid w:val="002C1C92"/>
    <w:rsid w:val="002C1FF9"/>
    <w:rsid w:val="002C2097"/>
    <w:rsid w:val="002C28FB"/>
    <w:rsid w:val="002C29DD"/>
    <w:rsid w:val="002C2BAC"/>
    <w:rsid w:val="002C2EDD"/>
    <w:rsid w:val="002C2FD9"/>
    <w:rsid w:val="002C3122"/>
    <w:rsid w:val="002C362C"/>
    <w:rsid w:val="002C3714"/>
    <w:rsid w:val="002C421F"/>
    <w:rsid w:val="002C44A8"/>
    <w:rsid w:val="002C4BCB"/>
    <w:rsid w:val="002C4F15"/>
    <w:rsid w:val="002C51E3"/>
    <w:rsid w:val="002C6157"/>
    <w:rsid w:val="002C63C4"/>
    <w:rsid w:val="002C64C2"/>
    <w:rsid w:val="002C6AB6"/>
    <w:rsid w:val="002C6C39"/>
    <w:rsid w:val="002C702C"/>
    <w:rsid w:val="002C72DC"/>
    <w:rsid w:val="002C7695"/>
    <w:rsid w:val="002C77D8"/>
    <w:rsid w:val="002C7905"/>
    <w:rsid w:val="002C7A4F"/>
    <w:rsid w:val="002D0179"/>
    <w:rsid w:val="002D0307"/>
    <w:rsid w:val="002D07EA"/>
    <w:rsid w:val="002D2D74"/>
    <w:rsid w:val="002D3487"/>
    <w:rsid w:val="002D377F"/>
    <w:rsid w:val="002D37B7"/>
    <w:rsid w:val="002D3D34"/>
    <w:rsid w:val="002D40B9"/>
    <w:rsid w:val="002D44D5"/>
    <w:rsid w:val="002D45C1"/>
    <w:rsid w:val="002D45DD"/>
    <w:rsid w:val="002D4E27"/>
    <w:rsid w:val="002D4EC7"/>
    <w:rsid w:val="002D602D"/>
    <w:rsid w:val="002D6341"/>
    <w:rsid w:val="002D66F4"/>
    <w:rsid w:val="002D6B56"/>
    <w:rsid w:val="002D75DA"/>
    <w:rsid w:val="002D7647"/>
    <w:rsid w:val="002D7C26"/>
    <w:rsid w:val="002E0647"/>
    <w:rsid w:val="002E09D6"/>
    <w:rsid w:val="002E0A17"/>
    <w:rsid w:val="002E0BFA"/>
    <w:rsid w:val="002E0E0F"/>
    <w:rsid w:val="002E167C"/>
    <w:rsid w:val="002E1E79"/>
    <w:rsid w:val="002E223A"/>
    <w:rsid w:val="002E2387"/>
    <w:rsid w:val="002E27E0"/>
    <w:rsid w:val="002E35E0"/>
    <w:rsid w:val="002E4450"/>
    <w:rsid w:val="002E44BA"/>
    <w:rsid w:val="002E478E"/>
    <w:rsid w:val="002E48F6"/>
    <w:rsid w:val="002E4DA4"/>
    <w:rsid w:val="002E525F"/>
    <w:rsid w:val="002E52A5"/>
    <w:rsid w:val="002E54A7"/>
    <w:rsid w:val="002E5BDF"/>
    <w:rsid w:val="002E5E0C"/>
    <w:rsid w:val="002E60B7"/>
    <w:rsid w:val="002E62E9"/>
    <w:rsid w:val="002E6345"/>
    <w:rsid w:val="002E6375"/>
    <w:rsid w:val="002E6590"/>
    <w:rsid w:val="002E663C"/>
    <w:rsid w:val="002E6B6F"/>
    <w:rsid w:val="002E6FBD"/>
    <w:rsid w:val="002E73AA"/>
    <w:rsid w:val="002F0003"/>
    <w:rsid w:val="002F03F0"/>
    <w:rsid w:val="002F0E0F"/>
    <w:rsid w:val="002F0F72"/>
    <w:rsid w:val="002F1052"/>
    <w:rsid w:val="002F1260"/>
    <w:rsid w:val="002F12EE"/>
    <w:rsid w:val="002F1774"/>
    <w:rsid w:val="002F17CD"/>
    <w:rsid w:val="002F1EC3"/>
    <w:rsid w:val="002F1F01"/>
    <w:rsid w:val="002F204E"/>
    <w:rsid w:val="002F2215"/>
    <w:rsid w:val="002F2678"/>
    <w:rsid w:val="002F27B8"/>
    <w:rsid w:val="002F2864"/>
    <w:rsid w:val="002F2916"/>
    <w:rsid w:val="002F2D9C"/>
    <w:rsid w:val="002F2DB7"/>
    <w:rsid w:val="002F2E20"/>
    <w:rsid w:val="002F2FDD"/>
    <w:rsid w:val="002F3222"/>
    <w:rsid w:val="002F37DE"/>
    <w:rsid w:val="002F3B21"/>
    <w:rsid w:val="002F3DA7"/>
    <w:rsid w:val="002F4141"/>
    <w:rsid w:val="002F498C"/>
    <w:rsid w:val="002F53DF"/>
    <w:rsid w:val="002F57F2"/>
    <w:rsid w:val="002F5CD6"/>
    <w:rsid w:val="002F5E1F"/>
    <w:rsid w:val="002F5FF0"/>
    <w:rsid w:val="002F68A4"/>
    <w:rsid w:val="002F701A"/>
    <w:rsid w:val="002F7122"/>
    <w:rsid w:val="002F72FC"/>
    <w:rsid w:val="002F7538"/>
    <w:rsid w:val="002F7D08"/>
    <w:rsid w:val="002F7D8B"/>
    <w:rsid w:val="002F7ED7"/>
    <w:rsid w:val="003001A6"/>
    <w:rsid w:val="0030043E"/>
    <w:rsid w:val="00300644"/>
    <w:rsid w:val="0030088A"/>
    <w:rsid w:val="00300A81"/>
    <w:rsid w:val="0030190B"/>
    <w:rsid w:val="00301DD8"/>
    <w:rsid w:val="0030234B"/>
    <w:rsid w:val="003026B2"/>
    <w:rsid w:val="00302A3F"/>
    <w:rsid w:val="00302FF0"/>
    <w:rsid w:val="00303350"/>
    <w:rsid w:val="00303393"/>
    <w:rsid w:val="00303731"/>
    <w:rsid w:val="003037E8"/>
    <w:rsid w:val="00303AD6"/>
    <w:rsid w:val="00303B74"/>
    <w:rsid w:val="003048AB"/>
    <w:rsid w:val="00304B86"/>
    <w:rsid w:val="00304EC3"/>
    <w:rsid w:val="003051F6"/>
    <w:rsid w:val="0030522F"/>
    <w:rsid w:val="003055A0"/>
    <w:rsid w:val="003057A5"/>
    <w:rsid w:val="00305F64"/>
    <w:rsid w:val="0030664D"/>
    <w:rsid w:val="00306B10"/>
    <w:rsid w:val="003071EC"/>
    <w:rsid w:val="00307201"/>
    <w:rsid w:val="00307545"/>
    <w:rsid w:val="003075F3"/>
    <w:rsid w:val="00307B6D"/>
    <w:rsid w:val="00307D3C"/>
    <w:rsid w:val="00307EA9"/>
    <w:rsid w:val="00307F9B"/>
    <w:rsid w:val="00310271"/>
    <w:rsid w:val="003105A2"/>
    <w:rsid w:val="0031082C"/>
    <w:rsid w:val="0031090A"/>
    <w:rsid w:val="00310C18"/>
    <w:rsid w:val="00311216"/>
    <w:rsid w:val="00311741"/>
    <w:rsid w:val="00311FF1"/>
    <w:rsid w:val="003122C6"/>
    <w:rsid w:val="00312636"/>
    <w:rsid w:val="0031271D"/>
    <w:rsid w:val="00312A54"/>
    <w:rsid w:val="003137B8"/>
    <w:rsid w:val="003138A5"/>
    <w:rsid w:val="00313A64"/>
    <w:rsid w:val="00313B75"/>
    <w:rsid w:val="00313E32"/>
    <w:rsid w:val="00314113"/>
    <w:rsid w:val="003142B1"/>
    <w:rsid w:val="003143E5"/>
    <w:rsid w:val="00314822"/>
    <w:rsid w:val="00314DE9"/>
    <w:rsid w:val="00314E9E"/>
    <w:rsid w:val="00314F1F"/>
    <w:rsid w:val="003155AC"/>
    <w:rsid w:val="00315C41"/>
    <w:rsid w:val="00315EBD"/>
    <w:rsid w:val="00316068"/>
    <w:rsid w:val="003169E9"/>
    <w:rsid w:val="0031766A"/>
    <w:rsid w:val="003201D6"/>
    <w:rsid w:val="00320550"/>
    <w:rsid w:val="00320598"/>
    <w:rsid w:val="00320DF2"/>
    <w:rsid w:val="00321E0F"/>
    <w:rsid w:val="003227AE"/>
    <w:rsid w:val="00322CF8"/>
    <w:rsid w:val="003230EF"/>
    <w:rsid w:val="00323185"/>
    <w:rsid w:val="0032400C"/>
    <w:rsid w:val="00324153"/>
    <w:rsid w:val="003241B5"/>
    <w:rsid w:val="003247E3"/>
    <w:rsid w:val="00324B8F"/>
    <w:rsid w:val="00324F83"/>
    <w:rsid w:val="00326311"/>
    <w:rsid w:val="003266E3"/>
    <w:rsid w:val="003267AB"/>
    <w:rsid w:val="00326ED5"/>
    <w:rsid w:val="003271F9"/>
    <w:rsid w:val="0032779B"/>
    <w:rsid w:val="003277C6"/>
    <w:rsid w:val="0032797F"/>
    <w:rsid w:val="003279B1"/>
    <w:rsid w:val="0033021A"/>
    <w:rsid w:val="00330C5E"/>
    <w:rsid w:val="00330CD1"/>
    <w:rsid w:val="00330F96"/>
    <w:rsid w:val="00331402"/>
    <w:rsid w:val="00331564"/>
    <w:rsid w:val="00331A0A"/>
    <w:rsid w:val="00331C83"/>
    <w:rsid w:val="00331F43"/>
    <w:rsid w:val="00332085"/>
    <w:rsid w:val="00332258"/>
    <w:rsid w:val="00332626"/>
    <w:rsid w:val="00332651"/>
    <w:rsid w:val="00332C2C"/>
    <w:rsid w:val="00332C71"/>
    <w:rsid w:val="00332E1C"/>
    <w:rsid w:val="00332FE7"/>
    <w:rsid w:val="0033326F"/>
    <w:rsid w:val="00333357"/>
    <w:rsid w:val="00333381"/>
    <w:rsid w:val="00334216"/>
    <w:rsid w:val="00334591"/>
    <w:rsid w:val="00334FEC"/>
    <w:rsid w:val="00335234"/>
    <w:rsid w:val="003357A5"/>
    <w:rsid w:val="003358AC"/>
    <w:rsid w:val="00335A67"/>
    <w:rsid w:val="00335ACF"/>
    <w:rsid w:val="00335DFC"/>
    <w:rsid w:val="00336044"/>
    <w:rsid w:val="003369E9"/>
    <w:rsid w:val="00336AF8"/>
    <w:rsid w:val="00336D82"/>
    <w:rsid w:val="00336E00"/>
    <w:rsid w:val="00336FCE"/>
    <w:rsid w:val="00340550"/>
    <w:rsid w:val="00340943"/>
    <w:rsid w:val="00340D6C"/>
    <w:rsid w:val="00340F4C"/>
    <w:rsid w:val="00341201"/>
    <w:rsid w:val="0034151E"/>
    <w:rsid w:val="00341652"/>
    <w:rsid w:val="003417A1"/>
    <w:rsid w:val="00341F7B"/>
    <w:rsid w:val="0034221D"/>
    <w:rsid w:val="00342701"/>
    <w:rsid w:val="003428A8"/>
    <w:rsid w:val="00342971"/>
    <w:rsid w:val="00342CDD"/>
    <w:rsid w:val="003433E1"/>
    <w:rsid w:val="0034376F"/>
    <w:rsid w:val="0034379A"/>
    <w:rsid w:val="00343C4C"/>
    <w:rsid w:val="003444EA"/>
    <w:rsid w:val="00344820"/>
    <w:rsid w:val="00344F4E"/>
    <w:rsid w:val="00345DA7"/>
    <w:rsid w:val="00345E28"/>
    <w:rsid w:val="00345F3F"/>
    <w:rsid w:val="003466C2"/>
    <w:rsid w:val="00346AE9"/>
    <w:rsid w:val="00346CD9"/>
    <w:rsid w:val="00346FA2"/>
    <w:rsid w:val="00347416"/>
    <w:rsid w:val="0034755D"/>
    <w:rsid w:val="0034781D"/>
    <w:rsid w:val="00347A7B"/>
    <w:rsid w:val="00347C78"/>
    <w:rsid w:val="00347EE3"/>
    <w:rsid w:val="0035049A"/>
    <w:rsid w:val="003506A3"/>
    <w:rsid w:val="0035073E"/>
    <w:rsid w:val="003508F5"/>
    <w:rsid w:val="00350ED6"/>
    <w:rsid w:val="00351508"/>
    <w:rsid w:val="003516AB"/>
    <w:rsid w:val="00351A20"/>
    <w:rsid w:val="00351BDE"/>
    <w:rsid w:val="003520E0"/>
    <w:rsid w:val="003520F2"/>
    <w:rsid w:val="00352478"/>
    <w:rsid w:val="00352844"/>
    <w:rsid w:val="00352DD2"/>
    <w:rsid w:val="00352F42"/>
    <w:rsid w:val="00353066"/>
    <w:rsid w:val="003530D0"/>
    <w:rsid w:val="003534F2"/>
    <w:rsid w:val="00353A33"/>
    <w:rsid w:val="00353EBB"/>
    <w:rsid w:val="00354081"/>
    <w:rsid w:val="00354271"/>
    <w:rsid w:val="00354501"/>
    <w:rsid w:val="003552DE"/>
    <w:rsid w:val="003552EC"/>
    <w:rsid w:val="00355346"/>
    <w:rsid w:val="003555CB"/>
    <w:rsid w:val="003556D2"/>
    <w:rsid w:val="0035597C"/>
    <w:rsid w:val="00356912"/>
    <w:rsid w:val="00356CC3"/>
    <w:rsid w:val="00357112"/>
    <w:rsid w:val="0035733C"/>
    <w:rsid w:val="00357450"/>
    <w:rsid w:val="00357726"/>
    <w:rsid w:val="0035776E"/>
    <w:rsid w:val="003577B4"/>
    <w:rsid w:val="00357DB0"/>
    <w:rsid w:val="0036019E"/>
    <w:rsid w:val="0036024D"/>
    <w:rsid w:val="003602E7"/>
    <w:rsid w:val="00360878"/>
    <w:rsid w:val="00360E38"/>
    <w:rsid w:val="00361487"/>
    <w:rsid w:val="003617E9"/>
    <w:rsid w:val="00361AD2"/>
    <w:rsid w:val="00362655"/>
    <w:rsid w:val="00362B31"/>
    <w:rsid w:val="00363320"/>
    <w:rsid w:val="00363362"/>
    <w:rsid w:val="0036364D"/>
    <w:rsid w:val="00363751"/>
    <w:rsid w:val="00363892"/>
    <w:rsid w:val="00363BA9"/>
    <w:rsid w:val="003645AF"/>
    <w:rsid w:val="003646B0"/>
    <w:rsid w:val="00364B65"/>
    <w:rsid w:val="00364C67"/>
    <w:rsid w:val="003656F1"/>
    <w:rsid w:val="003657B7"/>
    <w:rsid w:val="00365914"/>
    <w:rsid w:val="003662D4"/>
    <w:rsid w:val="003663C3"/>
    <w:rsid w:val="0036650E"/>
    <w:rsid w:val="0036682B"/>
    <w:rsid w:val="00366896"/>
    <w:rsid w:val="0036699E"/>
    <w:rsid w:val="00366D2A"/>
    <w:rsid w:val="00366D35"/>
    <w:rsid w:val="00367112"/>
    <w:rsid w:val="003672B7"/>
    <w:rsid w:val="00367842"/>
    <w:rsid w:val="003703FE"/>
    <w:rsid w:val="003706B8"/>
    <w:rsid w:val="00370778"/>
    <w:rsid w:val="00370DCA"/>
    <w:rsid w:val="00370EBD"/>
    <w:rsid w:val="003715A2"/>
    <w:rsid w:val="00372319"/>
    <w:rsid w:val="00372368"/>
    <w:rsid w:val="003728D3"/>
    <w:rsid w:val="003739FC"/>
    <w:rsid w:val="00373A92"/>
    <w:rsid w:val="00373ED7"/>
    <w:rsid w:val="0037401F"/>
    <w:rsid w:val="003742E8"/>
    <w:rsid w:val="003744F4"/>
    <w:rsid w:val="003749B0"/>
    <w:rsid w:val="00374C56"/>
    <w:rsid w:val="00374D55"/>
    <w:rsid w:val="00375811"/>
    <w:rsid w:val="00375C47"/>
    <w:rsid w:val="0037600D"/>
    <w:rsid w:val="003760B4"/>
    <w:rsid w:val="0037686F"/>
    <w:rsid w:val="00376B63"/>
    <w:rsid w:val="00376C06"/>
    <w:rsid w:val="00377031"/>
    <w:rsid w:val="00377691"/>
    <w:rsid w:val="003779B7"/>
    <w:rsid w:val="00377ACB"/>
    <w:rsid w:val="00377BBF"/>
    <w:rsid w:val="00377D23"/>
    <w:rsid w:val="0038003F"/>
    <w:rsid w:val="00380240"/>
    <w:rsid w:val="00380684"/>
    <w:rsid w:val="00380A47"/>
    <w:rsid w:val="00380CD3"/>
    <w:rsid w:val="003812C2"/>
    <w:rsid w:val="0038131C"/>
    <w:rsid w:val="00381419"/>
    <w:rsid w:val="003815E8"/>
    <w:rsid w:val="00381751"/>
    <w:rsid w:val="003825B1"/>
    <w:rsid w:val="00382674"/>
    <w:rsid w:val="00382C4F"/>
    <w:rsid w:val="00382CD5"/>
    <w:rsid w:val="00382DFD"/>
    <w:rsid w:val="003830F2"/>
    <w:rsid w:val="003831BB"/>
    <w:rsid w:val="00383416"/>
    <w:rsid w:val="0038342A"/>
    <w:rsid w:val="0038382B"/>
    <w:rsid w:val="0038386C"/>
    <w:rsid w:val="00383AEB"/>
    <w:rsid w:val="003847F8"/>
    <w:rsid w:val="00384DCF"/>
    <w:rsid w:val="0038543F"/>
    <w:rsid w:val="0038587C"/>
    <w:rsid w:val="003858E3"/>
    <w:rsid w:val="00385B90"/>
    <w:rsid w:val="003864A1"/>
    <w:rsid w:val="00386C51"/>
    <w:rsid w:val="003870C7"/>
    <w:rsid w:val="00387279"/>
    <w:rsid w:val="003873EC"/>
    <w:rsid w:val="0038758C"/>
    <w:rsid w:val="003877FA"/>
    <w:rsid w:val="00387B14"/>
    <w:rsid w:val="00387CE8"/>
    <w:rsid w:val="0039050A"/>
    <w:rsid w:val="00390BBB"/>
    <w:rsid w:val="00391051"/>
    <w:rsid w:val="00391722"/>
    <w:rsid w:val="003918C2"/>
    <w:rsid w:val="003918D7"/>
    <w:rsid w:val="003923C9"/>
    <w:rsid w:val="00392870"/>
    <w:rsid w:val="003929B9"/>
    <w:rsid w:val="0039302C"/>
    <w:rsid w:val="0039307B"/>
    <w:rsid w:val="003930E4"/>
    <w:rsid w:val="0039325B"/>
    <w:rsid w:val="00393818"/>
    <w:rsid w:val="00393B51"/>
    <w:rsid w:val="00393D4D"/>
    <w:rsid w:val="0039457D"/>
    <w:rsid w:val="0039486E"/>
    <w:rsid w:val="00394B46"/>
    <w:rsid w:val="00395136"/>
    <w:rsid w:val="00395D05"/>
    <w:rsid w:val="00395D07"/>
    <w:rsid w:val="0039621D"/>
    <w:rsid w:val="0039625A"/>
    <w:rsid w:val="00396DE8"/>
    <w:rsid w:val="00396E03"/>
    <w:rsid w:val="00397213"/>
    <w:rsid w:val="003974F3"/>
    <w:rsid w:val="00397623"/>
    <w:rsid w:val="003977A3"/>
    <w:rsid w:val="003977F5"/>
    <w:rsid w:val="00397B3F"/>
    <w:rsid w:val="00397E52"/>
    <w:rsid w:val="003A050D"/>
    <w:rsid w:val="003A0C00"/>
    <w:rsid w:val="003A0C60"/>
    <w:rsid w:val="003A0D1A"/>
    <w:rsid w:val="003A0E36"/>
    <w:rsid w:val="003A1006"/>
    <w:rsid w:val="003A117A"/>
    <w:rsid w:val="003A13A2"/>
    <w:rsid w:val="003A16CD"/>
    <w:rsid w:val="003A1870"/>
    <w:rsid w:val="003A18F2"/>
    <w:rsid w:val="003A19E1"/>
    <w:rsid w:val="003A2214"/>
    <w:rsid w:val="003A2282"/>
    <w:rsid w:val="003A2290"/>
    <w:rsid w:val="003A2350"/>
    <w:rsid w:val="003A265D"/>
    <w:rsid w:val="003A311C"/>
    <w:rsid w:val="003A36FC"/>
    <w:rsid w:val="003A3841"/>
    <w:rsid w:val="003A3993"/>
    <w:rsid w:val="003A3B1E"/>
    <w:rsid w:val="003A3DF1"/>
    <w:rsid w:val="003A3F86"/>
    <w:rsid w:val="003A3FE5"/>
    <w:rsid w:val="003A518A"/>
    <w:rsid w:val="003A577F"/>
    <w:rsid w:val="003A5905"/>
    <w:rsid w:val="003A5977"/>
    <w:rsid w:val="003A61A8"/>
    <w:rsid w:val="003A6759"/>
    <w:rsid w:val="003A6CD3"/>
    <w:rsid w:val="003A6E76"/>
    <w:rsid w:val="003A769A"/>
    <w:rsid w:val="003A7FE6"/>
    <w:rsid w:val="003B030F"/>
    <w:rsid w:val="003B0761"/>
    <w:rsid w:val="003B076F"/>
    <w:rsid w:val="003B0AB5"/>
    <w:rsid w:val="003B0C3B"/>
    <w:rsid w:val="003B0CEB"/>
    <w:rsid w:val="003B0E7D"/>
    <w:rsid w:val="003B1525"/>
    <w:rsid w:val="003B1858"/>
    <w:rsid w:val="003B1CD3"/>
    <w:rsid w:val="003B1D7D"/>
    <w:rsid w:val="003B1EF7"/>
    <w:rsid w:val="003B2183"/>
    <w:rsid w:val="003B220C"/>
    <w:rsid w:val="003B2492"/>
    <w:rsid w:val="003B27CE"/>
    <w:rsid w:val="003B2805"/>
    <w:rsid w:val="003B2C01"/>
    <w:rsid w:val="003B2C2C"/>
    <w:rsid w:val="003B2E36"/>
    <w:rsid w:val="003B2F20"/>
    <w:rsid w:val="003B2F26"/>
    <w:rsid w:val="003B384A"/>
    <w:rsid w:val="003B40B4"/>
    <w:rsid w:val="003B4338"/>
    <w:rsid w:val="003B4529"/>
    <w:rsid w:val="003B4643"/>
    <w:rsid w:val="003B4C8E"/>
    <w:rsid w:val="003B51FA"/>
    <w:rsid w:val="003B532E"/>
    <w:rsid w:val="003B53D3"/>
    <w:rsid w:val="003B573B"/>
    <w:rsid w:val="003B574D"/>
    <w:rsid w:val="003B5B18"/>
    <w:rsid w:val="003B5E91"/>
    <w:rsid w:val="003B5FBE"/>
    <w:rsid w:val="003B635A"/>
    <w:rsid w:val="003B6BED"/>
    <w:rsid w:val="003B6C70"/>
    <w:rsid w:val="003B6EA9"/>
    <w:rsid w:val="003B6F86"/>
    <w:rsid w:val="003B7026"/>
    <w:rsid w:val="003B7B45"/>
    <w:rsid w:val="003B7C67"/>
    <w:rsid w:val="003B7D50"/>
    <w:rsid w:val="003B7E52"/>
    <w:rsid w:val="003C017E"/>
    <w:rsid w:val="003C06C4"/>
    <w:rsid w:val="003C1208"/>
    <w:rsid w:val="003C1441"/>
    <w:rsid w:val="003C14F9"/>
    <w:rsid w:val="003C1B9D"/>
    <w:rsid w:val="003C1BBD"/>
    <w:rsid w:val="003C25CD"/>
    <w:rsid w:val="003C292B"/>
    <w:rsid w:val="003C2DC7"/>
    <w:rsid w:val="003C30E0"/>
    <w:rsid w:val="003C3455"/>
    <w:rsid w:val="003C3836"/>
    <w:rsid w:val="003C3B3F"/>
    <w:rsid w:val="003C3B81"/>
    <w:rsid w:val="003C44CC"/>
    <w:rsid w:val="003C46C4"/>
    <w:rsid w:val="003C47CE"/>
    <w:rsid w:val="003C48A9"/>
    <w:rsid w:val="003C48AB"/>
    <w:rsid w:val="003C4BDA"/>
    <w:rsid w:val="003C4DED"/>
    <w:rsid w:val="003C4EEE"/>
    <w:rsid w:val="003C52BC"/>
    <w:rsid w:val="003C54D5"/>
    <w:rsid w:val="003C56AF"/>
    <w:rsid w:val="003C5803"/>
    <w:rsid w:val="003C5AB8"/>
    <w:rsid w:val="003C6B1B"/>
    <w:rsid w:val="003C6D66"/>
    <w:rsid w:val="003C7D1B"/>
    <w:rsid w:val="003D057E"/>
    <w:rsid w:val="003D17D8"/>
    <w:rsid w:val="003D1848"/>
    <w:rsid w:val="003D1C2B"/>
    <w:rsid w:val="003D216F"/>
    <w:rsid w:val="003D21BE"/>
    <w:rsid w:val="003D25ED"/>
    <w:rsid w:val="003D2CD5"/>
    <w:rsid w:val="003D2D9F"/>
    <w:rsid w:val="003D30AC"/>
    <w:rsid w:val="003D32A3"/>
    <w:rsid w:val="003D33F5"/>
    <w:rsid w:val="003D3472"/>
    <w:rsid w:val="003D4770"/>
    <w:rsid w:val="003D49B9"/>
    <w:rsid w:val="003D4B53"/>
    <w:rsid w:val="003D513E"/>
    <w:rsid w:val="003D52BE"/>
    <w:rsid w:val="003D560D"/>
    <w:rsid w:val="003D5FF7"/>
    <w:rsid w:val="003D615C"/>
    <w:rsid w:val="003D6443"/>
    <w:rsid w:val="003D64AC"/>
    <w:rsid w:val="003D6539"/>
    <w:rsid w:val="003D697C"/>
    <w:rsid w:val="003D6B5C"/>
    <w:rsid w:val="003D6F1B"/>
    <w:rsid w:val="003D701E"/>
    <w:rsid w:val="003D7233"/>
    <w:rsid w:val="003D77A5"/>
    <w:rsid w:val="003D78BB"/>
    <w:rsid w:val="003D7D0F"/>
    <w:rsid w:val="003E05F3"/>
    <w:rsid w:val="003E06FC"/>
    <w:rsid w:val="003E120C"/>
    <w:rsid w:val="003E12A2"/>
    <w:rsid w:val="003E14B2"/>
    <w:rsid w:val="003E14E7"/>
    <w:rsid w:val="003E17C2"/>
    <w:rsid w:val="003E18FD"/>
    <w:rsid w:val="003E2081"/>
    <w:rsid w:val="003E2087"/>
    <w:rsid w:val="003E22BD"/>
    <w:rsid w:val="003E2B3A"/>
    <w:rsid w:val="003E2BD1"/>
    <w:rsid w:val="003E399B"/>
    <w:rsid w:val="003E3B7C"/>
    <w:rsid w:val="003E3B8B"/>
    <w:rsid w:val="003E42DF"/>
    <w:rsid w:val="003E457C"/>
    <w:rsid w:val="003E477B"/>
    <w:rsid w:val="003E4DEB"/>
    <w:rsid w:val="003E50B6"/>
    <w:rsid w:val="003E5238"/>
    <w:rsid w:val="003E5560"/>
    <w:rsid w:val="003E5695"/>
    <w:rsid w:val="003E584F"/>
    <w:rsid w:val="003E5B51"/>
    <w:rsid w:val="003E5D2A"/>
    <w:rsid w:val="003E5E29"/>
    <w:rsid w:val="003E5E5A"/>
    <w:rsid w:val="003E6417"/>
    <w:rsid w:val="003E647C"/>
    <w:rsid w:val="003E6717"/>
    <w:rsid w:val="003E6E80"/>
    <w:rsid w:val="003E7009"/>
    <w:rsid w:val="003E7764"/>
    <w:rsid w:val="003E7889"/>
    <w:rsid w:val="003E7F5A"/>
    <w:rsid w:val="003F0B3C"/>
    <w:rsid w:val="003F0C5A"/>
    <w:rsid w:val="003F0D44"/>
    <w:rsid w:val="003F1151"/>
    <w:rsid w:val="003F14CC"/>
    <w:rsid w:val="003F1A39"/>
    <w:rsid w:val="003F1B38"/>
    <w:rsid w:val="003F1DD9"/>
    <w:rsid w:val="003F223B"/>
    <w:rsid w:val="003F22A7"/>
    <w:rsid w:val="003F2CAF"/>
    <w:rsid w:val="003F361C"/>
    <w:rsid w:val="003F3A2F"/>
    <w:rsid w:val="003F3CEC"/>
    <w:rsid w:val="003F3D11"/>
    <w:rsid w:val="003F3F99"/>
    <w:rsid w:val="003F4863"/>
    <w:rsid w:val="003F4893"/>
    <w:rsid w:val="003F49EB"/>
    <w:rsid w:val="003F4E7B"/>
    <w:rsid w:val="003F5639"/>
    <w:rsid w:val="003F56A8"/>
    <w:rsid w:val="003F5DAA"/>
    <w:rsid w:val="003F5E6C"/>
    <w:rsid w:val="003F5FD6"/>
    <w:rsid w:val="003F614A"/>
    <w:rsid w:val="003F6511"/>
    <w:rsid w:val="003F6BDC"/>
    <w:rsid w:val="003F6CD8"/>
    <w:rsid w:val="003F6D10"/>
    <w:rsid w:val="003F6EB8"/>
    <w:rsid w:val="003F721F"/>
    <w:rsid w:val="003F734A"/>
    <w:rsid w:val="003F744D"/>
    <w:rsid w:val="003F7809"/>
    <w:rsid w:val="00400C48"/>
    <w:rsid w:val="00400F9C"/>
    <w:rsid w:val="00401683"/>
    <w:rsid w:val="00401933"/>
    <w:rsid w:val="00401A73"/>
    <w:rsid w:val="00401D27"/>
    <w:rsid w:val="00401ED6"/>
    <w:rsid w:val="00402141"/>
    <w:rsid w:val="00402420"/>
    <w:rsid w:val="004025BF"/>
    <w:rsid w:val="00402C58"/>
    <w:rsid w:val="0040359C"/>
    <w:rsid w:val="00403783"/>
    <w:rsid w:val="004037D8"/>
    <w:rsid w:val="00403976"/>
    <w:rsid w:val="00404073"/>
    <w:rsid w:val="00404096"/>
    <w:rsid w:val="00404B2C"/>
    <w:rsid w:val="00404BA0"/>
    <w:rsid w:val="004050E3"/>
    <w:rsid w:val="0040523B"/>
    <w:rsid w:val="00405586"/>
    <w:rsid w:val="00405905"/>
    <w:rsid w:val="00405963"/>
    <w:rsid w:val="00405A4B"/>
    <w:rsid w:val="00405CB5"/>
    <w:rsid w:val="00405D4C"/>
    <w:rsid w:val="00406496"/>
    <w:rsid w:val="00406532"/>
    <w:rsid w:val="004065D7"/>
    <w:rsid w:val="0040672B"/>
    <w:rsid w:val="00406B25"/>
    <w:rsid w:val="00406E02"/>
    <w:rsid w:val="00406E3F"/>
    <w:rsid w:val="00406F3C"/>
    <w:rsid w:val="00406FD2"/>
    <w:rsid w:val="004077BD"/>
    <w:rsid w:val="00407978"/>
    <w:rsid w:val="00407D29"/>
    <w:rsid w:val="00407E9B"/>
    <w:rsid w:val="00407F04"/>
    <w:rsid w:val="004106ED"/>
    <w:rsid w:val="004107CD"/>
    <w:rsid w:val="00410977"/>
    <w:rsid w:val="00410B07"/>
    <w:rsid w:val="00410BEC"/>
    <w:rsid w:val="0041103D"/>
    <w:rsid w:val="0041185F"/>
    <w:rsid w:val="0041201D"/>
    <w:rsid w:val="004120EB"/>
    <w:rsid w:val="00412449"/>
    <w:rsid w:val="004124B7"/>
    <w:rsid w:val="00412A73"/>
    <w:rsid w:val="00413355"/>
    <w:rsid w:val="004135B3"/>
    <w:rsid w:val="004158A8"/>
    <w:rsid w:val="004159BF"/>
    <w:rsid w:val="00415C52"/>
    <w:rsid w:val="00415DE2"/>
    <w:rsid w:val="0041602E"/>
    <w:rsid w:val="004166BC"/>
    <w:rsid w:val="0041679A"/>
    <w:rsid w:val="00416911"/>
    <w:rsid w:val="004169B9"/>
    <w:rsid w:val="00416A32"/>
    <w:rsid w:val="00417152"/>
    <w:rsid w:val="004175B6"/>
    <w:rsid w:val="00417714"/>
    <w:rsid w:val="00417BB4"/>
    <w:rsid w:val="00417BC5"/>
    <w:rsid w:val="00417C33"/>
    <w:rsid w:val="00417D16"/>
    <w:rsid w:val="00417E1D"/>
    <w:rsid w:val="00417ECD"/>
    <w:rsid w:val="00420545"/>
    <w:rsid w:val="00420620"/>
    <w:rsid w:val="00420AA9"/>
    <w:rsid w:val="00420CB5"/>
    <w:rsid w:val="00420F56"/>
    <w:rsid w:val="00421675"/>
    <w:rsid w:val="004218C4"/>
    <w:rsid w:val="00421A7F"/>
    <w:rsid w:val="00421ED1"/>
    <w:rsid w:val="00422146"/>
    <w:rsid w:val="00422303"/>
    <w:rsid w:val="004225B1"/>
    <w:rsid w:val="004225E7"/>
    <w:rsid w:val="00422ED6"/>
    <w:rsid w:val="004239FF"/>
    <w:rsid w:val="00423A39"/>
    <w:rsid w:val="00423C08"/>
    <w:rsid w:val="004243F9"/>
    <w:rsid w:val="004244D4"/>
    <w:rsid w:val="00424647"/>
    <w:rsid w:val="00424B23"/>
    <w:rsid w:val="00425250"/>
    <w:rsid w:val="00425437"/>
    <w:rsid w:val="0042563A"/>
    <w:rsid w:val="00425724"/>
    <w:rsid w:val="00425729"/>
    <w:rsid w:val="00425AC0"/>
    <w:rsid w:val="00425ACB"/>
    <w:rsid w:val="00425AED"/>
    <w:rsid w:val="00425DA0"/>
    <w:rsid w:val="00425E97"/>
    <w:rsid w:val="0042609B"/>
    <w:rsid w:val="00426210"/>
    <w:rsid w:val="00426B1C"/>
    <w:rsid w:val="00426B82"/>
    <w:rsid w:val="00426F10"/>
    <w:rsid w:val="004275C9"/>
    <w:rsid w:val="004279EA"/>
    <w:rsid w:val="00427ED8"/>
    <w:rsid w:val="00427FF2"/>
    <w:rsid w:val="00430489"/>
    <w:rsid w:val="004309C8"/>
    <w:rsid w:val="00430B6C"/>
    <w:rsid w:val="00430B7F"/>
    <w:rsid w:val="00430EA4"/>
    <w:rsid w:val="00430F36"/>
    <w:rsid w:val="00431975"/>
    <w:rsid w:val="00431E54"/>
    <w:rsid w:val="004323D0"/>
    <w:rsid w:val="0043285D"/>
    <w:rsid w:val="00432932"/>
    <w:rsid w:val="00432A85"/>
    <w:rsid w:val="00432A8E"/>
    <w:rsid w:val="00432B6E"/>
    <w:rsid w:val="00432E67"/>
    <w:rsid w:val="00432E68"/>
    <w:rsid w:val="00433733"/>
    <w:rsid w:val="00433B94"/>
    <w:rsid w:val="00434015"/>
    <w:rsid w:val="00434325"/>
    <w:rsid w:val="0043447C"/>
    <w:rsid w:val="0043456C"/>
    <w:rsid w:val="00434932"/>
    <w:rsid w:val="004349F7"/>
    <w:rsid w:val="00434C33"/>
    <w:rsid w:val="00434D0D"/>
    <w:rsid w:val="004350BA"/>
    <w:rsid w:val="00435802"/>
    <w:rsid w:val="004358FA"/>
    <w:rsid w:val="00435A1B"/>
    <w:rsid w:val="00435D51"/>
    <w:rsid w:val="00435FFF"/>
    <w:rsid w:val="00436758"/>
    <w:rsid w:val="00436860"/>
    <w:rsid w:val="00436861"/>
    <w:rsid w:val="00436BBA"/>
    <w:rsid w:val="00436D25"/>
    <w:rsid w:val="00437253"/>
    <w:rsid w:val="004375A1"/>
    <w:rsid w:val="004404A2"/>
    <w:rsid w:val="00440A06"/>
    <w:rsid w:val="00440EF8"/>
    <w:rsid w:val="00440F98"/>
    <w:rsid w:val="004416A0"/>
    <w:rsid w:val="00441AF8"/>
    <w:rsid w:val="00441B06"/>
    <w:rsid w:val="00441E3E"/>
    <w:rsid w:val="004423DE"/>
    <w:rsid w:val="004428D8"/>
    <w:rsid w:val="00442A1A"/>
    <w:rsid w:val="00442C1F"/>
    <w:rsid w:val="00442DCC"/>
    <w:rsid w:val="00443AEA"/>
    <w:rsid w:val="00443F09"/>
    <w:rsid w:val="0044408A"/>
    <w:rsid w:val="00444495"/>
    <w:rsid w:val="00444508"/>
    <w:rsid w:val="00444509"/>
    <w:rsid w:val="00445096"/>
    <w:rsid w:val="004451DA"/>
    <w:rsid w:val="0044536C"/>
    <w:rsid w:val="00445DEB"/>
    <w:rsid w:val="00445FBF"/>
    <w:rsid w:val="004461DD"/>
    <w:rsid w:val="00446348"/>
    <w:rsid w:val="0044666B"/>
    <w:rsid w:val="0044694C"/>
    <w:rsid w:val="00446A13"/>
    <w:rsid w:val="00446ACB"/>
    <w:rsid w:val="00446AD8"/>
    <w:rsid w:val="00446C97"/>
    <w:rsid w:val="004474D4"/>
    <w:rsid w:val="00447576"/>
    <w:rsid w:val="00447A29"/>
    <w:rsid w:val="00447E54"/>
    <w:rsid w:val="00447EA3"/>
    <w:rsid w:val="004500B9"/>
    <w:rsid w:val="00450DD9"/>
    <w:rsid w:val="00450FD5"/>
    <w:rsid w:val="00451137"/>
    <w:rsid w:val="0045113B"/>
    <w:rsid w:val="004514A2"/>
    <w:rsid w:val="00451FAA"/>
    <w:rsid w:val="00452F7A"/>
    <w:rsid w:val="004535F3"/>
    <w:rsid w:val="00453AA8"/>
    <w:rsid w:val="00453B63"/>
    <w:rsid w:val="00453B68"/>
    <w:rsid w:val="004541F3"/>
    <w:rsid w:val="004541FD"/>
    <w:rsid w:val="00454201"/>
    <w:rsid w:val="0045489F"/>
    <w:rsid w:val="00454AF8"/>
    <w:rsid w:val="00454BC1"/>
    <w:rsid w:val="00454D1F"/>
    <w:rsid w:val="0045558E"/>
    <w:rsid w:val="0045580C"/>
    <w:rsid w:val="004559EF"/>
    <w:rsid w:val="00455B62"/>
    <w:rsid w:val="00455F18"/>
    <w:rsid w:val="004567AC"/>
    <w:rsid w:val="00456F80"/>
    <w:rsid w:val="00456FCA"/>
    <w:rsid w:val="00457681"/>
    <w:rsid w:val="00457730"/>
    <w:rsid w:val="00457ACC"/>
    <w:rsid w:val="004600F6"/>
    <w:rsid w:val="00460457"/>
    <w:rsid w:val="00460B08"/>
    <w:rsid w:val="00460D19"/>
    <w:rsid w:val="00461421"/>
    <w:rsid w:val="004617BA"/>
    <w:rsid w:val="00461E39"/>
    <w:rsid w:val="0046299E"/>
    <w:rsid w:val="00462C08"/>
    <w:rsid w:val="00462CDD"/>
    <w:rsid w:val="00462DEA"/>
    <w:rsid w:val="004639FB"/>
    <w:rsid w:val="00463A4F"/>
    <w:rsid w:val="00464124"/>
    <w:rsid w:val="004643BC"/>
    <w:rsid w:val="0046482D"/>
    <w:rsid w:val="00464B27"/>
    <w:rsid w:val="00464EF5"/>
    <w:rsid w:val="00464F80"/>
    <w:rsid w:val="00464FF5"/>
    <w:rsid w:val="00464FFD"/>
    <w:rsid w:val="004651F3"/>
    <w:rsid w:val="004656C0"/>
    <w:rsid w:val="00465E50"/>
    <w:rsid w:val="00465EB1"/>
    <w:rsid w:val="00465FDA"/>
    <w:rsid w:val="00466618"/>
    <w:rsid w:val="00466BDF"/>
    <w:rsid w:val="0046700E"/>
    <w:rsid w:val="004676F6"/>
    <w:rsid w:val="00467A80"/>
    <w:rsid w:val="0047006B"/>
    <w:rsid w:val="00470513"/>
    <w:rsid w:val="0047052B"/>
    <w:rsid w:val="00470865"/>
    <w:rsid w:val="00470A44"/>
    <w:rsid w:val="00470E31"/>
    <w:rsid w:val="00470EB6"/>
    <w:rsid w:val="0047136E"/>
    <w:rsid w:val="004713E7"/>
    <w:rsid w:val="00471561"/>
    <w:rsid w:val="00471613"/>
    <w:rsid w:val="00471A4D"/>
    <w:rsid w:val="00471AB2"/>
    <w:rsid w:val="00471E45"/>
    <w:rsid w:val="00471E6F"/>
    <w:rsid w:val="004720A3"/>
    <w:rsid w:val="00472254"/>
    <w:rsid w:val="004723FC"/>
    <w:rsid w:val="00472862"/>
    <w:rsid w:val="004730F6"/>
    <w:rsid w:val="00473116"/>
    <w:rsid w:val="004732E0"/>
    <w:rsid w:val="00473874"/>
    <w:rsid w:val="00473D38"/>
    <w:rsid w:val="00474027"/>
    <w:rsid w:val="004742D9"/>
    <w:rsid w:val="00474822"/>
    <w:rsid w:val="004748AB"/>
    <w:rsid w:val="00474E36"/>
    <w:rsid w:val="004756C6"/>
    <w:rsid w:val="00475B31"/>
    <w:rsid w:val="00475C89"/>
    <w:rsid w:val="00475EF2"/>
    <w:rsid w:val="00476048"/>
    <w:rsid w:val="0047614F"/>
    <w:rsid w:val="004765D0"/>
    <w:rsid w:val="00476632"/>
    <w:rsid w:val="00476711"/>
    <w:rsid w:val="0047685C"/>
    <w:rsid w:val="00477258"/>
    <w:rsid w:val="00477A1E"/>
    <w:rsid w:val="00477A5B"/>
    <w:rsid w:val="00477F32"/>
    <w:rsid w:val="00480FF9"/>
    <w:rsid w:val="004810CF"/>
    <w:rsid w:val="00481340"/>
    <w:rsid w:val="004814B3"/>
    <w:rsid w:val="004818A1"/>
    <w:rsid w:val="004818D5"/>
    <w:rsid w:val="00482465"/>
    <w:rsid w:val="004824DD"/>
    <w:rsid w:val="004826CF"/>
    <w:rsid w:val="0048280F"/>
    <w:rsid w:val="004828B2"/>
    <w:rsid w:val="00482AF5"/>
    <w:rsid w:val="00482C3D"/>
    <w:rsid w:val="00482DD6"/>
    <w:rsid w:val="00482DFE"/>
    <w:rsid w:val="00482FFB"/>
    <w:rsid w:val="004830AA"/>
    <w:rsid w:val="004835A5"/>
    <w:rsid w:val="00483858"/>
    <w:rsid w:val="00483AF3"/>
    <w:rsid w:val="00483E9E"/>
    <w:rsid w:val="00484066"/>
    <w:rsid w:val="00484440"/>
    <w:rsid w:val="00484A4E"/>
    <w:rsid w:val="00484ABB"/>
    <w:rsid w:val="00484F00"/>
    <w:rsid w:val="00485453"/>
    <w:rsid w:val="0048546D"/>
    <w:rsid w:val="00485A12"/>
    <w:rsid w:val="00485CF8"/>
    <w:rsid w:val="0048614A"/>
    <w:rsid w:val="00486649"/>
    <w:rsid w:val="00486F36"/>
    <w:rsid w:val="004871D6"/>
    <w:rsid w:val="0048781F"/>
    <w:rsid w:val="00487B57"/>
    <w:rsid w:val="00487BB6"/>
    <w:rsid w:val="004901AF"/>
    <w:rsid w:val="004903B1"/>
    <w:rsid w:val="00490A4A"/>
    <w:rsid w:val="00490BD2"/>
    <w:rsid w:val="0049107E"/>
    <w:rsid w:val="0049192C"/>
    <w:rsid w:val="00491BE4"/>
    <w:rsid w:val="00491D4B"/>
    <w:rsid w:val="00491E51"/>
    <w:rsid w:val="00491F82"/>
    <w:rsid w:val="0049220C"/>
    <w:rsid w:val="00492783"/>
    <w:rsid w:val="0049283C"/>
    <w:rsid w:val="00492A49"/>
    <w:rsid w:val="00492D4D"/>
    <w:rsid w:val="00493428"/>
    <w:rsid w:val="0049365E"/>
    <w:rsid w:val="00493C5A"/>
    <w:rsid w:val="00493FBF"/>
    <w:rsid w:val="004941C0"/>
    <w:rsid w:val="004942B5"/>
    <w:rsid w:val="0049431B"/>
    <w:rsid w:val="00494DAD"/>
    <w:rsid w:val="00495829"/>
    <w:rsid w:val="004959DC"/>
    <w:rsid w:val="00495A78"/>
    <w:rsid w:val="00495FFC"/>
    <w:rsid w:val="0049623F"/>
    <w:rsid w:val="004964F6"/>
    <w:rsid w:val="0049652D"/>
    <w:rsid w:val="004967C5"/>
    <w:rsid w:val="00496A48"/>
    <w:rsid w:val="004973CB"/>
    <w:rsid w:val="004975D3"/>
    <w:rsid w:val="004A06D0"/>
    <w:rsid w:val="004A084A"/>
    <w:rsid w:val="004A13A5"/>
    <w:rsid w:val="004A2072"/>
    <w:rsid w:val="004A211E"/>
    <w:rsid w:val="004A294B"/>
    <w:rsid w:val="004A2E90"/>
    <w:rsid w:val="004A3338"/>
    <w:rsid w:val="004A3878"/>
    <w:rsid w:val="004A3B43"/>
    <w:rsid w:val="004A4236"/>
    <w:rsid w:val="004A446A"/>
    <w:rsid w:val="004A4B54"/>
    <w:rsid w:val="004A52D6"/>
    <w:rsid w:val="004A57AA"/>
    <w:rsid w:val="004A5940"/>
    <w:rsid w:val="004A627E"/>
    <w:rsid w:val="004A6374"/>
    <w:rsid w:val="004A6626"/>
    <w:rsid w:val="004A6663"/>
    <w:rsid w:val="004A6853"/>
    <w:rsid w:val="004A68A5"/>
    <w:rsid w:val="004A6D0F"/>
    <w:rsid w:val="004A6FC8"/>
    <w:rsid w:val="004A764F"/>
    <w:rsid w:val="004A7B47"/>
    <w:rsid w:val="004A7B8D"/>
    <w:rsid w:val="004B0131"/>
    <w:rsid w:val="004B022E"/>
    <w:rsid w:val="004B062D"/>
    <w:rsid w:val="004B07E8"/>
    <w:rsid w:val="004B0CFF"/>
    <w:rsid w:val="004B0D6A"/>
    <w:rsid w:val="004B0EA3"/>
    <w:rsid w:val="004B111F"/>
    <w:rsid w:val="004B1D68"/>
    <w:rsid w:val="004B2A9B"/>
    <w:rsid w:val="004B2CA3"/>
    <w:rsid w:val="004B35E9"/>
    <w:rsid w:val="004B36DA"/>
    <w:rsid w:val="004B3A98"/>
    <w:rsid w:val="004B3ACE"/>
    <w:rsid w:val="004B3BF8"/>
    <w:rsid w:val="004B3C23"/>
    <w:rsid w:val="004B4635"/>
    <w:rsid w:val="004B49EC"/>
    <w:rsid w:val="004B4A7C"/>
    <w:rsid w:val="004B5028"/>
    <w:rsid w:val="004B5039"/>
    <w:rsid w:val="004B50EA"/>
    <w:rsid w:val="004B561B"/>
    <w:rsid w:val="004B5A8F"/>
    <w:rsid w:val="004B5DB2"/>
    <w:rsid w:val="004B60B9"/>
    <w:rsid w:val="004B6229"/>
    <w:rsid w:val="004B672C"/>
    <w:rsid w:val="004B6FB0"/>
    <w:rsid w:val="004B72C1"/>
    <w:rsid w:val="004B7BCE"/>
    <w:rsid w:val="004C0362"/>
    <w:rsid w:val="004C0B35"/>
    <w:rsid w:val="004C0BCE"/>
    <w:rsid w:val="004C0C66"/>
    <w:rsid w:val="004C0D32"/>
    <w:rsid w:val="004C0F9B"/>
    <w:rsid w:val="004C120F"/>
    <w:rsid w:val="004C1282"/>
    <w:rsid w:val="004C1AC5"/>
    <w:rsid w:val="004C1E26"/>
    <w:rsid w:val="004C2078"/>
    <w:rsid w:val="004C23A0"/>
    <w:rsid w:val="004C2741"/>
    <w:rsid w:val="004C28FA"/>
    <w:rsid w:val="004C30CB"/>
    <w:rsid w:val="004C3A36"/>
    <w:rsid w:val="004C3D63"/>
    <w:rsid w:val="004C412C"/>
    <w:rsid w:val="004C4B5A"/>
    <w:rsid w:val="004C4C21"/>
    <w:rsid w:val="004C4F5C"/>
    <w:rsid w:val="004C4F6D"/>
    <w:rsid w:val="004C525C"/>
    <w:rsid w:val="004C52F9"/>
    <w:rsid w:val="004C5631"/>
    <w:rsid w:val="004C56E5"/>
    <w:rsid w:val="004C5745"/>
    <w:rsid w:val="004C5984"/>
    <w:rsid w:val="004C61A1"/>
    <w:rsid w:val="004C6290"/>
    <w:rsid w:val="004C66C7"/>
    <w:rsid w:val="004C6F2C"/>
    <w:rsid w:val="004C75F5"/>
    <w:rsid w:val="004C77EE"/>
    <w:rsid w:val="004C7AA6"/>
    <w:rsid w:val="004D08DF"/>
    <w:rsid w:val="004D0A7F"/>
    <w:rsid w:val="004D11BC"/>
    <w:rsid w:val="004D11C3"/>
    <w:rsid w:val="004D1BC4"/>
    <w:rsid w:val="004D1ED3"/>
    <w:rsid w:val="004D1F46"/>
    <w:rsid w:val="004D2648"/>
    <w:rsid w:val="004D273F"/>
    <w:rsid w:val="004D291C"/>
    <w:rsid w:val="004D2FCF"/>
    <w:rsid w:val="004D34CA"/>
    <w:rsid w:val="004D3724"/>
    <w:rsid w:val="004D3A26"/>
    <w:rsid w:val="004D4106"/>
    <w:rsid w:val="004D4529"/>
    <w:rsid w:val="004D487E"/>
    <w:rsid w:val="004D4ACB"/>
    <w:rsid w:val="004D55F2"/>
    <w:rsid w:val="004D5867"/>
    <w:rsid w:val="004D587F"/>
    <w:rsid w:val="004D5BB2"/>
    <w:rsid w:val="004D5D1A"/>
    <w:rsid w:val="004D5D79"/>
    <w:rsid w:val="004D600D"/>
    <w:rsid w:val="004D6A6F"/>
    <w:rsid w:val="004D6AEA"/>
    <w:rsid w:val="004D6B9F"/>
    <w:rsid w:val="004D79B1"/>
    <w:rsid w:val="004D79F5"/>
    <w:rsid w:val="004D7D67"/>
    <w:rsid w:val="004E0357"/>
    <w:rsid w:val="004E0770"/>
    <w:rsid w:val="004E0A8C"/>
    <w:rsid w:val="004E0EA4"/>
    <w:rsid w:val="004E111C"/>
    <w:rsid w:val="004E18AB"/>
    <w:rsid w:val="004E2413"/>
    <w:rsid w:val="004E276C"/>
    <w:rsid w:val="004E27A6"/>
    <w:rsid w:val="004E3690"/>
    <w:rsid w:val="004E427E"/>
    <w:rsid w:val="004E4484"/>
    <w:rsid w:val="004E4626"/>
    <w:rsid w:val="004E46F6"/>
    <w:rsid w:val="004E4733"/>
    <w:rsid w:val="004E4797"/>
    <w:rsid w:val="004E49C7"/>
    <w:rsid w:val="004E50E3"/>
    <w:rsid w:val="004E5438"/>
    <w:rsid w:val="004E5B05"/>
    <w:rsid w:val="004E5BE2"/>
    <w:rsid w:val="004E6686"/>
    <w:rsid w:val="004E6C70"/>
    <w:rsid w:val="004E6E23"/>
    <w:rsid w:val="004E71BF"/>
    <w:rsid w:val="004E7DDD"/>
    <w:rsid w:val="004E7E80"/>
    <w:rsid w:val="004F0402"/>
    <w:rsid w:val="004F0475"/>
    <w:rsid w:val="004F0954"/>
    <w:rsid w:val="004F0EA3"/>
    <w:rsid w:val="004F0F5F"/>
    <w:rsid w:val="004F1036"/>
    <w:rsid w:val="004F1446"/>
    <w:rsid w:val="004F1721"/>
    <w:rsid w:val="004F1952"/>
    <w:rsid w:val="004F1B8E"/>
    <w:rsid w:val="004F1E26"/>
    <w:rsid w:val="004F206D"/>
    <w:rsid w:val="004F2160"/>
    <w:rsid w:val="004F236E"/>
    <w:rsid w:val="004F275E"/>
    <w:rsid w:val="004F2EEE"/>
    <w:rsid w:val="004F325B"/>
    <w:rsid w:val="004F44F5"/>
    <w:rsid w:val="004F4635"/>
    <w:rsid w:val="004F466B"/>
    <w:rsid w:val="004F47B9"/>
    <w:rsid w:val="004F48D3"/>
    <w:rsid w:val="004F4C5B"/>
    <w:rsid w:val="004F4E2A"/>
    <w:rsid w:val="004F51B4"/>
    <w:rsid w:val="004F52EC"/>
    <w:rsid w:val="004F5506"/>
    <w:rsid w:val="004F5B9D"/>
    <w:rsid w:val="004F5F3C"/>
    <w:rsid w:val="004F61B7"/>
    <w:rsid w:val="004F6307"/>
    <w:rsid w:val="004F6D60"/>
    <w:rsid w:val="004F6E9B"/>
    <w:rsid w:val="004F6FE6"/>
    <w:rsid w:val="004F7698"/>
    <w:rsid w:val="004F7981"/>
    <w:rsid w:val="004F7AF8"/>
    <w:rsid w:val="00500422"/>
    <w:rsid w:val="005006CD"/>
    <w:rsid w:val="00500993"/>
    <w:rsid w:val="005009E7"/>
    <w:rsid w:val="00500A9D"/>
    <w:rsid w:val="00500AED"/>
    <w:rsid w:val="00500AF9"/>
    <w:rsid w:val="00500BCA"/>
    <w:rsid w:val="005019C1"/>
    <w:rsid w:val="00501A5B"/>
    <w:rsid w:val="00501C42"/>
    <w:rsid w:val="00501E40"/>
    <w:rsid w:val="00501FAE"/>
    <w:rsid w:val="00502656"/>
    <w:rsid w:val="0050282A"/>
    <w:rsid w:val="005029EA"/>
    <w:rsid w:val="00502B83"/>
    <w:rsid w:val="00502C39"/>
    <w:rsid w:val="00502D25"/>
    <w:rsid w:val="005031DD"/>
    <w:rsid w:val="0050352B"/>
    <w:rsid w:val="00503D7E"/>
    <w:rsid w:val="00504CBF"/>
    <w:rsid w:val="005052E6"/>
    <w:rsid w:val="005054CE"/>
    <w:rsid w:val="00505513"/>
    <w:rsid w:val="005055AD"/>
    <w:rsid w:val="00505A02"/>
    <w:rsid w:val="00505A25"/>
    <w:rsid w:val="00505C93"/>
    <w:rsid w:val="00506105"/>
    <w:rsid w:val="0050648D"/>
    <w:rsid w:val="00506C0D"/>
    <w:rsid w:val="00506E61"/>
    <w:rsid w:val="005071B5"/>
    <w:rsid w:val="00507301"/>
    <w:rsid w:val="00507529"/>
    <w:rsid w:val="005078A9"/>
    <w:rsid w:val="00507D67"/>
    <w:rsid w:val="005100B9"/>
    <w:rsid w:val="005104E5"/>
    <w:rsid w:val="005105C3"/>
    <w:rsid w:val="00510E9E"/>
    <w:rsid w:val="00510F55"/>
    <w:rsid w:val="00510FAE"/>
    <w:rsid w:val="0051154D"/>
    <w:rsid w:val="005115E8"/>
    <w:rsid w:val="00511695"/>
    <w:rsid w:val="00511D35"/>
    <w:rsid w:val="00511D69"/>
    <w:rsid w:val="00512064"/>
    <w:rsid w:val="0051213E"/>
    <w:rsid w:val="00512229"/>
    <w:rsid w:val="00512C7E"/>
    <w:rsid w:val="00513176"/>
    <w:rsid w:val="00513571"/>
    <w:rsid w:val="005144CB"/>
    <w:rsid w:val="00514616"/>
    <w:rsid w:val="00514694"/>
    <w:rsid w:val="005147EC"/>
    <w:rsid w:val="00514CEF"/>
    <w:rsid w:val="00514DE6"/>
    <w:rsid w:val="00515AA5"/>
    <w:rsid w:val="00515D55"/>
    <w:rsid w:val="00516615"/>
    <w:rsid w:val="00516959"/>
    <w:rsid w:val="005169FE"/>
    <w:rsid w:val="00516BAA"/>
    <w:rsid w:val="00517372"/>
    <w:rsid w:val="005177D9"/>
    <w:rsid w:val="00517E09"/>
    <w:rsid w:val="005203BD"/>
    <w:rsid w:val="0052053E"/>
    <w:rsid w:val="00520D81"/>
    <w:rsid w:val="00520EA3"/>
    <w:rsid w:val="00521000"/>
    <w:rsid w:val="00521384"/>
    <w:rsid w:val="00521472"/>
    <w:rsid w:val="00521958"/>
    <w:rsid w:val="00521AA6"/>
    <w:rsid w:val="0052214D"/>
    <w:rsid w:val="00522378"/>
    <w:rsid w:val="005226FB"/>
    <w:rsid w:val="00522C59"/>
    <w:rsid w:val="00522E13"/>
    <w:rsid w:val="00522FCC"/>
    <w:rsid w:val="00523A6F"/>
    <w:rsid w:val="00523F35"/>
    <w:rsid w:val="0052427A"/>
    <w:rsid w:val="0052434B"/>
    <w:rsid w:val="005243CA"/>
    <w:rsid w:val="00524881"/>
    <w:rsid w:val="00524D8B"/>
    <w:rsid w:val="00524EF6"/>
    <w:rsid w:val="0052589D"/>
    <w:rsid w:val="00526407"/>
    <w:rsid w:val="0052642A"/>
    <w:rsid w:val="005264A6"/>
    <w:rsid w:val="005266AC"/>
    <w:rsid w:val="00526ACD"/>
    <w:rsid w:val="00526DCA"/>
    <w:rsid w:val="0053046D"/>
    <w:rsid w:val="0053075E"/>
    <w:rsid w:val="00530E63"/>
    <w:rsid w:val="00531B2A"/>
    <w:rsid w:val="00531E8E"/>
    <w:rsid w:val="0053256F"/>
    <w:rsid w:val="00532C0D"/>
    <w:rsid w:val="005335A3"/>
    <w:rsid w:val="005337BB"/>
    <w:rsid w:val="005339F1"/>
    <w:rsid w:val="00533FC9"/>
    <w:rsid w:val="00534409"/>
    <w:rsid w:val="005346DF"/>
    <w:rsid w:val="00534F16"/>
    <w:rsid w:val="0053524F"/>
    <w:rsid w:val="005359C9"/>
    <w:rsid w:val="00536101"/>
    <w:rsid w:val="00536135"/>
    <w:rsid w:val="005362EC"/>
    <w:rsid w:val="00536602"/>
    <w:rsid w:val="00536978"/>
    <w:rsid w:val="005370CE"/>
    <w:rsid w:val="0053731C"/>
    <w:rsid w:val="0053731D"/>
    <w:rsid w:val="00537340"/>
    <w:rsid w:val="00537574"/>
    <w:rsid w:val="0054015B"/>
    <w:rsid w:val="00540326"/>
    <w:rsid w:val="0054037E"/>
    <w:rsid w:val="00540397"/>
    <w:rsid w:val="00540604"/>
    <w:rsid w:val="00541120"/>
    <w:rsid w:val="00541612"/>
    <w:rsid w:val="00541C8C"/>
    <w:rsid w:val="00541EE6"/>
    <w:rsid w:val="00542913"/>
    <w:rsid w:val="00542C96"/>
    <w:rsid w:val="00542D7D"/>
    <w:rsid w:val="00543451"/>
    <w:rsid w:val="005436DD"/>
    <w:rsid w:val="00543731"/>
    <w:rsid w:val="00543A24"/>
    <w:rsid w:val="00543A6E"/>
    <w:rsid w:val="005445B1"/>
    <w:rsid w:val="005445FE"/>
    <w:rsid w:val="0054464D"/>
    <w:rsid w:val="00544853"/>
    <w:rsid w:val="00544C51"/>
    <w:rsid w:val="005453D3"/>
    <w:rsid w:val="005455AE"/>
    <w:rsid w:val="00545DA7"/>
    <w:rsid w:val="00545FB1"/>
    <w:rsid w:val="005460F4"/>
    <w:rsid w:val="005462CD"/>
    <w:rsid w:val="00546304"/>
    <w:rsid w:val="005466E7"/>
    <w:rsid w:val="005468A8"/>
    <w:rsid w:val="00546C96"/>
    <w:rsid w:val="00546D8B"/>
    <w:rsid w:val="00546F62"/>
    <w:rsid w:val="0054716D"/>
    <w:rsid w:val="00547296"/>
    <w:rsid w:val="00547374"/>
    <w:rsid w:val="00547531"/>
    <w:rsid w:val="0054762D"/>
    <w:rsid w:val="00547BE3"/>
    <w:rsid w:val="00547CA8"/>
    <w:rsid w:val="00547CC6"/>
    <w:rsid w:val="00550236"/>
    <w:rsid w:val="0055059F"/>
    <w:rsid w:val="0055082F"/>
    <w:rsid w:val="00550DAC"/>
    <w:rsid w:val="005514CC"/>
    <w:rsid w:val="005518A0"/>
    <w:rsid w:val="00551954"/>
    <w:rsid w:val="00551AAC"/>
    <w:rsid w:val="00551D6E"/>
    <w:rsid w:val="00552549"/>
    <w:rsid w:val="005525F4"/>
    <w:rsid w:val="0055270E"/>
    <w:rsid w:val="00552ED5"/>
    <w:rsid w:val="00552FB7"/>
    <w:rsid w:val="005531E1"/>
    <w:rsid w:val="005537D3"/>
    <w:rsid w:val="005537E4"/>
    <w:rsid w:val="005539F0"/>
    <w:rsid w:val="00553C86"/>
    <w:rsid w:val="00553F99"/>
    <w:rsid w:val="00554C9E"/>
    <w:rsid w:val="005556C6"/>
    <w:rsid w:val="00555CF1"/>
    <w:rsid w:val="00555EF9"/>
    <w:rsid w:val="005561B1"/>
    <w:rsid w:val="00556490"/>
    <w:rsid w:val="00556E69"/>
    <w:rsid w:val="0055730B"/>
    <w:rsid w:val="005574A0"/>
    <w:rsid w:val="00557904"/>
    <w:rsid w:val="00557931"/>
    <w:rsid w:val="00557C08"/>
    <w:rsid w:val="00557C0C"/>
    <w:rsid w:val="00557CC0"/>
    <w:rsid w:val="00557CC8"/>
    <w:rsid w:val="005601CC"/>
    <w:rsid w:val="005609F5"/>
    <w:rsid w:val="00560CE7"/>
    <w:rsid w:val="005614DB"/>
    <w:rsid w:val="00562072"/>
    <w:rsid w:val="0056233E"/>
    <w:rsid w:val="0056240B"/>
    <w:rsid w:val="00563272"/>
    <w:rsid w:val="00563469"/>
    <w:rsid w:val="005637CE"/>
    <w:rsid w:val="005639EE"/>
    <w:rsid w:val="00563A79"/>
    <w:rsid w:val="00563C1C"/>
    <w:rsid w:val="00563D5A"/>
    <w:rsid w:val="00563D88"/>
    <w:rsid w:val="0056464C"/>
    <w:rsid w:val="00564E6B"/>
    <w:rsid w:val="005654C9"/>
    <w:rsid w:val="005654F4"/>
    <w:rsid w:val="0056555F"/>
    <w:rsid w:val="00565EE7"/>
    <w:rsid w:val="005661E3"/>
    <w:rsid w:val="0056632A"/>
    <w:rsid w:val="00566DFE"/>
    <w:rsid w:val="00567205"/>
    <w:rsid w:val="005675A6"/>
    <w:rsid w:val="005675C6"/>
    <w:rsid w:val="0056782D"/>
    <w:rsid w:val="005679BA"/>
    <w:rsid w:val="00567F2B"/>
    <w:rsid w:val="00570020"/>
    <w:rsid w:val="005701C2"/>
    <w:rsid w:val="00570391"/>
    <w:rsid w:val="005704F0"/>
    <w:rsid w:val="005706DD"/>
    <w:rsid w:val="00570C7E"/>
    <w:rsid w:val="00571242"/>
    <w:rsid w:val="0057162B"/>
    <w:rsid w:val="005716D4"/>
    <w:rsid w:val="00571ED8"/>
    <w:rsid w:val="00572550"/>
    <w:rsid w:val="0057292F"/>
    <w:rsid w:val="00572A47"/>
    <w:rsid w:val="00572D62"/>
    <w:rsid w:val="00572E69"/>
    <w:rsid w:val="00572EA3"/>
    <w:rsid w:val="00573016"/>
    <w:rsid w:val="00573BAC"/>
    <w:rsid w:val="00573E5F"/>
    <w:rsid w:val="00573F4E"/>
    <w:rsid w:val="00573F76"/>
    <w:rsid w:val="00574441"/>
    <w:rsid w:val="0057454F"/>
    <w:rsid w:val="00574AB0"/>
    <w:rsid w:val="00574C3C"/>
    <w:rsid w:val="00575956"/>
    <w:rsid w:val="00575CD0"/>
    <w:rsid w:val="00576354"/>
    <w:rsid w:val="00576826"/>
    <w:rsid w:val="00576895"/>
    <w:rsid w:val="00576B01"/>
    <w:rsid w:val="00576FBA"/>
    <w:rsid w:val="005771E7"/>
    <w:rsid w:val="005779B1"/>
    <w:rsid w:val="005800AF"/>
    <w:rsid w:val="005801FE"/>
    <w:rsid w:val="00581337"/>
    <w:rsid w:val="005816BC"/>
    <w:rsid w:val="00581858"/>
    <w:rsid w:val="0058195D"/>
    <w:rsid w:val="00581DB5"/>
    <w:rsid w:val="00581F34"/>
    <w:rsid w:val="00582346"/>
    <w:rsid w:val="0058260E"/>
    <w:rsid w:val="00582646"/>
    <w:rsid w:val="00582805"/>
    <w:rsid w:val="005830D0"/>
    <w:rsid w:val="00583169"/>
    <w:rsid w:val="00583190"/>
    <w:rsid w:val="005833E4"/>
    <w:rsid w:val="0058363F"/>
    <w:rsid w:val="005838F8"/>
    <w:rsid w:val="00583C20"/>
    <w:rsid w:val="00583DA9"/>
    <w:rsid w:val="00583EED"/>
    <w:rsid w:val="00584391"/>
    <w:rsid w:val="00584585"/>
    <w:rsid w:val="0058509F"/>
    <w:rsid w:val="005853DA"/>
    <w:rsid w:val="0058559D"/>
    <w:rsid w:val="00585B3C"/>
    <w:rsid w:val="00585FB4"/>
    <w:rsid w:val="00586949"/>
    <w:rsid w:val="00586C8D"/>
    <w:rsid w:val="0058705F"/>
    <w:rsid w:val="005870A1"/>
    <w:rsid w:val="00587264"/>
    <w:rsid w:val="00587A4F"/>
    <w:rsid w:val="00587BB0"/>
    <w:rsid w:val="00587CCF"/>
    <w:rsid w:val="005900BC"/>
    <w:rsid w:val="0059033A"/>
    <w:rsid w:val="005905D1"/>
    <w:rsid w:val="005905E0"/>
    <w:rsid w:val="005908DD"/>
    <w:rsid w:val="00591818"/>
    <w:rsid w:val="00591D2D"/>
    <w:rsid w:val="00591E0D"/>
    <w:rsid w:val="00591F9B"/>
    <w:rsid w:val="00592098"/>
    <w:rsid w:val="00592224"/>
    <w:rsid w:val="005923EC"/>
    <w:rsid w:val="00592801"/>
    <w:rsid w:val="00592C88"/>
    <w:rsid w:val="005933C1"/>
    <w:rsid w:val="00593F10"/>
    <w:rsid w:val="005942FC"/>
    <w:rsid w:val="0059435E"/>
    <w:rsid w:val="00594AA5"/>
    <w:rsid w:val="00594B0B"/>
    <w:rsid w:val="00594E5F"/>
    <w:rsid w:val="00595312"/>
    <w:rsid w:val="00595781"/>
    <w:rsid w:val="00595A23"/>
    <w:rsid w:val="005962F0"/>
    <w:rsid w:val="00596558"/>
    <w:rsid w:val="00596E06"/>
    <w:rsid w:val="005977D2"/>
    <w:rsid w:val="00597F7B"/>
    <w:rsid w:val="005A023F"/>
    <w:rsid w:val="005A0854"/>
    <w:rsid w:val="005A08EA"/>
    <w:rsid w:val="005A0F92"/>
    <w:rsid w:val="005A11ED"/>
    <w:rsid w:val="005A1483"/>
    <w:rsid w:val="005A1B3E"/>
    <w:rsid w:val="005A1C99"/>
    <w:rsid w:val="005A1DFE"/>
    <w:rsid w:val="005A2CBF"/>
    <w:rsid w:val="005A3318"/>
    <w:rsid w:val="005A3340"/>
    <w:rsid w:val="005A36A9"/>
    <w:rsid w:val="005A3C94"/>
    <w:rsid w:val="005A45FE"/>
    <w:rsid w:val="005A4647"/>
    <w:rsid w:val="005A4D17"/>
    <w:rsid w:val="005A5497"/>
    <w:rsid w:val="005A5553"/>
    <w:rsid w:val="005A5759"/>
    <w:rsid w:val="005A5A04"/>
    <w:rsid w:val="005A5D7C"/>
    <w:rsid w:val="005A6164"/>
    <w:rsid w:val="005A6943"/>
    <w:rsid w:val="005A6A4A"/>
    <w:rsid w:val="005A6F96"/>
    <w:rsid w:val="005A73AC"/>
    <w:rsid w:val="005A7610"/>
    <w:rsid w:val="005A766C"/>
    <w:rsid w:val="005A7678"/>
    <w:rsid w:val="005A77E4"/>
    <w:rsid w:val="005A7BFA"/>
    <w:rsid w:val="005A7FD1"/>
    <w:rsid w:val="005B0566"/>
    <w:rsid w:val="005B057D"/>
    <w:rsid w:val="005B09DA"/>
    <w:rsid w:val="005B1E2F"/>
    <w:rsid w:val="005B1EEB"/>
    <w:rsid w:val="005B25A9"/>
    <w:rsid w:val="005B26D6"/>
    <w:rsid w:val="005B2DE4"/>
    <w:rsid w:val="005B3189"/>
    <w:rsid w:val="005B31E3"/>
    <w:rsid w:val="005B3E69"/>
    <w:rsid w:val="005B4515"/>
    <w:rsid w:val="005B4B35"/>
    <w:rsid w:val="005B4EE2"/>
    <w:rsid w:val="005B5140"/>
    <w:rsid w:val="005B5222"/>
    <w:rsid w:val="005B548A"/>
    <w:rsid w:val="005B5731"/>
    <w:rsid w:val="005B5A68"/>
    <w:rsid w:val="005B5E13"/>
    <w:rsid w:val="005B62D5"/>
    <w:rsid w:val="005B706C"/>
    <w:rsid w:val="005B7489"/>
    <w:rsid w:val="005B79E3"/>
    <w:rsid w:val="005B7DBB"/>
    <w:rsid w:val="005C0587"/>
    <w:rsid w:val="005C07A8"/>
    <w:rsid w:val="005C193F"/>
    <w:rsid w:val="005C1C27"/>
    <w:rsid w:val="005C1FB8"/>
    <w:rsid w:val="005C2014"/>
    <w:rsid w:val="005C21F3"/>
    <w:rsid w:val="005C2955"/>
    <w:rsid w:val="005C2A35"/>
    <w:rsid w:val="005C2CC3"/>
    <w:rsid w:val="005C3339"/>
    <w:rsid w:val="005C3356"/>
    <w:rsid w:val="005C3370"/>
    <w:rsid w:val="005C3863"/>
    <w:rsid w:val="005C396B"/>
    <w:rsid w:val="005C3D41"/>
    <w:rsid w:val="005C3FDB"/>
    <w:rsid w:val="005C40C8"/>
    <w:rsid w:val="005C46FB"/>
    <w:rsid w:val="005C506B"/>
    <w:rsid w:val="005C53BC"/>
    <w:rsid w:val="005C54E7"/>
    <w:rsid w:val="005C55C4"/>
    <w:rsid w:val="005C5751"/>
    <w:rsid w:val="005C5C12"/>
    <w:rsid w:val="005C5C57"/>
    <w:rsid w:val="005C60B1"/>
    <w:rsid w:val="005C656B"/>
    <w:rsid w:val="005C68D8"/>
    <w:rsid w:val="005C6DAD"/>
    <w:rsid w:val="005C71BC"/>
    <w:rsid w:val="005C72B4"/>
    <w:rsid w:val="005C75E1"/>
    <w:rsid w:val="005C7C1A"/>
    <w:rsid w:val="005D06C7"/>
    <w:rsid w:val="005D0921"/>
    <w:rsid w:val="005D0970"/>
    <w:rsid w:val="005D1014"/>
    <w:rsid w:val="005D1077"/>
    <w:rsid w:val="005D1145"/>
    <w:rsid w:val="005D11C9"/>
    <w:rsid w:val="005D1252"/>
    <w:rsid w:val="005D132E"/>
    <w:rsid w:val="005D18AB"/>
    <w:rsid w:val="005D1A79"/>
    <w:rsid w:val="005D1A98"/>
    <w:rsid w:val="005D1B7A"/>
    <w:rsid w:val="005D2232"/>
    <w:rsid w:val="005D2496"/>
    <w:rsid w:val="005D2525"/>
    <w:rsid w:val="005D26B6"/>
    <w:rsid w:val="005D2A4D"/>
    <w:rsid w:val="005D30AD"/>
    <w:rsid w:val="005D31E5"/>
    <w:rsid w:val="005D3301"/>
    <w:rsid w:val="005D3FD1"/>
    <w:rsid w:val="005D4478"/>
    <w:rsid w:val="005D47C1"/>
    <w:rsid w:val="005D4893"/>
    <w:rsid w:val="005D48D7"/>
    <w:rsid w:val="005D4DDA"/>
    <w:rsid w:val="005D4F94"/>
    <w:rsid w:val="005D57C0"/>
    <w:rsid w:val="005D5828"/>
    <w:rsid w:val="005D5957"/>
    <w:rsid w:val="005D5B3C"/>
    <w:rsid w:val="005D5BCF"/>
    <w:rsid w:val="005D64E1"/>
    <w:rsid w:val="005D64F4"/>
    <w:rsid w:val="005D6BBA"/>
    <w:rsid w:val="005D712C"/>
    <w:rsid w:val="005D73B5"/>
    <w:rsid w:val="005D7644"/>
    <w:rsid w:val="005D7699"/>
    <w:rsid w:val="005D7BC9"/>
    <w:rsid w:val="005D7C11"/>
    <w:rsid w:val="005D7DB8"/>
    <w:rsid w:val="005D7DDD"/>
    <w:rsid w:val="005E0350"/>
    <w:rsid w:val="005E06D1"/>
    <w:rsid w:val="005E15F6"/>
    <w:rsid w:val="005E165E"/>
    <w:rsid w:val="005E16DE"/>
    <w:rsid w:val="005E193D"/>
    <w:rsid w:val="005E19AF"/>
    <w:rsid w:val="005E1D39"/>
    <w:rsid w:val="005E1DB3"/>
    <w:rsid w:val="005E1F66"/>
    <w:rsid w:val="005E2863"/>
    <w:rsid w:val="005E2D34"/>
    <w:rsid w:val="005E2DD5"/>
    <w:rsid w:val="005E2DE2"/>
    <w:rsid w:val="005E30AB"/>
    <w:rsid w:val="005E3537"/>
    <w:rsid w:val="005E36E1"/>
    <w:rsid w:val="005E3787"/>
    <w:rsid w:val="005E45FC"/>
    <w:rsid w:val="005E46BE"/>
    <w:rsid w:val="005E493E"/>
    <w:rsid w:val="005E4A8B"/>
    <w:rsid w:val="005E51E7"/>
    <w:rsid w:val="005E5BC9"/>
    <w:rsid w:val="005E5ECC"/>
    <w:rsid w:val="005E601A"/>
    <w:rsid w:val="005E675A"/>
    <w:rsid w:val="005E73FC"/>
    <w:rsid w:val="005E7A42"/>
    <w:rsid w:val="005E7DD7"/>
    <w:rsid w:val="005F0777"/>
    <w:rsid w:val="005F095B"/>
    <w:rsid w:val="005F0A50"/>
    <w:rsid w:val="005F0ADA"/>
    <w:rsid w:val="005F106A"/>
    <w:rsid w:val="005F1784"/>
    <w:rsid w:val="005F1862"/>
    <w:rsid w:val="005F191C"/>
    <w:rsid w:val="005F1A18"/>
    <w:rsid w:val="005F24DF"/>
    <w:rsid w:val="005F29EE"/>
    <w:rsid w:val="005F35D0"/>
    <w:rsid w:val="005F369D"/>
    <w:rsid w:val="005F3B4F"/>
    <w:rsid w:val="005F4065"/>
    <w:rsid w:val="005F40E3"/>
    <w:rsid w:val="005F4825"/>
    <w:rsid w:val="005F48AB"/>
    <w:rsid w:val="005F4C1D"/>
    <w:rsid w:val="005F4E3A"/>
    <w:rsid w:val="005F51CE"/>
    <w:rsid w:val="005F5450"/>
    <w:rsid w:val="005F5915"/>
    <w:rsid w:val="005F59C3"/>
    <w:rsid w:val="005F5AEF"/>
    <w:rsid w:val="005F5D0B"/>
    <w:rsid w:val="005F5E88"/>
    <w:rsid w:val="005F5EA8"/>
    <w:rsid w:val="005F62C8"/>
    <w:rsid w:val="005F690F"/>
    <w:rsid w:val="005F6B06"/>
    <w:rsid w:val="005F6DC4"/>
    <w:rsid w:val="005F7279"/>
    <w:rsid w:val="005F7749"/>
    <w:rsid w:val="005F77D1"/>
    <w:rsid w:val="005F7A00"/>
    <w:rsid w:val="005F7C4B"/>
    <w:rsid w:val="005F7CCD"/>
    <w:rsid w:val="0060014F"/>
    <w:rsid w:val="00600636"/>
    <w:rsid w:val="00600895"/>
    <w:rsid w:val="00600913"/>
    <w:rsid w:val="00600CDA"/>
    <w:rsid w:val="00600D05"/>
    <w:rsid w:val="00600F81"/>
    <w:rsid w:val="00601018"/>
    <w:rsid w:val="006014B9"/>
    <w:rsid w:val="006016DE"/>
    <w:rsid w:val="0060176D"/>
    <w:rsid w:val="00601C56"/>
    <w:rsid w:val="00601E0F"/>
    <w:rsid w:val="0060260E"/>
    <w:rsid w:val="0060265A"/>
    <w:rsid w:val="00602835"/>
    <w:rsid w:val="00602A02"/>
    <w:rsid w:val="00602BAC"/>
    <w:rsid w:val="006033D1"/>
    <w:rsid w:val="0060350B"/>
    <w:rsid w:val="00603728"/>
    <w:rsid w:val="00603C58"/>
    <w:rsid w:val="00603CEC"/>
    <w:rsid w:val="00603EC6"/>
    <w:rsid w:val="0060458B"/>
    <w:rsid w:val="00604826"/>
    <w:rsid w:val="0060485B"/>
    <w:rsid w:val="00604A07"/>
    <w:rsid w:val="00604A6A"/>
    <w:rsid w:val="00604AE2"/>
    <w:rsid w:val="00604B99"/>
    <w:rsid w:val="00604C2B"/>
    <w:rsid w:val="00606892"/>
    <w:rsid w:val="00606F58"/>
    <w:rsid w:val="0060788F"/>
    <w:rsid w:val="00607A72"/>
    <w:rsid w:val="00607B4B"/>
    <w:rsid w:val="00607B86"/>
    <w:rsid w:val="00607EFD"/>
    <w:rsid w:val="0061043C"/>
    <w:rsid w:val="006108A6"/>
    <w:rsid w:val="00610C0E"/>
    <w:rsid w:val="00610D3C"/>
    <w:rsid w:val="006117AD"/>
    <w:rsid w:val="00611920"/>
    <w:rsid w:val="00611FCD"/>
    <w:rsid w:val="00612BC0"/>
    <w:rsid w:val="00612C6B"/>
    <w:rsid w:val="0061312F"/>
    <w:rsid w:val="006132A1"/>
    <w:rsid w:val="006136DF"/>
    <w:rsid w:val="006137C7"/>
    <w:rsid w:val="00613926"/>
    <w:rsid w:val="00613DD2"/>
    <w:rsid w:val="00613E8C"/>
    <w:rsid w:val="00614BDC"/>
    <w:rsid w:val="00614E13"/>
    <w:rsid w:val="0061551E"/>
    <w:rsid w:val="0061640F"/>
    <w:rsid w:val="00616647"/>
    <w:rsid w:val="006166D3"/>
    <w:rsid w:val="006169B4"/>
    <w:rsid w:val="00617183"/>
    <w:rsid w:val="006174DB"/>
    <w:rsid w:val="00617671"/>
    <w:rsid w:val="00617726"/>
    <w:rsid w:val="0061792B"/>
    <w:rsid w:val="00617CE5"/>
    <w:rsid w:val="00617EFF"/>
    <w:rsid w:val="00620233"/>
    <w:rsid w:val="006202FD"/>
    <w:rsid w:val="006203BA"/>
    <w:rsid w:val="00620753"/>
    <w:rsid w:val="006208C8"/>
    <w:rsid w:val="00620BE8"/>
    <w:rsid w:val="00620E26"/>
    <w:rsid w:val="00620E54"/>
    <w:rsid w:val="00620EE5"/>
    <w:rsid w:val="006211CF"/>
    <w:rsid w:val="00621257"/>
    <w:rsid w:val="0062130B"/>
    <w:rsid w:val="006217A7"/>
    <w:rsid w:val="00621C3A"/>
    <w:rsid w:val="00622700"/>
    <w:rsid w:val="00622D1B"/>
    <w:rsid w:val="00623676"/>
    <w:rsid w:val="00623B19"/>
    <w:rsid w:val="00623E20"/>
    <w:rsid w:val="00624B0B"/>
    <w:rsid w:val="00624F70"/>
    <w:rsid w:val="00625608"/>
    <w:rsid w:val="00625693"/>
    <w:rsid w:val="00625770"/>
    <w:rsid w:val="0062588E"/>
    <w:rsid w:val="00626555"/>
    <w:rsid w:val="00626B95"/>
    <w:rsid w:val="006272BF"/>
    <w:rsid w:val="00627403"/>
    <w:rsid w:val="00627936"/>
    <w:rsid w:val="00627DCC"/>
    <w:rsid w:val="00630029"/>
    <w:rsid w:val="00630122"/>
    <w:rsid w:val="00630242"/>
    <w:rsid w:val="0063053B"/>
    <w:rsid w:val="00630ABA"/>
    <w:rsid w:val="006312AC"/>
    <w:rsid w:val="006318DC"/>
    <w:rsid w:val="006321A3"/>
    <w:rsid w:val="00632261"/>
    <w:rsid w:val="0063228C"/>
    <w:rsid w:val="006325F8"/>
    <w:rsid w:val="00632785"/>
    <w:rsid w:val="0063331B"/>
    <w:rsid w:val="00633463"/>
    <w:rsid w:val="00633C81"/>
    <w:rsid w:val="006344FA"/>
    <w:rsid w:val="00634D42"/>
    <w:rsid w:val="00635ACA"/>
    <w:rsid w:val="00635B21"/>
    <w:rsid w:val="00635C6A"/>
    <w:rsid w:val="0063691E"/>
    <w:rsid w:val="00636B8B"/>
    <w:rsid w:val="00637720"/>
    <w:rsid w:val="006377B6"/>
    <w:rsid w:val="006379AD"/>
    <w:rsid w:val="00637D45"/>
    <w:rsid w:val="00637FAC"/>
    <w:rsid w:val="00640DAB"/>
    <w:rsid w:val="006411F4"/>
    <w:rsid w:val="006414A5"/>
    <w:rsid w:val="006417B1"/>
    <w:rsid w:val="006419B7"/>
    <w:rsid w:val="006419F2"/>
    <w:rsid w:val="00641FBB"/>
    <w:rsid w:val="00642219"/>
    <w:rsid w:val="00642256"/>
    <w:rsid w:val="006423FD"/>
    <w:rsid w:val="006426FD"/>
    <w:rsid w:val="00642D0C"/>
    <w:rsid w:val="006430A2"/>
    <w:rsid w:val="006430EF"/>
    <w:rsid w:val="00643520"/>
    <w:rsid w:val="00643BF2"/>
    <w:rsid w:val="006446F6"/>
    <w:rsid w:val="006448B6"/>
    <w:rsid w:val="00644CE0"/>
    <w:rsid w:val="00644E81"/>
    <w:rsid w:val="006453B4"/>
    <w:rsid w:val="006455A6"/>
    <w:rsid w:val="00645811"/>
    <w:rsid w:val="00646384"/>
    <w:rsid w:val="00646836"/>
    <w:rsid w:val="00646FBB"/>
    <w:rsid w:val="00647448"/>
    <w:rsid w:val="00647558"/>
    <w:rsid w:val="0064782C"/>
    <w:rsid w:val="00647CE2"/>
    <w:rsid w:val="00647ED2"/>
    <w:rsid w:val="0065006D"/>
    <w:rsid w:val="006507DB"/>
    <w:rsid w:val="00650A10"/>
    <w:rsid w:val="00650AE3"/>
    <w:rsid w:val="00650CB5"/>
    <w:rsid w:val="00651564"/>
    <w:rsid w:val="0065175B"/>
    <w:rsid w:val="00651773"/>
    <w:rsid w:val="00651D79"/>
    <w:rsid w:val="00652056"/>
    <w:rsid w:val="0065247B"/>
    <w:rsid w:val="00652520"/>
    <w:rsid w:val="00652C6C"/>
    <w:rsid w:val="006531F9"/>
    <w:rsid w:val="00653BA1"/>
    <w:rsid w:val="00653F80"/>
    <w:rsid w:val="00653FA3"/>
    <w:rsid w:val="00654083"/>
    <w:rsid w:val="00654468"/>
    <w:rsid w:val="00654534"/>
    <w:rsid w:val="00654AA3"/>
    <w:rsid w:val="00654B25"/>
    <w:rsid w:val="00654BC4"/>
    <w:rsid w:val="00654E13"/>
    <w:rsid w:val="00654EE1"/>
    <w:rsid w:val="006556B5"/>
    <w:rsid w:val="00655C54"/>
    <w:rsid w:val="00655CE8"/>
    <w:rsid w:val="00655E22"/>
    <w:rsid w:val="00655F70"/>
    <w:rsid w:val="006563EC"/>
    <w:rsid w:val="00656714"/>
    <w:rsid w:val="006567C6"/>
    <w:rsid w:val="006569B7"/>
    <w:rsid w:val="00656B41"/>
    <w:rsid w:val="0065794F"/>
    <w:rsid w:val="00660081"/>
    <w:rsid w:val="00660477"/>
    <w:rsid w:val="006604C0"/>
    <w:rsid w:val="00660796"/>
    <w:rsid w:val="0066087F"/>
    <w:rsid w:val="00660D4C"/>
    <w:rsid w:val="00661005"/>
    <w:rsid w:val="006612EB"/>
    <w:rsid w:val="00661366"/>
    <w:rsid w:val="0066139F"/>
    <w:rsid w:val="0066164E"/>
    <w:rsid w:val="0066198F"/>
    <w:rsid w:val="006619D1"/>
    <w:rsid w:val="00661FBD"/>
    <w:rsid w:val="006630CF"/>
    <w:rsid w:val="006634A5"/>
    <w:rsid w:val="00663612"/>
    <w:rsid w:val="00663A9F"/>
    <w:rsid w:val="00663C11"/>
    <w:rsid w:val="00663C65"/>
    <w:rsid w:val="00663FB4"/>
    <w:rsid w:val="00664035"/>
    <w:rsid w:val="00664229"/>
    <w:rsid w:val="00664A6E"/>
    <w:rsid w:val="00664D05"/>
    <w:rsid w:val="00664F1A"/>
    <w:rsid w:val="006655F5"/>
    <w:rsid w:val="00665662"/>
    <w:rsid w:val="00665995"/>
    <w:rsid w:val="00665A05"/>
    <w:rsid w:val="0066625B"/>
    <w:rsid w:val="00666490"/>
    <w:rsid w:val="0066677D"/>
    <w:rsid w:val="00666D8F"/>
    <w:rsid w:val="00666DAA"/>
    <w:rsid w:val="00666E1D"/>
    <w:rsid w:val="006670F1"/>
    <w:rsid w:val="006673BF"/>
    <w:rsid w:val="006675E5"/>
    <w:rsid w:val="00667837"/>
    <w:rsid w:val="00667962"/>
    <w:rsid w:val="00667B96"/>
    <w:rsid w:val="00667CC3"/>
    <w:rsid w:val="00670787"/>
    <w:rsid w:val="006709D5"/>
    <w:rsid w:val="00670B97"/>
    <w:rsid w:val="00670CFF"/>
    <w:rsid w:val="006710B7"/>
    <w:rsid w:val="00671281"/>
    <w:rsid w:val="00671A8E"/>
    <w:rsid w:val="00672267"/>
    <w:rsid w:val="00672355"/>
    <w:rsid w:val="00672B02"/>
    <w:rsid w:val="00673203"/>
    <w:rsid w:val="00673AA4"/>
    <w:rsid w:val="00673C33"/>
    <w:rsid w:val="00673E27"/>
    <w:rsid w:val="00674272"/>
    <w:rsid w:val="006744F2"/>
    <w:rsid w:val="006748BB"/>
    <w:rsid w:val="00674D1D"/>
    <w:rsid w:val="00674E3E"/>
    <w:rsid w:val="006756C6"/>
    <w:rsid w:val="0067592C"/>
    <w:rsid w:val="006761C8"/>
    <w:rsid w:val="006766BF"/>
    <w:rsid w:val="00676730"/>
    <w:rsid w:val="00676890"/>
    <w:rsid w:val="006768AC"/>
    <w:rsid w:val="00676A30"/>
    <w:rsid w:val="00676ACF"/>
    <w:rsid w:val="00676B77"/>
    <w:rsid w:val="00676E00"/>
    <w:rsid w:val="00676F19"/>
    <w:rsid w:val="006770AC"/>
    <w:rsid w:val="00677365"/>
    <w:rsid w:val="006775E2"/>
    <w:rsid w:val="0067793C"/>
    <w:rsid w:val="00680393"/>
    <w:rsid w:val="006817BA"/>
    <w:rsid w:val="00681971"/>
    <w:rsid w:val="00681CD5"/>
    <w:rsid w:val="00681EF8"/>
    <w:rsid w:val="00681F10"/>
    <w:rsid w:val="00682035"/>
    <w:rsid w:val="00682889"/>
    <w:rsid w:val="00683452"/>
    <w:rsid w:val="00683482"/>
    <w:rsid w:val="0068400B"/>
    <w:rsid w:val="0068411F"/>
    <w:rsid w:val="006842A8"/>
    <w:rsid w:val="0068456E"/>
    <w:rsid w:val="006849BB"/>
    <w:rsid w:val="00684D14"/>
    <w:rsid w:val="006851DD"/>
    <w:rsid w:val="00685288"/>
    <w:rsid w:val="00685950"/>
    <w:rsid w:val="00685BF8"/>
    <w:rsid w:val="00685CC7"/>
    <w:rsid w:val="0068616E"/>
    <w:rsid w:val="006862A6"/>
    <w:rsid w:val="00686701"/>
    <w:rsid w:val="00686A19"/>
    <w:rsid w:val="006871B1"/>
    <w:rsid w:val="00687C70"/>
    <w:rsid w:val="00690365"/>
    <w:rsid w:val="00690755"/>
    <w:rsid w:val="00690829"/>
    <w:rsid w:val="00690B42"/>
    <w:rsid w:val="00690DF3"/>
    <w:rsid w:val="006914D2"/>
    <w:rsid w:val="00691523"/>
    <w:rsid w:val="00691A16"/>
    <w:rsid w:val="00691B02"/>
    <w:rsid w:val="00691D58"/>
    <w:rsid w:val="00691D7A"/>
    <w:rsid w:val="00692183"/>
    <w:rsid w:val="006939EC"/>
    <w:rsid w:val="00693A29"/>
    <w:rsid w:val="00693C11"/>
    <w:rsid w:val="00694E22"/>
    <w:rsid w:val="00694EC6"/>
    <w:rsid w:val="00694F8F"/>
    <w:rsid w:val="00695937"/>
    <w:rsid w:val="0069597C"/>
    <w:rsid w:val="00695A76"/>
    <w:rsid w:val="00695D95"/>
    <w:rsid w:val="006960B9"/>
    <w:rsid w:val="00696258"/>
    <w:rsid w:val="00696326"/>
    <w:rsid w:val="00696736"/>
    <w:rsid w:val="00696E16"/>
    <w:rsid w:val="006970D5"/>
    <w:rsid w:val="00697118"/>
    <w:rsid w:val="0069739D"/>
    <w:rsid w:val="00697CDE"/>
    <w:rsid w:val="006A0293"/>
    <w:rsid w:val="006A08C1"/>
    <w:rsid w:val="006A0BE2"/>
    <w:rsid w:val="006A0D51"/>
    <w:rsid w:val="006A0DCB"/>
    <w:rsid w:val="006A1186"/>
    <w:rsid w:val="006A16C5"/>
    <w:rsid w:val="006A1A51"/>
    <w:rsid w:val="006A1E83"/>
    <w:rsid w:val="006A1EE1"/>
    <w:rsid w:val="006A1F2C"/>
    <w:rsid w:val="006A2159"/>
    <w:rsid w:val="006A249B"/>
    <w:rsid w:val="006A3897"/>
    <w:rsid w:val="006A38F6"/>
    <w:rsid w:val="006A4047"/>
    <w:rsid w:val="006A4211"/>
    <w:rsid w:val="006A436A"/>
    <w:rsid w:val="006A4813"/>
    <w:rsid w:val="006A49A4"/>
    <w:rsid w:val="006A4AE2"/>
    <w:rsid w:val="006A4D8A"/>
    <w:rsid w:val="006A4F99"/>
    <w:rsid w:val="006A50C8"/>
    <w:rsid w:val="006A58AC"/>
    <w:rsid w:val="006A5EE5"/>
    <w:rsid w:val="006A625E"/>
    <w:rsid w:val="006A64A9"/>
    <w:rsid w:val="006A64E6"/>
    <w:rsid w:val="006A661F"/>
    <w:rsid w:val="006A6AF9"/>
    <w:rsid w:val="006A6B52"/>
    <w:rsid w:val="006A7AD0"/>
    <w:rsid w:val="006A7D66"/>
    <w:rsid w:val="006A7DFF"/>
    <w:rsid w:val="006B0469"/>
    <w:rsid w:val="006B0925"/>
    <w:rsid w:val="006B1C87"/>
    <w:rsid w:val="006B24E1"/>
    <w:rsid w:val="006B277A"/>
    <w:rsid w:val="006B2887"/>
    <w:rsid w:val="006B29BA"/>
    <w:rsid w:val="006B2BCA"/>
    <w:rsid w:val="006B2C28"/>
    <w:rsid w:val="006B311C"/>
    <w:rsid w:val="006B342C"/>
    <w:rsid w:val="006B38A8"/>
    <w:rsid w:val="006B39C6"/>
    <w:rsid w:val="006B3B09"/>
    <w:rsid w:val="006B3F25"/>
    <w:rsid w:val="006B4785"/>
    <w:rsid w:val="006B4949"/>
    <w:rsid w:val="006B4C57"/>
    <w:rsid w:val="006B52D9"/>
    <w:rsid w:val="006B556C"/>
    <w:rsid w:val="006B56EC"/>
    <w:rsid w:val="006B5A06"/>
    <w:rsid w:val="006B5ADB"/>
    <w:rsid w:val="006B69D2"/>
    <w:rsid w:val="006B6B5B"/>
    <w:rsid w:val="006B6CB4"/>
    <w:rsid w:val="006B73B9"/>
    <w:rsid w:val="006B741B"/>
    <w:rsid w:val="006B7642"/>
    <w:rsid w:val="006B7EFE"/>
    <w:rsid w:val="006C0522"/>
    <w:rsid w:val="006C06D7"/>
    <w:rsid w:val="006C0CF3"/>
    <w:rsid w:val="006C0D44"/>
    <w:rsid w:val="006C0DBD"/>
    <w:rsid w:val="006C1021"/>
    <w:rsid w:val="006C13CB"/>
    <w:rsid w:val="006C145B"/>
    <w:rsid w:val="006C1A1F"/>
    <w:rsid w:val="006C25F1"/>
    <w:rsid w:val="006C2626"/>
    <w:rsid w:val="006C2966"/>
    <w:rsid w:val="006C2C29"/>
    <w:rsid w:val="006C2EF3"/>
    <w:rsid w:val="006C355C"/>
    <w:rsid w:val="006C3790"/>
    <w:rsid w:val="006C3C2A"/>
    <w:rsid w:val="006C3E91"/>
    <w:rsid w:val="006C44C8"/>
    <w:rsid w:val="006C44CD"/>
    <w:rsid w:val="006C4749"/>
    <w:rsid w:val="006C4D9E"/>
    <w:rsid w:val="006C4FD2"/>
    <w:rsid w:val="006C51CD"/>
    <w:rsid w:val="006C5448"/>
    <w:rsid w:val="006C567D"/>
    <w:rsid w:val="006C56B8"/>
    <w:rsid w:val="006C5BA8"/>
    <w:rsid w:val="006C611E"/>
    <w:rsid w:val="006C6FE4"/>
    <w:rsid w:val="006C746C"/>
    <w:rsid w:val="006C758D"/>
    <w:rsid w:val="006C7693"/>
    <w:rsid w:val="006C792D"/>
    <w:rsid w:val="006C7A1C"/>
    <w:rsid w:val="006D0F7B"/>
    <w:rsid w:val="006D103A"/>
    <w:rsid w:val="006D1DE1"/>
    <w:rsid w:val="006D2317"/>
    <w:rsid w:val="006D266D"/>
    <w:rsid w:val="006D2C7E"/>
    <w:rsid w:val="006D2F68"/>
    <w:rsid w:val="006D31EC"/>
    <w:rsid w:val="006D32CD"/>
    <w:rsid w:val="006D3749"/>
    <w:rsid w:val="006D37B0"/>
    <w:rsid w:val="006D3994"/>
    <w:rsid w:val="006D39A5"/>
    <w:rsid w:val="006D3A92"/>
    <w:rsid w:val="006D3DBF"/>
    <w:rsid w:val="006D489D"/>
    <w:rsid w:val="006D4D0F"/>
    <w:rsid w:val="006D4D7F"/>
    <w:rsid w:val="006D4FD3"/>
    <w:rsid w:val="006D51A0"/>
    <w:rsid w:val="006D51B1"/>
    <w:rsid w:val="006D5662"/>
    <w:rsid w:val="006D5A15"/>
    <w:rsid w:val="006D5D7E"/>
    <w:rsid w:val="006D5E15"/>
    <w:rsid w:val="006D5FF2"/>
    <w:rsid w:val="006D6048"/>
    <w:rsid w:val="006D65CA"/>
    <w:rsid w:val="006D6C3A"/>
    <w:rsid w:val="006D6E3C"/>
    <w:rsid w:val="006D6F55"/>
    <w:rsid w:val="006D6F58"/>
    <w:rsid w:val="006D72DB"/>
    <w:rsid w:val="006D73BB"/>
    <w:rsid w:val="006D76B9"/>
    <w:rsid w:val="006D7B92"/>
    <w:rsid w:val="006D7FD1"/>
    <w:rsid w:val="006E0448"/>
    <w:rsid w:val="006E09DE"/>
    <w:rsid w:val="006E0DF1"/>
    <w:rsid w:val="006E0E9C"/>
    <w:rsid w:val="006E1377"/>
    <w:rsid w:val="006E143C"/>
    <w:rsid w:val="006E14F1"/>
    <w:rsid w:val="006E1582"/>
    <w:rsid w:val="006E165D"/>
    <w:rsid w:val="006E1938"/>
    <w:rsid w:val="006E1970"/>
    <w:rsid w:val="006E1DDE"/>
    <w:rsid w:val="006E1F49"/>
    <w:rsid w:val="006E2136"/>
    <w:rsid w:val="006E2191"/>
    <w:rsid w:val="006E2329"/>
    <w:rsid w:val="006E24B2"/>
    <w:rsid w:val="006E2816"/>
    <w:rsid w:val="006E2917"/>
    <w:rsid w:val="006E2AF2"/>
    <w:rsid w:val="006E322B"/>
    <w:rsid w:val="006E3280"/>
    <w:rsid w:val="006E44D9"/>
    <w:rsid w:val="006E47C7"/>
    <w:rsid w:val="006E50A3"/>
    <w:rsid w:val="006E53B4"/>
    <w:rsid w:val="006E5E48"/>
    <w:rsid w:val="006E6220"/>
    <w:rsid w:val="006E62EB"/>
    <w:rsid w:val="006E630A"/>
    <w:rsid w:val="006E64C8"/>
    <w:rsid w:val="006E6607"/>
    <w:rsid w:val="006E67FA"/>
    <w:rsid w:val="006E6CFE"/>
    <w:rsid w:val="006E6E11"/>
    <w:rsid w:val="006E71C1"/>
    <w:rsid w:val="006E71F3"/>
    <w:rsid w:val="006E7410"/>
    <w:rsid w:val="006E778C"/>
    <w:rsid w:val="006E7AC2"/>
    <w:rsid w:val="006F00FD"/>
    <w:rsid w:val="006F0854"/>
    <w:rsid w:val="006F0C20"/>
    <w:rsid w:val="006F1145"/>
    <w:rsid w:val="006F13A7"/>
    <w:rsid w:val="006F144F"/>
    <w:rsid w:val="006F155C"/>
    <w:rsid w:val="006F1A01"/>
    <w:rsid w:val="006F2800"/>
    <w:rsid w:val="006F2862"/>
    <w:rsid w:val="006F28B2"/>
    <w:rsid w:val="006F3306"/>
    <w:rsid w:val="006F37B8"/>
    <w:rsid w:val="006F3DA0"/>
    <w:rsid w:val="006F43CD"/>
    <w:rsid w:val="006F46D2"/>
    <w:rsid w:val="006F47ED"/>
    <w:rsid w:val="006F513C"/>
    <w:rsid w:val="006F5E2D"/>
    <w:rsid w:val="006F5E70"/>
    <w:rsid w:val="006F61F8"/>
    <w:rsid w:val="006F6789"/>
    <w:rsid w:val="006F68F6"/>
    <w:rsid w:val="006F70DB"/>
    <w:rsid w:val="006F74EA"/>
    <w:rsid w:val="006F77E7"/>
    <w:rsid w:val="006F7D2B"/>
    <w:rsid w:val="006F7E9E"/>
    <w:rsid w:val="00700017"/>
    <w:rsid w:val="007004C2"/>
    <w:rsid w:val="007007E6"/>
    <w:rsid w:val="007009DF"/>
    <w:rsid w:val="00700A01"/>
    <w:rsid w:val="00701027"/>
    <w:rsid w:val="007012C0"/>
    <w:rsid w:val="00701345"/>
    <w:rsid w:val="007016AF"/>
    <w:rsid w:val="0070195E"/>
    <w:rsid w:val="00701A74"/>
    <w:rsid w:val="00701EE8"/>
    <w:rsid w:val="00702372"/>
    <w:rsid w:val="007023B6"/>
    <w:rsid w:val="0070283F"/>
    <w:rsid w:val="00702E7F"/>
    <w:rsid w:val="00703056"/>
    <w:rsid w:val="00703094"/>
    <w:rsid w:val="007031A8"/>
    <w:rsid w:val="00703459"/>
    <w:rsid w:val="00703BB5"/>
    <w:rsid w:val="00703C0D"/>
    <w:rsid w:val="00703E31"/>
    <w:rsid w:val="00704676"/>
    <w:rsid w:val="007047E3"/>
    <w:rsid w:val="00704935"/>
    <w:rsid w:val="00704CB9"/>
    <w:rsid w:val="00704CBD"/>
    <w:rsid w:val="00705322"/>
    <w:rsid w:val="00705AA4"/>
    <w:rsid w:val="00706065"/>
    <w:rsid w:val="0070635D"/>
    <w:rsid w:val="00706390"/>
    <w:rsid w:val="007067A8"/>
    <w:rsid w:val="00706A36"/>
    <w:rsid w:val="00706E83"/>
    <w:rsid w:val="00707489"/>
    <w:rsid w:val="007075CD"/>
    <w:rsid w:val="00707882"/>
    <w:rsid w:val="007078B4"/>
    <w:rsid w:val="007079B4"/>
    <w:rsid w:val="007079E1"/>
    <w:rsid w:val="00707AAA"/>
    <w:rsid w:val="00707B1D"/>
    <w:rsid w:val="00707B2B"/>
    <w:rsid w:val="00707CC9"/>
    <w:rsid w:val="007105D2"/>
    <w:rsid w:val="0071073E"/>
    <w:rsid w:val="00710855"/>
    <w:rsid w:val="00710DDA"/>
    <w:rsid w:val="007112C8"/>
    <w:rsid w:val="007113AF"/>
    <w:rsid w:val="00711462"/>
    <w:rsid w:val="00711875"/>
    <w:rsid w:val="00711A44"/>
    <w:rsid w:val="00711CB6"/>
    <w:rsid w:val="00711EEC"/>
    <w:rsid w:val="00711F5E"/>
    <w:rsid w:val="007120A6"/>
    <w:rsid w:val="00712148"/>
    <w:rsid w:val="00712FE6"/>
    <w:rsid w:val="00713110"/>
    <w:rsid w:val="007134AA"/>
    <w:rsid w:val="00713A94"/>
    <w:rsid w:val="00713D54"/>
    <w:rsid w:val="00713EEF"/>
    <w:rsid w:val="00714433"/>
    <w:rsid w:val="00714FEA"/>
    <w:rsid w:val="00715B06"/>
    <w:rsid w:val="00715CED"/>
    <w:rsid w:val="00715DED"/>
    <w:rsid w:val="0071687A"/>
    <w:rsid w:val="00716ADF"/>
    <w:rsid w:val="00716D12"/>
    <w:rsid w:val="00716E53"/>
    <w:rsid w:val="00720335"/>
    <w:rsid w:val="00720C62"/>
    <w:rsid w:val="00720D69"/>
    <w:rsid w:val="00720DE0"/>
    <w:rsid w:val="00720F78"/>
    <w:rsid w:val="0072102A"/>
    <w:rsid w:val="00721307"/>
    <w:rsid w:val="00721627"/>
    <w:rsid w:val="007217EA"/>
    <w:rsid w:val="00722509"/>
    <w:rsid w:val="007225E8"/>
    <w:rsid w:val="00722834"/>
    <w:rsid w:val="00722986"/>
    <w:rsid w:val="00722E20"/>
    <w:rsid w:val="007232BF"/>
    <w:rsid w:val="007236C8"/>
    <w:rsid w:val="00723718"/>
    <w:rsid w:val="00723918"/>
    <w:rsid w:val="00723961"/>
    <w:rsid w:val="00723E17"/>
    <w:rsid w:val="0072437F"/>
    <w:rsid w:val="00724530"/>
    <w:rsid w:val="007245EF"/>
    <w:rsid w:val="007247D2"/>
    <w:rsid w:val="00724DF0"/>
    <w:rsid w:val="00724F70"/>
    <w:rsid w:val="007251C7"/>
    <w:rsid w:val="007258F9"/>
    <w:rsid w:val="007259F0"/>
    <w:rsid w:val="00725E74"/>
    <w:rsid w:val="00725F82"/>
    <w:rsid w:val="00726362"/>
    <w:rsid w:val="00726714"/>
    <w:rsid w:val="007275AE"/>
    <w:rsid w:val="007278C6"/>
    <w:rsid w:val="0073050E"/>
    <w:rsid w:val="00730824"/>
    <w:rsid w:val="007309FE"/>
    <w:rsid w:val="00731273"/>
    <w:rsid w:val="0073150E"/>
    <w:rsid w:val="007315C2"/>
    <w:rsid w:val="007315FD"/>
    <w:rsid w:val="0073164F"/>
    <w:rsid w:val="007316EF"/>
    <w:rsid w:val="00731A34"/>
    <w:rsid w:val="00731CFE"/>
    <w:rsid w:val="00731E22"/>
    <w:rsid w:val="00731EE5"/>
    <w:rsid w:val="0073217C"/>
    <w:rsid w:val="00732307"/>
    <w:rsid w:val="00732999"/>
    <w:rsid w:val="00732E97"/>
    <w:rsid w:val="0073358D"/>
    <w:rsid w:val="0073369D"/>
    <w:rsid w:val="007343B2"/>
    <w:rsid w:val="0073441B"/>
    <w:rsid w:val="007344AB"/>
    <w:rsid w:val="007346A0"/>
    <w:rsid w:val="007348EF"/>
    <w:rsid w:val="00734934"/>
    <w:rsid w:val="007350D1"/>
    <w:rsid w:val="00735462"/>
    <w:rsid w:val="007356E3"/>
    <w:rsid w:val="007358D2"/>
    <w:rsid w:val="00735CCB"/>
    <w:rsid w:val="00735F51"/>
    <w:rsid w:val="007368F9"/>
    <w:rsid w:val="00736BF9"/>
    <w:rsid w:val="00736D53"/>
    <w:rsid w:val="00736F63"/>
    <w:rsid w:val="00736FCF"/>
    <w:rsid w:val="007370A6"/>
    <w:rsid w:val="007371A5"/>
    <w:rsid w:val="00737A30"/>
    <w:rsid w:val="00737C75"/>
    <w:rsid w:val="0074018D"/>
    <w:rsid w:val="007407A0"/>
    <w:rsid w:val="00740AA1"/>
    <w:rsid w:val="00741BCC"/>
    <w:rsid w:val="0074205D"/>
    <w:rsid w:val="0074295A"/>
    <w:rsid w:val="00742B99"/>
    <w:rsid w:val="00742C38"/>
    <w:rsid w:val="00742DA3"/>
    <w:rsid w:val="0074315D"/>
    <w:rsid w:val="007441BD"/>
    <w:rsid w:val="007448E2"/>
    <w:rsid w:val="00744F0A"/>
    <w:rsid w:val="007450F3"/>
    <w:rsid w:val="007451C7"/>
    <w:rsid w:val="0074537E"/>
    <w:rsid w:val="0074547C"/>
    <w:rsid w:val="007457D9"/>
    <w:rsid w:val="00745967"/>
    <w:rsid w:val="00746325"/>
    <w:rsid w:val="00746346"/>
    <w:rsid w:val="007466AE"/>
    <w:rsid w:val="00746716"/>
    <w:rsid w:val="007469B0"/>
    <w:rsid w:val="0074771B"/>
    <w:rsid w:val="00747C06"/>
    <w:rsid w:val="00747E56"/>
    <w:rsid w:val="00750DD0"/>
    <w:rsid w:val="0075126E"/>
    <w:rsid w:val="0075155A"/>
    <w:rsid w:val="00751707"/>
    <w:rsid w:val="00751752"/>
    <w:rsid w:val="007517EE"/>
    <w:rsid w:val="0075201C"/>
    <w:rsid w:val="007520EF"/>
    <w:rsid w:val="007522C7"/>
    <w:rsid w:val="00752625"/>
    <w:rsid w:val="0075294F"/>
    <w:rsid w:val="00752D88"/>
    <w:rsid w:val="00753027"/>
    <w:rsid w:val="007536EF"/>
    <w:rsid w:val="00754410"/>
    <w:rsid w:val="00754993"/>
    <w:rsid w:val="00754D82"/>
    <w:rsid w:val="00754DE8"/>
    <w:rsid w:val="00755432"/>
    <w:rsid w:val="007556FD"/>
    <w:rsid w:val="00755995"/>
    <w:rsid w:val="00755C06"/>
    <w:rsid w:val="00755DB0"/>
    <w:rsid w:val="00755EE1"/>
    <w:rsid w:val="00755F1A"/>
    <w:rsid w:val="00756547"/>
    <w:rsid w:val="00756B09"/>
    <w:rsid w:val="00756F1A"/>
    <w:rsid w:val="007571EA"/>
    <w:rsid w:val="007571FF"/>
    <w:rsid w:val="00757437"/>
    <w:rsid w:val="00757678"/>
    <w:rsid w:val="0075772A"/>
    <w:rsid w:val="00757AE6"/>
    <w:rsid w:val="007600F8"/>
    <w:rsid w:val="0076010A"/>
    <w:rsid w:val="0076020B"/>
    <w:rsid w:val="00760B48"/>
    <w:rsid w:val="00760C7B"/>
    <w:rsid w:val="00760F46"/>
    <w:rsid w:val="007611B5"/>
    <w:rsid w:val="007613B7"/>
    <w:rsid w:val="00761810"/>
    <w:rsid w:val="007619D0"/>
    <w:rsid w:val="00761CD9"/>
    <w:rsid w:val="00761EDE"/>
    <w:rsid w:val="00762007"/>
    <w:rsid w:val="00762164"/>
    <w:rsid w:val="0076233F"/>
    <w:rsid w:val="00762442"/>
    <w:rsid w:val="0076249D"/>
    <w:rsid w:val="00762BE7"/>
    <w:rsid w:val="00762D9F"/>
    <w:rsid w:val="00762FE0"/>
    <w:rsid w:val="007631AF"/>
    <w:rsid w:val="0076339A"/>
    <w:rsid w:val="0076362D"/>
    <w:rsid w:val="00763873"/>
    <w:rsid w:val="0076392F"/>
    <w:rsid w:val="0076399F"/>
    <w:rsid w:val="00763BD3"/>
    <w:rsid w:val="00763EA4"/>
    <w:rsid w:val="00764AA1"/>
    <w:rsid w:val="0076545E"/>
    <w:rsid w:val="0076565B"/>
    <w:rsid w:val="00765BCF"/>
    <w:rsid w:val="0076609F"/>
    <w:rsid w:val="0076664B"/>
    <w:rsid w:val="0076677D"/>
    <w:rsid w:val="00766AF8"/>
    <w:rsid w:val="00766FA4"/>
    <w:rsid w:val="00766FCD"/>
    <w:rsid w:val="00767202"/>
    <w:rsid w:val="00770A1C"/>
    <w:rsid w:val="00770ED8"/>
    <w:rsid w:val="00771A7F"/>
    <w:rsid w:val="00771B1C"/>
    <w:rsid w:val="00771B52"/>
    <w:rsid w:val="00771C84"/>
    <w:rsid w:val="00772522"/>
    <w:rsid w:val="00772561"/>
    <w:rsid w:val="00772891"/>
    <w:rsid w:val="00772E18"/>
    <w:rsid w:val="00773314"/>
    <w:rsid w:val="00773DD3"/>
    <w:rsid w:val="00774081"/>
    <w:rsid w:val="007742B8"/>
    <w:rsid w:val="00774504"/>
    <w:rsid w:val="00774715"/>
    <w:rsid w:val="00774DF7"/>
    <w:rsid w:val="007751C5"/>
    <w:rsid w:val="00775433"/>
    <w:rsid w:val="0077553B"/>
    <w:rsid w:val="007755C7"/>
    <w:rsid w:val="00776667"/>
    <w:rsid w:val="00777086"/>
    <w:rsid w:val="00777463"/>
    <w:rsid w:val="007775D7"/>
    <w:rsid w:val="00777D4F"/>
    <w:rsid w:val="007801AC"/>
    <w:rsid w:val="00780314"/>
    <w:rsid w:val="0078044D"/>
    <w:rsid w:val="007806A7"/>
    <w:rsid w:val="00780BA7"/>
    <w:rsid w:val="00780CA2"/>
    <w:rsid w:val="00781240"/>
    <w:rsid w:val="0078144F"/>
    <w:rsid w:val="0078170C"/>
    <w:rsid w:val="0078173E"/>
    <w:rsid w:val="0078173F"/>
    <w:rsid w:val="00781AC4"/>
    <w:rsid w:val="00781C10"/>
    <w:rsid w:val="00781CFE"/>
    <w:rsid w:val="007821E4"/>
    <w:rsid w:val="00782314"/>
    <w:rsid w:val="007823F9"/>
    <w:rsid w:val="007824AA"/>
    <w:rsid w:val="007824C2"/>
    <w:rsid w:val="007825C1"/>
    <w:rsid w:val="007826EF"/>
    <w:rsid w:val="007827A0"/>
    <w:rsid w:val="00782875"/>
    <w:rsid w:val="0078299E"/>
    <w:rsid w:val="007829B6"/>
    <w:rsid w:val="00782A52"/>
    <w:rsid w:val="00782B0E"/>
    <w:rsid w:val="00782D65"/>
    <w:rsid w:val="00783331"/>
    <w:rsid w:val="00783366"/>
    <w:rsid w:val="0078366B"/>
    <w:rsid w:val="00783851"/>
    <w:rsid w:val="00783D4D"/>
    <w:rsid w:val="0078459F"/>
    <w:rsid w:val="0078468E"/>
    <w:rsid w:val="00784BB6"/>
    <w:rsid w:val="007855CC"/>
    <w:rsid w:val="00785770"/>
    <w:rsid w:val="00785C47"/>
    <w:rsid w:val="007865C5"/>
    <w:rsid w:val="0078689A"/>
    <w:rsid w:val="00786E0E"/>
    <w:rsid w:val="00790436"/>
    <w:rsid w:val="0079049D"/>
    <w:rsid w:val="0079053D"/>
    <w:rsid w:val="00790568"/>
    <w:rsid w:val="00790754"/>
    <w:rsid w:val="00790CAA"/>
    <w:rsid w:val="00790DA7"/>
    <w:rsid w:val="00790E3B"/>
    <w:rsid w:val="00790EDD"/>
    <w:rsid w:val="00791223"/>
    <w:rsid w:val="007913B5"/>
    <w:rsid w:val="00791504"/>
    <w:rsid w:val="00791923"/>
    <w:rsid w:val="0079192B"/>
    <w:rsid w:val="00791C30"/>
    <w:rsid w:val="00791C5D"/>
    <w:rsid w:val="007928D6"/>
    <w:rsid w:val="00792FF6"/>
    <w:rsid w:val="00793099"/>
    <w:rsid w:val="007932A5"/>
    <w:rsid w:val="00793425"/>
    <w:rsid w:val="007934A5"/>
    <w:rsid w:val="007936A1"/>
    <w:rsid w:val="00793877"/>
    <w:rsid w:val="00793D17"/>
    <w:rsid w:val="00794A31"/>
    <w:rsid w:val="00794B7C"/>
    <w:rsid w:val="007951C7"/>
    <w:rsid w:val="007952F0"/>
    <w:rsid w:val="00795314"/>
    <w:rsid w:val="007954DA"/>
    <w:rsid w:val="00795726"/>
    <w:rsid w:val="00795B74"/>
    <w:rsid w:val="00796150"/>
    <w:rsid w:val="00796678"/>
    <w:rsid w:val="0079690E"/>
    <w:rsid w:val="00796A2B"/>
    <w:rsid w:val="00796E22"/>
    <w:rsid w:val="00797438"/>
    <w:rsid w:val="00797567"/>
    <w:rsid w:val="00797972"/>
    <w:rsid w:val="007A00ED"/>
    <w:rsid w:val="007A05CB"/>
    <w:rsid w:val="007A06E6"/>
    <w:rsid w:val="007A06FB"/>
    <w:rsid w:val="007A0817"/>
    <w:rsid w:val="007A0CBD"/>
    <w:rsid w:val="007A0CCF"/>
    <w:rsid w:val="007A0CED"/>
    <w:rsid w:val="007A0E94"/>
    <w:rsid w:val="007A1246"/>
    <w:rsid w:val="007A181C"/>
    <w:rsid w:val="007A1ADA"/>
    <w:rsid w:val="007A1D64"/>
    <w:rsid w:val="007A1F9C"/>
    <w:rsid w:val="007A1FDB"/>
    <w:rsid w:val="007A205C"/>
    <w:rsid w:val="007A2384"/>
    <w:rsid w:val="007A2623"/>
    <w:rsid w:val="007A2AA3"/>
    <w:rsid w:val="007A2CF4"/>
    <w:rsid w:val="007A3104"/>
    <w:rsid w:val="007A31C0"/>
    <w:rsid w:val="007A31F5"/>
    <w:rsid w:val="007A3796"/>
    <w:rsid w:val="007A3D3B"/>
    <w:rsid w:val="007A4545"/>
    <w:rsid w:val="007A46EC"/>
    <w:rsid w:val="007A4A86"/>
    <w:rsid w:val="007A4A95"/>
    <w:rsid w:val="007A4FD8"/>
    <w:rsid w:val="007A5281"/>
    <w:rsid w:val="007A55DB"/>
    <w:rsid w:val="007A5D16"/>
    <w:rsid w:val="007A60FC"/>
    <w:rsid w:val="007A62C1"/>
    <w:rsid w:val="007A7172"/>
    <w:rsid w:val="007A71DC"/>
    <w:rsid w:val="007A738A"/>
    <w:rsid w:val="007A7688"/>
    <w:rsid w:val="007A77DA"/>
    <w:rsid w:val="007A7CC0"/>
    <w:rsid w:val="007B07D4"/>
    <w:rsid w:val="007B0A8F"/>
    <w:rsid w:val="007B1355"/>
    <w:rsid w:val="007B136F"/>
    <w:rsid w:val="007B137E"/>
    <w:rsid w:val="007B1592"/>
    <w:rsid w:val="007B1A12"/>
    <w:rsid w:val="007B1ADE"/>
    <w:rsid w:val="007B1D51"/>
    <w:rsid w:val="007B1F60"/>
    <w:rsid w:val="007B23C8"/>
    <w:rsid w:val="007B255F"/>
    <w:rsid w:val="007B26CA"/>
    <w:rsid w:val="007B26FA"/>
    <w:rsid w:val="007B27AB"/>
    <w:rsid w:val="007B2D58"/>
    <w:rsid w:val="007B30F3"/>
    <w:rsid w:val="007B37B2"/>
    <w:rsid w:val="007B3854"/>
    <w:rsid w:val="007B3E4A"/>
    <w:rsid w:val="007B4161"/>
    <w:rsid w:val="007B44AB"/>
    <w:rsid w:val="007B47F6"/>
    <w:rsid w:val="007B4EC3"/>
    <w:rsid w:val="007B5827"/>
    <w:rsid w:val="007B59CB"/>
    <w:rsid w:val="007B666C"/>
    <w:rsid w:val="007B6A7C"/>
    <w:rsid w:val="007B6A90"/>
    <w:rsid w:val="007B6A99"/>
    <w:rsid w:val="007B6CF6"/>
    <w:rsid w:val="007B755C"/>
    <w:rsid w:val="007B7860"/>
    <w:rsid w:val="007B7C64"/>
    <w:rsid w:val="007B7D7F"/>
    <w:rsid w:val="007C0026"/>
    <w:rsid w:val="007C03D9"/>
    <w:rsid w:val="007C0730"/>
    <w:rsid w:val="007C096A"/>
    <w:rsid w:val="007C0AF9"/>
    <w:rsid w:val="007C1068"/>
    <w:rsid w:val="007C1905"/>
    <w:rsid w:val="007C1A3A"/>
    <w:rsid w:val="007C1B9A"/>
    <w:rsid w:val="007C1E2B"/>
    <w:rsid w:val="007C2575"/>
    <w:rsid w:val="007C29C9"/>
    <w:rsid w:val="007C335F"/>
    <w:rsid w:val="007C3D9B"/>
    <w:rsid w:val="007C4506"/>
    <w:rsid w:val="007C4751"/>
    <w:rsid w:val="007C4CD1"/>
    <w:rsid w:val="007C4D9D"/>
    <w:rsid w:val="007C4E48"/>
    <w:rsid w:val="007C51A5"/>
    <w:rsid w:val="007C5304"/>
    <w:rsid w:val="007C58A8"/>
    <w:rsid w:val="007C592C"/>
    <w:rsid w:val="007C5DA4"/>
    <w:rsid w:val="007C5DA8"/>
    <w:rsid w:val="007C5E69"/>
    <w:rsid w:val="007C61D0"/>
    <w:rsid w:val="007C62BF"/>
    <w:rsid w:val="007C62DB"/>
    <w:rsid w:val="007C70E2"/>
    <w:rsid w:val="007C751A"/>
    <w:rsid w:val="007C756A"/>
    <w:rsid w:val="007C75ED"/>
    <w:rsid w:val="007C7A8F"/>
    <w:rsid w:val="007C7E63"/>
    <w:rsid w:val="007D01EE"/>
    <w:rsid w:val="007D01FC"/>
    <w:rsid w:val="007D07FB"/>
    <w:rsid w:val="007D0C94"/>
    <w:rsid w:val="007D0D63"/>
    <w:rsid w:val="007D0FD8"/>
    <w:rsid w:val="007D1164"/>
    <w:rsid w:val="007D13D5"/>
    <w:rsid w:val="007D174D"/>
    <w:rsid w:val="007D1B4F"/>
    <w:rsid w:val="007D1CF3"/>
    <w:rsid w:val="007D1E1D"/>
    <w:rsid w:val="007D1F18"/>
    <w:rsid w:val="007D1F43"/>
    <w:rsid w:val="007D210C"/>
    <w:rsid w:val="007D26A3"/>
    <w:rsid w:val="007D282C"/>
    <w:rsid w:val="007D2870"/>
    <w:rsid w:val="007D2A04"/>
    <w:rsid w:val="007D2D30"/>
    <w:rsid w:val="007D2FC1"/>
    <w:rsid w:val="007D302F"/>
    <w:rsid w:val="007D34E9"/>
    <w:rsid w:val="007D358F"/>
    <w:rsid w:val="007D4221"/>
    <w:rsid w:val="007D45D6"/>
    <w:rsid w:val="007D4B5A"/>
    <w:rsid w:val="007D53D5"/>
    <w:rsid w:val="007D56E5"/>
    <w:rsid w:val="007D575E"/>
    <w:rsid w:val="007D58AA"/>
    <w:rsid w:val="007D59B1"/>
    <w:rsid w:val="007D59D7"/>
    <w:rsid w:val="007D5A04"/>
    <w:rsid w:val="007D5B21"/>
    <w:rsid w:val="007D5F07"/>
    <w:rsid w:val="007D645F"/>
    <w:rsid w:val="007D67C3"/>
    <w:rsid w:val="007D68F6"/>
    <w:rsid w:val="007D70A1"/>
    <w:rsid w:val="007D7590"/>
    <w:rsid w:val="007E0048"/>
    <w:rsid w:val="007E05D3"/>
    <w:rsid w:val="007E07EC"/>
    <w:rsid w:val="007E10FA"/>
    <w:rsid w:val="007E1A7F"/>
    <w:rsid w:val="007E1B21"/>
    <w:rsid w:val="007E2AB7"/>
    <w:rsid w:val="007E3776"/>
    <w:rsid w:val="007E3896"/>
    <w:rsid w:val="007E395A"/>
    <w:rsid w:val="007E3B5F"/>
    <w:rsid w:val="007E3D1B"/>
    <w:rsid w:val="007E3FED"/>
    <w:rsid w:val="007E45E1"/>
    <w:rsid w:val="007E4D23"/>
    <w:rsid w:val="007E5235"/>
    <w:rsid w:val="007E5326"/>
    <w:rsid w:val="007E53F4"/>
    <w:rsid w:val="007E55F6"/>
    <w:rsid w:val="007E57BC"/>
    <w:rsid w:val="007E5AA7"/>
    <w:rsid w:val="007E5DFD"/>
    <w:rsid w:val="007E5E8D"/>
    <w:rsid w:val="007E6F57"/>
    <w:rsid w:val="007E7329"/>
    <w:rsid w:val="007E751D"/>
    <w:rsid w:val="007E771A"/>
    <w:rsid w:val="007E7ABA"/>
    <w:rsid w:val="007E7EB1"/>
    <w:rsid w:val="007E7FBB"/>
    <w:rsid w:val="007F0233"/>
    <w:rsid w:val="007F09C3"/>
    <w:rsid w:val="007F0E42"/>
    <w:rsid w:val="007F189B"/>
    <w:rsid w:val="007F1CD1"/>
    <w:rsid w:val="007F24E3"/>
    <w:rsid w:val="007F28F6"/>
    <w:rsid w:val="007F2A61"/>
    <w:rsid w:val="007F2C5C"/>
    <w:rsid w:val="007F2CAD"/>
    <w:rsid w:val="007F2CD6"/>
    <w:rsid w:val="007F33AE"/>
    <w:rsid w:val="007F34E6"/>
    <w:rsid w:val="007F3764"/>
    <w:rsid w:val="007F3BE7"/>
    <w:rsid w:val="007F3F5A"/>
    <w:rsid w:val="007F40F2"/>
    <w:rsid w:val="007F4590"/>
    <w:rsid w:val="007F5573"/>
    <w:rsid w:val="007F5B9A"/>
    <w:rsid w:val="007F6477"/>
    <w:rsid w:val="007F684D"/>
    <w:rsid w:val="007F69E3"/>
    <w:rsid w:val="007F6AE1"/>
    <w:rsid w:val="007F723D"/>
    <w:rsid w:val="007F7644"/>
    <w:rsid w:val="007F76F8"/>
    <w:rsid w:val="007F7F94"/>
    <w:rsid w:val="00800575"/>
    <w:rsid w:val="0080079C"/>
    <w:rsid w:val="008008FC"/>
    <w:rsid w:val="00800A61"/>
    <w:rsid w:val="008014EA"/>
    <w:rsid w:val="00801D98"/>
    <w:rsid w:val="00802752"/>
    <w:rsid w:val="00802C86"/>
    <w:rsid w:val="00802E93"/>
    <w:rsid w:val="008030E7"/>
    <w:rsid w:val="0080328F"/>
    <w:rsid w:val="00803DC4"/>
    <w:rsid w:val="00803E8C"/>
    <w:rsid w:val="00803F9B"/>
    <w:rsid w:val="008040BD"/>
    <w:rsid w:val="00804142"/>
    <w:rsid w:val="00804335"/>
    <w:rsid w:val="00804CAB"/>
    <w:rsid w:val="0080537E"/>
    <w:rsid w:val="00805B92"/>
    <w:rsid w:val="00805D78"/>
    <w:rsid w:val="00806291"/>
    <w:rsid w:val="008062CA"/>
    <w:rsid w:val="008065DF"/>
    <w:rsid w:val="00806752"/>
    <w:rsid w:val="008068C2"/>
    <w:rsid w:val="00806CCB"/>
    <w:rsid w:val="00807133"/>
    <w:rsid w:val="00807170"/>
    <w:rsid w:val="00807B24"/>
    <w:rsid w:val="00807F2F"/>
    <w:rsid w:val="00810093"/>
    <w:rsid w:val="0081054C"/>
    <w:rsid w:val="0081067E"/>
    <w:rsid w:val="00810933"/>
    <w:rsid w:val="00810C38"/>
    <w:rsid w:val="00811265"/>
    <w:rsid w:val="0081138B"/>
    <w:rsid w:val="0081163A"/>
    <w:rsid w:val="00811697"/>
    <w:rsid w:val="008119FD"/>
    <w:rsid w:val="00811BAF"/>
    <w:rsid w:val="0081217E"/>
    <w:rsid w:val="008121FF"/>
    <w:rsid w:val="008126AB"/>
    <w:rsid w:val="00812766"/>
    <w:rsid w:val="0081283A"/>
    <w:rsid w:val="00812893"/>
    <w:rsid w:val="0081423A"/>
    <w:rsid w:val="00814313"/>
    <w:rsid w:val="008147A3"/>
    <w:rsid w:val="008147EC"/>
    <w:rsid w:val="00814C2B"/>
    <w:rsid w:val="00814D64"/>
    <w:rsid w:val="0081506C"/>
    <w:rsid w:val="008152AC"/>
    <w:rsid w:val="008153C3"/>
    <w:rsid w:val="008154D4"/>
    <w:rsid w:val="008158DF"/>
    <w:rsid w:val="00815A13"/>
    <w:rsid w:val="00815AD3"/>
    <w:rsid w:val="00816166"/>
    <w:rsid w:val="00816AB7"/>
    <w:rsid w:val="00817414"/>
    <w:rsid w:val="008175D5"/>
    <w:rsid w:val="00817744"/>
    <w:rsid w:val="0082006A"/>
    <w:rsid w:val="00820101"/>
    <w:rsid w:val="0082014E"/>
    <w:rsid w:val="0082055E"/>
    <w:rsid w:val="008205EF"/>
    <w:rsid w:val="00820973"/>
    <w:rsid w:val="00820BAB"/>
    <w:rsid w:val="00820FFE"/>
    <w:rsid w:val="00821972"/>
    <w:rsid w:val="00821DC8"/>
    <w:rsid w:val="00821F62"/>
    <w:rsid w:val="00822071"/>
    <w:rsid w:val="008221F9"/>
    <w:rsid w:val="00823F27"/>
    <w:rsid w:val="0082412B"/>
    <w:rsid w:val="0082424A"/>
    <w:rsid w:val="008242B6"/>
    <w:rsid w:val="008243F6"/>
    <w:rsid w:val="00824443"/>
    <w:rsid w:val="00824D4B"/>
    <w:rsid w:val="00824F90"/>
    <w:rsid w:val="008259B7"/>
    <w:rsid w:val="00825F59"/>
    <w:rsid w:val="00826056"/>
    <w:rsid w:val="008261EB"/>
    <w:rsid w:val="00826A9F"/>
    <w:rsid w:val="00826B7A"/>
    <w:rsid w:val="00826BF3"/>
    <w:rsid w:val="00826C2D"/>
    <w:rsid w:val="00826F9A"/>
    <w:rsid w:val="00826FF9"/>
    <w:rsid w:val="00827005"/>
    <w:rsid w:val="00827278"/>
    <w:rsid w:val="008301E3"/>
    <w:rsid w:val="0083034E"/>
    <w:rsid w:val="00830526"/>
    <w:rsid w:val="008305F8"/>
    <w:rsid w:val="00830979"/>
    <w:rsid w:val="00830B95"/>
    <w:rsid w:val="00830D58"/>
    <w:rsid w:val="0083121B"/>
    <w:rsid w:val="0083155A"/>
    <w:rsid w:val="00831BD1"/>
    <w:rsid w:val="00831C72"/>
    <w:rsid w:val="00832366"/>
    <w:rsid w:val="008323FF"/>
    <w:rsid w:val="00832A0D"/>
    <w:rsid w:val="008332AB"/>
    <w:rsid w:val="00833962"/>
    <w:rsid w:val="00834467"/>
    <w:rsid w:val="00834555"/>
    <w:rsid w:val="008349CC"/>
    <w:rsid w:val="00834DFE"/>
    <w:rsid w:val="0083511B"/>
    <w:rsid w:val="00835E2E"/>
    <w:rsid w:val="008364A3"/>
    <w:rsid w:val="00836812"/>
    <w:rsid w:val="008368BB"/>
    <w:rsid w:val="008368F2"/>
    <w:rsid w:val="00836A45"/>
    <w:rsid w:val="00836B42"/>
    <w:rsid w:val="0083719A"/>
    <w:rsid w:val="00837477"/>
    <w:rsid w:val="00837B10"/>
    <w:rsid w:val="00837CD0"/>
    <w:rsid w:val="0084004E"/>
    <w:rsid w:val="0084034D"/>
    <w:rsid w:val="008409FF"/>
    <w:rsid w:val="00840F84"/>
    <w:rsid w:val="00841349"/>
    <w:rsid w:val="008413E7"/>
    <w:rsid w:val="008415C9"/>
    <w:rsid w:val="00841772"/>
    <w:rsid w:val="00842390"/>
    <w:rsid w:val="00842413"/>
    <w:rsid w:val="00842F58"/>
    <w:rsid w:val="0084373F"/>
    <w:rsid w:val="00843BEA"/>
    <w:rsid w:val="00844390"/>
    <w:rsid w:val="00844498"/>
    <w:rsid w:val="00844A96"/>
    <w:rsid w:val="00844B00"/>
    <w:rsid w:val="00844DE4"/>
    <w:rsid w:val="00844F2C"/>
    <w:rsid w:val="00844F8E"/>
    <w:rsid w:val="008459B4"/>
    <w:rsid w:val="008459DC"/>
    <w:rsid w:val="00845A4B"/>
    <w:rsid w:val="00845FE8"/>
    <w:rsid w:val="008461E0"/>
    <w:rsid w:val="008463DD"/>
    <w:rsid w:val="008464B2"/>
    <w:rsid w:val="008464CA"/>
    <w:rsid w:val="00846F44"/>
    <w:rsid w:val="00847E69"/>
    <w:rsid w:val="00850148"/>
    <w:rsid w:val="008501F3"/>
    <w:rsid w:val="008502D8"/>
    <w:rsid w:val="008502F6"/>
    <w:rsid w:val="00850458"/>
    <w:rsid w:val="00850839"/>
    <w:rsid w:val="00850A76"/>
    <w:rsid w:val="00850C40"/>
    <w:rsid w:val="008510C1"/>
    <w:rsid w:val="0085133B"/>
    <w:rsid w:val="008513DD"/>
    <w:rsid w:val="00851652"/>
    <w:rsid w:val="008516B7"/>
    <w:rsid w:val="0085190E"/>
    <w:rsid w:val="0085198C"/>
    <w:rsid w:val="00851B2E"/>
    <w:rsid w:val="00852214"/>
    <w:rsid w:val="00852344"/>
    <w:rsid w:val="0085281F"/>
    <w:rsid w:val="00852944"/>
    <w:rsid w:val="00852B35"/>
    <w:rsid w:val="00852DD4"/>
    <w:rsid w:val="00853373"/>
    <w:rsid w:val="00853A57"/>
    <w:rsid w:val="00853B35"/>
    <w:rsid w:val="00853C96"/>
    <w:rsid w:val="0085476C"/>
    <w:rsid w:val="008547B0"/>
    <w:rsid w:val="00854934"/>
    <w:rsid w:val="00854B57"/>
    <w:rsid w:val="00854B8E"/>
    <w:rsid w:val="00854BB8"/>
    <w:rsid w:val="00854DB2"/>
    <w:rsid w:val="00854F55"/>
    <w:rsid w:val="00855E2E"/>
    <w:rsid w:val="00856167"/>
    <w:rsid w:val="00856346"/>
    <w:rsid w:val="008563A7"/>
    <w:rsid w:val="008563D4"/>
    <w:rsid w:val="008568CB"/>
    <w:rsid w:val="0085692D"/>
    <w:rsid w:val="00857024"/>
    <w:rsid w:val="0085782F"/>
    <w:rsid w:val="00857995"/>
    <w:rsid w:val="008600C2"/>
    <w:rsid w:val="0086011A"/>
    <w:rsid w:val="008601EE"/>
    <w:rsid w:val="008607B6"/>
    <w:rsid w:val="00860A42"/>
    <w:rsid w:val="00860C5C"/>
    <w:rsid w:val="00861CAC"/>
    <w:rsid w:val="00861E55"/>
    <w:rsid w:val="00862220"/>
    <w:rsid w:val="0086232C"/>
    <w:rsid w:val="00862420"/>
    <w:rsid w:val="0086266C"/>
    <w:rsid w:val="00862AFA"/>
    <w:rsid w:val="00862F14"/>
    <w:rsid w:val="0086322F"/>
    <w:rsid w:val="008634C3"/>
    <w:rsid w:val="00863517"/>
    <w:rsid w:val="0086363B"/>
    <w:rsid w:val="0086373C"/>
    <w:rsid w:val="00863BA8"/>
    <w:rsid w:val="00863E9C"/>
    <w:rsid w:val="008644AF"/>
    <w:rsid w:val="00864827"/>
    <w:rsid w:val="00864910"/>
    <w:rsid w:val="00864C9E"/>
    <w:rsid w:val="00864E34"/>
    <w:rsid w:val="00865052"/>
    <w:rsid w:val="00865594"/>
    <w:rsid w:val="00865A4D"/>
    <w:rsid w:val="00865CF8"/>
    <w:rsid w:val="00866035"/>
    <w:rsid w:val="008666A6"/>
    <w:rsid w:val="00867360"/>
    <w:rsid w:val="0086747C"/>
    <w:rsid w:val="008675D9"/>
    <w:rsid w:val="008677C6"/>
    <w:rsid w:val="00867B5B"/>
    <w:rsid w:val="00867F2B"/>
    <w:rsid w:val="00870437"/>
    <w:rsid w:val="0087081C"/>
    <w:rsid w:val="008708DC"/>
    <w:rsid w:val="00870DEA"/>
    <w:rsid w:val="00870F9F"/>
    <w:rsid w:val="0087173D"/>
    <w:rsid w:val="00871C2E"/>
    <w:rsid w:val="008720A5"/>
    <w:rsid w:val="008720CB"/>
    <w:rsid w:val="008723CD"/>
    <w:rsid w:val="008723F8"/>
    <w:rsid w:val="00872659"/>
    <w:rsid w:val="008726CC"/>
    <w:rsid w:val="00872F3D"/>
    <w:rsid w:val="00873478"/>
    <w:rsid w:val="008736F2"/>
    <w:rsid w:val="00873D60"/>
    <w:rsid w:val="00873EFF"/>
    <w:rsid w:val="00874331"/>
    <w:rsid w:val="008744E9"/>
    <w:rsid w:val="0087474E"/>
    <w:rsid w:val="00874BDC"/>
    <w:rsid w:val="00874C04"/>
    <w:rsid w:val="00874E3B"/>
    <w:rsid w:val="00875158"/>
    <w:rsid w:val="008752D8"/>
    <w:rsid w:val="00875714"/>
    <w:rsid w:val="00875BC5"/>
    <w:rsid w:val="00875DB1"/>
    <w:rsid w:val="00875DBE"/>
    <w:rsid w:val="00875E74"/>
    <w:rsid w:val="00875F00"/>
    <w:rsid w:val="00876199"/>
    <w:rsid w:val="00876250"/>
    <w:rsid w:val="008762FE"/>
    <w:rsid w:val="008766D3"/>
    <w:rsid w:val="00876D35"/>
    <w:rsid w:val="008771C1"/>
    <w:rsid w:val="0087730E"/>
    <w:rsid w:val="008774DE"/>
    <w:rsid w:val="008776F1"/>
    <w:rsid w:val="00877AD9"/>
    <w:rsid w:val="00877B1A"/>
    <w:rsid w:val="00877F51"/>
    <w:rsid w:val="00880262"/>
    <w:rsid w:val="008805CA"/>
    <w:rsid w:val="008809FF"/>
    <w:rsid w:val="0088111D"/>
    <w:rsid w:val="008812C6"/>
    <w:rsid w:val="008814F3"/>
    <w:rsid w:val="0088154B"/>
    <w:rsid w:val="00882261"/>
    <w:rsid w:val="008822D0"/>
    <w:rsid w:val="008822FA"/>
    <w:rsid w:val="008829BA"/>
    <w:rsid w:val="00883A88"/>
    <w:rsid w:val="00883B6D"/>
    <w:rsid w:val="0088435E"/>
    <w:rsid w:val="00884E33"/>
    <w:rsid w:val="008851A5"/>
    <w:rsid w:val="00885284"/>
    <w:rsid w:val="0088537B"/>
    <w:rsid w:val="00885527"/>
    <w:rsid w:val="008859F7"/>
    <w:rsid w:val="00885BD8"/>
    <w:rsid w:val="00885E0A"/>
    <w:rsid w:val="00885F5E"/>
    <w:rsid w:val="00886073"/>
    <w:rsid w:val="008873B0"/>
    <w:rsid w:val="00887C4B"/>
    <w:rsid w:val="0089025D"/>
    <w:rsid w:val="00891C28"/>
    <w:rsid w:val="00891F05"/>
    <w:rsid w:val="00891FFD"/>
    <w:rsid w:val="00892450"/>
    <w:rsid w:val="008926F9"/>
    <w:rsid w:val="0089335D"/>
    <w:rsid w:val="0089338C"/>
    <w:rsid w:val="00893814"/>
    <w:rsid w:val="0089438A"/>
    <w:rsid w:val="00894398"/>
    <w:rsid w:val="0089456B"/>
    <w:rsid w:val="00894E81"/>
    <w:rsid w:val="008950FD"/>
    <w:rsid w:val="008956C6"/>
    <w:rsid w:val="008957F0"/>
    <w:rsid w:val="00895C40"/>
    <w:rsid w:val="00895F0B"/>
    <w:rsid w:val="00895FEE"/>
    <w:rsid w:val="0089606E"/>
    <w:rsid w:val="0089616F"/>
    <w:rsid w:val="00896424"/>
    <w:rsid w:val="00896871"/>
    <w:rsid w:val="00896887"/>
    <w:rsid w:val="00896DFD"/>
    <w:rsid w:val="00896E4E"/>
    <w:rsid w:val="00896EA9"/>
    <w:rsid w:val="00896F82"/>
    <w:rsid w:val="00896FC8"/>
    <w:rsid w:val="00897002"/>
    <w:rsid w:val="00897235"/>
    <w:rsid w:val="00897354"/>
    <w:rsid w:val="008A0204"/>
    <w:rsid w:val="008A03E5"/>
    <w:rsid w:val="008A0AB9"/>
    <w:rsid w:val="008A1621"/>
    <w:rsid w:val="008A1666"/>
    <w:rsid w:val="008A17F3"/>
    <w:rsid w:val="008A1B7E"/>
    <w:rsid w:val="008A1DA4"/>
    <w:rsid w:val="008A2249"/>
    <w:rsid w:val="008A25A5"/>
    <w:rsid w:val="008A25B9"/>
    <w:rsid w:val="008A2C3C"/>
    <w:rsid w:val="008A2DC0"/>
    <w:rsid w:val="008A2FE5"/>
    <w:rsid w:val="008A324A"/>
    <w:rsid w:val="008A35BC"/>
    <w:rsid w:val="008A38C3"/>
    <w:rsid w:val="008A3998"/>
    <w:rsid w:val="008A3AA8"/>
    <w:rsid w:val="008A3AE4"/>
    <w:rsid w:val="008A3B00"/>
    <w:rsid w:val="008A3B78"/>
    <w:rsid w:val="008A4209"/>
    <w:rsid w:val="008A44EE"/>
    <w:rsid w:val="008A4523"/>
    <w:rsid w:val="008A4A19"/>
    <w:rsid w:val="008A4CCF"/>
    <w:rsid w:val="008A5ABA"/>
    <w:rsid w:val="008A5C12"/>
    <w:rsid w:val="008A5F6F"/>
    <w:rsid w:val="008A5F89"/>
    <w:rsid w:val="008A6502"/>
    <w:rsid w:val="008A6AFA"/>
    <w:rsid w:val="008A6B74"/>
    <w:rsid w:val="008A6EB1"/>
    <w:rsid w:val="008A77B3"/>
    <w:rsid w:val="008B00CB"/>
    <w:rsid w:val="008B01D4"/>
    <w:rsid w:val="008B01D7"/>
    <w:rsid w:val="008B01F0"/>
    <w:rsid w:val="008B0292"/>
    <w:rsid w:val="008B03C8"/>
    <w:rsid w:val="008B0660"/>
    <w:rsid w:val="008B1296"/>
    <w:rsid w:val="008B1311"/>
    <w:rsid w:val="008B1370"/>
    <w:rsid w:val="008B1D08"/>
    <w:rsid w:val="008B1E63"/>
    <w:rsid w:val="008B2356"/>
    <w:rsid w:val="008B24CF"/>
    <w:rsid w:val="008B28CF"/>
    <w:rsid w:val="008B2903"/>
    <w:rsid w:val="008B2956"/>
    <w:rsid w:val="008B2A59"/>
    <w:rsid w:val="008B2B2D"/>
    <w:rsid w:val="008B443E"/>
    <w:rsid w:val="008B45BA"/>
    <w:rsid w:val="008B50B8"/>
    <w:rsid w:val="008B51C0"/>
    <w:rsid w:val="008B5382"/>
    <w:rsid w:val="008B561D"/>
    <w:rsid w:val="008B568F"/>
    <w:rsid w:val="008B574C"/>
    <w:rsid w:val="008B5D19"/>
    <w:rsid w:val="008B5DD8"/>
    <w:rsid w:val="008B602F"/>
    <w:rsid w:val="008B64E9"/>
    <w:rsid w:val="008B660D"/>
    <w:rsid w:val="008B6663"/>
    <w:rsid w:val="008B6A10"/>
    <w:rsid w:val="008B6CE1"/>
    <w:rsid w:val="008B71E0"/>
    <w:rsid w:val="008B7302"/>
    <w:rsid w:val="008B75C7"/>
    <w:rsid w:val="008B7D50"/>
    <w:rsid w:val="008C011D"/>
    <w:rsid w:val="008C0182"/>
    <w:rsid w:val="008C06E9"/>
    <w:rsid w:val="008C0E0C"/>
    <w:rsid w:val="008C1567"/>
    <w:rsid w:val="008C1868"/>
    <w:rsid w:val="008C258F"/>
    <w:rsid w:val="008C2B06"/>
    <w:rsid w:val="008C2B30"/>
    <w:rsid w:val="008C2BEA"/>
    <w:rsid w:val="008C2DF8"/>
    <w:rsid w:val="008C30D6"/>
    <w:rsid w:val="008C320F"/>
    <w:rsid w:val="008C3475"/>
    <w:rsid w:val="008C386B"/>
    <w:rsid w:val="008C3A6A"/>
    <w:rsid w:val="008C3E19"/>
    <w:rsid w:val="008C4196"/>
    <w:rsid w:val="008C46DD"/>
    <w:rsid w:val="008C48D4"/>
    <w:rsid w:val="008C4B36"/>
    <w:rsid w:val="008C4DC3"/>
    <w:rsid w:val="008C580D"/>
    <w:rsid w:val="008C6067"/>
    <w:rsid w:val="008C60AC"/>
    <w:rsid w:val="008C6176"/>
    <w:rsid w:val="008C6988"/>
    <w:rsid w:val="008C6EAA"/>
    <w:rsid w:val="008C7112"/>
    <w:rsid w:val="008C7126"/>
    <w:rsid w:val="008C753E"/>
    <w:rsid w:val="008C7653"/>
    <w:rsid w:val="008C7822"/>
    <w:rsid w:val="008C7AAA"/>
    <w:rsid w:val="008C7DAA"/>
    <w:rsid w:val="008C7ECE"/>
    <w:rsid w:val="008C7F00"/>
    <w:rsid w:val="008D00AB"/>
    <w:rsid w:val="008D0501"/>
    <w:rsid w:val="008D06BE"/>
    <w:rsid w:val="008D07A0"/>
    <w:rsid w:val="008D09D5"/>
    <w:rsid w:val="008D0B43"/>
    <w:rsid w:val="008D1628"/>
    <w:rsid w:val="008D1CBE"/>
    <w:rsid w:val="008D1DFE"/>
    <w:rsid w:val="008D1EDF"/>
    <w:rsid w:val="008D1FC7"/>
    <w:rsid w:val="008D28F0"/>
    <w:rsid w:val="008D2E2A"/>
    <w:rsid w:val="008D3504"/>
    <w:rsid w:val="008D3893"/>
    <w:rsid w:val="008D413B"/>
    <w:rsid w:val="008D41F2"/>
    <w:rsid w:val="008D46A9"/>
    <w:rsid w:val="008D47A3"/>
    <w:rsid w:val="008D4B38"/>
    <w:rsid w:val="008D4B6E"/>
    <w:rsid w:val="008D4EE3"/>
    <w:rsid w:val="008D548C"/>
    <w:rsid w:val="008D5601"/>
    <w:rsid w:val="008D579A"/>
    <w:rsid w:val="008D669E"/>
    <w:rsid w:val="008D6CAC"/>
    <w:rsid w:val="008D6CF4"/>
    <w:rsid w:val="008D73BF"/>
    <w:rsid w:val="008D7436"/>
    <w:rsid w:val="008D75C5"/>
    <w:rsid w:val="008D7C94"/>
    <w:rsid w:val="008E0539"/>
    <w:rsid w:val="008E0925"/>
    <w:rsid w:val="008E0E12"/>
    <w:rsid w:val="008E122E"/>
    <w:rsid w:val="008E1301"/>
    <w:rsid w:val="008E1894"/>
    <w:rsid w:val="008E19EC"/>
    <w:rsid w:val="008E1A18"/>
    <w:rsid w:val="008E1C4C"/>
    <w:rsid w:val="008E1CFF"/>
    <w:rsid w:val="008E1D3D"/>
    <w:rsid w:val="008E1FFA"/>
    <w:rsid w:val="008E21CA"/>
    <w:rsid w:val="008E2656"/>
    <w:rsid w:val="008E28F8"/>
    <w:rsid w:val="008E29E4"/>
    <w:rsid w:val="008E2D4E"/>
    <w:rsid w:val="008E30EF"/>
    <w:rsid w:val="008E3743"/>
    <w:rsid w:val="008E3971"/>
    <w:rsid w:val="008E3BE8"/>
    <w:rsid w:val="008E3CE4"/>
    <w:rsid w:val="008E4945"/>
    <w:rsid w:val="008E4B64"/>
    <w:rsid w:val="008E4D8C"/>
    <w:rsid w:val="008E4F22"/>
    <w:rsid w:val="008E527F"/>
    <w:rsid w:val="008E52FD"/>
    <w:rsid w:val="008E5B64"/>
    <w:rsid w:val="008E5E59"/>
    <w:rsid w:val="008E5F71"/>
    <w:rsid w:val="008E63C7"/>
    <w:rsid w:val="008E6525"/>
    <w:rsid w:val="008E6A9A"/>
    <w:rsid w:val="008E6D97"/>
    <w:rsid w:val="008E7E70"/>
    <w:rsid w:val="008F000C"/>
    <w:rsid w:val="008F05E2"/>
    <w:rsid w:val="008F07F5"/>
    <w:rsid w:val="008F13F1"/>
    <w:rsid w:val="008F14F1"/>
    <w:rsid w:val="008F152E"/>
    <w:rsid w:val="008F24A8"/>
    <w:rsid w:val="008F26C8"/>
    <w:rsid w:val="008F2A06"/>
    <w:rsid w:val="008F2B87"/>
    <w:rsid w:val="008F3187"/>
    <w:rsid w:val="008F3841"/>
    <w:rsid w:val="008F3999"/>
    <w:rsid w:val="008F3B69"/>
    <w:rsid w:val="008F41F7"/>
    <w:rsid w:val="008F453A"/>
    <w:rsid w:val="008F48FC"/>
    <w:rsid w:val="008F4F60"/>
    <w:rsid w:val="008F51EF"/>
    <w:rsid w:val="008F53E4"/>
    <w:rsid w:val="008F5901"/>
    <w:rsid w:val="008F5C8A"/>
    <w:rsid w:val="008F5FF3"/>
    <w:rsid w:val="008F68B2"/>
    <w:rsid w:val="008F6B68"/>
    <w:rsid w:val="008F6DDA"/>
    <w:rsid w:val="009001DF"/>
    <w:rsid w:val="0090024F"/>
    <w:rsid w:val="009002D2"/>
    <w:rsid w:val="009002EC"/>
    <w:rsid w:val="00900EC6"/>
    <w:rsid w:val="00900FCF"/>
    <w:rsid w:val="00901902"/>
    <w:rsid w:val="009019AA"/>
    <w:rsid w:val="00901D3C"/>
    <w:rsid w:val="009020B9"/>
    <w:rsid w:val="009020F5"/>
    <w:rsid w:val="00902833"/>
    <w:rsid w:val="00902F69"/>
    <w:rsid w:val="00903121"/>
    <w:rsid w:val="00904556"/>
    <w:rsid w:val="00904564"/>
    <w:rsid w:val="00904A60"/>
    <w:rsid w:val="00904B9A"/>
    <w:rsid w:val="00904CA3"/>
    <w:rsid w:val="009050CE"/>
    <w:rsid w:val="00905A07"/>
    <w:rsid w:val="00905A7E"/>
    <w:rsid w:val="00905BAE"/>
    <w:rsid w:val="00905EBD"/>
    <w:rsid w:val="0090609A"/>
    <w:rsid w:val="00906113"/>
    <w:rsid w:val="00906749"/>
    <w:rsid w:val="00906C67"/>
    <w:rsid w:val="009070A6"/>
    <w:rsid w:val="009077E5"/>
    <w:rsid w:val="00907AD1"/>
    <w:rsid w:val="00910498"/>
    <w:rsid w:val="0091061A"/>
    <w:rsid w:val="0091081B"/>
    <w:rsid w:val="00910C10"/>
    <w:rsid w:val="0091171D"/>
    <w:rsid w:val="00911ADD"/>
    <w:rsid w:val="00911BB9"/>
    <w:rsid w:val="00911E8C"/>
    <w:rsid w:val="00911FA7"/>
    <w:rsid w:val="009126C8"/>
    <w:rsid w:val="00912B74"/>
    <w:rsid w:val="00912B86"/>
    <w:rsid w:val="00912C9E"/>
    <w:rsid w:val="00913081"/>
    <w:rsid w:val="00913865"/>
    <w:rsid w:val="00913DF4"/>
    <w:rsid w:val="009143F7"/>
    <w:rsid w:val="0091447A"/>
    <w:rsid w:val="00914A6D"/>
    <w:rsid w:val="00914B20"/>
    <w:rsid w:val="00914DC5"/>
    <w:rsid w:val="00915408"/>
    <w:rsid w:val="009154B0"/>
    <w:rsid w:val="00915898"/>
    <w:rsid w:val="00915B54"/>
    <w:rsid w:val="00915CE1"/>
    <w:rsid w:val="00915D42"/>
    <w:rsid w:val="00915E0E"/>
    <w:rsid w:val="00915F88"/>
    <w:rsid w:val="00916886"/>
    <w:rsid w:val="00916A07"/>
    <w:rsid w:val="00916B03"/>
    <w:rsid w:val="009170CE"/>
    <w:rsid w:val="0091712F"/>
    <w:rsid w:val="00917A91"/>
    <w:rsid w:val="00917AA5"/>
    <w:rsid w:val="00917DB1"/>
    <w:rsid w:val="00917E74"/>
    <w:rsid w:val="00920004"/>
    <w:rsid w:val="00920056"/>
    <w:rsid w:val="009209CC"/>
    <w:rsid w:val="00920AF7"/>
    <w:rsid w:val="00920E3F"/>
    <w:rsid w:val="00921094"/>
    <w:rsid w:val="00922030"/>
    <w:rsid w:val="00922769"/>
    <w:rsid w:val="00922F37"/>
    <w:rsid w:val="0092319A"/>
    <w:rsid w:val="00923C89"/>
    <w:rsid w:val="00923D78"/>
    <w:rsid w:val="00923D8D"/>
    <w:rsid w:val="00923DE9"/>
    <w:rsid w:val="00923EEE"/>
    <w:rsid w:val="009242C2"/>
    <w:rsid w:val="00924633"/>
    <w:rsid w:val="009247AD"/>
    <w:rsid w:val="009248AD"/>
    <w:rsid w:val="00924907"/>
    <w:rsid w:val="009249CE"/>
    <w:rsid w:val="00924EA8"/>
    <w:rsid w:val="009250C0"/>
    <w:rsid w:val="0092511E"/>
    <w:rsid w:val="00925521"/>
    <w:rsid w:val="009257CF"/>
    <w:rsid w:val="00925D5A"/>
    <w:rsid w:val="00925EDA"/>
    <w:rsid w:val="00925F87"/>
    <w:rsid w:val="00926139"/>
    <w:rsid w:val="0092688A"/>
    <w:rsid w:val="00926A7E"/>
    <w:rsid w:val="00926B7F"/>
    <w:rsid w:val="00927595"/>
    <w:rsid w:val="00927695"/>
    <w:rsid w:val="00927B80"/>
    <w:rsid w:val="00927D7C"/>
    <w:rsid w:val="00927E16"/>
    <w:rsid w:val="00927F2F"/>
    <w:rsid w:val="00930279"/>
    <w:rsid w:val="009303FB"/>
    <w:rsid w:val="00930419"/>
    <w:rsid w:val="00930432"/>
    <w:rsid w:val="009304C8"/>
    <w:rsid w:val="00930BC0"/>
    <w:rsid w:val="00930F75"/>
    <w:rsid w:val="00931194"/>
    <w:rsid w:val="00931F77"/>
    <w:rsid w:val="00932205"/>
    <w:rsid w:val="0093285B"/>
    <w:rsid w:val="00932883"/>
    <w:rsid w:val="00932B09"/>
    <w:rsid w:val="00932E44"/>
    <w:rsid w:val="00932F41"/>
    <w:rsid w:val="00933064"/>
    <w:rsid w:val="0093324B"/>
    <w:rsid w:val="009332E3"/>
    <w:rsid w:val="0093356A"/>
    <w:rsid w:val="00933616"/>
    <w:rsid w:val="00933630"/>
    <w:rsid w:val="00933A7C"/>
    <w:rsid w:val="00933DD8"/>
    <w:rsid w:val="00934562"/>
    <w:rsid w:val="00934780"/>
    <w:rsid w:val="00934BDE"/>
    <w:rsid w:val="009359E3"/>
    <w:rsid w:val="00936382"/>
    <w:rsid w:val="00936A09"/>
    <w:rsid w:val="00936DAE"/>
    <w:rsid w:val="00937002"/>
    <w:rsid w:val="00937011"/>
    <w:rsid w:val="009371D5"/>
    <w:rsid w:val="0093743D"/>
    <w:rsid w:val="00937B84"/>
    <w:rsid w:val="00937D55"/>
    <w:rsid w:val="00937EE0"/>
    <w:rsid w:val="009408FE"/>
    <w:rsid w:val="00940F01"/>
    <w:rsid w:val="009411AD"/>
    <w:rsid w:val="009415E8"/>
    <w:rsid w:val="00941639"/>
    <w:rsid w:val="00941690"/>
    <w:rsid w:val="0094246A"/>
    <w:rsid w:val="00942B1B"/>
    <w:rsid w:val="00942EAA"/>
    <w:rsid w:val="00943E55"/>
    <w:rsid w:val="00944139"/>
    <w:rsid w:val="00944DCC"/>
    <w:rsid w:val="00944F23"/>
    <w:rsid w:val="009450FE"/>
    <w:rsid w:val="00945157"/>
    <w:rsid w:val="00945485"/>
    <w:rsid w:val="00945580"/>
    <w:rsid w:val="00945C32"/>
    <w:rsid w:val="00945C5F"/>
    <w:rsid w:val="00945C8F"/>
    <w:rsid w:val="00946201"/>
    <w:rsid w:val="009466D3"/>
    <w:rsid w:val="00946FAD"/>
    <w:rsid w:val="00947017"/>
    <w:rsid w:val="009475CE"/>
    <w:rsid w:val="009506E2"/>
    <w:rsid w:val="00950840"/>
    <w:rsid w:val="00950B2E"/>
    <w:rsid w:val="00950BBD"/>
    <w:rsid w:val="00951270"/>
    <w:rsid w:val="009512B8"/>
    <w:rsid w:val="009516F6"/>
    <w:rsid w:val="00951D11"/>
    <w:rsid w:val="00951D23"/>
    <w:rsid w:val="0095215B"/>
    <w:rsid w:val="00952429"/>
    <w:rsid w:val="00952EAD"/>
    <w:rsid w:val="009530E5"/>
    <w:rsid w:val="0095328E"/>
    <w:rsid w:val="009536FC"/>
    <w:rsid w:val="0095426A"/>
    <w:rsid w:val="00954BD6"/>
    <w:rsid w:val="00954CEC"/>
    <w:rsid w:val="00954D87"/>
    <w:rsid w:val="00955CBA"/>
    <w:rsid w:val="009564C9"/>
    <w:rsid w:val="00956787"/>
    <w:rsid w:val="0095773C"/>
    <w:rsid w:val="00957C1B"/>
    <w:rsid w:val="00957E8B"/>
    <w:rsid w:val="009604C4"/>
    <w:rsid w:val="009606D0"/>
    <w:rsid w:val="009613A2"/>
    <w:rsid w:val="0096141C"/>
    <w:rsid w:val="00961DE1"/>
    <w:rsid w:val="00962DAF"/>
    <w:rsid w:val="00962E14"/>
    <w:rsid w:val="00962EC1"/>
    <w:rsid w:val="00963D9E"/>
    <w:rsid w:val="00964026"/>
    <w:rsid w:val="00964089"/>
    <w:rsid w:val="0096410E"/>
    <w:rsid w:val="009645AC"/>
    <w:rsid w:val="00964A1F"/>
    <w:rsid w:val="00964ABF"/>
    <w:rsid w:val="00964AD7"/>
    <w:rsid w:val="00965403"/>
    <w:rsid w:val="00965485"/>
    <w:rsid w:val="009655D1"/>
    <w:rsid w:val="00965B0F"/>
    <w:rsid w:val="00965BEA"/>
    <w:rsid w:val="00965E7A"/>
    <w:rsid w:val="00965F81"/>
    <w:rsid w:val="0096602B"/>
    <w:rsid w:val="0096632F"/>
    <w:rsid w:val="00966805"/>
    <w:rsid w:val="00966CDD"/>
    <w:rsid w:val="00966D00"/>
    <w:rsid w:val="00966E54"/>
    <w:rsid w:val="009670AF"/>
    <w:rsid w:val="00967A79"/>
    <w:rsid w:val="00967B9C"/>
    <w:rsid w:val="009700C9"/>
    <w:rsid w:val="009709E9"/>
    <w:rsid w:val="00970BD9"/>
    <w:rsid w:val="00970EA4"/>
    <w:rsid w:val="00970FBB"/>
    <w:rsid w:val="00971123"/>
    <w:rsid w:val="0097196F"/>
    <w:rsid w:val="00971B9B"/>
    <w:rsid w:val="00971DF9"/>
    <w:rsid w:val="009720E3"/>
    <w:rsid w:val="00972CB8"/>
    <w:rsid w:val="009737F5"/>
    <w:rsid w:val="00973BB6"/>
    <w:rsid w:val="00973F66"/>
    <w:rsid w:val="009741D8"/>
    <w:rsid w:val="009742F3"/>
    <w:rsid w:val="0097466B"/>
    <w:rsid w:val="00975238"/>
    <w:rsid w:val="00975838"/>
    <w:rsid w:val="00975A3C"/>
    <w:rsid w:val="00975F13"/>
    <w:rsid w:val="00975F49"/>
    <w:rsid w:val="0097696C"/>
    <w:rsid w:val="00977014"/>
    <w:rsid w:val="00977993"/>
    <w:rsid w:val="00977FA5"/>
    <w:rsid w:val="00980351"/>
    <w:rsid w:val="009805A7"/>
    <w:rsid w:val="009806CA"/>
    <w:rsid w:val="00980881"/>
    <w:rsid w:val="00980CDA"/>
    <w:rsid w:val="00980F0D"/>
    <w:rsid w:val="00981001"/>
    <w:rsid w:val="0098158D"/>
    <w:rsid w:val="009819D9"/>
    <w:rsid w:val="00981CAE"/>
    <w:rsid w:val="00981FA8"/>
    <w:rsid w:val="00982088"/>
    <w:rsid w:val="00982125"/>
    <w:rsid w:val="00983235"/>
    <w:rsid w:val="00983A06"/>
    <w:rsid w:val="00983AB5"/>
    <w:rsid w:val="00983DCF"/>
    <w:rsid w:val="00983E0F"/>
    <w:rsid w:val="009845C8"/>
    <w:rsid w:val="00984682"/>
    <w:rsid w:val="009847AA"/>
    <w:rsid w:val="00984A6C"/>
    <w:rsid w:val="00984D4C"/>
    <w:rsid w:val="009850A0"/>
    <w:rsid w:val="009857EF"/>
    <w:rsid w:val="00985AC6"/>
    <w:rsid w:val="00985D98"/>
    <w:rsid w:val="00985FC0"/>
    <w:rsid w:val="00986069"/>
    <w:rsid w:val="0098611D"/>
    <w:rsid w:val="009862FF"/>
    <w:rsid w:val="009864AE"/>
    <w:rsid w:val="00987387"/>
    <w:rsid w:val="0098758E"/>
    <w:rsid w:val="0098777E"/>
    <w:rsid w:val="009877A9"/>
    <w:rsid w:val="00987A14"/>
    <w:rsid w:val="00990771"/>
    <w:rsid w:val="009908F4"/>
    <w:rsid w:val="00990DDE"/>
    <w:rsid w:val="00991222"/>
    <w:rsid w:val="009913FD"/>
    <w:rsid w:val="0099158E"/>
    <w:rsid w:val="00991B1A"/>
    <w:rsid w:val="00991F38"/>
    <w:rsid w:val="00992041"/>
    <w:rsid w:val="00992179"/>
    <w:rsid w:val="00992802"/>
    <w:rsid w:val="009928C6"/>
    <w:rsid w:val="0099298A"/>
    <w:rsid w:val="00992B6C"/>
    <w:rsid w:val="0099308D"/>
    <w:rsid w:val="009931FB"/>
    <w:rsid w:val="00993B80"/>
    <w:rsid w:val="0099409E"/>
    <w:rsid w:val="00994274"/>
    <w:rsid w:val="00994305"/>
    <w:rsid w:val="0099479A"/>
    <w:rsid w:val="009948F1"/>
    <w:rsid w:val="00994F80"/>
    <w:rsid w:val="009954E6"/>
    <w:rsid w:val="0099561C"/>
    <w:rsid w:val="0099575D"/>
    <w:rsid w:val="00995A25"/>
    <w:rsid w:val="00995F1F"/>
    <w:rsid w:val="00996749"/>
    <w:rsid w:val="00996B53"/>
    <w:rsid w:val="00996FE1"/>
    <w:rsid w:val="00997417"/>
    <w:rsid w:val="009975F5"/>
    <w:rsid w:val="009977FD"/>
    <w:rsid w:val="00997FC7"/>
    <w:rsid w:val="009A0B64"/>
    <w:rsid w:val="009A1563"/>
    <w:rsid w:val="009A17AE"/>
    <w:rsid w:val="009A1E4F"/>
    <w:rsid w:val="009A21E2"/>
    <w:rsid w:val="009A21E3"/>
    <w:rsid w:val="009A268F"/>
    <w:rsid w:val="009A2D03"/>
    <w:rsid w:val="009A39DC"/>
    <w:rsid w:val="009A3F27"/>
    <w:rsid w:val="009A43FC"/>
    <w:rsid w:val="009A4C35"/>
    <w:rsid w:val="009A4EE2"/>
    <w:rsid w:val="009A52B5"/>
    <w:rsid w:val="009A531C"/>
    <w:rsid w:val="009A5753"/>
    <w:rsid w:val="009A57EB"/>
    <w:rsid w:val="009A5947"/>
    <w:rsid w:val="009A63DD"/>
    <w:rsid w:val="009A6437"/>
    <w:rsid w:val="009A6442"/>
    <w:rsid w:val="009A6465"/>
    <w:rsid w:val="009A65B0"/>
    <w:rsid w:val="009A6612"/>
    <w:rsid w:val="009A67A3"/>
    <w:rsid w:val="009A6854"/>
    <w:rsid w:val="009A68C8"/>
    <w:rsid w:val="009A699B"/>
    <w:rsid w:val="009A6CA4"/>
    <w:rsid w:val="009A7168"/>
    <w:rsid w:val="009A71BC"/>
    <w:rsid w:val="009A7964"/>
    <w:rsid w:val="009A7A55"/>
    <w:rsid w:val="009A7BA5"/>
    <w:rsid w:val="009B04B1"/>
    <w:rsid w:val="009B103D"/>
    <w:rsid w:val="009B1313"/>
    <w:rsid w:val="009B180C"/>
    <w:rsid w:val="009B2036"/>
    <w:rsid w:val="009B2077"/>
    <w:rsid w:val="009B25E9"/>
    <w:rsid w:val="009B31CE"/>
    <w:rsid w:val="009B3371"/>
    <w:rsid w:val="009B33A3"/>
    <w:rsid w:val="009B3624"/>
    <w:rsid w:val="009B393E"/>
    <w:rsid w:val="009B3BE1"/>
    <w:rsid w:val="009B3BE6"/>
    <w:rsid w:val="009B3E44"/>
    <w:rsid w:val="009B3EBA"/>
    <w:rsid w:val="009B3EFA"/>
    <w:rsid w:val="009B42F4"/>
    <w:rsid w:val="009B4A9B"/>
    <w:rsid w:val="009B4C88"/>
    <w:rsid w:val="009B4CEE"/>
    <w:rsid w:val="009B585F"/>
    <w:rsid w:val="009B68E6"/>
    <w:rsid w:val="009B6DDA"/>
    <w:rsid w:val="009B6EBC"/>
    <w:rsid w:val="009B7A84"/>
    <w:rsid w:val="009B7A96"/>
    <w:rsid w:val="009B7C85"/>
    <w:rsid w:val="009B7E02"/>
    <w:rsid w:val="009B7E22"/>
    <w:rsid w:val="009B7FD9"/>
    <w:rsid w:val="009C04E9"/>
    <w:rsid w:val="009C060E"/>
    <w:rsid w:val="009C0732"/>
    <w:rsid w:val="009C08B7"/>
    <w:rsid w:val="009C09B8"/>
    <w:rsid w:val="009C0A9D"/>
    <w:rsid w:val="009C0B9A"/>
    <w:rsid w:val="009C0D95"/>
    <w:rsid w:val="009C1557"/>
    <w:rsid w:val="009C17C5"/>
    <w:rsid w:val="009C17E2"/>
    <w:rsid w:val="009C181F"/>
    <w:rsid w:val="009C19DB"/>
    <w:rsid w:val="009C1AD6"/>
    <w:rsid w:val="009C1F1E"/>
    <w:rsid w:val="009C2214"/>
    <w:rsid w:val="009C239A"/>
    <w:rsid w:val="009C23CF"/>
    <w:rsid w:val="009C3130"/>
    <w:rsid w:val="009C34BB"/>
    <w:rsid w:val="009C3668"/>
    <w:rsid w:val="009C36AB"/>
    <w:rsid w:val="009C387F"/>
    <w:rsid w:val="009C404D"/>
    <w:rsid w:val="009C42D6"/>
    <w:rsid w:val="009C4A1B"/>
    <w:rsid w:val="009C4AE7"/>
    <w:rsid w:val="009C4C11"/>
    <w:rsid w:val="009C4CDB"/>
    <w:rsid w:val="009C4DC8"/>
    <w:rsid w:val="009C4ECF"/>
    <w:rsid w:val="009C53E7"/>
    <w:rsid w:val="009C5D06"/>
    <w:rsid w:val="009C610F"/>
    <w:rsid w:val="009C659F"/>
    <w:rsid w:val="009C65A2"/>
    <w:rsid w:val="009C6DB8"/>
    <w:rsid w:val="009C6EA2"/>
    <w:rsid w:val="009C77BF"/>
    <w:rsid w:val="009C7AAF"/>
    <w:rsid w:val="009C7C2E"/>
    <w:rsid w:val="009C7C37"/>
    <w:rsid w:val="009C7F0C"/>
    <w:rsid w:val="009D0196"/>
    <w:rsid w:val="009D08BD"/>
    <w:rsid w:val="009D0DB2"/>
    <w:rsid w:val="009D0FD1"/>
    <w:rsid w:val="009D1077"/>
    <w:rsid w:val="009D11E4"/>
    <w:rsid w:val="009D123B"/>
    <w:rsid w:val="009D16A0"/>
    <w:rsid w:val="009D1AA9"/>
    <w:rsid w:val="009D1F8A"/>
    <w:rsid w:val="009D2210"/>
    <w:rsid w:val="009D23A2"/>
    <w:rsid w:val="009D262A"/>
    <w:rsid w:val="009D2B03"/>
    <w:rsid w:val="009D2B9F"/>
    <w:rsid w:val="009D2F81"/>
    <w:rsid w:val="009D3C55"/>
    <w:rsid w:val="009D4309"/>
    <w:rsid w:val="009D45EE"/>
    <w:rsid w:val="009D4AC6"/>
    <w:rsid w:val="009D4C9F"/>
    <w:rsid w:val="009D4D90"/>
    <w:rsid w:val="009D4F93"/>
    <w:rsid w:val="009D5081"/>
    <w:rsid w:val="009D53F2"/>
    <w:rsid w:val="009D5747"/>
    <w:rsid w:val="009D5F65"/>
    <w:rsid w:val="009D6576"/>
    <w:rsid w:val="009D65A0"/>
    <w:rsid w:val="009D65C9"/>
    <w:rsid w:val="009D6725"/>
    <w:rsid w:val="009D6A08"/>
    <w:rsid w:val="009D6AC0"/>
    <w:rsid w:val="009D6D69"/>
    <w:rsid w:val="009D708C"/>
    <w:rsid w:val="009D7226"/>
    <w:rsid w:val="009D73E3"/>
    <w:rsid w:val="009D7A5B"/>
    <w:rsid w:val="009D7DCA"/>
    <w:rsid w:val="009D7E2C"/>
    <w:rsid w:val="009E00F5"/>
    <w:rsid w:val="009E05A1"/>
    <w:rsid w:val="009E0E64"/>
    <w:rsid w:val="009E1113"/>
    <w:rsid w:val="009E1375"/>
    <w:rsid w:val="009E15BA"/>
    <w:rsid w:val="009E17D9"/>
    <w:rsid w:val="009E1A69"/>
    <w:rsid w:val="009E1B6C"/>
    <w:rsid w:val="009E246E"/>
    <w:rsid w:val="009E24CA"/>
    <w:rsid w:val="009E25D4"/>
    <w:rsid w:val="009E2F65"/>
    <w:rsid w:val="009E30A3"/>
    <w:rsid w:val="009E3284"/>
    <w:rsid w:val="009E3321"/>
    <w:rsid w:val="009E33BA"/>
    <w:rsid w:val="009E33D7"/>
    <w:rsid w:val="009E3CEB"/>
    <w:rsid w:val="009E425A"/>
    <w:rsid w:val="009E4D6A"/>
    <w:rsid w:val="009E4E20"/>
    <w:rsid w:val="009E505F"/>
    <w:rsid w:val="009E5F03"/>
    <w:rsid w:val="009E6094"/>
    <w:rsid w:val="009E610F"/>
    <w:rsid w:val="009E61EB"/>
    <w:rsid w:val="009E668B"/>
    <w:rsid w:val="009E6753"/>
    <w:rsid w:val="009E688A"/>
    <w:rsid w:val="009E692D"/>
    <w:rsid w:val="009E6DDC"/>
    <w:rsid w:val="009E6EA8"/>
    <w:rsid w:val="009E728A"/>
    <w:rsid w:val="009E72CB"/>
    <w:rsid w:val="009E73B7"/>
    <w:rsid w:val="009E73F1"/>
    <w:rsid w:val="009F0841"/>
    <w:rsid w:val="009F0C2B"/>
    <w:rsid w:val="009F12F9"/>
    <w:rsid w:val="009F1373"/>
    <w:rsid w:val="009F22CF"/>
    <w:rsid w:val="009F3357"/>
    <w:rsid w:val="009F3547"/>
    <w:rsid w:val="009F364B"/>
    <w:rsid w:val="009F384E"/>
    <w:rsid w:val="009F3959"/>
    <w:rsid w:val="009F3B3E"/>
    <w:rsid w:val="009F4296"/>
    <w:rsid w:val="009F456B"/>
    <w:rsid w:val="009F5237"/>
    <w:rsid w:val="009F546B"/>
    <w:rsid w:val="009F557E"/>
    <w:rsid w:val="009F56AB"/>
    <w:rsid w:val="009F57AF"/>
    <w:rsid w:val="009F58DF"/>
    <w:rsid w:val="009F5D02"/>
    <w:rsid w:val="009F6117"/>
    <w:rsid w:val="009F6229"/>
    <w:rsid w:val="009F622D"/>
    <w:rsid w:val="009F6536"/>
    <w:rsid w:val="009F65D3"/>
    <w:rsid w:val="009F66E8"/>
    <w:rsid w:val="009F68F0"/>
    <w:rsid w:val="009F6E86"/>
    <w:rsid w:val="009F7293"/>
    <w:rsid w:val="009F7437"/>
    <w:rsid w:val="009F7512"/>
    <w:rsid w:val="009F7857"/>
    <w:rsid w:val="00A008B2"/>
    <w:rsid w:val="00A00FFC"/>
    <w:rsid w:val="00A0182E"/>
    <w:rsid w:val="00A018E6"/>
    <w:rsid w:val="00A01900"/>
    <w:rsid w:val="00A01AE7"/>
    <w:rsid w:val="00A01BFA"/>
    <w:rsid w:val="00A02024"/>
    <w:rsid w:val="00A02ABA"/>
    <w:rsid w:val="00A03B4E"/>
    <w:rsid w:val="00A03DFB"/>
    <w:rsid w:val="00A04005"/>
    <w:rsid w:val="00A04ADC"/>
    <w:rsid w:val="00A04C02"/>
    <w:rsid w:val="00A04F2A"/>
    <w:rsid w:val="00A05612"/>
    <w:rsid w:val="00A05DBE"/>
    <w:rsid w:val="00A06ABB"/>
    <w:rsid w:val="00A06AD0"/>
    <w:rsid w:val="00A06C25"/>
    <w:rsid w:val="00A07088"/>
    <w:rsid w:val="00A0751F"/>
    <w:rsid w:val="00A075DE"/>
    <w:rsid w:val="00A076A6"/>
    <w:rsid w:val="00A076CB"/>
    <w:rsid w:val="00A077BA"/>
    <w:rsid w:val="00A07883"/>
    <w:rsid w:val="00A07AF7"/>
    <w:rsid w:val="00A07B61"/>
    <w:rsid w:val="00A10BC2"/>
    <w:rsid w:val="00A10FDB"/>
    <w:rsid w:val="00A110B5"/>
    <w:rsid w:val="00A1156A"/>
    <w:rsid w:val="00A11A82"/>
    <w:rsid w:val="00A11AD2"/>
    <w:rsid w:val="00A11F58"/>
    <w:rsid w:val="00A12016"/>
    <w:rsid w:val="00A122AA"/>
    <w:rsid w:val="00A1242F"/>
    <w:rsid w:val="00A12C70"/>
    <w:rsid w:val="00A12CE4"/>
    <w:rsid w:val="00A12FF9"/>
    <w:rsid w:val="00A1328C"/>
    <w:rsid w:val="00A13325"/>
    <w:rsid w:val="00A13377"/>
    <w:rsid w:val="00A135B0"/>
    <w:rsid w:val="00A13671"/>
    <w:rsid w:val="00A13F1F"/>
    <w:rsid w:val="00A1400A"/>
    <w:rsid w:val="00A141FA"/>
    <w:rsid w:val="00A146D1"/>
    <w:rsid w:val="00A14DC1"/>
    <w:rsid w:val="00A14E04"/>
    <w:rsid w:val="00A15012"/>
    <w:rsid w:val="00A1506E"/>
    <w:rsid w:val="00A150E9"/>
    <w:rsid w:val="00A1514F"/>
    <w:rsid w:val="00A152D9"/>
    <w:rsid w:val="00A15539"/>
    <w:rsid w:val="00A15544"/>
    <w:rsid w:val="00A1556E"/>
    <w:rsid w:val="00A162F2"/>
    <w:rsid w:val="00A164C4"/>
    <w:rsid w:val="00A16C13"/>
    <w:rsid w:val="00A16D1B"/>
    <w:rsid w:val="00A17435"/>
    <w:rsid w:val="00A17883"/>
    <w:rsid w:val="00A179E2"/>
    <w:rsid w:val="00A200E6"/>
    <w:rsid w:val="00A20330"/>
    <w:rsid w:val="00A205F5"/>
    <w:rsid w:val="00A20838"/>
    <w:rsid w:val="00A20857"/>
    <w:rsid w:val="00A20F23"/>
    <w:rsid w:val="00A215A1"/>
    <w:rsid w:val="00A217AB"/>
    <w:rsid w:val="00A21B72"/>
    <w:rsid w:val="00A21B97"/>
    <w:rsid w:val="00A21BAC"/>
    <w:rsid w:val="00A221B4"/>
    <w:rsid w:val="00A2235E"/>
    <w:rsid w:val="00A2275D"/>
    <w:rsid w:val="00A228E9"/>
    <w:rsid w:val="00A22EC6"/>
    <w:rsid w:val="00A232F6"/>
    <w:rsid w:val="00A23367"/>
    <w:rsid w:val="00A23559"/>
    <w:rsid w:val="00A2379F"/>
    <w:rsid w:val="00A23C94"/>
    <w:rsid w:val="00A23C96"/>
    <w:rsid w:val="00A23E9B"/>
    <w:rsid w:val="00A24133"/>
    <w:rsid w:val="00A243A0"/>
    <w:rsid w:val="00A245F3"/>
    <w:rsid w:val="00A24784"/>
    <w:rsid w:val="00A24901"/>
    <w:rsid w:val="00A24F53"/>
    <w:rsid w:val="00A24F6F"/>
    <w:rsid w:val="00A2511E"/>
    <w:rsid w:val="00A2514B"/>
    <w:rsid w:val="00A25189"/>
    <w:rsid w:val="00A255A1"/>
    <w:rsid w:val="00A25694"/>
    <w:rsid w:val="00A25ABE"/>
    <w:rsid w:val="00A2611F"/>
    <w:rsid w:val="00A2636D"/>
    <w:rsid w:val="00A263BF"/>
    <w:rsid w:val="00A26418"/>
    <w:rsid w:val="00A2645A"/>
    <w:rsid w:val="00A26CA1"/>
    <w:rsid w:val="00A26CE0"/>
    <w:rsid w:val="00A26E25"/>
    <w:rsid w:val="00A26E88"/>
    <w:rsid w:val="00A2716C"/>
    <w:rsid w:val="00A27384"/>
    <w:rsid w:val="00A274B1"/>
    <w:rsid w:val="00A27656"/>
    <w:rsid w:val="00A277C9"/>
    <w:rsid w:val="00A278C2"/>
    <w:rsid w:val="00A278ED"/>
    <w:rsid w:val="00A27DBE"/>
    <w:rsid w:val="00A30214"/>
    <w:rsid w:val="00A306A3"/>
    <w:rsid w:val="00A3071A"/>
    <w:rsid w:val="00A308F7"/>
    <w:rsid w:val="00A30A4C"/>
    <w:rsid w:val="00A30B15"/>
    <w:rsid w:val="00A30CDE"/>
    <w:rsid w:val="00A30F44"/>
    <w:rsid w:val="00A31230"/>
    <w:rsid w:val="00A313C7"/>
    <w:rsid w:val="00A316C7"/>
    <w:rsid w:val="00A318CD"/>
    <w:rsid w:val="00A31C08"/>
    <w:rsid w:val="00A32122"/>
    <w:rsid w:val="00A323F8"/>
    <w:rsid w:val="00A3249A"/>
    <w:rsid w:val="00A324BF"/>
    <w:rsid w:val="00A324E6"/>
    <w:rsid w:val="00A32897"/>
    <w:rsid w:val="00A32976"/>
    <w:rsid w:val="00A33B0F"/>
    <w:rsid w:val="00A33C06"/>
    <w:rsid w:val="00A342B5"/>
    <w:rsid w:val="00A3497D"/>
    <w:rsid w:val="00A356D0"/>
    <w:rsid w:val="00A35962"/>
    <w:rsid w:val="00A36550"/>
    <w:rsid w:val="00A367F4"/>
    <w:rsid w:val="00A36A27"/>
    <w:rsid w:val="00A36E14"/>
    <w:rsid w:val="00A36EFB"/>
    <w:rsid w:val="00A36F86"/>
    <w:rsid w:val="00A37006"/>
    <w:rsid w:val="00A37EB8"/>
    <w:rsid w:val="00A40189"/>
    <w:rsid w:val="00A40BC5"/>
    <w:rsid w:val="00A40BEE"/>
    <w:rsid w:val="00A40CE5"/>
    <w:rsid w:val="00A4108A"/>
    <w:rsid w:val="00A410F6"/>
    <w:rsid w:val="00A41628"/>
    <w:rsid w:val="00A41808"/>
    <w:rsid w:val="00A41944"/>
    <w:rsid w:val="00A423D0"/>
    <w:rsid w:val="00A42577"/>
    <w:rsid w:val="00A42FA3"/>
    <w:rsid w:val="00A43532"/>
    <w:rsid w:val="00A43911"/>
    <w:rsid w:val="00A43C72"/>
    <w:rsid w:val="00A43D37"/>
    <w:rsid w:val="00A44114"/>
    <w:rsid w:val="00A4486E"/>
    <w:rsid w:val="00A44AE3"/>
    <w:rsid w:val="00A44C61"/>
    <w:rsid w:val="00A44F3C"/>
    <w:rsid w:val="00A457FA"/>
    <w:rsid w:val="00A45AAC"/>
    <w:rsid w:val="00A45E22"/>
    <w:rsid w:val="00A46124"/>
    <w:rsid w:val="00A470DE"/>
    <w:rsid w:val="00A47605"/>
    <w:rsid w:val="00A47B80"/>
    <w:rsid w:val="00A47EDC"/>
    <w:rsid w:val="00A47FD4"/>
    <w:rsid w:val="00A502FB"/>
    <w:rsid w:val="00A505E6"/>
    <w:rsid w:val="00A509A8"/>
    <w:rsid w:val="00A50B6C"/>
    <w:rsid w:val="00A5107F"/>
    <w:rsid w:val="00A51251"/>
    <w:rsid w:val="00A5134B"/>
    <w:rsid w:val="00A514C5"/>
    <w:rsid w:val="00A515E5"/>
    <w:rsid w:val="00A519AB"/>
    <w:rsid w:val="00A51CEB"/>
    <w:rsid w:val="00A521C4"/>
    <w:rsid w:val="00A5278C"/>
    <w:rsid w:val="00A536A6"/>
    <w:rsid w:val="00A53A2A"/>
    <w:rsid w:val="00A53D09"/>
    <w:rsid w:val="00A53E10"/>
    <w:rsid w:val="00A5424A"/>
    <w:rsid w:val="00A54745"/>
    <w:rsid w:val="00A547A7"/>
    <w:rsid w:val="00A553B6"/>
    <w:rsid w:val="00A55448"/>
    <w:rsid w:val="00A5560D"/>
    <w:rsid w:val="00A55655"/>
    <w:rsid w:val="00A5585F"/>
    <w:rsid w:val="00A5689F"/>
    <w:rsid w:val="00A5690B"/>
    <w:rsid w:val="00A56A6F"/>
    <w:rsid w:val="00A56AE1"/>
    <w:rsid w:val="00A56CE6"/>
    <w:rsid w:val="00A56DBB"/>
    <w:rsid w:val="00A57043"/>
    <w:rsid w:val="00A571D0"/>
    <w:rsid w:val="00A57A51"/>
    <w:rsid w:val="00A57D8F"/>
    <w:rsid w:val="00A60085"/>
    <w:rsid w:val="00A60334"/>
    <w:rsid w:val="00A603D4"/>
    <w:rsid w:val="00A60695"/>
    <w:rsid w:val="00A607E6"/>
    <w:rsid w:val="00A60BF3"/>
    <w:rsid w:val="00A60CD8"/>
    <w:rsid w:val="00A60D0E"/>
    <w:rsid w:val="00A60DCE"/>
    <w:rsid w:val="00A60E81"/>
    <w:rsid w:val="00A615DC"/>
    <w:rsid w:val="00A61C57"/>
    <w:rsid w:val="00A61F6B"/>
    <w:rsid w:val="00A621B7"/>
    <w:rsid w:val="00A622DB"/>
    <w:rsid w:val="00A623B3"/>
    <w:rsid w:val="00A6240E"/>
    <w:rsid w:val="00A624D7"/>
    <w:rsid w:val="00A62509"/>
    <w:rsid w:val="00A627D3"/>
    <w:rsid w:val="00A628F0"/>
    <w:rsid w:val="00A62E44"/>
    <w:rsid w:val="00A630E3"/>
    <w:rsid w:val="00A63157"/>
    <w:rsid w:val="00A635D0"/>
    <w:rsid w:val="00A63748"/>
    <w:rsid w:val="00A63F11"/>
    <w:rsid w:val="00A63F61"/>
    <w:rsid w:val="00A646A5"/>
    <w:rsid w:val="00A646C5"/>
    <w:rsid w:val="00A6477A"/>
    <w:rsid w:val="00A64AC4"/>
    <w:rsid w:val="00A65514"/>
    <w:rsid w:val="00A6637E"/>
    <w:rsid w:val="00A66E3F"/>
    <w:rsid w:val="00A66EF9"/>
    <w:rsid w:val="00A67147"/>
    <w:rsid w:val="00A6761C"/>
    <w:rsid w:val="00A67BD4"/>
    <w:rsid w:val="00A67D1C"/>
    <w:rsid w:val="00A67F45"/>
    <w:rsid w:val="00A70231"/>
    <w:rsid w:val="00A703E7"/>
    <w:rsid w:val="00A705E7"/>
    <w:rsid w:val="00A70689"/>
    <w:rsid w:val="00A70B7D"/>
    <w:rsid w:val="00A71362"/>
    <w:rsid w:val="00A717D3"/>
    <w:rsid w:val="00A71AED"/>
    <w:rsid w:val="00A721D9"/>
    <w:rsid w:val="00A722BF"/>
    <w:rsid w:val="00A72381"/>
    <w:rsid w:val="00A7244B"/>
    <w:rsid w:val="00A725AB"/>
    <w:rsid w:val="00A727FB"/>
    <w:rsid w:val="00A7289E"/>
    <w:rsid w:val="00A72BE8"/>
    <w:rsid w:val="00A72E8C"/>
    <w:rsid w:val="00A72EEC"/>
    <w:rsid w:val="00A72FF7"/>
    <w:rsid w:val="00A73121"/>
    <w:rsid w:val="00A734C6"/>
    <w:rsid w:val="00A73AAD"/>
    <w:rsid w:val="00A73CAB"/>
    <w:rsid w:val="00A73EBE"/>
    <w:rsid w:val="00A7403D"/>
    <w:rsid w:val="00A74528"/>
    <w:rsid w:val="00A74873"/>
    <w:rsid w:val="00A74F51"/>
    <w:rsid w:val="00A75133"/>
    <w:rsid w:val="00A752D3"/>
    <w:rsid w:val="00A75482"/>
    <w:rsid w:val="00A7565B"/>
    <w:rsid w:val="00A758CC"/>
    <w:rsid w:val="00A75AFD"/>
    <w:rsid w:val="00A75DE8"/>
    <w:rsid w:val="00A76359"/>
    <w:rsid w:val="00A76618"/>
    <w:rsid w:val="00A76806"/>
    <w:rsid w:val="00A76973"/>
    <w:rsid w:val="00A769AA"/>
    <w:rsid w:val="00A769D2"/>
    <w:rsid w:val="00A76D0E"/>
    <w:rsid w:val="00A76FAD"/>
    <w:rsid w:val="00A7737D"/>
    <w:rsid w:val="00A77789"/>
    <w:rsid w:val="00A77848"/>
    <w:rsid w:val="00A778CE"/>
    <w:rsid w:val="00A77B09"/>
    <w:rsid w:val="00A77C7A"/>
    <w:rsid w:val="00A80298"/>
    <w:rsid w:val="00A80459"/>
    <w:rsid w:val="00A80A52"/>
    <w:rsid w:val="00A80AF5"/>
    <w:rsid w:val="00A80BE4"/>
    <w:rsid w:val="00A813C9"/>
    <w:rsid w:val="00A81507"/>
    <w:rsid w:val="00A8165A"/>
    <w:rsid w:val="00A81A0C"/>
    <w:rsid w:val="00A81A2F"/>
    <w:rsid w:val="00A81B09"/>
    <w:rsid w:val="00A81BEB"/>
    <w:rsid w:val="00A82248"/>
    <w:rsid w:val="00A8284D"/>
    <w:rsid w:val="00A82C1B"/>
    <w:rsid w:val="00A82E27"/>
    <w:rsid w:val="00A83786"/>
    <w:rsid w:val="00A83EC4"/>
    <w:rsid w:val="00A84301"/>
    <w:rsid w:val="00A84396"/>
    <w:rsid w:val="00A84988"/>
    <w:rsid w:val="00A84B75"/>
    <w:rsid w:val="00A85DF3"/>
    <w:rsid w:val="00A860A2"/>
    <w:rsid w:val="00A867A3"/>
    <w:rsid w:val="00A86B25"/>
    <w:rsid w:val="00A86EAA"/>
    <w:rsid w:val="00A8715A"/>
    <w:rsid w:val="00A874BE"/>
    <w:rsid w:val="00A8756E"/>
    <w:rsid w:val="00A87763"/>
    <w:rsid w:val="00A87994"/>
    <w:rsid w:val="00A87B6B"/>
    <w:rsid w:val="00A9047E"/>
    <w:rsid w:val="00A907A8"/>
    <w:rsid w:val="00A90F0F"/>
    <w:rsid w:val="00A90F5C"/>
    <w:rsid w:val="00A911C6"/>
    <w:rsid w:val="00A917CE"/>
    <w:rsid w:val="00A9188E"/>
    <w:rsid w:val="00A91D1C"/>
    <w:rsid w:val="00A928E9"/>
    <w:rsid w:val="00A92969"/>
    <w:rsid w:val="00A92CCA"/>
    <w:rsid w:val="00A938DF"/>
    <w:rsid w:val="00A93F0E"/>
    <w:rsid w:val="00A94149"/>
    <w:rsid w:val="00A943B4"/>
    <w:rsid w:val="00A95944"/>
    <w:rsid w:val="00A959E1"/>
    <w:rsid w:val="00A95BC4"/>
    <w:rsid w:val="00A95F0C"/>
    <w:rsid w:val="00A960CE"/>
    <w:rsid w:val="00A96165"/>
    <w:rsid w:val="00A9629E"/>
    <w:rsid w:val="00A96A6F"/>
    <w:rsid w:val="00A96E5F"/>
    <w:rsid w:val="00A9704E"/>
    <w:rsid w:val="00A973F7"/>
    <w:rsid w:val="00A97E7A"/>
    <w:rsid w:val="00AA0264"/>
    <w:rsid w:val="00AA02ED"/>
    <w:rsid w:val="00AA0833"/>
    <w:rsid w:val="00AA0BB9"/>
    <w:rsid w:val="00AA0CB5"/>
    <w:rsid w:val="00AA111F"/>
    <w:rsid w:val="00AA12CA"/>
    <w:rsid w:val="00AA1445"/>
    <w:rsid w:val="00AA2584"/>
    <w:rsid w:val="00AA30EC"/>
    <w:rsid w:val="00AA3350"/>
    <w:rsid w:val="00AA34B2"/>
    <w:rsid w:val="00AA35FE"/>
    <w:rsid w:val="00AA3734"/>
    <w:rsid w:val="00AA3E2F"/>
    <w:rsid w:val="00AA3EAF"/>
    <w:rsid w:val="00AA3EE1"/>
    <w:rsid w:val="00AA4119"/>
    <w:rsid w:val="00AA414C"/>
    <w:rsid w:val="00AA415C"/>
    <w:rsid w:val="00AA41C6"/>
    <w:rsid w:val="00AA47C9"/>
    <w:rsid w:val="00AA5249"/>
    <w:rsid w:val="00AA5510"/>
    <w:rsid w:val="00AA558B"/>
    <w:rsid w:val="00AA5BAB"/>
    <w:rsid w:val="00AA5FD2"/>
    <w:rsid w:val="00AA638C"/>
    <w:rsid w:val="00AA6F5E"/>
    <w:rsid w:val="00AA7131"/>
    <w:rsid w:val="00AA719D"/>
    <w:rsid w:val="00AA71CF"/>
    <w:rsid w:val="00AA747B"/>
    <w:rsid w:val="00AA750F"/>
    <w:rsid w:val="00AA798E"/>
    <w:rsid w:val="00AA79AD"/>
    <w:rsid w:val="00AA79C5"/>
    <w:rsid w:val="00AA7C9B"/>
    <w:rsid w:val="00AB039A"/>
    <w:rsid w:val="00AB09A0"/>
    <w:rsid w:val="00AB130D"/>
    <w:rsid w:val="00AB13B9"/>
    <w:rsid w:val="00AB1401"/>
    <w:rsid w:val="00AB1D65"/>
    <w:rsid w:val="00AB264F"/>
    <w:rsid w:val="00AB2C2B"/>
    <w:rsid w:val="00AB2FA6"/>
    <w:rsid w:val="00AB32FE"/>
    <w:rsid w:val="00AB3359"/>
    <w:rsid w:val="00AB3381"/>
    <w:rsid w:val="00AB35DD"/>
    <w:rsid w:val="00AB38F0"/>
    <w:rsid w:val="00AB392B"/>
    <w:rsid w:val="00AB3BCE"/>
    <w:rsid w:val="00AB49AA"/>
    <w:rsid w:val="00AB4ED9"/>
    <w:rsid w:val="00AB4EEF"/>
    <w:rsid w:val="00AB5485"/>
    <w:rsid w:val="00AB5569"/>
    <w:rsid w:val="00AB5580"/>
    <w:rsid w:val="00AB6435"/>
    <w:rsid w:val="00AB71B1"/>
    <w:rsid w:val="00AB7534"/>
    <w:rsid w:val="00AC0229"/>
    <w:rsid w:val="00AC056A"/>
    <w:rsid w:val="00AC0BAC"/>
    <w:rsid w:val="00AC1381"/>
    <w:rsid w:val="00AC2BB7"/>
    <w:rsid w:val="00AC2DBB"/>
    <w:rsid w:val="00AC2E3E"/>
    <w:rsid w:val="00AC33F6"/>
    <w:rsid w:val="00AC35C9"/>
    <w:rsid w:val="00AC36A4"/>
    <w:rsid w:val="00AC39C2"/>
    <w:rsid w:val="00AC3D2A"/>
    <w:rsid w:val="00AC46E1"/>
    <w:rsid w:val="00AC4B96"/>
    <w:rsid w:val="00AC4D32"/>
    <w:rsid w:val="00AC4E64"/>
    <w:rsid w:val="00AC52D1"/>
    <w:rsid w:val="00AC5399"/>
    <w:rsid w:val="00AC54A3"/>
    <w:rsid w:val="00AC56B5"/>
    <w:rsid w:val="00AC56B6"/>
    <w:rsid w:val="00AC5700"/>
    <w:rsid w:val="00AC573D"/>
    <w:rsid w:val="00AC638C"/>
    <w:rsid w:val="00AC66EE"/>
    <w:rsid w:val="00AC673A"/>
    <w:rsid w:val="00AC680F"/>
    <w:rsid w:val="00AC68A7"/>
    <w:rsid w:val="00AC71A9"/>
    <w:rsid w:val="00AC77B9"/>
    <w:rsid w:val="00AC79C0"/>
    <w:rsid w:val="00AC7CAC"/>
    <w:rsid w:val="00AC7D29"/>
    <w:rsid w:val="00AC7E98"/>
    <w:rsid w:val="00AD04AE"/>
    <w:rsid w:val="00AD0E35"/>
    <w:rsid w:val="00AD109E"/>
    <w:rsid w:val="00AD1100"/>
    <w:rsid w:val="00AD1277"/>
    <w:rsid w:val="00AD158C"/>
    <w:rsid w:val="00AD190A"/>
    <w:rsid w:val="00AD2000"/>
    <w:rsid w:val="00AD20B2"/>
    <w:rsid w:val="00AD20E2"/>
    <w:rsid w:val="00AD220C"/>
    <w:rsid w:val="00AD2773"/>
    <w:rsid w:val="00AD2FB7"/>
    <w:rsid w:val="00AD37E1"/>
    <w:rsid w:val="00AD436F"/>
    <w:rsid w:val="00AD4EFB"/>
    <w:rsid w:val="00AD565B"/>
    <w:rsid w:val="00AD5740"/>
    <w:rsid w:val="00AD5B7B"/>
    <w:rsid w:val="00AD5EEC"/>
    <w:rsid w:val="00AD681A"/>
    <w:rsid w:val="00AD6DF8"/>
    <w:rsid w:val="00AD6ECE"/>
    <w:rsid w:val="00AD6F53"/>
    <w:rsid w:val="00AD73BB"/>
    <w:rsid w:val="00AD74E4"/>
    <w:rsid w:val="00AD750A"/>
    <w:rsid w:val="00AD7789"/>
    <w:rsid w:val="00AD78D4"/>
    <w:rsid w:val="00AD7C05"/>
    <w:rsid w:val="00AD7E6C"/>
    <w:rsid w:val="00AD7EB6"/>
    <w:rsid w:val="00AD7FE8"/>
    <w:rsid w:val="00AE0B82"/>
    <w:rsid w:val="00AE0BFA"/>
    <w:rsid w:val="00AE0DCF"/>
    <w:rsid w:val="00AE0F15"/>
    <w:rsid w:val="00AE10F0"/>
    <w:rsid w:val="00AE14BB"/>
    <w:rsid w:val="00AE1DD7"/>
    <w:rsid w:val="00AE1EDC"/>
    <w:rsid w:val="00AE230B"/>
    <w:rsid w:val="00AE24E7"/>
    <w:rsid w:val="00AE2650"/>
    <w:rsid w:val="00AE28D8"/>
    <w:rsid w:val="00AE2B1E"/>
    <w:rsid w:val="00AE2D20"/>
    <w:rsid w:val="00AE2F23"/>
    <w:rsid w:val="00AE342D"/>
    <w:rsid w:val="00AE356F"/>
    <w:rsid w:val="00AE3696"/>
    <w:rsid w:val="00AE3908"/>
    <w:rsid w:val="00AE391E"/>
    <w:rsid w:val="00AE3999"/>
    <w:rsid w:val="00AE39E1"/>
    <w:rsid w:val="00AE4002"/>
    <w:rsid w:val="00AE4159"/>
    <w:rsid w:val="00AE446C"/>
    <w:rsid w:val="00AE53BB"/>
    <w:rsid w:val="00AE65B3"/>
    <w:rsid w:val="00AE6D4B"/>
    <w:rsid w:val="00AE6D5E"/>
    <w:rsid w:val="00AE75F9"/>
    <w:rsid w:val="00AE7666"/>
    <w:rsid w:val="00AE7C98"/>
    <w:rsid w:val="00AE7E21"/>
    <w:rsid w:val="00AE7F5C"/>
    <w:rsid w:val="00AF06E4"/>
    <w:rsid w:val="00AF0868"/>
    <w:rsid w:val="00AF0AD2"/>
    <w:rsid w:val="00AF0C71"/>
    <w:rsid w:val="00AF0C82"/>
    <w:rsid w:val="00AF2311"/>
    <w:rsid w:val="00AF2F58"/>
    <w:rsid w:val="00AF3468"/>
    <w:rsid w:val="00AF3AEF"/>
    <w:rsid w:val="00AF3BD5"/>
    <w:rsid w:val="00AF3C81"/>
    <w:rsid w:val="00AF3CC6"/>
    <w:rsid w:val="00AF3E09"/>
    <w:rsid w:val="00AF4972"/>
    <w:rsid w:val="00AF4BFE"/>
    <w:rsid w:val="00AF4D84"/>
    <w:rsid w:val="00AF4DA5"/>
    <w:rsid w:val="00AF5711"/>
    <w:rsid w:val="00AF5833"/>
    <w:rsid w:val="00AF59B1"/>
    <w:rsid w:val="00AF5C54"/>
    <w:rsid w:val="00AF5C5B"/>
    <w:rsid w:val="00AF5D43"/>
    <w:rsid w:val="00AF609A"/>
    <w:rsid w:val="00AF658C"/>
    <w:rsid w:val="00AF67B0"/>
    <w:rsid w:val="00AF6888"/>
    <w:rsid w:val="00AF6A67"/>
    <w:rsid w:val="00AF6CA5"/>
    <w:rsid w:val="00AF6D0C"/>
    <w:rsid w:val="00AF6E9D"/>
    <w:rsid w:val="00AF717F"/>
    <w:rsid w:val="00AF71DE"/>
    <w:rsid w:val="00AF7301"/>
    <w:rsid w:val="00AF75DA"/>
    <w:rsid w:val="00AF7869"/>
    <w:rsid w:val="00B002A2"/>
    <w:rsid w:val="00B008AC"/>
    <w:rsid w:val="00B0092E"/>
    <w:rsid w:val="00B013A5"/>
    <w:rsid w:val="00B018CA"/>
    <w:rsid w:val="00B019F2"/>
    <w:rsid w:val="00B01CE9"/>
    <w:rsid w:val="00B01E29"/>
    <w:rsid w:val="00B02764"/>
    <w:rsid w:val="00B027ED"/>
    <w:rsid w:val="00B02A25"/>
    <w:rsid w:val="00B02EAF"/>
    <w:rsid w:val="00B02F48"/>
    <w:rsid w:val="00B031CB"/>
    <w:rsid w:val="00B032A5"/>
    <w:rsid w:val="00B038D4"/>
    <w:rsid w:val="00B039F8"/>
    <w:rsid w:val="00B03B09"/>
    <w:rsid w:val="00B0408B"/>
    <w:rsid w:val="00B047A4"/>
    <w:rsid w:val="00B05DBF"/>
    <w:rsid w:val="00B06030"/>
    <w:rsid w:val="00B063D6"/>
    <w:rsid w:val="00B066BD"/>
    <w:rsid w:val="00B06ABF"/>
    <w:rsid w:val="00B06C54"/>
    <w:rsid w:val="00B06D55"/>
    <w:rsid w:val="00B07069"/>
    <w:rsid w:val="00B074F9"/>
    <w:rsid w:val="00B07AFC"/>
    <w:rsid w:val="00B100BE"/>
    <w:rsid w:val="00B10340"/>
    <w:rsid w:val="00B10570"/>
    <w:rsid w:val="00B10AAB"/>
    <w:rsid w:val="00B10AD2"/>
    <w:rsid w:val="00B10B33"/>
    <w:rsid w:val="00B10C22"/>
    <w:rsid w:val="00B10E33"/>
    <w:rsid w:val="00B10F1D"/>
    <w:rsid w:val="00B110CD"/>
    <w:rsid w:val="00B116B6"/>
    <w:rsid w:val="00B11847"/>
    <w:rsid w:val="00B11939"/>
    <w:rsid w:val="00B11D8B"/>
    <w:rsid w:val="00B12AC4"/>
    <w:rsid w:val="00B12F25"/>
    <w:rsid w:val="00B1324C"/>
    <w:rsid w:val="00B13F30"/>
    <w:rsid w:val="00B13F99"/>
    <w:rsid w:val="00B1512E"/>
    <w:rsid w:val="00B1558E"/>
    <w:rsid w:val="00B155C5"/>
    <w:rsid w:val="00B15918"/>
    <w:rsid w:val="00B15CC5"/>
    <w:rsid w:val="00B15E8B"/>
    <w:rsid w:val="00B16557"/>
    <w:rsid w:val="00B16838"/>
    <w:rsid w:val="00B16924"/>
    <w:rsid w:val="00B16AA9"/>
    <w:rsid w:val="00B16B8B"/>
    <w:rsid w:val="00B17019"/>
    <w:rsid w:val="00B17169"/>
    <w:rsid w:val="00B20664"/>
    <w:rsid w:val="00B2077B"/>
    <w:rsid w:val="00B20DD8"/>
    <w:rsid w:val="00B20DF1"/>
    <w:rsid w:val="00B211AB"/>
    <w:rsid w:val="00B2132B"/>
    <w:rsid w:val="00B2147B"/>
    <w:rsid w:val="00B214D8"/>
    <w:rsid w:val="00B2150D"/>
    <w:rsid w:val="00B216C5"/>
    <w:rsid w:val="00B21D68"/>
    <w:rsid w:val="00B21FC8"/>
    <w:rsid w:val="00B225D8"/>
    <w:rsid w:val="00B22DBD"/>
    <w:rsid w:val="00B23291"/>
    <w:rsid w:val="00B23292"/>
    <w:rsid w:val="00B234BD"/>
    <w:rsid w:val="00B238C6"/>
    <w:rsid w:val="00B23CD9"/>
    <w:rsid w:val="00B23FB0"/>
    <w:rsid w:val="00B24812"/>
    <w:rsid w:val="00B249D0"/>
    <w:rsid w:val="00B24AD9"/>
    <w:rsid w:val="00B25002"/>
    <w:rsid w:val="00B250AF"/>
    <w:rsid w:val="00B251F0"/>
    <w:rsid w:val="00B25F41"/>
    <w:rsid w:val="00B260F8"/>
    <w:rsid w:val="00B2699B"/>
    <w:rsid w:val="00B26CE3"/>
    <w:rsid w:val="00B26D34"/>
    <w:rsid w:val="00B273A9"/>
    <w:rsid w:val="00B2750C"/>
    <w:rsid w:val="00B275BE"/>
    <w:rsid w:val="00B27A3D"/>
    <w:rsid w:val="00B27CED"/>
    <w:rsid w:val="00B30216"/>
    <w:rsid w:val="00B302AC"/>
    <w:rsid w:val="00B3149B"/>
    <w:rsid w:val="00B31D29"/>
    <w:rsid w:val="00B31D5F"/>
    <w:rsid w:val="00B31DED"/>
    <w:rsid w:val="00B3206C"/>
    <w:rsid w:val="00B32120"/>
    <w:rsid w:val="00B3248E"/>
    <w:rsid w:val="00B325BF"/>
    <w:rsid w:val="00B32CDA"/>
    <w:rsid w:val="00B33705"/>
    <w:rsid w:val="00B33A27"/>
    <w:rsid w:val="00B34308"/>
    <w:rsid w:val="00B3450E"/>
    <w:rsid w:val="00B3463A"/>
    <w:rsid w:val="00B34D8B"/>
    <w:rsid w:val="00B35218"/>
    <w:rsid w:val="00B35835"/>
    <w:rsid w:val="00B36426"/>
    <w:rsid w:val="00B3652C"/>
    <w:rsid w:val="00B3673D"/>
    <w:rsid w:val="00B36BB8"/>
    <w:rsid w:val="00B36BDB"/>
    <w:rsid w:val="00B3757A"/>
    <w:rsid w:val="00B37652"/>
    <w:rsid w:val="00B37EDE"/>
    <w:rsid w:val="00B40037"/>
    <w:rsid w:val="00B4026F"/>
    <w:rsid w:val="00B409E8"/>
    <w:rsid w:val="00B40B0D"/>
    <w:rsid w:val="00B40CFB"/>
    <w:rsid w:val="00B41019"/>
    <w:rsid w:val="00B41EBD"/>
    <w:rsid w:val="00B41F7E"/>
    <w:rsid w:val="00B42359"/>
    <w:rsid w:val="00B4236A"/>
    <w:rsid w:val="00B42459"/>
    <w:rsid w:val="00B4255B"/>
    <w:rsid w:val="00B426B6"/>
    <w:rsid w:val="00B42C5A"/>
    <w:rsid w:val="00B435B7"/>
    <w:rsid w:val="00B4366C"/>
    <w:rsid w:val="00B43678"/>
    <w:rsid w:val="00B436AE"/>
    <w:rsid w:val="00B44595"/>
    <w:rsid w:val="00B448A0"/>
    <w:rsid w:val="00B448EC"/>
    <w:rsid w:val="00B44D64"/>
    <w:rsid w:val="00B45C6D"/>
    <w:rsid w:val="00B462C6"/>
    <w:rsid w:val="00B463E6"/>
    <w:rsid w:val="00B46811"/>
    <w:rsid w:val="00B46859"/>
    <w:rsid w:val="00B46D59"/>
    <w:rsid w:val="00B46FD9"/>
    <w:rsid w:val="00B47B6A"/>
    <w:rsid w:val="00B47E7F"/>
    <w:rsid w:val="00B47E94"/>
    <w:rsid w:val="00B5016A"/>
    <w:rsid w:val="00B504B9"/>
    <w:rsid w:val="00B5078E"/>
    <w:rsid w:val="00B50E02"/>
    <w:rsid w:val="00B50EBB"/>
    <w:rsid w:val="00B512CA"/>
    <w:rsid w:val="00B51303"/>
    <w:rsid w:val="00B51403"/>
    <w:rsid w:val="00B515B9"/>
    <w:rsid w:val="00B51651"/>
    <w:rsid w:val="00B5187B"/>
    <w:rsid w:val="00B521EC"/>
    <w:rsid w:val="00B52337"/>
    <w:rsid w:val="00B524FD"/>
    <w:rsid w:val="00B52A87"/>
    <w:rsid w:val="00B530A8"/>
    <w:rsid w:val="00B53813"/>
    <w:rsid w:val="00B53E79"/>
    <w:rsid w:val="00B53FA4"/>
    <w:rsid w:val="00B54AFB"/>
    <w:rsid w:val="00B54C97"/>
    <w:rsid w:val="00B54E35"/>
    <w:rsid w:val="00B55245"/>
    <w:rsid w:val="00B5537D"/>
    <w:rsid w:val="00B554BA"/>
    <w:rsid w:val="00B55A00"/>
    <w:rsid w:val="00B5624C"/>
    <w:rsid w:val="00B56584"/>
    <w:rsid w:val="00B567FE"/>
    <w:rsid w:val="00B56D7F"/>
    <w:rsid w:val="00B57BA8"/>
    <w:rsid w:val="00B57C45"/>
    <w:rsid w:val="00B57D10"/>
    <w:rsid w:val="00B57F11"/>
    <w:rsid w:val="00B60490"/>
    <w:rsid w:val="00B604BB"/>
    <w:rsid w:val="00B60628"/>
    <w:rsid w:val="00B6066E"/>
    <w:rsid w:val="00B60A7A"/>
    <w:rsid w:val="00B612E3"/>
    <w:rsid w:val="00B614FF"/>
    <w:rsid w:val="00B621ED"/>
    <w:rsid w:val="00B6237B"/>
    <w:rsid w:val="00B626F3"/>
    <w:rsid w:val="00B6287C"/>
    <w:rsid w:val="00B628A0"/>
    <w:rsid w:val="00B62BC2"/>
    <w:rsid w:val="00B62C50"/>
    <w:rsid w:val="00B62DF9"/>
    <w:rsid w:val="00B632E9"/>
    <w:rsid w:val="00B63AB2"/>
    <w:rsid w:val="00B63BA0"/>
    <w:rsid w:val="00B63E65"/>
    <w:rsid w:val="00B63FB4"/>
    <w:rsid w:val="00B646C1"/>
    <w:rsid w:val="00B646F0"/>
    <w:rsid w:val="00B6485F"/>
    <w:rsid w:val="00B64C41"/>
    <w:rsid w:val="00B651B4"/>
    <w:rsid w:val="00B65828"/>
    <w:rsid w:val="00B6585E"/>
    <w:rsid w:val="00B65E75"/>
    <w:rsid w:val="00B65EE9"/>
    <w:rsid w:val="00B6649C"/>
    <w:rsid w:val="00B66529"/>
    <w:rsid w:val="00B66550"/>
    <w:rsid w:val="00B669FC"/>
    <w:rsid w:val="00B673C0"/>
    <w:rsid w:val="00B676F3"/>
    <w:rsid w:val="00B679D2"/>
    <w:rsid w:val="00B70164"/>
    <w:rsid w:val="00B704A5"/>
    <w:rsid w:val="00B70FB3"/>
    <w:rsid w:val="00B712B9"/>
    <w:rsid w:val="00B71ABE"/>
    <w:rsid w:val="00B71DB8"/>
    <w:rsid w:val="00B732E3"/>
    <w:rsid w:val="00B735C8"/>
    <w:rsid w:val="00B73A3D"/>
    <w:rsid w:val="00B73A55"/>
    <w:rsid w:val="00B74169"/>
    <w:rsid w:val="00B7431C"/>
    <w:rsid w:val="00B7443E"/>
    <w:rsid w:val="00B744C5"/>
    <w:rsid w:val="00B74719"/>
    <w:rsid w:val="00B749AB"/>
    <w:rsid w:val="00B74F01"/>
    <w:rsid w:val="00B74FC4"/>
    <w:rsid w:val="00B75161"/>
    <w:rsid w:val="00B7563F"/>
    <w:rsid w:val="00B756E4"/>
    <w:rsid w:val="00B757AA"/>
    <w:rsid w:val="00B759F6"/>
    <w:rsid w:val="00B763F0"/>
    <w:rsid w:val="00B76712"/>
    <w:rsid w:val="00B7686B"/>
    <w:rsid w:val="00B76A33"/>
    <w:rsid w:val="00B76F4E"/>
    <w:rsid w:val="00B77315"/>
    <w:rsid w:val="00B775C7"/>
    <w:rsid w:val="00B77A36"/>
    <w:rsid w:val="00B77C79"/>
    <w:rsid w:val="00B81023"/>
    <w:rsid w:val="00B81060"/>
    <w:rsid w:val="00B810B8"/>
    <w:rsid w:val="00B81E47"/>
    <w:rsid w:val="00B8222B"/>
    <w:rsid w:val="00B82264"/>
    <w:rsid w:val="00B829D9"/>
    <w:rsid w:val="00B82C93"/>
    <w:rsid w:val="00B82D53"/>
    <w:rsid w:val="00B82E48"/>
    <w:rsid w:val="00B83F4B"/>
    <w:rsid w:val="00B84E07"/>
    <w:rsid w:val="00B8534A"/>
    <w:rsid w:val="00B8573C"/>
    <w:rsid w:val="00B8574E"/>
    <w:rsid w:val="00B85A6B"/>
    <w:rsid w:val="00B85FE2"/>
    <w:rsid w:val="00B86573"/>
    <w:rsid w:val="00B86732"/>
    <w:rsid w:val="00B86B5E"/>
    <w:rsid w:val="00B86C85"/>
    <w:rsid w:val="00B86FCC"/>
    <w:rsid w:val="00B875A4"/>
    <w:rsid w:val="00B877F4"/>
    <w:rsid w:val="00B8797F"/>
    <w:rsid w:val="00B90480"/>
    <w:rsid w:val="00B90921"/>
    <w:rsid w:val="00B90DF5"/>
    <w:rsid w:val="00B90E19"/>
    <w:rsid w:val="00B91025"/>
    <w:rsid w:val="00B9207A"/>
    <w:rsid w:val="00B92123"/>
    <w:rsid w:val="00B929EC"/>
    <w:rsid w:val="00B92C64"/>
    <w:rsid w:val="00B939BA"/>
    <w:rsid w:val="00B93D00"/>
    <w:rsid w:val="00B9405C"/>
    <w:rsid w:val="00B940DF"/>
    <w:rsid w:val="00B940E7"/>
    <w:rsid w:val="00B94146"/>
    <w:rsid w:val="00B9454B"/>
    <w:rsid w:val="00B94B68"/>
    <w:rsid w:val="00B9523A"/>
    <w:rsid w:val="00B961BC"/>
    <w:rsid w:val="00B9633D"/>
    <w:rsid w:val="00B96EAE"/>
    <w:rsid w:val="00B97465"/>
    <w:rsid w:val="00B9787D"/>
    <w:rsid w:val="00B978D7"/>
    <w:rsid w:val="00BA004D"/>
    <w:rsid w:val="00BA058B"/>
    <w:rsid w:val="00BA0C4C"/>
    <w:rsid w:val="00BA11A0"/>
    <w:rsid w:val="00BA138D"/>
    <w:rsid w:val="00BA18B0"/>
    <w:rsid w:val="00BA1965"/>
    <w:rsid w:val="00BA1976"/>
    <w:rsid w:val="00BA1BDA"/>
    <w:rsid w:val="00BA1C9F"/>
    <w:rsid w:val="00BA1E24"/>
    <w:rsid w:val="00BA1F44"/>
    <w:rsid w:val="00BA22CB"/>
    <w:rsid w:val="00BA2532"/>
    <w:rsid w:val="00BA2BBA"/>
    <w:rsid w:val="00BA3404"/>
    <w:rsid w:val="00BA3639"/>
    <w:rsid w:val="00BA39F7"/>
    <w:rsid w:val="00BA4029"/>
    <w:rsid w:val="00BA43F7"/>
    <w:rsid w:val="00BA4420"/>
    <w:rsid w:val="00BA459C"/>
    <w:rsid w:val="00BA4E72"/>
    <w:rsid w:val="00BA5629"/>
    <w:rsid w:val="00BA56F1"/>
    <w:rsid w:val="00BA57B2"/>
    <w:rsid w:val="00BA5A5C"/>
    <w:rsid w:val="00BA5D78"/>
    <w:rsid w:val="00BA5D8E"/>
    <w:rsid w:val="00BA6392"/>
    <w:rsid w:val="00BA67F1"/>
    <w:rsid w:val="00BA68E1"/>
    <w:rsid w:val="00BA6E60"/>
    <w:rsid w:val="00BA7021"/>
    <w:rsid w:val="00BA7842"/>
    <w:rsid w:val="00BA7CBF"/>
    <w:rsid w:val="00BA7F96"/>
    <w:rsid w:val="00BB061C"/>
    <w:rsid w:val="00BB1900"/>
    <w:rsid w:val="00BB1A63"/>
    <w:rsid w:val="00BB1E50"/>
    <w:rsid w:val="00BB22F7"/>
    <w:rsid w:val="00BB34DC"/>
    <w:rsid w:val="00BB354D"/>
    <w:rsid w:val="00BB36D8"/>
    <w:rsid w:val="00BB3D8E"/>
    <w:rsid w:val="00BB4855"/>
    <w:rsid w:val="00BB495B"/>
    <w:rsid w:val="00BB4A08"/>
    <w:rsid w:val="00BB4D02"/>
    <w:rsid w:val="00BB531C"/>
    <w:rsid w:val="00BB58BC"/>
    <w:rsid w:val="00BB5C41"/>
    <w:rsid w:val="00BB5E02"/>
    <w:rsid w:val="00BB61CE"/>
    <w:rsid w:val="00BB64DA"/>
    <w:rsid w:val="00BB6868"/>
    <w:rsid w:val="00BB6948"/>
    <w:rsid w:val="00BB69C2"/>
    <w:rsid w:val="00BB69EA"/>
    <w:rsid w:val="00BB6AE9"/>
    <w:rsid w:val="00BB6C8A"/>
    <w:rsid w:val="00BB6DFC"/>
    <w:rsid w:val="00BB7727"/>
    <w:rsid w:val="00BB7AEC"/>
    <w:rsid w:val="00BC00C0"/>
    <w:rsid w:val="00BC0438"/>
    <w:rsid w:val="00BC0463"/>
    <w:rsid w:val="00BC0703"/>
    <w:rsid w:val="00BC0AAF"/>
    <w:rsid w:val="00BC0FCA"/>
    <w:rsid w:val="00BC14BE"/>
    <w:rsid w:val="00BC1B8F"/>
    <w:rsid w:val="00BC1DBF"/>
    <w:rsid w:val="00BC1EE9"/>
    <w:rsid w:val="00BC1FC8"/>
    <w:rsid w:val="00BC2283"/>
    <w:rsid w:val="00BC24A3"/>
    <w:rsid w:val="00BC24C4"/>
    <w:rsid w:val="00BC2F1E"/>
    <w:rsid w:val="00BC322F"/>
    <w:rsid w:val="00BC35AC"/>
    <w:rsid w:val="00BC3791"/>
    <w:rsid w:val="00BC3BBE"/>
    <w:rsid w:val="00BC3BE1"/>
    <w:rsid w:val="00BC3DB8"/>
    <w:rsid w:val="00BC3F17"/>
    <w:rsid w:val="00BC3F78"/>
    <w:rsid w:val="00BC3FFD"/>
    <w:rsid w:val="00BC48AB"/>
    <w:rsid w:val="00BC48C6"/>
    <w:rsid w:val="00BC4DD4"/>
    <w:rsid w:val="00BC4E91"/>
    <w:rsid w:val="00BC50C1"/>
    <w:rsid w:val="00BC51BC"/>
    <w:rsid w:val="00BC5219"/>
    <w:rsid w:val="00BC54E0"/>
    <w:rsid w:val="00BC613A"/>
    <w:rsid w:val="00BC6378"/>
    <w:rsid w:val="00BC64BF"/>
    <w:rsid w:val="00BC6A08"/>
    <w:rsid w:val="00BC6AEB"/>
    <w:rsid w:val="00BC7350"/>
    <w:rsid w:val="00BC768B"/>
    <w:rsid w:val="00BC772A"/>
    <w:rsid w:val="00BC7829"/>
    <w:rsid w:val="00BC788D"/>
    <w:rsid w:val="00BC7BAB"/>
    <w:rsid w:val="00BD03BA"/>
    <w:rsid w:val="00BD088E"/>
    <w:rsid w:val="00BD0B76"/>
    <w:rsid w:val="00BD0FCE"/>
    <w:rsid w:val="00BD0FE9"/>
    <w:rsid w:val="00BD18A7"/>
    <w:rsid w:val="00BD1907"/>
    <w:rsid w:val="00BD209D"/>
    <w:rsid w:val="00BD2180"/>
    <w:rsid w:val="00BD23B8"/>
    <w:rsid w:val="00BD2400"/>
    <w:rsid w:val="00BD2493"/>
    <w:rsid w:val="00BD28D2"/>
    <w:rsid w:val="00BD2972"/>
    <w:rsid w:val="00BD2980"/>
    <w:rsid w:val="00BD2C18"/>
    <w:rsid w:val="00BD2CE5"/>
    <w:rsid w:val="00BD2E0F"/>
    <w:rsid w:val="00BD383D"/>
    <w:rsid w:val="00BD4556"/>
    <w:rsid w:val="00BD4710"/>
    <w:rsid w:val="00BD490C"/>
    <w:rsid w:val="00BD527B"/>
    <w:rsid w:val="00BD557F"/>
    <w:rsid w:val="00BD5627"/>
    <w:rsid w:val="00BD579A"/>
    <w:rsid w:val="00BD6143"/>
    <w:rsid w:val="00BD61C4"/>
    <w:rsid w:val="00BD621B"/>
    <w:rsid w:val="00BD63DE"/>
    <w:rsid w:val="00BD6517"/>
    <w:rsid w:val="00BD677D"/>
    <w:rsid w:val="00BD762C"/>
    <w:rsid w:val="00BD7657"/>
    <w:rsid w:val="00BD766F"/>
    <w:rsid w:val="00BD7731"/>
    <w:rsid w:val="00BD7CA0"/>
    <w:rsid w:val="00BD7D03"/>
    <w:rsid w:val="00BD7D91"/>
    <w:rsid w:val="00BD7E9E"/>
    <w:rsid w:val="00BD7FB2"/>
    <w:rsid w:val="00BE0272"/>
    <w:rsid w:val="00BE0764"/>
    <w:rsid w:val="00BE0A0D"/>
    <w:rsid w:val="00BE0D14"/>
    <w:rsid w:val="00BE1215"/>
    <w:rsid w:val="00BE1855"/>
    <w:rsid w:val="00BE1AE5"/>
    <w:rsid w:val="00BE1EA8"/>
    <w:rsid w:val="00BE29EB"/>
    <w:rsid w:val="00BE34E3"/>
    <w:rsid w:val="00BE3EA4"/>
    <w:rsid w:val="00BE41BD"/>
    <w:rsid w:val="00BE46BD"/>
    <w:rsid w:val="00BE4A44"/>
    <w:rsid w:val="00BE4E1D"/>
    <w:rsid w:val="00BE5542"/>
    <w:rsid w:val="00BE5C3F"/>
    <w:rsid w:val="00BE5FB1"/>
    <w:rsid w:val="00BE6206"/>
    <w:rsid w:val="00BE63A0"/>
    <w:rsid w:val="00BE6579"/>
    <w:rsid w:val="00BE6C2A"/>
    <w:rsid w:val="00BE6F7E"/>
    <w:rsid w:val="00BE7008"/>
    <w:rsid w:val="00BE7364"/>
    <w:rsid w:val="00BE7503"/>
    <w:rsid w:val="00BE7554"/>
    <w:rsid w:val="00BE7979"/>
    <w:rsid w:val="00BE7ED9"/>
    <w:rsid w:val="00BF08EE"/>
    <w:rsid w:val="00BF0BD8"/>
    <w:rsid w:val="00BF158D"/>
    <w:rsid w:val="00BF1771"/>
    <w:rsid w:val="00BF18A6"/>
    <w:rsid w:val="00BF1986"/>
    <w:rsid w:val="00BF1BBE"/>
    <w:rsid w:val="00BF1CB1"/>
    <w:rsid w:val="00BF1D2B"/>
    <w:rsid w:val="00BF1DE9"/>
    <w:rsid w:val="00BF2002"/>
    <w:rsid w:val="00BF2354"/>
    <w:rsid w:val="00BF2556"/>
    <w:rsid w:val="00BF2D01"/>
    <w:rsid w:val="00BF2F0E"/>
    <w:rsid w:val="00BF2F5F"/>
    <w:rsid w:val="00BF3E3B"/>
    <w:rsid w:val="00BF4078"/>
    <w:rsid w:val="00BF479A"/>
    <w:rsid w:val="00BF4CA2"/>
    <w:rsid w:val="00BF4F01"/>
    <w:rsid w:val="00BF4F81"/>
    <w:rsid w:val="00BF51E0"/>
    <w:rsid w:val="00BF5368"/>
    <w:rsid w:val="00BF53BE"/>
    <w:rsid w:val="00BF55FF"/>
    <w:rsid w:val="00BF56CC"/>
    <w:rsid w:val="00BF5739"/>
    <w:rsid w:val="00BF594E"/>
    <w:rsid w:val="00BF59CD"/>
    <w:rsid w:val="00BF5A90"/>
    <w:rsid w:val="00BF5F3D"/>
    <w:rsid w:val="00BF63DC"/>
    <w:rsid w:val="00BF68E0"/>
    <w:rsid w:val="00BF6BB4"/>
    <w:rsid w:val="00BF6E99"/>
    <w:rsid w:val="00BF701B"/>
    <w:rsid w:val="00BF7326"/>
    <w:rsid w:val="00BF773D"/>
    <w:rsid w:val="00BF7792"/>
    <w:rsid w:val="00BF7A9B"/>
    <w:rsid w:val="00BF7BDB"/>
    <w:rsid w:val="00C0032D"/>
    <w:rsid w:val="00C00463"/>
    <w:rsid w:val="00C009AF"/>
    <w:rsid w:val="00C00A57"/>
    <w:rsid w:val="00C00B84"/>
    <w:rsid w:val="00C0144E"/>
    <w:rsid w:val="00C01548"/>
    <w:rsid w:val="00C016B7"/>
    <w:rsid w:val="00C01F5F"/>
    <w:rsid w:val="00C02065"/>
    <w:rsid w:val="00C02416"/>
    <w:rsid w:val="00C02585"/>
    <w:rsid w:val="00C028A0"/>
    <w:rsid w:val="00C0317B"/>
    <w:rsid w:val="00C031D2"/>
    <w:rsid w:val="00C0320C"/>
    <w:rsid w:val="00C032B6"/>
    <w:rsid w:val="00C03372"/>
    <w:rsid w:val="00C034E3"/>
    <w:rsid w:val="00C03878"/>
    <w:rsid w:val="00C04069"/>
    <w:rsid w:val="00C04B8A"/>
    <w:rsid w:val="00C05430"/>
    <w:rsid w:val="00C05483"/>
    <w:rsid w:val="00C055E0"/>
    <w:rsid w:val="00C0563C"/>
    <w:rsid w:val="00C0581A"/>
    <w:rsid w:val="00C05FE2"/>
    <w:rsid w:val="00C062D4"/>
    <w:rsid w:val="00C06425"/>
    <w:rsid w:val="00C066EF"/>
    <w:rsid w:val="00C06A42"/>
    <w:rsid w:val="00C06C17"/>
    <w:rsid w:val="00C06CA1"/>
    <w:rsid w:val="00C0701B"/>
    <w:rsid w:val="00C073F4"/>
    <w:rsid w:val="00C078D5"/>
    <w:rsid w:val="00C07B22"/>
    <w:rsid w:val="00C10567"/>
    <w:rsid w:val="00C1079E"/>
    <w:rsid w:val="00C108C2"/>
    <w:rsid w:val="00C10FF1"/>
    <w:rsid w:val="00C11084"/>
    <w:rsid w:val="00C1127D"/>
    <w:rsid w:val="00C11BC4"/>
    <w:rsid w:val="00C11C28"/>
    <w:rsid w:val="00C11DC3"/>
    <w:rsid w:val="00C11ECD"/>
    <w:rsid w:val="00C121ED"/>
    <w:rsid w:val="00C122F7"/>
    <w:rsid w:val="00C12357"/>
    <w:rsid w:val="00C12901"/>
    <w:rsid w:val="00C12B69"/>
    <w:rsid w:val="00C12C26"/>
    <w:rsid w:val="00C133CF"/>
    <w:rsid w:val="00C1344F"/>
    <w:rsid w:val="00C13E94"/>
    <w:rsid w:val="00C14120"/>
    <w:rsid w:val="00C14306"/>
    <w:rsid w:val="00C14399"/>
    <w:rsid w:val="00C14547"/>
    <w:rsid w:val="00C148E6"/>
    <w:rsid w:val="00C14917"/>
    <w:rsid w:val="00C14DA6"/>
    <w:rsid w:val="00C15BAA"/>
    <w:rsid w:val="00C15CF5"/>
    <w:rsid w:val="00C15EB8"/>
    <w:rsid w:val="00C16311"/>
    <w:rsid w:val="00C163AE"/>
    <w:rsid w:val="00C163CB"/>
    <w:rsid w:val="00C16433"/>
    <w:rsid w:val="00C1644D"/>
    <w:rsid w:val="00C167AF"/>
    <w:rsid w:val="00C168EB"/>
    <w:rsid w:val="00C169A3"/>
    <w:rsid w:val="00C16E9B"/>
    <w:rsid w:val="00C17131"/>
    <w:rsid w:val="00C176B4"/>
    <w:rsid w:val="00C17AB4"/>
    <w:rsid w:val="00C17DFF"/>
    <w:rsid w:val="00C17F53"/>
    <w:rsid w:val="00C20E78"/>
    <w:rsid w:val="00C20EDE"/>
    <w:rsid w:val="00C214A0"/>
    <w:rsid w:val="00C21988"/>
    <w:rsid w:val="00C21DCE"/>
    <w:rsid w:val="00C21E26"/>
    <w:rsid w:val="00C21F99"/>
    <w:rsid w:val="00C2227E"/>
    <w:rsid w:val="00C226FA"/>
    <w:rsid w:val="00C22817"/>
    <w:rsid w:val="00C22DF9"/>
    <w:rsid w:val="00C22FEB"/>
    <w:rsid w:val="00C234C2"/>
    <w:rsid w:val="00C237B9"/>
    <w:rsid w:val="00C23C15"/>
    <w:rsid w:val="00C24338"/>
    <w:rsid w:val="00C24D54"/>
    <w:rsid w:val="00C2546A"/>
    <w:rsid w:val="00C25A29"/>
    <w:rsid w:val="00C263FD"/>
    <w:rsid w:val="00C26B8B"/>
    <w:rsid w:val="00C26B92"/>
    <w:rsid w:val="00C26CC1"/>
    <w:rsid w:val="00C26D1C"/>
    <w:rsid w:val="00C26F5E"/>
    <w:rsid w:val="00C2701D"/>
    <w:rsid w:val="00C2703C"/>
    <w:rsid w:val="00C27118"/>
    <w:rsid w:val="00C2713C"/>
    <w:rsid w:val="00C2735D"/>
    <w:rsid w:val="00C27460"/>
    <w:rsid w:val="00C278B6"/>
    <w:rsid w:val="00C27A9F"/>
    <w:rsid w:val="00C27C90"/>
    <w:rsid w:val="00C27C99"/>
    <w:rsid w:val="00C27D5B"/>
    <w:rsid w:val="00C27E0E"/>
    <w:rsid w:val="00C27E47"/>
    <w:rsid w:val="00C302D1"/>
    <w:rsid w:val="00C305BF"/>
    <w:rsid w:val="00C30B33"/>
    <w:rsid w:val="00C30BAB"/>
    <w:rsid w:val="00C30E79"/>
    <w:rsid w:val="00C3106A"/>
    <w:rsid w:val="00C31077"/>
    <w:rsid w:val="00C311C6"/>
    <w:rsid w:val="00C31224"/>
    <w:rsid w:val="00C3165F"/>
    <w:rsid w:val="00C31947"/>
    <w:rsid w:val="00C31AED"/>
    <w:rsid w:val="00C31C37"/>
    <w:rsid w:val="00C31C40"/>
    <w:rsid w:val="00C31F96"/>
    <w:rsid w:val="00C32332"/>
    <w:rsid w:val="00C32C69"/>
    <w:rsid w:val="00C32D48"/>
    <w:rsid w:val="00C32DBB"/>
    <w:rsid w:val="00C32E74"/>
    <w:rsid w:val="00C33086"/>
    <w:rsid w:val="00C33175"/>
    <w:rsid w:val="00C332D7"/>
    <w:rsid w:val="00C33405"/>
    <w:rsid w:val="00C33557"/>
    <w:rsid w:val="00C336E1"/>
    <w:rsid w:val="00C337DF"/>
    <w:rsid w:val="00C3384D"/>
    <w:rsid w:val="00C33D23"/>
    <w:rsid w:val="00C33FFA"/>
    <w:rsid w:val="00C3416E"/>
    <w:rsid w:val="00C34294"/>
    <w:rsid w:val="00C3462F"/>
    <w:rsid w:val="00C34C86"/>
    <w:rsid w:val="00C351C0"/>
    <w:rsid w:val="00C35BC6"/>
    <w:rsid w:val="00C35D41"/>
    <w:rsid w:val="00C36471"/>
    <w:rsid w:val="00C36B2A"/>
    <w:rsid w:val="00C36C95"/>
    <w:rsid w:val="00C36FED"/>
    <w:rsid w:val="00C37AB4"/>
    <w:rsid w:val="00C40CF8"/>
    <w:rsid w:val="00C41204"/>
    <w:rsid w:val="00C41370"/>
    <w:rsid w:val="00C41557"/>
    <w:rsid w:val="00C41693"/>
    <w:rsid w:val="00C419B0"/>
    <w:rsid w:val="00C41BDE"/>
    <w:rsid w:val="00C41E8C"/>
    <w:rsid w:val="00C41F5E"/>
    <w:rsid w:val="00C4222E"/>
    <w:rsid w:val="00C42360"/>
    <w:rsid w:val="00C423C7"/>
    <w:rsid w:val="00C4279E"/>
    <w:rsid w:val="00C42A14"/>
    <w:rsid w:val="00C42E37"/>
    <w:rsid w:val="00C43422"/>
    <w:rsid w:val="00C4376C"/>
    <w:rsid w:val="00C43778"/>
    <w:rsid w:val="00C43B00"/>
    <w:rsid w:val="00C43F30"/>
    <w:rsid w:val="00C43F9B"/>
    <w:rsid w:val="00C440C3"/>
    <w:rsid w:val="00C44247"/>
    <w:rsid w:val="00C44555"/>
    <w:rsid w:val="00C451C8"/>
    <w:rsid w:val="00C45237"/>
    <w:rsid w:val="00C453DB"/>
    <w:rsid w:val="00C46061"/>
    <w:rsid w:val="00C46C46"/>
    <w:rsid w:val="00C47304"/>
    <w:rsid w:val="00C473F0"/>
    <w:rsid w:val="00C474DC"/>
    <w:rsid w:val="00C47672"/>
    <w:rsid w:val="00C47A91"/>
    <w:rsid w:val="00C47A9E"/>
    <w:rsid w:val="00C50621"/>
    <w:rsid w:val="00C5096E"/>
    <w:rsid w:val="00C50C2A"/>
    <w:rsid w:val="00C50D17"/>
    <w:rsid w:val="00C50D22"/>
    <w:rsid w:val="00C50D63"/>
    <w:rsid w:val="00C51262"/>
    <w:rsid w:val="00C51685"/>
    <w:rsid w:val="00C516B9"/>
    <w:rsid w:val="00C51951"/>
    <w:rsid w:val="00C52019"/>
    <w:rsid w:val="00C5205D"/>
    <w:rsid w:val="00C52486"/>
    <w:rsid w:val="00C52540"/>
    <w:rsid w:val="00C52725"/>
    <w:rsid w:val="00C534EF"/>
    <w:rsid w:val="00C534F0"/>
    <w:rsid w:val="00C537E2"/>
    <w:rsid w:val="00C542ED"/>
    <w:rsid w:val="00C54771"/>
    <w:rsid w:val="00C54850"/>
    <w:rsid w:val="00C54CAB"/>
    <w:rsid w:val="00C550D6"/>
    <w:rsid w:val="00C5516C"/>
    <w:rsid w:val="00C55368"/>
    <w:rsid w:val="00C55998"/>
    <w:rsid w:val="00C55AE4"/>
    <w:rsid w:val="00C55FAD"/>
    <w:rsid w:val="00C565E6"/>
    <w:rsid w:val="00C567A2"/>
    <w:rsid w:val="00C567B7"/>
    <w:rsid w:val="00C56B58"/>
    <w:rsid w:val="00C56C71"/>
    <w:rsid w:val="00C56F42"/>
    <w:rsid w:val="00C57524"/>
    <w:rsid w:val="00C575B1"/>
    <w:rsid w:val="00C576DA"/>
    <w:rsid w:val="00C5786F"/>
    <w:rsid w:val="00C57A96"/>
    <w:rsid w:val="00C57B87"/>
    <w:rsid w:val="00C57CEB"/>
    <w:rsid w:val="00C57D0B"/>
    <w:rsid w:val="00C57F75"/>
    <w:rsid w:val="00C57F91"/>
    <w:rsid w:val="00C6004F"/>
    <w:rsid w:val="00C602E7"/>
    <w:rsid w:val="00C6043A"/>
    <w:rsid w:val="00C60446"/>
    <w:rsid w:val="00C606E6"/>
    <w:rsid w:val="00C60A0B"/>
    <w:rsid w:val="00C60E00"/>
    <w:rsid w:val="00C61556"/>
    <w:rsid w:val="00C617BE"/>
    <w:rsid w:val="00C628D1"/>
    <w:rsid w:val="00C62BC6"/>
    <w:rsid w:val="00C62F59"/>
    <w:rsid w:val="00C6345F"/>
    <w:rsid w:val="00C63740"/>
    <w:rsid w:val="00C63B43"/>
    <w:rsid w:val="00C6444A"/>
    <w:rsid w:val="00C644F1"/>
    <w:rsid w:val="00C652EE"/>
    <w:rsid w:val="00C65466"/>
    <w:rsid w:val="00C65517"/>
    <w:rsid w:val="00C65A3A"/>
    <w:rsid w:val="00C65CF2"/>
    <w:rsid w:val="00C65ED9"/>
    <w:rsid w:val="00C6619F"/>
    <w:rsid w:val="00C663E3"/>
    <w:rsid w:val="00C664E7"/>
    <w:rsid w:val="00C668BD"/>
    <w:rsid w:val="00C66B33"/>
    <w:rsid w:val="00C66BA4"/>
    <w:rsid w:val="00C67027"/>
    <w:rsid w:val="00C67260"/>
    <w:rsid w:val="00C70004"/>
    <w:rsid w:val="00C70DEA"/>
    <w:rsid w:val="00C711C8"/>
    <w:rsid w:val="00C716BB"/>
    <w:rsid w:val="00C71C7C"/>
    <w:rsid w:val="00C72020"/>
    <w:rsid w:val="00C72062"/>
    <w:rsid w:val="00C7228E"/>
    <w:rsid w:val="00C723F1"/>
    <w:rsid w:val="00C7241D"/>
    <w:rsid w:val="00C726B6"/>
    <w:rsid w:val="00C72820"/>
    <w:rsid w:val="00C72CA8"/>
    <w:rsid w:val="00C73D1F"/>
    <w:rsid w:val="00C73D27"/>
    <w:rsid w:val="00C73EE3"/>
    <w:rsid w:val="00C747EF"/>
    <w:rsid w:val="00C749B3"/>
    <w:rsid w:val="00C75BF8"/>
    <w:rsid w:val="00C75E03"/>
    <w:rsid w:val="00C75EDF"/>
    <w:rsid w:val="00C76004"/>
    <w:rsid w:val="00C76145"/>
    <w:rsid w:val="00C76356"/>
    <w:rsid w:val="00C76734"/>
    <w:rsid w:val="00C76BC0"/>
    <w:rsid w:val="00C77503"/>
    <w:rsid w:val="00C7790A"/>
    <w:rsid w:val="00C77BA6"/>
    <w:rsid w:val="00C77BE5"/>
    <w:rsid w:val="00C77C01"/>
    <w:rsid w:val="00C77E4C"/>
    <w:rsid w:val="00C80072"/>
    <w:rsid w:val="00C801C3"/>
    <w:rsid w:val="00C802B3"/>
    <w:rsid w:val="00C81106"/>
    <w:rsid w:val="00C81180"/>
    <w:rsid w:val="00C816F1"/>
    <w:rsid w:val="00C81AC1"/>
    <w:rsid w:val="00C826EE"/>
    <w:rsid w:val="00C82BC3"/>
    <w:rsid w:val="00C82DCA"/>
    <w:rsid w:val="00C82E03"/>
    <w:rsid w:val="00C82F60"/>
    <w:rsid w:val="00C831DF"/>
    <w:rsid w:val="00C8370D"/>
    <w:rsid w:val="00C83861"/>
    <w:rsid w:val="00C83A0F"/>
    <w:rsid w:val="00C83D3B"/>
    <w:rsid w:val="00C8423D"/>
    <w:rsid w:val="00C8447F"/>
    <w:rsid w:val="00C8496E"/>
    <w:rsid w:val="00C84AC5"/>
    <w:rsid w:val="00C8512A"/>
    <w:rsid w:val="00C85490"/>
    <w:rsid w:val="00C8580A"/>
    <w:rsid w:val="00C859BA"/>
    <w:rsid w:val="00C85C22"/>
    <w:rsid w:val="00C86003"/>
    <w:rsid w:val="00C86030"/>
    <w:rsid w:val="00C860FF"/>
    <w:rsid w:val="00C86BC2"/>
    <w:rsid w:val="00C86C62"/>
    <w:rsid w:val="00C86ED7"/>
    <w:rsid w:val="00C8747B"/>
    <w:rsid w:val="00C875D2"/>
    <w:rsid w:val="00C90103"/>
    <w:rsid w:val="00C9022C"/>
    <w:rsid w:val="00C90322"/>
    <w:rsid w:val="00C90C7C"/>
    <w:rsid w:val="00C91552"/>
    <w:rsid w:val="00C91734"/>
    <w:rsid w:val="00C9235E"/>
    <w:rsid w:val="00C923B8"/>
    <w:rsid w:val="00C92578"/>
    <w:rsid w:val="00C925FB"/>
    <w:rsid w:val="00C92CC6"/>
    <w:rsid w:val="00C93AE0"/>
    <w:rsid w:val="00C94152"/>
    <w:rsid w:val="00C9451D"/>
    <w:rsid w:val="00C9457E"/>
    <w:rsid w:val="00C947F1"/>
    <w:rsid w:val="00C948D6"/>
    <w:rsid w:val="00C949D7"/>
    <w:rsid w:val="00C94BFF"/>
    <w:rsid w:val="00C94DB0"/>
    <w:rsid w:val="00C94EFE"/>
    <w:rsid w:val="00C94F1A"/>
    <w:rsid w:val="00C9568B"/>
    <w:rsid w:val="00C95889"/>
    <w:rsid w:val="00C95CC2"/>
    <w:rsid w:val="00C95E0F"/>
    <w:rsid w:val="00C95EC0"/>
    <w:rsid w:val="00C96061"/>
    <w:rsid w:val="00C9638C"/>
    <w:rsid w:val="00C969C6"/>
    <w:rsid w:val="00C96C40"/>
    <w:rsid w:val="00C96DB7"/>
    <w:rsid w:val="00C96F25"/>
    <w:rsid w:val="00C973DF"/>
    <w:rsid w:val="00C97C4B"/>
    <w:rsid w:val="00C97DB0"/>
    <w:rsid w:val="00C97F38"/>
    <w:rsid w:val="00C97FB7"/>
    <w:rsid w:val="00CA0538"/>
    <w:rsid w:val="00CA096B"/>
    <w:rsid w:val="00CA1223"/>
    <w:rsid w:val="00CA1232"/>
    <w:rsid w:val="00CA18A1"/>
    <w:rsid w:val="00CA1B2A"/>
    <w:rsid w:val="00CA1C43"/>
    <w:rsid w:val="00CA211D"/>
    <w:rsid w:val="00CA22DE"/>
    <w:rsid w:val="00CA22F5"/>
    <w:rsid w:val="00CA259B"/>
    <w:rsid w:val="00CA26DE"/>
    <w:rsid w:val="00CA31D3"/>
    <w:rsid w:val="00CA332E"/>
    <w:rsid w:val="00CA345A"/>
    <w:rsid w:val="00CA34BD"/>
    <w:rsid w:val="00CA390C"/>
    <w:rsid w:val="00CA393D"/>
    <w:rsid w:val="00CA3B22"/>
    <w:rsid w:val="00CA3D16"/>
    <w:rsid w:val="00CA47D3"/>
    <w:rsid w:val="00CA4E24"/>
    <w:rsid w:val="00CA50C9"/>
    <w:rsid w:val="00CA56C1"/>
    <w:rsid w:val="00CA588B"/>
    <w:rsid w:val="00CA60EC"/>
    <w:rsid w:val="00CA64D4"/>
    <w:rsid w:val="00CA66DB"/>
    <w:rsid w:val="00CA6762"/>
    <w:rsid w:val="00CA6F13"/>
    <w:rsid w:val="00CA7608"/>
    <w:rsid w:val="00CB0363"/>
    <w:rsid w:val="00CB0665"/>
    <w:rsid w:val="00CB06CB"/>
    <w:rsid w:val="00CB08B0"/>
    <w:rsid w:val="00CB0E0F"/>
    <w:rsid w:val="00CB0E70"/>
    <w:rsid w:val="00CB1025"/>
    <w:rsid w:val="00CB105F"/>
    <w:rsid w:val="00CB1F62"/>
    <w:rsid w:val="00CB23C5"/>
    <w:rsid w:val="00CB23E4"/>
    <w:rsid w:val="00CB2964"/>
    <w:rsid w:val="00CB2BAB"/>
    <w:rsid w:val="00CB2FC2"/>
    <w:rsid w:val="00CB325B"/>
    <w:rsid w:val="00CB3286"/>
    <w:rsid w:val="00CB3702"/>
    <w:rsid w:val="00CB3941"/>
    <w:rsid w:val="00CB3996"/>
    <w:rsid w:val="00CB3D51"/>
    <w:rsid w:val="00CB3DC2"/>
    <w:rsid w:val="00CB3F2E"/>
    <w:rsid w:val="00CB40E6"/>
    <w:rsid w:val="00CB428C"/>
    <w:rsid w:val="00CB4F35"/>
    <w:rsid w:val="00CB53AF"/>
    <w:rsid w:val="00CB5731"/>
    <w:rsid w:val="00CB5803"/>
    <w:rsid w:val="00CB5C5E"/>
    <w:rsid w:val="00CB63DB"/>
    <w:rsid w:val="00CB667E"/>
    <w:rsid w:val="00CB6AE7"/>
    <w:rsid w:val="00CB71DF"/>
    <w:rsid w:val="00CB78CD"/>
    <w:rsid w:val="00CC00BB"/>
    <w:rsid w:val="00CC0C43"/>
    <w:rsid w:val="00CC125A"/>
    <w:rsid w:val="00CC128F"/>
    <w:rsid w:val="00CC148B"/>
    <w:rsid w:val="00CC14A5"/>
    <w:rsid w:val="00CC18DC"/>
    <w:rsid w:val="00CC1991"/>
    <w:rsid w:val="00CC1C4D"/>
    <w:rsid w:val="00CC1FB5"/>
    <w:rsid w:val="00CC2576"/>
    <w:rsid w:val="00CC3561"/>
    <w:rsid w:val="00CC3A23"/>
    <w:rsid w:val="00CC3AF9"/>
    <w:rsid w:val="00CC3B76"/>
    <w:rsid w:val="00CC48BD"/>
    <w:rsid w:val="00CC48FC"/>
    <w:rsid w:val="00CC4AFC"/>
    <w:rsid w:val="00CC4F94"/>
    <w:rsid w:val="00CC540A"/>
    <w:rsid w:val="00CC609D"/>
    <w:rsid w:val="00CC60B2"/>
    <w:rsid w:val="00CC61D8"/>
    <w:rsid w:val="00CC6995"/>
    <w:rsid w:val="00CC72E5"/>
    <w:rsid w:val="00CC7559"/>
    <w:rsid w:val="00CC79D0"/>
    <w:rsid w:val="00CD0238"/>
    <w:rsid w:val="00CD0866"/>
    <w:rsid w:val="00CD0A2E"/>
    <w:rsid w:val="00CD1128"/>
    <w:rsid w:val="00CD13C6"/>
    <w:rsid w:val="00CD1408"/>
    <w:rsid w:val="00CD177C"/>
    <w:rsid w:val="00CD17F5"/>
    <w:rsid w:val="00CD18CC"/>
    <w:rsid w:val="00CD1E15"/>
    <w:rsid w:val="00CD2183"/>
    <w:rsid w:val="00CD246B"/>
    <w:rsid w:val="00CD2703"/>
    <w:rsid w:val="00CD2A44"/>
    <w:rsid w:val="00CD2C52"/>
    <w:rsid w:val="00CD2C81"/>
    <w:rsid w:val="00CD2DC8"/>
    <w:rsid w:val="00CD3389"/>
    <w:rsid w:val="00CD3D74"/>
    <w:rsid w:val="00CD3DBF"/>
    <w:rsid w:val="00CD3E93"/>
    <w:rsid w:val="00CD4C92"/>
    <w:rsid w:val="00CD4CCD"/>
    <w:rsid w:val="00CD5355"/>
    <w:rsid w:val="00CD5365"/>
    <w:rsid w:val="00CD5784"/>
    <w:rsid w:val="00CD5853"/>
    <w:rsid w:val="00CD62D5"/>
    <w:rsid w:val="00CD6427"/>
    <w:rsid w:val="00CD648F"/>
    <w:rsid w:val="00CD6D15"/>
    <w:rsid w:val="00CD6E28"/>
    <w:rsid w:val="00CD6FD8"/>
    <w:rsid w:val="00CD736B"/>
    <w:rsid w:val="00CD7D27"/>
    <w:rsid w:val="00CE00AE"/>
    <w:rsid w:val="00CE02C8"/>
    <w:rsid w:val="00CE0404"/>
    <w:rsid w:val="00CE0608"/>
    <w:rsid w:val="00CE09D1"/>
    <w:rsid w:val="00CE0E5C"/>
    <w:rsid w:val="00CE100F"/>
    <w:rsid w:val="00CE1374"/>
    <w:rsid w:val="00CE18B9"/>
    <w:rsid w:val="00CE1966"/>
    <w:rsid w:val="00CE1A28"/>
    <w:rsid w:val="00CE2117"/>
    <w:rsid w:val="00CE21EC"/>
    <w:rsid w:val="00CE2278"/>
    <w:rsid w:val="00CE2490"/>
    <w:rsid w:val="00CE2502"/>
    <w:rsid w:val="00CE25A4"/>
    <w:rsid w:val="00CE3250"/>
    <w:rsid w:val="00CE3867"/>
    <w:rsid w:val="00CE3F54"/>
    <w:rsid w:val="00CE3F98"/>
    <w:rsid w:val="00CE4777"/>
    <w:rsid w:val="00CE5401"/>
    <w:rsid w:val="00CE573A"/>
    <w:rsid w:val="00CE58E4"/>
    <w:rsid w:val="00CE5929"/>
    <w:rsid w:val="00CE5C37"/>
    <w:rsid w:val="00CE5D1A"/>
    <w:rsid w:val="00CE5D8B"/>
    <w:rsid w:val="00CE5DAE"/>
    <w:rsid w:val="00CE6457"/>
    <w:rsid w:val="00CE64E4"/>
    <w:rsid w:val="00CE67D6"/>
    <w:rsid w:val="00CE6E1B"/>
    <w:rsid w:val="00CE7092"/>
    <w:rsid w:val="00CE73C2"/>
    <w:rsid w:val="00CE744F"/>
    <w:rsid w:val="00CE74DB"/>
    <w:rsid w:val="00CE7807"/>
    <w:rsid w:val="00CE78CA"/>
    <w:rsid w:val="00CE7B50"/>
    <w:rsid w:val="00CE7DC8"/>
    <w:rsid w:val="00CE7FD9"/>
    <w:rsid w:val="00CF03DC"/>
    <w:rsid w:val="00CF06BA"/>
    <w:rsid w:val="00CF103C"/>
    <w:rsid w:val="00CF111E"/>
    <w:rsid w:val="00CF1251"/>
    <w:rsid w:val="00CF14DF"/>
    <w:rsid w:val="00CF16EF"/>
    <w:rsid w:val="00CF1F3E"/>
    <w:rsid w:val="00CF1F6B"/>
    <w:rsid w:val="00CF2247"/>
    <w:rsid w:val="00CF2A64"/>
    <w:rsid w:val="00CF2D79"/>
    <w:rsid w:val="00CF2DC1"/>
    <w:rsid w:val="00CF31C1"/>
    <w:rsid w:val="00CF32DC"/>
    <w:rsid w:val="00CF335C"/>
    <w:rsid w:val="00CF346E"/>
    <w:rsid w:val="00CF3475"/>
    <w:rsid w:val="00CF38F9"/>
    <w:rsid w:val="00CF3C72"/>
    <w:rsid w:val="00CF40B2"/>
    <w:rsid w:val="00CF42B8"/>
    <w:rsid w:val="00CF42C3"/>
    <w:rsid w:val="00CF4B04"/>
    <w:rsid w:val="00CF4B56"/>
    <w:rsid w:val="00CF508A"/>
    <w:rsid w:val="00CF52C7"/>
    <w:rsid w:val="00CF52FC"/>
    <w:rsid w:val="00CF55DA"/>
    <w:rsid w:val="00CF5932"/>
    <w:rsid w:val="00CF62E3"/>
    <w:rsid w:val="00CF6756"/>
    <w:rsid w:val="00CF6E2E"/>
    <w:rsid w:val="00CF7312"/>
    <w:rsid w:val="00CF7655"/>
    <w:rsid w:val="00D002A3"/>
    <w:rsid w:val="00D003CF"/>
    <w:rsid w:val="00D00CD7"/>
    <w:rsid w:val="00D00D86"/>
    <w:rsid w:val="00D0100B"/>
    <w:rsid w:val="00D0175F"/>
    <w:rsid w:val="00D0180A"/>
    <w:rsid w:val="00D01C1B"/>
    <w:rsid w:val="00D01D45"/>
    <w:rsid w:val="00D02275"/>
    <w:rsid w:val="00D02ACD"/>
    <w:rsid w:val="00D02C7F"/>
    <w:rsid w:val="00D02F55"/>
    <w:rsid w:val="00D038C2"/>
    <w:rsid w:val="00D04D5E"/>
    <w:rsid w:val="00D04E71"/>
    <w:rsid w:val="00D05753"/>
    <w:rsid w:val="00D05AAE"/>
    <w:rsid w:val="00D0698B"/>
    <w:rsid w:val="00D069C9"/>
    <w:rsid w:val="00D06A4C"/>
    <w:rsid w:val="00D06C78"/>
    <w:rsid w:val="00D06CA6"/>
    <w:rsid w:val="00D06F47"/>
    <w:rsid w:val="00D07440"/>
    <w:rsid w:val="00D07D71"/>
    <w:rsid w:val="00D102AE"/>
    <w:rsid w:val="00D1043D"/>
    <w:rsid w:val="00D10AE9"/>
    <w:rsid w:val="00D10C26"/>
    <w:rsid w:val="00D1119D"/>
    <w:rsid w:val="00D1155C"/>
    <w:rsid w:val="00D11594"/>
    <w:rsid w:val="00D11983"/>
    <w:rsid w:val="00D11AFB"/>
    <w:rsid w:val="00D11DF4"/>
    <w:rsid w:val="00D1217E"/>
    <w:rsid w:val="00D12A33"/>
    <w:rsid w:val="00D12EE5"/>
    <w:rsid w:val="00D12F3D"/>
    <w:rsid w:val="00D13044"/>
    <w:rsid w:val="00D13169"/>
    <w:rsid w:val="00D13258"/>
    <w:rsid w:val="00D132DF"/>
    <w:rsid w:val="00D13AB2"/>
    <w:rsid w:val="00D13C6E"/>
    <w:rsid w:val="00D13DF4"/>
    <w:rsid w:val="00D140C6"/>
    <w:rsid w:val="00D141BC"/>
    <w:rsid w:val="00D1440D"/>
    <w:rsid w:val="00D14511"/>
    <w:rsid w:val="00D14538"/>
    <w:rsid w:val="00D14D42"/>
    <w:rsid w:val="00D14DA5"/>
    <w:rsid w:val="00D150B1"/>
    <w:rsid w:val="00D158D5"/>
    <w:rsid w:val="00D1595F"/>
    <w:rsid w:val="00D15A14"/>
    <w:rsid w:val="00D15BCB"/>
    <w:rsid w:val="00D15CBE"/>
    <w:rsid w:val="00D15E36"/>
    <w:rsid w:val="00D171C9"/>
    <w:rsid w:val="00D17742"/>
    <w:rsid w:val="00D178B7"/>
    <w:rsid w:val="00D17F4E"/>
    <w:rsid w:val="00D201B7"/>
    <w:rsid w:val="00D208D4"/>
    <w:rsid w:val="00D2096C"/>
    <w:rsid w:val="00D20B8E"/>
    <w:rsid w:val="00D20C73"/>
    <w:rsid w:val="00D20E16"/>
    <w:rsid w:val="00D2148E"/>
    <w:rsid w:val="00D21CD6"/>
    <w:rsid w:val="00D21D6E"/>
    <w:rsid w:val="00D21F10"/>
    <w:rsid w:val="00D228EE"/>
    <w:rsid w:val="00D2306B"/>
    <w:rsid w:val="00D23C97"/>
    <w:rsid w:val="00D24082"/>
    <w:rsid w:val="00D2413E"/>
    <w:rsid w:val="00D24568"/>
    <w:rsid w:val="00D24B71"/>
    <w:rsid w:val="00D24C29"/>
    <w:rsid w:val="00D24DE7"/>
    <w:rsid w:val="00D24F67"/>
    <w:rsid w:val="00D25653"/>
    <w:rsid w:val="00D26181"/>
    <w:rsid w:val="00D26A13"/>
    <w:rsid w:val="00D27218"/>
    <w:rsid w:val="00D2729C"/>
    <w:rsid w:val="00D275E5"/>
    <w:rsid w:val="00D275EF"/>
    <w:rsid w:val="00D27888"/>
    <w:rsid w:val="00D27A7F"/>
    <w:rsid w:val="00D27FA9"/>
    <w:rsid w:val="00D30229"/>
    <w:rsid w:val="00D303E6"/>
    <w:rsid w:val="00D305BC"/>
    <w:rsid w:val="00D3083E"/>
    <w:rsid w:val="00D30AF0"/>
    <w:rsid w:val="00D30CAC"/>
    <w:rsid w:val="00D30ED3"/>
    <w:rsid w:val="00D310E0"/>
    <w:rsid w:val="00D31606"/>
    <w:rsid w:val="00D31684"/>
    <w:rsid w:val="00D31CA7"/>
    <w:rsid w:val="00D322C8"/>
    <w:rsid w:val="00D32585"/>
    <w:rsid w:val="00D328C5"/>
    <w:rsid w:val="00D3293D"/>
    <w:rsid w:val="00D32D9A"/>
    <w:rsid w:val="00D32E91"/>
    <w:rsid w:val="00D33346"/>
    <w:rsid w:val="00D33E7D"/>
    <w:rsid w:val="00D34073"/>
    <w:rsid w:val="00D342A2"/>
    <w:rsid w:val="00D34506"/>
    <w:rsid w:val="00D34A46"/>
    <w:rsid w:val="00D34B50"/>
    <w:rsid w:val="00D34CCB"/>
    <w:rsid w:val="00D35326"/>
    <w:rsid w:val="00D3558A"/>
    <w:rsid w:val="00D359F2"/>
    <w:rsid w:val="00D35B63"/>
    <w:rsid w:val="00D35EC4"/>
    <w:rsid w:val="00D36373"/>
    <w:rsid w:val="00D36423"/>
    <w:rsid w:val="00D3687C"/>
    <w:rsid w:val="00D36A50"/>
    <w:rsid w:val="00D36DF8"/>
    <w:rsid w:val="00D371B2"/>
    <w:rsid w:val="00D37258"/>
    <w:rsid w:val="00D374E9"/>
    <w:rsid w:val="00D37A6C"/>
    <w:rsid w:val="00D37C80"/>
    <w:rsid w:val="00D400CA"/>
    <w:rsid w:val="00D4028C"/>
    <w:rsid w:val="00D40383"/>
    <w:rsid w:val="00D40789"/>
    <w:rsid w:val="00D407A0"/>
    <w:rsid w:val="00D40BA9"/>
    <w:rsid w:val="00D40CC0"/>
    <w:rsid w:val="00D4121D"/>
    <w:rsid w:val="00D41526"/>
    <w:rsid w:val="00D416AB"/>
    <w:rsid w:val="00D41A3B"/>
    <w:rsid w:val="00D41BF8"/>
    <w:rsid w:val="00D41CDF"/>
    <w:rsid w:val="00D42381"/>
    <w:rsid w:val="00D426BF"/>
    <w:rsid w:val="00D42FCF"/>
    <w:rsid w:val="00D43081"/>
    <w:rsid w:val="00D43132"/>
    <w:rsid w:val="00D4345D"/>
    <w:rsid w:val="00D434D6"/>
    <w:rsid w:val="00D435C2"/>
    <w:rsid w:val="00D435EC"/>
    <w:rsid w:val="00D43BDC"/>
    <w:rsid w:val="00D43BF2"/>
    <w:rsid w:val="00D43DA9"/>
    <w:rsid w:val="00D43EEA"/>
    <w:rsid w:val="00D448EC"/>
    <w:rsid w:val="00D44B4E"/>
    <w:rsid w:val="00D44FCC"/>
    <w:rsid w:val="00D453D8"/>
    <w:rsid w:val="00D45778"/>
    <w:rsid w:val="00D45B67"/>
    <w:rsid w:val="00D4660B"/>
    <w:rsid w:val="00D46791"/>
    <w:rsid w:val="00D47820"/>
    <w:rsid w:val="00D47998"/>
    <w:rsid w:val="00D47D34"/>
    <w:rsid w:val="00D47DED"/>
    <w:rsid w:val="00D502CD"/>
    <w:rsid w:val="00D50458"/>
    <w:rsid w:val="00D50615"/>
    <w:rsid w:val="00D506B7"/>
    <w:rsid w:val="00D508EC"/>
    <w:rsid w:val="00D50C09"/>
    <w:rsid w:val="00D50FD3"/>
    <w:rsid w:val="00D5103F"/>
    <w:rsid w:val="00D515DF"/>
    <w:rsid w:val="00D516B8"/>
    <w:rsid w:val="00D516DB"/>
    <w:rsid w:val="00D51998"/>
    <w:rsid w:val="00D51E1A"/>
    <w:rsid w:val="00D51E22"/>
    <w:rsid w:val="00D51FB2"/>
    <w:rsid w:val="00D5245B"/>
    <w:rsid w:val="00D53053"/>
    <w:rsid w:val="00D530DA"/>
    <w:rsid w:val="00D53189"/>
    <w:rsid w:val="00D532A0"/>
    <w:rsid w:val="00D535EF"/>
    <w:rsid w:val="00D536B6"/>
    <w:rsid w:val="00D53779"/>
    <w:rsid w:val="00D54020"/>
    <w:rsid w:val="00D545AB"/>
    <w:rsid w:val="00D5462F"/>
    <w:rsid w:val="00D5470A"/>
    <w:rsid w:val="00D54C95"/>
    <w:rsid w:val="00D54CFA"/>
    <w:rsid w:val="00D5515E"/>
    <w:rsid w:val="00D5637E"/>
    <w:rsid w:val="00D56570"/>
    <w:rsid w:val="00D568BB"/>
    <w:rsid w:val="00D56C39"/>
    <w:rsid w:val="00D56D5D"/>
    <w:rsid w:val="00D57019"/>
    <w:rsid w:val="00D5709D"/>
    <w:rsid w:val="00D5729A"/>
    <w:rsid w:val="00D572C6"/>
    <w:rsid w:val="00D5790B"/>
    <w:rsid w:val="00D57A78"/>
    <w:rsid w:val="00D57B9B"/>
    <w:rsid w:val="00D57BD1"/>
    <w:rsid w:val="00D57D8C"/>
    <w:rsid w:val="00D60226"/>
    <w:rsid w:val="00D6033D"/>
    <w:rsid w:val="00D60358"/>
    <w:rsid w:val="00D60411"/>
    <w:rsid w:val="00D605ED"/>
    <w:rsid w:val="00D60B62"/>
    <w:rsid w:val="00D61046"/>
    <w:rsid w:val="00D6119E"/>
    <w:rsid w:val="00D615E0"/>
    <w:rsid w:val="00D61676"/>
    <w:rsid w:val="00D623E1"/>
    <w:rsid w:val="00D62782"/>
    <w:rsid w:val="00D62903"/>
    <w:rsid w:val="00D62AAB"/>
    <w:rsid w:val="00D62B0F"/>
    <w:rsid w:val="00D62B93"/>
    <w:rsid w:val="00D62C06"/>
    <w:rsid w:val="00D62C9B"/>
    <w:rsid w:val="00D6325B"/>
    <w:rsid w:val="00D633CC"/>
    <w:rsid w:val="00D63B87"/>
    <w:rsid w:val="00D63CBC"/>
    <w:rsid w:val="00D6406B"/>
    <w:rsid w:val="00D640ED"/>
    <w:rsid w:val="00D6456E"/>
    <w:rsid w:val="00D648CB"/>
    <w:rsid w:val="00D64BAD"/>
    <w:rsid w:val="00D65180"/>
    <w:rsid w:val="00D65555"/>
    <w:rsid w:val="00D656B5"/>
    <w:rsid w:val="00D657D6"/>
    <w:rsid w:val="00D65BB5"/>
    <w:rsid w:val="00D667F6"/>
    <w:rsid w:val="00D669CB"/>
    <w:rsid w:val="00D66EF2"/>
    <w:rsid w:val="00D67371"/>
    <w:rsid w:val="00D67A93"/>
    <w:rsid w:val="00D7016A"/>
    <w:rsid w:val="00D7039D"/>
    <w:rsid w:val="00D703E5"/>
    <w:rsid w:val="00D70BE9"/>
    <w:rsid w:val="00D70C1D"/>
    <w:rsid w:val="00D70FB4"/>
    <w:rsid w:val="00D71000"/>
    <w:rsid w:val="00D71005"/>
    <w:rsid w:val="00D71148"/>
    <w:rsid w:val="00D711AA"/>
    <w:rsid w:val="00D715F9"/>
    <w:rsid w:val="00D71C0E"/>
    <w:rsid w:val="00D721BD"/>
    <w:rsid w:val="00D72F92"/>
    <w:rsid w:val="00D730F3"/>
    <w:rsid w:val="00D73447"/>
    <w:rsid w:val="00D73701"/>
    <w:rsid w:val="00D73776"/>
    <w:rsid w:val="00D73892"/>
    <w:rsid w:val="00D73B16"/>
    <w:rsid w:val="00D7406F"/>
    <w:rsid w:val="00D74165"/>
    <w:rsid w:val="00D742BC"/>
    <w:rsid w:val="00D7432A"/>
    <w:rsid w:val="00D746AC"/>
    <w:rsid w:val="00D746C8"/>
    <w:rsid w:val="00D75414"/>
    <w:rsid w:val="00D755FF"/>
    <w:rsid w:val="00D756BC"/>
    <w:rsid w:val="00D75738"/>
    <w:rsid w:val="00D757D9"/>
    <w:rsid w:val="00D75DB6"/>
    <w:rsid w:val="00D770F6"/>
    <w:rsid w:val="00D77175"/>
    <w:rsid w:val="00D775D9"/>
    <w:rsid w:val="00D77C25"/>
    <w:rsid w:val="00D8013C"/>
    <w:rsid w:val="00D802FE"/>
    <w:rsid w:val="00D8053C"/>
    <w:rsid w:val="00D80CBD"/>
    <w:rsid w:val="00D815E5"/>
    <w:rsid w:val="00D8184B"/>
    <w:rsid w:val="00D818E9"/>
    <w:rsid w:val="00D81F78"/>
    <w:rsid w:val="00D821A6"/>
    <w:rsid w:val="00D823DF"/>
    <w:rsid w:val="00D828CC"/>
    <w:rsid w:val="00D82941"/>
    <w:rsid w:val="00D82A11"/>
    <w:rsid w:val="00D82BE3"/>
    <w:rsid w:val="00D82CBE"/>
    <w:rsid w:val="00D83C24"/>
    <w:rsid w:val="00D83E21"/>
    <w:rsid w:val="00D84487"/>
    <w:rsid w:val="00D844E5"/>
    <w:rsid w:val="00D848F9"/>
    <w:rsid w:val="00D84F9A"/>
    <w:rsid w:val="00D85AED"/>
    <w:rsid w:val="00D85B7F"/>
    <w:rsid w:val="00D86038"/>
    <w:rsid w:val="00D86180"/>
    <w:rsid w:val="00D865D0"/>
    <w:rsid w:val="00D86780"/>
    <w:rsid w:val="00D86B20"/>
    <w:rsid w:val="00D86C64"/>
    <w:rsid w:val="00D8700E"/>
    <w:rsid w:val="00D875C2"/>
    <w:rsid w:val="00D87761"/>
    <w:rsid w:val="00D878D6"/>
    <w:rsid w:val="00D8798B"/>
    <w:rsid w:val="00D87A74"/>
    <w:rsid w:val="00D87DCC"/>
    <w:rsid w:val="00D87E5E"/>
    <w:rsid w:val="00D90078"/>
    <w:rsid w:val="00D901D9"/>
    <w:rsid w:val="00D9049F"/>
    <w:rsid w:val="00D907E9"/>
    <w:rsid w:val="00D908C9"/>
    <w:rsid w:val="00D90A32"/>
    <w:rsid w:val="00D90DC6"/>
    <w:rsid w:val="00D9130F"/>
    <w:rsid w:val="00D91931"/>
    <w:rsid w:val="00D9230B"/>
    <w:rsid w:val="00D92A46"/>
    <w:rsid w:val="00D92A57"/>
    <w:rsid w:val="00D93289"/>
    <w:rsid w:val="00D93518"/>
    <w:rsid w:val="00D935FF"/>
    <w:rsid w:val="00D9379E"/>
    <w:rsid w:val="00D93850"/>
    <w:rsid w:val="00D94050"/>
    <w:rsid w:val="00D94139"/>
    <w:rsid w:val="00D942F5"/>
    <w:rsid w:val="00D944B2"/>
    <w:rsid w:val="00D944B6"/>
    <w:rsid w:val="00D94783"/>
    <w:rsid w:val="00D9492C"/>
    <w:rsid w:val="00D94D85"/>
    <w:rsid w:val="00D957C4"/>
    <w:rsid w:val="00D958DF"/>
    <w:rsid w:val="00D95902"/>
    <w:rsid w:val="00D95EE7"/>
    <w:rsid w:val="00D9600A"/>
    <w:rsid w:val="00D9635E"/>
    <w:rsid w:val="00D96474"/>
    <w:rsid w:val="00D96818"/>
    <w:rsid w:val="00D968A3"/>
    <w:rsid w:val="00D96AA6"/>
    <w:rsid w:val="00D96AAC"/>
    <w:rsid w:val="00D96B8B"/>
    <w:rsid w:val="00D96EDA"/>
    <w:rsid w:val="00D97046"/>
    <w:rsid w:val="00D97411"/>
    <w:rsid w:val="00D978CE"/>
    <w:rsid w:val="00D97AA2"/>
    <w:rsid w:val="00DA0BBB"/>
    <w:rsid w:val="00DA0E70"/>
    <w:rsid w:val="00DA0EE0"/>
    <w:rsid w:val="00DA10FE"/>
    <w:rsid w:val="00DA1168"/>
    <w:rsid w:val="00DA1795"/>
    <w:rsid w:val="00DA1A52"/>
    <w:rsid w:val="00DA1F0D"/>
    <w:rsid w:val="00DA20DA"/>
    <w:rsid w:val="00DA27F1"/>
    <w:rsid w:val="00DA27FB"/>
    <w:rsid w:val="00DA2A87"/>
    <w:rsid w:val="00DA2E25"/>
    <w:rsid w:val="00DA37AC"/>
    <w:rsid w:val="00DA3878"/>
    <w:rsid w:val="00DA3B1B"/>
    <w:rsid w:val="00DA45A6"/>
    <w:rsid w:val="00DA484A"/>
    <w:rsid w:val="00DA4BE2"/>
    <w:rsid w:val="00DA4C61"/>
    <w:rsid w:val="00DA56AB"/>
    <w:rsid w:val="00DA5CB9"/>
    <w:rsid w:val="00DA5F28"/>
    <w:rsid w:val="00DA659B"/>
    <w:rsid w:val="00DA6AAF"/>
    <w:rsid w:val="00DA6BAD"/>
    <w:rsid w:val="00DA6C9B"/>
    <w:rsid w:val="00DA7356"/>
    <w:rsid w:val="00DA73BB"/>
    <w:rsid w:val="00DA7492"/>
    <w:rsid w:val="00DA74A5"/>
    <w:rsid w:val="00DA76D2"/>
    <w:rsid w:val="00DA7849"/>
    <w:rsid w:val="00DA7C64"/>
    <w:rsid w:val="00DA7ECB"/>
    <w:rsid w:val="00DB03C6"/>
    <w:rsid w:val="00DB05C3"/>
    <w:rsid w:val="00DB0705"/>
    <w:rsid w:val="00DB0A59"/>
    <w:rsid w:val="00DB0B8D"/>
    <w:rsid w:val="00DB0C60"/>
    <w:rsid w:val="00DB1508"/>
    <w:rsid w:val="00DB153C"/>
    <w:rsid w:val="00DB15CA"/>
    <w:rsid w:val="00DB15FF"/>
    <w:rsid w:val="00DB17CC"/>
    <w:rsid w:val="00DB2106"/>
    <w:rsid w:val="00DB24A8"/>
    <w:rsid w:val="00DB2519"/>
    <w:rsid w:val="00DB28A7"/>
    <w:rsid w:val="00DB2B2F"/>
    <w:rsid w:val="00DB3122"/>
    <w:rsid w:val="00DB33B5"/>
    <w:rsid w:val="00DB3461"/>
    <w:rsid w:val="00DB3491"/>
    <w:rsid w:val="00DB35FB"/>
    <w:rsid w:val="00DB3F7E"/>
    <w:rsid w:val="00DB40F3"/>
    <w:rsid w:val="00DB430E"/>
    <w:rsid w:val="00DB4649"/>
    <w:rsid w:val="00DB48AB"/>
    <w:rsid w:val="00DB4B0B"/>
    <w:rsid w:val="00DB4B18"/>
    <w:rsid w:val="00DB4B2A"/>
    <w:rsid w:val="00DB4B4F"/>
    <w:rsid w:val="00DB5505"/>
    <w:rsid w:val="00DB56A2"/>
    <w:rsid w:val="00DB580D"/>
    <w:rsid w:val="00DB5DA0"/>
    <w:rsid w:val="00DB676C"/>
    <w:rsid w:val="00DB6884"/>
    <w:rsid w:val="00DB6895"/>
    <w:rsid w:val="00DB6E79"/>
    <w:rsid w:val="00DB6F46"/>
    <w:rsid w:val="00DB7C7C"/>
    <w:rsid w:val="00DB7CC1"/>
    <w:rsid w:val="00DC0A45"/>
    <w:rsid w:val="00DC1058"/>
    <w:rsid w:val="00DC1172"/>
    <w:rsid w:val="00DC1206"/>
    <w:rsid w:val="00DC1786"/>
    <w:rsid w:val="00DC1BA5"/>
    <w:rsid w:val="00DC2100"/>
    <w:rsid w:val="00DC233C"/>
    <w:rsid w:val="00DC237C"/>
    <w:rsid w:val="00DC2527"/>
    <w:rsid w:val="00DC284F"/>
    <w:rsid w:val="00DC339F"/>
    <w:rsid w:val="00DC3550"/>
    <w:rsid w:val="00DC4719"/>
    <w:rsid w:val="00DC4F1E"/>
    <w:rsid w:val="00DC51A7"/>
    <w:rsid w:val="00DC53EC"/>
    <w:rsid w:val="00DC5488"/>
    <w:rsid w:val="00DC5499"/>
    <w:rsid w:val="00DC58E9"/>
    <w:rsid w:val="00DC5A9C"/>
    <w:rsid w:val="00DC60A4"/>
    <w:rsid w:val="00DC62EA"/>
    <w:rsid w:val="00DC6945"/>
    <w:rsid w:val="00DC6C2D"/>
    <w:rsid w:val="00DC6DCD"/>
    <w:rsid w:val="00DC6EF8"/>
    <w:rsid w:val="00DC740F"/>
    <w:rsid w:val="00DC760D"/>
    <w:rsid w:val="00DC7678"/>
    <w:rsid w:val="00DC7DC5"/>
    <w:rsid w:val="00DC7E8A"/>
    <w:rsid w:val="00DC7FC2"/>
    <w:rsid w:val="00DD0167"/>
    <w:rsid w:val="00DD0ADD"/>
    <w:rsid w:val="00DD0EC9"/>
    <w:rsid w:val="00DD111A"/>
    <w:rsid w:val="00DD122C"/>
    <w:rsid w:val="00DD16EF"/>
    <w:rsid w:val="00DD1905"/>
    <w:rsid w:val="00DD194E"/>
    <w:rsid w:val="00DD1C07"/>
    <w:rsid w:val="00DD1C93"/>
    <w:rsid w:val="00DD1E0F"/>
    <w:rsid w:val="00DD217C"/>
    <w:rsid w:val="00DD233B"/>
    <w:rsid w:val="00DD2370"/>
    <w:rsid w:val="00DD2404"/>
    <w:rsid w:val="00DD2F84"/>
    <w:rsid w:val="00DD311B"/>
    <w:rsid w:val="00DD3DB1"/>
    <w:rsid w:val="00DD41ED"/>
    <w:rsid w:val="00DD45EC"/>
    <w:rsid w:val="00DD483A"/>
    <w:rsid w:val="00DD4C71"/>
    <w:rsid w:val="00DD4EF9"/>
    <w:rsid w:val="00DD58ED"/>
    <w:rsid w:val="00DD58F5"/>
    <w:rsid w:val="00DD59AB"/>
    <w:rsid w:val="00DD5C06"/>
    <w:rsid w:val="00DD6120"/>
    <w:rsid w:val="00DD6386"/>
    <w:rsid w:val="00DD63D5"/>
    <w:rsid w:val="00DD6EE0"/>
    <w:rsid w:val="00DD7053"/>
    <w:rsid w:val="00DD74AD"/>
    <w:rsid w:val="00DD7A63"/>
    <w:rsid w:val="00DE0049"/>
    <w:rsid w:val="00DE01CF"/>
    <w:rsid w:val="00DE033B"/>
    <w:rsid w:val="00DE06CD"/>
    <w:rsid w:val="00DE0BA0"/>
    <w:rsid w:val="00DE0ED8"/>
    <w:rsid w:val="00DE0FFF"/>
    <w:rsid w:val="00DE169D"/>
    <w:rsid w:val="00DE17D9"/>
    <w:rsid w:val="00DE1D7F"/>
    <w:rsid w:val="00DE1DBE"/>
    <w:rsid w:val="00DE1EA3"/>
    <w:rsid w:val="00DE1F43"/>
    <w:rsid w:val="00DE2227"/>
    <w:rsid w:val="00DE22D9"/>
    <w:rsid w:val="00DE23EB"/>
    <w:rsid w:val="00DE265E"/>
    <w:rsid w:val="00DE2EDA"/>
    <w:rsid w:val="00DE3753"/>
    <w:rsid w:val="00DE39E4"/>
    <w:rsid w:val="00DE39F0"/>
    <w:rsid w:val="00DE3CEE"/>
    <w:rsid w:val="00DE4A05"/>
    <w:rsid w:val="00DE4F03"/>
    <w:rsid w:val="00DE4FA9"/>
    <w:rsid w:val="00DE5550"/>
    <w:rsid w:val="00DE601A"/>
    <w:rsid w:val="00DE6156"/>
    <w:rsid w:val="00DE6536"/>
    <w:rsid w:val="00DE684F"/>
    <w:rsid w:val="00DE6B96"/>
    <w:rsid w:val="00DE6BD1"/>
    <w:rsid w:val="00DE6F16"/>
    <w:rsid w:val="00DE718A"/>
    <w:rsid w:val="00DE71C8"/>
    <w:rsid w:val="00DE7367"/>
    <w:rsid w:val="00DF0684"/>
    <w:rsid w:val="00DF07CE"/>
    <w:rsid w:val="00DF0872"/>
    <w:rsid w:val="00DF0A22"/>
    <w:rsid w:val="00DF139D"/>
    <w:rsid w:val="00DF168B"/>
    <w:rsid w:val="00DF27EF"/>
    <w:rsid w:val="00DF2D9C"/>
    <w:rsid w:val="00DF3655"/>
    <w:rsid w:val="00DF3C0C"/>
    <w:rsid w:val="00DF3FD5"/>
    <w:rsid w:val="00DF3FE8"/>
    <w:rsid w:val="00DF43B3"/>
    <w:rsid w:val="00DF4840"/>
    <w:rsid w:val="00DF4E43"/>
    <w:rsid w:val="00DF51C5"/>
    <w:rsid w:val="00DF53FE"/>
    <w:rsid w:val="00DF55B6"/>
    <w:rsid w:val="00DF560F"/>
    <w:rsid w:val="00DF5A99"/>
    <w:rsid w:val="00DF5BC0"/>
    <w:rsid w:val="00DF647E"/>
    <w:rsid w:val="00DF6778"/>
    <w:rsid w:val="00DF6862"/>
    <w:rsid w:val="00DF6CB1"/>
    <w:rsid w:val="00DF7674"/>
    <w:rsid w:val="00DF7A37"/>
    <w:rsid w:val="00DF7BE4"/>
    <w:rsid w:val="00DF7F92"/>
    <w:rsid w:val="00E003A7"/>
    <w:rsid w:val="00E004F7"/>
    <w:rsid w:val="00E00654"/>
    <w:rsid w:val="00E0073B"/>
    <w:rsid w:val="00E00C1B"/>
    <w:rsid w:val="00E00DAA"/>
    <w:rsid w:val="00E00DD2"/>
    <w:rsid w:val="00E00FC1"/>
    <w:rsid w:val="00E01037"/>
    <w:rsid w:val="00E010D6"/>
    <w:rsid w:val="00E01110"/>
    <w:rsid w:val="00E02715"/>
    <w:rsid w:val="00E0287A"/>
    <w:rsid w:val="00E02A26"/>
    <w:rsid w:val="00E0316C"/>
    <w:rsid w:val="00E031C8"/>
    <w:rsid w:val="00E03279"/>
    <w:rsid w:val="00E03E58"/>
    <w:rsid w:val="00E0472B"/>
    <w:rsid w:val="00E048E2"/>
    <w:rsid w:val="00E04F60"/>
    <w:rsid w:val="00E05002"/>
    <w:rsid w:val="00E054D8"/>
    <w:rsid w:val="00E05529"/>
    <w:rsid w:val="00E05FB4"/>
    <w:rsid w:val="00E06041"/>
    <w:rsid w:val="00E0778E"/>
    <w:rsid w:val="00E07F49"/>
    <w:rsid w:val="00E07F9C"/>
    <w:rsid w:val="00E108B0"/>
    <w:rsid w:val="00E11418"/>
    <w:rsid w:val="00E1159D"/>
    <w:rsid w:val="00E11A65"/>
    <w:rsid w:val="00E11B3E"/>
    <w:rsid w:val="00E11E54"/>
    <w:rsid w:val="00E12080"/>
    <w:rsid w:val="00E12237"/>
    <w:rsid w:val="00E1272D"/>
    <w:rsid w:val="00E12882"/>
    <w:rsid w:val="00E12B6B"/>
    <w:rsid w:val="00E12EF5"/>
    <w:rsid w:val="00E13864"/>
    <w:rsid w:val="00E138DB"/>
    <w:rsid w:val="00E139FC"/>
    <w:rsid w:val="00E13A61"/>
    <w:rsid w:val="00E13C63"/>
    <w:rsid w:val="00E13C95"/>
    <w:rsid w:val="00E13D51"/>
    <w:rsid w:val="00E13E00"/>
    <w:rsid w:val="00E13EB2"/>
    <w:rsid w:val="00E13FB5"/>
    <w:rsid w:val="00E15136"/>
    <w:rsid w:val="00E156F0"/>
    <w:rsid w:val="00E158A3"/>
    <w:rsid w:val="00E15A3B"/>
    <w:rsid w:val="00E162DD"/>
    <w:rsid w:val="00E16312"/>
    <w:rsid w:val="00E169CE"/>
    <w:rsid w:val="00E17043"/>
    <w:rsid w:val="00E1722D"/>
    <w:rsid w:val="00E179E0"/>
    <w:rsid w:val="00E17A67"/>
    <w:rsid w:val="00E20072"/>
    <w:rsid w:val="00E201F9"/>
    <w:rsid w:val="00E20432"/>
    <w:rsid w:val="00E2078F"/>
    <w:rsid w:val="00E20965"/>
    <w:rsid w:val="00E21446"/>
    <w:rsid w:val="00E2150C"/>
    <w:rsid w:val="00E2163A"/>
    <w:rsid w:val="00E219AA"/>
    <w:rsid w:val="00E21F48"/>
    <w:rsid w:val="00E228A4"/>
    <w:rsid w:val="00E23187"/>
    <w:rsid w:val="00E232A2"/>
    <w:rsid w:val="00E233F7"/>
    <w:rsid w:val="00E23909"/>
    <w:rsid w:val="00E239D0"/>
    <w:rsid w:val="00E23A28"/>
    <w:rsid w:val="00E23A4A"/>
    <w:rsid w:val="00E2444C"/>
    <w:rsid w:val="00E244D1"/>
    <w:rsid w:val="00E2461B"/>
    <w:rsid w:val="00E24EE8"/>
    <w:rsid w:val="00E25558"/>
    <w:rsid w:val="00E25CA6"/>
    <w:rsid w:val="00E25E1C"/>
    <w:rsid w:val="00E265AC"/>
    <w:rsid w:val="00E26602"/>
    <w:rsid w:val="00E267DA"/>
    <w:rsid w:val="00E26DB7"/>
    <w:rsid w:val="00E26F3C"/>
    <w:rsid w:val="00E27127"/>
    <w:rsid w:val="00E272CD"/>
    <w:rsid w:val="00E27609"/>
    <w:rsid w:val="00E27D03"/>
    <w:rsid w:val="00E305FA"/>
    <w:rsid w:val="00E30879"/>
    <w:rsid w:val="00E30F38"/>
    <w:rsid w:val="00E3105C"/>
    <w:rsid w:val="00E31063"/>
    <w:rsid w:val="00E31852"/>
    <w:rsid w:val="00E31C73"/>
    <w:rsid w:val="00E31CBD"/>
    <w:rsid w:val="00E31F10"/>
    <w:rsid w:val="00E3220C"/>
    <w:rsid w:val="00E327CB"/>
    <w:rsid w:val="00E32C2C"/>
    <w:rsid w:val="00E32C6C"/>
    <w:rsid w:val="00E32EE2"/>
    <w:rsid w:val="00E32FFF"/>
    <w:rsid w:val="00E332AB"/>
    <w:rsid w:val="00E33682"/>
    <w:rsid w:val="00E33EB8"/>
    <w:rsid w:val="00E34044"/>
    <w:rsid w:val="00E34C73"/>
    <w:rsid w:val="00E35190"/>
    <w:rsid w:val="00E35A90"/>
    <w:rsid w:val="00E35AE6"/>
    <w:rsid w:val="00E362F9"/>
    <w:rsid w:val="00E36481"/>
    <w:rsid w:val="00E36DC7"/>
    <w:rsid w:val="00E370E7"/>
    <w:rsid w:val="00E3733D"/>
    <w:rsid w:val="00E37947"/>
    <w:rsid w:val="00E37C21"/>
    <w:rsid w:val="00E37C61"/>
    <w:rsid w:val="00E37C69"/>
    <w:rsid w:val="00E37EE1"/>
    <w:rsid w:val="00E40128"/>
    <w:rsid w:val="00E401E9"/>
    <w:rsid w:val="00E4023C"/>
    <w:rsid w:val="00E40369"/>
    <w:rsid w:val="00E40545"/>
    <w:rsid w:val="00E4078F"/>
    <w:rsid w:val="00E40E51"/>
    <w:rsid w:val="00E42630"/>
    <w:rsid w:val="00E426D7"/>
    <w:rsid w:val="00E427B8"/>
    <w:rsid w:val="00E428AB"/>
    <w:rsid w:val="00E428E0"/>
    <w:rsid w:val="00E42A95"/>
    <w:rsid w:val="00E42C47"/>
    <w:rsid w:val="00E42E25"/>
    <w:rsid w:val="00E43574"/>
    <w:rsid w:val="00E43AD5"/>
    <w:rsid w:val="00E44075"/>
    <w:rsid w:val="00E44C7A"/>
    <w:rsid w:val="00E44C99"/>
    <w:rsid w:val="00E44C9D"/>
    <w:rsid w:val="00E44D64"/>
    <w:rsid w:val="00E452DF"/>
    <w:rsid w:val="00E45302"/>
    <w:rsid w:val="00E4577B"/>
    <w:rsid w:val="00E45DCC"/>
    <w:rsid w:val="00E4650F"/>
    <w:rsid w:val="00E465F3"/>
    <w:rsid w:val="00E46775"/>
    <w:rsid w:val="00E46926"/>
    <w:rsid w:val="00E46A11"/>
    <w:rsid w:val="00E46B19"/>
    <w:rsid w:val="00E46C32"/>
    <w:rsid w:val="00E474A1"/>
    <w:rsid w:val="00E47505"/>
    <w:rsid w:val="00E47799"/>
    <w:rsid w:val="00E47D3F"/>
    <w:rsid w:val="00E50074"/>
    <w:rsid w:val="00E501E8"/>
    <w:rsid w:val="00E50311"/>
    <w:rsid w:val="00E50640"/>
    <w:rsid w:val="00E509C9"/>
    <w:rsid w:val="00E50CAA"/>
    <w:rsid w:val="00E51755"/>
    <w:rsid w:val="00E51AA2"/>
    <w:rsid w:val="00E51AB0"/>
    <w:rsid w:val="00E52539"/>
    <w:rsid w:val="00E52711"/>
    <w:rsid w:val="00E52805"/>
    <w:rsid w:val="00E52816"/>
    <w:rsid w:val="00E52B7F"/>
    <w:rsid w:val="00E534EF"/>
    <w:rsid w:val="00E53642"/>
    <w:rsid w:val="00E536DE"/>
    <w:rsid w:val="00E53976"/>
    <w:rsid w:val="00E540FB"/>
    <w:rsid w:val="00E5424F"/>
    <w:rsid w:val="00E54335"/>
    <w:rsid w:val="00E546BE"/>
    <w:rsid w:val="00E546D4"/>
    <w:rsid w:val="00E54A55"/>
    <w:rsid w:val="00E54D4D"/>
    <w:rsid w:val="00E54EBC"/>
    <w:rsid w:val="00E54EC8"/>
    <w:rsid w:val="00E55344"/>
    <w:rsid w:val="00E553A8"/>
    <w:rsid w:val="00E55C76"/>
    <w:rsid w:val="00E55DA6"/>
    <w:rsid w:val="00E55E3C"/>
    <w:rsid w:val="00E56042"/>
    <w:rsid w:val="00E564DE"/>
    <w:rsid w:val="00E56B69"/>
    <w:rsid w:val="00E56CE1"/>
    <w:rsid w:val="00E5726C"/>
    <w:rsid w:val="00E5735C"/>
    <w:rsid w:val="00E5745F"/>
    <w:rsid w:val="00E57FAA"/>
    <w:rsid w:val="00E6013C"/>
    <w:rsid w:val="00E60258"/>
    <w:rsid w:val="00E6034B"/>
    <w:rsid w:val="00E60754"/>
    <w:rsid w:val="00E61070"/>
    <w:rsid w:val="00E6126A"/>
    <w:rsid w:val="00E615A0"/>
    <w:rsid w:val="00E61920"/>
    <w:rsid w:val="00E619E1"/>
    <w:rsid w:val="00E61B9A"/>
    <w:rsid w:val="00E61ECE"/>
    <w:rsid w:val="00E61F58"/>
    <w:rsid w:val="00E625ED"/>
    <w:rsid w:val="00E631BE"/>
    <w:rsid w:val="00E63232"/>
    <w:rsid w:val="00E6359F"/>
    <w:rsid w:val="00E638C6"/>
    <w:rsid w:val="00E63B4F"/>
    <w:rsid w:val="00E6419C"/>
    <w:rsid w:val="00E644F3"/>
    <w:rsid w:val="00E644F5"/>
    <w:rsid w:val="00E64727"/>
    <w:rsid w:val="00E647F1"/>
    <w:rsid w:val="00E6487E"/>
    <w:rsid w:val="00E649CB"/>
    <w:rsid w:val="00E64A8C"/>
    <w:rsid w:val="00E65112"/>
    <w:rsid w:val="00E65141"/>
    <w:rsid w:val="00E6538F"/>
    <w:rsid w:val="00E65442"/>
    <w:rsid w:val="00E65453"/>
    <w:rsid w:val="00E65BC3"/>
    <w:rsid w:val="00E66150"/>
    <w:rsid w:val="00E66BC8"/>
    <w:rsid w:val="00E66CF2"/>
    <w:rsid w:val="00E66E95"/>
    <w:rsid w:val="00E677B9"/>
    <w:rsid w:val="00E67B8D"/>
    <w:rsid w:val="00E67D52"/>
    <w:rsid w:val="00E67DA3"/>
    <w:rsid w:val="00E70354"/>
    <w:rsid w:val="00E704FA"/>
    <w:rsid w:val="00E70800"/>
    <w:rsid w:val="00E70BBD"/>
    <w:rsid w:val="00E71247"/>
    <w:rsid w:val="00E71CB0"/>
    <w:rsid w:val="00E71CCA"/>
    <w:rsid w:val="00E722B2"/>
    <w:rsid w:val="00E7237D"/>
    <w:rsid w:val="00E72750"/>
    <w:rsid w:val="00E72918"/>
    <w:rsid w:val="00E72949"/>
    <w:rsid w:val="00E73DDF"/>
    <w:rsid w:val="00E74A35"/>
    <w:rsid w:val="00E74DE8"/>
    <w:rsid w:val="00E758DE"/>
    <w:rsid w:val="00E75945"/>
    <w:rsid w:val="00E7596A"/>
    <w:rsid w:val="00E75DB8"/>
    <w:rsid w:val="00E75DCC"/>
    <w:rsid w:val="00E76915"/>
    <w:rsid w:val="00E76B55"/>
    <w:rsid w:val="00E76C05"/>
    <w:rsid w:val="00E76CE2"/>
    <w:rsid w:val="00E76D14"/>
    <w:rsid w:val="00E77400"/>
    <w:rsid w:val="00E8024C"/>
    <w:rsid w:val="00E8042C"/>
    <w:rsid w:val="00E80666"/>
    <w:rsid w:val="00E80755"/>
    <w:rsid w:val="00E80F5A"/>
    <w:rsid w:val="00E80FB8"/>
    <w:rsid w:val="00E81205"/>
    <w:rsid w:val="00E8186C"/>
    <w:rsid w:val="00E81A2C"/>
    <w:rsid w:val="00E81CEC"/>
    <w:rsid w:val="00E82069"/>
    <w:rsid w:val="00E82BA7"/>
    <w:rsid w:val="00E82E2A"/>
    <w:rsid w:val="00E83229"/>
    <w:rsid w:val="00E83696"/>
    <w:rsid w:val="00E83747"/>
    <w:rsid w:val="00E83B57"/>
    <w:rsid w:val="00E83CF2"/>
    <w:rsid w:val="00E84405"/>
    <w:rsid w:val="00E8442C"/>
    <w:rsid w:val="00E848D1"/>
    <w:rsid w:val="00E84AC5"/>
    <w:rsid w:val="00E84DD6"/>
    <w:rsid w:val="00E856EB"/>
    <w:rsid w:val="00E85786"/>
    <w:rsid w:val="00E85815"/>
    <w:rsid w:val="00E8582D"/>
    <w:rsid w:val="00E8589C"/>
    <w:rsid w:val="00E85DE1"/>
    <w:rsid w:val="00E85EAB"/>
    <w:rsid w:val="00E860AB"/>
    <w:rsid w:val="00E8621B"/>
    <w:rsid w:val="00E8628A"/>
    <w:rsid w:val="00E86B0F"/>
    <w:rsid w:val="00E86D5B"/>
    <w:rsid w:val="00E8704F"/>
    <w:rsid w:val="00E875DC"/>
    <w:rsid w:val="00E87687"/>
    <w:rsid w:val="00E87927"/>
    <w:rsid w:val="00E90632"/>
    <w:rsid w:val="00E910EA"/>
    <w:rsid w:val="00E91459"/>
    <w:rsid w:val="00E91C6A"/>
    <w:rsid w:val="00E920D4"/>
    <w:rsid w:val="00E922DC"/>
    <w:rsid w:val="00E924AB"/>
    <w:rsid w:val="00E9256C"/>
    <w:rsid w:val="00E92809"/>
    <w:rsid w:val="00E9286B"/>
    <w:rsid w:val="00E92B04"/>
    <w:rsid w:val="00E933F3"/>
    <w:rsid w:val="00E93C4A"/>
    <w:rsid w:val="00E93C9F"/>
    <w:rsid w:val="00E93DA2"/>
    <w:rsid w:val="00E94300"/>
    <w:rsid w:val="00E94455"/>
    <w:rsid w:val="00E9492B"/>
    <w:rsid w:val="00E9543D"/>
    <w:rsid w:val="00E9564F"/>
    <w:rsid w:val="00E95FB7"/>
    <w:rsid w:val="00E960F9"/>
    <w:rsid w:val="00E96482"/>
    <w:rsid w:val="00E9738A"/>
    <w:rsid w:val="00E974AA"/>
    <w:rsid w:val="00E97A6A"/>
    <w:rsid w:val="00E97A6B"/>
    <w:rsid w:val="00E97FD8"/>
    <w:rsid w:val="00EA036C"/>
    <w:rsid w:val="00EA03DD"/>
    <w:rsid w:val="00EA0885"/>
    <w:rsid w:val="00EA0A64"/>
    <w:rsid w:val="00EA0A8A"/>
    <w:rsid w:val="00EA116A"/>
    <w:rsid w:val="00EA116C"/>
    <w:rsid w:val="00EA1395"/>
    <w:rsid w:val="00EA1435"/>
    <w:rsid w:val="00EA1737"/>
    <w:rsid w:val="00EA179A"/>
    <w:rsid w:val="00EA1B2B"/>
    <w:rsid w:val="00EA1BE1"/>
    <w:rsid w:val="00EA1E72"/>
    <w:rsid w:val="00EA2113"/>
    <w:rsid w:val="00EA25BB"/>
    <w:rsid w:val="00EA26DD"/>
    <w:rsid w:val="00EA276C"/>
    <w:rsid w:val="00EA289D"/>
    <w:rsid w:val="00EA30A4"/>
    <w:rsid w:val="00EA316C"/>
    <w:rsid w:val="00EA3708"/>
    <w:rsid w:val="00EA3B6D"/>
    <w:rsid w:val="00EA3D28"/>
    <w:rsid w:val="00EA3D93"/>
    <w:rsid w:val="00EA401A"/>
    <w:rsid w:val="00EA41AE"/>
    <w:rsid w:val="00EA4456"/>
    <w:rsid w:val="00EA45EC"/>
    <w:rsid w:val="00EA4806"/>
    <w:rsid w:val="00EA4955"/>
    <w:rsid w:val="00EA4E81"/>
    <w:rsid w:val="00EA5515"/>
    <w:rsid w:val="00EA6167"/>
    <w:rsid w:val="00EA6765"/>
    <w:rsid w:val="00EA67D5"/>
    <w:rsid w:val="00EA683C"/>
    <w:rsid w:val="00EA6D8A"/>
    <w:rsid w:val="00EA6ED9"/>
    <w:rsid w:val="00EA73E3"/>
    <w:rsid w:val="00EA7738"/>
    <w:rsid w:val="00EA7751"/>
    <w:rsid w:val="00EA7852"/>
    <w:rsid w:val="00EA7B32"/>
    <w:rsid w:val="00EB0573"/>
    <w:rsid w:val="00EB06FE"/>
    <w:rsid w:val="00EB07B6"/>
    <w:rsid w:val="00EB1003"/>
    <w:rsid w:val="00EB1300"/>
    <w:rsid w:val="00EB1574"/>
    <w:rsid w:val="00EB158F"/>
    <w:rsid w:val="00EB1906"/>
    <w:rsid w:val="00EB1926"/>
    <w:rsid w:val="00EB1C99"/>
    <w:rsid w:val="00EB1CA3"/>
    <w:rsid w:val="00EB1EAB"/>
    <w:rsid w:val="00EB2288"/>
    <w:rsid w:val="00EB2356"/>
    <w:rsid w:val="00EB24CF"/>
    <w:rsid w:val="00EB2895"/>
    <w:rsid w:val="00EB2990"/>
    <w:rsid w:val="00EB2A65"/>
    <w:rsid w:val="00EB3559"/>
    <w:rsid w:val="00EB41D2"/>
    <w:rsid w:val="00EB430D"/>
    <w:rsid w:val="00EB4465"/>
    <w:rsid w:val="00EB45B4"/>
    <w:rsid w:val="00EB46BF"/>
    <w:rsid w:val="00EB5107"/>
    <w:rsid w:val="00EB5332"/>
    <w:rsid w:val="00EB5658"/>
    <w:rsid w:val="00EB57EB"/>
    <w:rsid w:val="00EB5B11"/>
    <w:rsid w:val="00EB5C24"/>
    <w:rsid w:val="00EB5CA0"/>
    <w:rsid w:val="00EB5D65"/>
    <w:rsid w:val="00EB5EA4"/>
    <w:rsid w:val="00EB62DF"/>
    <w:rsid w:val="00EB6894"/>
    <w:rsid w:val="00EB68FB"/>
    <w:rsid w:val="00EB6CD0"/>
    <w:rsid w:val="00EB7191"/>
    <w:rsid w:val="00EB71CB"/>
    <w:rsid w:val="00EB7281"/>
    <w:rsid w:val="00EC06BD"/>
    <w:rsid w:val="00EC08FE"/>
    <w:rsid w:val="00EC0ACE"/>
    <w:rsid w:val="00EC0B82"/>
    <w:rsid w:val="00EC0C04"/>
    <w:rsid w:val="00EC0C30"/>
    <w:rsid w:val="00EC0DD9"/>
    <w:rsid w:val="00EC0E6A"/>
    <w:rsid w:val="00EC11DE"/>
    <w:rsid w:val="00EC1344"/>
    <w:rsid w:val="00EC1484"/>
    <w:rsid w:val="00EC157B"/>
    <w:rsid w:val="00EC17C0"/>
    <w:rsid w:val="00EC21E1"/>
    <w:rsid w:val="00EC2262"/>
    <w:rsid w:val="00EC22F9"/>
    <w:rsid w:val="00EC237A"/>
    <w:rsid w:val="00EC24C1"/>
    <w:rsid w:val="00EC2869"/>
    <w:rsid w:val="00EC2A91"/>
    <w:rsid w:val="00EC2D86"/>
    <w:rsid w:val="00EC2FDE"/>
    <w:rsid w:val="00EC3261"/>
    <w:rsid w:val="00EC38DA"/>
    <w:rsid w:val="00EC3F42"/>
    <w:rsid w:val="00EC3FE2"/>
    <w:rsid w:val="00EC4050"/>
    <w:rsid w:val="00EC429F"/>
    <w:rsid w:val="00EC4325"/>
    <w:rsid w:val="00EC4D5F"/>
    <w:rsid w:val="00EC4EED"/>
    <w:rsid w:val="00EC5D0C"/>
    <w:rsid w:val="00EC67E6"/>
    <w:rsid w:val="00EC6CC3"/>
    <w:rsid w:val="00EC71A5"/>
    <w:rsid w:val="00EC7D0F"/>
    <w:rsid w:val="00EC7FF6"/>
    <w:rsid w:val="00ED09D9"/>
    <w:rsid w:val="00ED1267"/>
    <w:rsid w:val="00ED135C"/>
    <w:rsid w:val="00ED1580"/>
    <w:rsid w:val="00ED1755"/>
    <w:rsid w:val="00ED1AEA"/>
    <w:rsid w:val="00ED1E37"/>
    <w:rsid w:val="00ED1F47"/>
    <w:rsid w:val="00ED2157"/>
    <w:rsid w:val="00ED295B"/>
    <w:rsid w:val="00ED2C21"/>
    <w:rsid w:val="00ED30FD"/>
    <w:rsid w:val="00ED3750"/>
    <w:rsid w:val="00ED3CD3"/>
    <w:rsid w:val="00ED3EA4"/>
    <w:rsid w:val="00ED4481"/>
    <w:rsid w:val="00ED4657"/>
    <w:rsid w:val="00ED46D2"/>
    <w:rsid w:val="00ED548B"/>
    <w:rsid w:val="00ED59DC"/>
    <w:rsid w:val="00ED5DDF"/>
    <w:rsid w:val="00ED5E25"/>
    <w:rsid w:val="00ED6117"/>
    <w:rsid w:val="00ED623B"/>
    <w:rsid w:val="00ED62EF"/>
    <w:rsid w:val="00ED64DD"/>
    <w:rsid w:val="00ED67E2"/>
    <w:rsid w:val="00ED6A05"/>
    <w:rsid w:val="00ED6AAB"/>
    <w:rsid w:val="00ED6CDF"/>
    <w:rsid w:val="00ED7473"/>
    <w:rsid w:val="00ED7DE6"/>
    <w:rsid w:val="00EE00C8"/>
    <w:rsid w:val="00EE0286"/>
    <w:rsid w:val="00EE04C8"/>
    <w:rsid w:val="00EE0DE6"/>
    <w:rsid w:val="00EE0F6D"/>
    <w:rsid w:val="00EE1173"/>
    <w:rsid w:val="00EE135F"/>
    <w:rsid w:val="00EE13C4"/>
    <w:rsid w:val="00EE1456"/>
    <w:rsid w:val="00EE17D0"/>
    <w:rsid w:val="00EE1823"/>
    <w:rsid w:val="00EE20DF"/>
    <w:rsid w:val="00EE25CA"/>
    <w:rsid w:val="00EE28F0"/>
    <w:rsid w:val="00EE2B0F"/>
    <w:rsid w:val="00EE2EA6"/>
    <w:rsid w:val="00EE301A"/>
    <w:rsid w:val="00EE32B6"/>
    <w:rsid w:val="00EE3754"/>
    <w:rsid w:val="00EE3CD1"/>
    <w:rsid w:val="00EE42DD"/>
    <w:rsid w:val="00EE46F1"/>
    <w:rsid w:val="00EE4A0F"/>
    <w:rsid w:val="00EE50DD"/>
    <w:rsid w:val="00EE50EA"/>
    <w:rsid w:val="00EE5133"/>
    <w:rsid w:val="00EE5A17"/>
    <w:rsid w:val="00EE5C44"/>
    <w:rsid w:val="00EE62E8"/>
    <w:rsid w:val="00EE6939"/>
    <w:rsid w:val="00EE71F0"/>
    <w:rsid w:val="00EE74F5"/>
    <w:rsid w:val="00EF00BC"/>
    <w:rsid w:val="00EF02AD"/>
    <w:rsid w:val="00EF0393"/>
    <w:rsid w:val="00EF0B50"/>
    <w:rsid w:val="00EF0C17"/>
    <w:rsid w:val="00EF0F1B"/>
    <w:rsid w:val="00EF131A"/>
    <w:rsid w:val="00EF18AF"/>
    <w:rsid w:val="00EF1A5A"/>
    <w:rsid w:val="00EF1EB2"/>
    <w:rsid w:val="00EF2219"/>
    <w:rsid w:val="00EF228A"/>
    <w:rsid w:val="00EF2A50"/>
    <w:rsid w:val="00EF31E3"/>
    <w:rsid w:val="00EF322A"/>
    <w:rsid w:val="00EF3BEC"/>
    <w:rsid w:val="00EF417C"/>
    <w:rsid w:val="00EF42A2"/>
    <w:rsid w:val="00EF43F7"/>
    <w:rsid w:val="00EF4431"/>
    <w:rsid w:val="00EF44C3"/>
    <w:rsid w:val="00EF46E4"/>
    <w:rsid w:val="00EF4A40"/>
    <w:rsid w:val="00EF4F2D"/>
    <w:rsid w:val="00EF4FD4"/>
    <w:rsid w:val="00EF51DE"/>
    <w:rsid w:val="00EF57CD"/>
    <w:rsid w:val="00EF57E4"/>
    <w:rsid w:val="00EF5BEA"/>
    <w:rsid w:val="00EF6F2D"/>
    <w:rsid w:val="00EF79D6"/>
    <w:rsid w:val="00F000F3"/>
    <w:rsid w:val="00F00397"/>
    <w:rsid w:val="00F008B9"/>
    <w:rsid w:val="00F008D1"/>
    <w:rsid w:val="00F00A54"/>
    <w:rsid w:val="00F01C1A"/>
    <w:rsid w:val="00F01DA9"/>
    <w:rsid w:val="00F023E7"/>
    <w:rsid w:val="00F024CC"/>
    <w:rsid w:val="00F0253C"/>
    <w:rsid w:val="00F02A5D"/>
    <w:rsid w:val="00F02AF4"/>
    <w:rsid w:val="00F02E79"/>
    <w:rsid w:val="00F02E7A"/>
    <w:rsid w:val="00F0317B"/>
    <w:rsid w:val="00F0341B"/>
    <w:rsid w:val="00F03906"/>
    <w:rsid w:val="00F03E79"/>
    <w:rsid w:val="00F04052"/>
    <w:rsid w:val="00F04081"/>
    <w:rsid w:val="00F04279"/>
    <w:rsid w:val="00F047FA"/>
    <w:rsid w:val="00F0519D"/>
    <w:rsid w:val="00F051E7"/>
    <w:rsid w:val="00F05684"/>
    <w:rsid w:val="00F05B1F"/>
    <w:rsid w:val="00F05B63"/>
    <w:rsid w:val="00F05FF9"/>
    <w:rsid w:val="00F0670C"/>
    <w:rsid w:val="00F06D46"/>
    <w:rsid w:val="00F06E90"/>
    <w:rsid w:val="00F06E9B"/>
    <w:rsid w:val="00F06EAF"/>
    <w:rsid w:val="00F0747B"/>
    <w:rsid w:val="00F07766"/>
    <w:rsid w:val="00F07F71"/>
    <w:rsid w:val="00F1033E"/>
    <w:rsid w:val="00F10431"/>
    <w:rsid w:val="00F10929"/>
    <w:rsid w:val="00F1159B"/>
    <w:rsid w:val="00F116D4"/>
    <w:rsid w:val="00F12172"/>
    <w:rsid w:val="00F1278E"/>
    <w:rsid w:val="00F12AEF"/>
    <w:rsid w:val="00F12EB0"/>
    <w:rsid w:val="00F12F46"/>
    <w:rsid w:val="00F13045"/>
    <w:rsid w:val="00F131F2"/>
    <w:rsid w:val="00F13355"/>
    <w:rsid w:val="00F13E84"/>
    <w:rsid w:val="00F140DF"/>
    <w:rsid w:val="00F14546"/>
    <w:rsid w:val="00F148A0"/>
    <w:rsid w:val="00F14949"/>
    <w:rsid w:val="00F14C52"/>
    <w:rsid w:val="00F14DD5"/>
    <w:rsid w:val="00F150B0"/>
    <w:rsid w:val="00F15F00"/>
    <w:rsid w:val="00F163A7"/>
    <w:rsid w:val="00F1716B"/>
    <w:rsid w:val="00F17209"/>
    <w:rsid w:val="00F1764C"/>
    <w:rsid w:val="00F20203"/>
    <w:rsid w:val="00F20209"/>
    <w:rsid w:val="00F209E2"/>
    <w:rsid w:val="00F20FF1"/>
    <w:rsid w:val="00F21116"/>
    <w:rsid w:val="00F21142"/>
    <w:rsid w:val="00F2125A"/>
    <w:rsid w:val="00F2147C"/>
    <w:rsid w:val="00F214EA"/>
    <w:rsid w:val="00F218FE"/>
    <w:rsid w:val="00F21925"/>
    <w:rsid w:val="00F21FFC"/>
    <w:rsid w:val="00F224A3"/>
    <w:rsid w:val="00F22D2A"/>
    <w:rsid w:val="00F22E59"/>
    <w:rsid w:val="00F234FD"/>
    <w:rsid w:val="00F2351E"/>
    <w:rsid w:val="00F23681"/>
    <w:rsid w:val="00F23793"/>
    <w:rsid w:val="00F23B8B"/>
    <w:rsid w:val="00F23C6D"/>
    <w:rsid w:val="00F23E5B"/>
    <w:rsid w:val="00F245F8"/>
    <w:rsid w:val="00F24BE2"/>
    <w:rsid w:val="00F25001"/>
    <w:rsid w:val="00F25104"/>
    <w:rsid w:val="00F2515F"/>
    <w:rsid w:val="00F256FB"/>
    <w:rsid w:val="00F2591B"/>
    <w:rsid w:val="00F25BCD"/>
    <w:rsid w:val="00F261B8"/>
    <w:rsid w:val="00F261C4"/>
    <w:rsid w:val="00F2631E"/>
    <w:rsid w:val="00F26CE9"/>
    <w:rsid w:val="00F26D78"/>
    <w:rsid w:val="00F26E65"/>
    <w:rsid w:val="00F26EF9"/>
    <w:rsid w:val="00F27091"/>
    <w:rsid w:val="00F27107"/>
    <w:rsid w:val="00F2730E"/>
    <w:rsid w:val="00F2733D"/>
    <w:rsid w:val="00F273E2"/>
    <w:rsid w:val="00F277E5"/>
    <w:rsid w:val="00F27AA6"/>
    <w:rsid w:val="00F27C6A"/>
    <w:rsid w:val="00F302F3"/>
    <w:rsid w:val="00F311A8"/>
    <w:rsid w:val="00F31785"/>
    <w:rsid w:val="00F317A6"/>
    <w:rsid w:val="00F31834"/>
    <w:rsid w:val="00F31933"/>
    <w:rsid w:val="00F3234A"/>
    <w:rsid w:val="00F3276F"/>
    <w:rsid w:val="00F32788"/>
    <w:rsid w:val="00F32CB4"/>
    <w:rsid w:val="00F333F8"/>
    <w:rsid w:val="00F335DC"/>
    <w:rsid w:val="00F33731"/>
    <w:rsid w:val="00F33840"/>
    <w:rsid w:val="00F33B32"/>
    <w:rsid w:val="00F33F21"/>
    <w:rsid w:val="00F34245"/>
    <w:rsid w:val="00F3432B"/>
    <w:rsid w:val="00F3436C"/>
    <w:rsid w:val="00F349BA"/>
    <w:rsid w:val="00F34B5D"/>
    <w:rsid w:val="00F34BB8"/>
    <w:rsid w:val="00F34C75"/>
    <w:rsid w:val="00F34CC3"/>
    <w:rsid w:val="00F356F4"/>
    <w:rsid w:val="00F35C4F"/>
    <w:rsid w:val="00F3647C"/>
    <w:rsid w:val="00F36502"/>
    <w:rsid w:val="00F368DB"/>
    <w:rsid w:val="00F36DEC"/>
    <w:rsid w:val="00F3708C"/>
    <w:rsid w:val="00F3746F"/>
    <w:rsid w:val="00F37481"/>
    <w:rsid w:val="00F37771"/>
    <w:rsid w:val="00F4031C"/>
    <w:rsid w:val="00F40BBA"/>
    <w:rsid w:val="00F40F0E"/>
    <w:rsid w:val="00F410D0"/>
    <w:rsid w:val="00F411A5"/>
    <w:rsid w:val="00F41212"/>
    <w:rsid w:val="00F41429"/>
    <w:rsid w:val="00F41791"/>
    <w:rsid w:val="00F41A0A"/>
    <w:rsid w:val="00F41A99"/>
    <w:rsid w:val="00F41AA2"/>
    <w:rsid w:val="00F41AAD"/>
    <w:rsid w:val="00F41C3A"/>
    <w:rsid w:val="00F41CF3"/>
    <w:rsid w:val="00F41EC4"/>
    <w:rsid w:val="00F41F8E"/>
    <w:rsid w:val="00F41FE5"/>
    <w:rsid w:val="00F42309"/>
    <w:rsid w:val="00F423FD"/>
    <w:rsid w:val="00F4368F"/>
    <w:rsid w:val="00F43732"/>
    <w:rsid w:val="00F43960"/>
    <w:rsid w:val="00F43C50"/>
    <w:rsid w:val="00F43DE1"/>
    <w:rsid w:val="00F440DA"/>
    <w:rsid w:val="00F44399"/>
    <w:rsid w:val="00F44F05"/>
    <w:rsid w:val="00F45EC3"/>
    <w:rsid w:val="00F460B7"/>
    <w:rsid w:val="00F460F1"/>
    <w:rsid w:val="00F466D8"/>
    <w:rsid w:val="00F46CD4"/>
    <w:rsid w:val="00F46FEA"/>
    <w:rsid w:val="00F46FF9"/>
    <w:rsid w:val="00F47292"/>
    <w:rsid w:val="00F47530"/>
    <w:rsid w:val="00F47C22"/>
    <w:rsid w:val="00F47C8F"/>
    <w:rsid w:val="00F50783"/>
    <w:rsid w:val="00F5086C"/>
    <w:rsid w:val="00F511A3"/>
    <w:rsid w:val="00F51433"/>
    <w:rsid w:val="00F524E0"/>
    <w:rsid w:val="00F527B2"/>
    <w:rsid w:val="00F52AD0"/>
    <w:rsid w:val="00F52F78"/>
    <w:rsid w:val="00F53114"/>
    <w:rsid w:val="00F53290"/>
    <w:rsid w:val="00F533CE"/>
    <w:rsid w:val="00F5352B"/>
    <w:rsid w:val="00F535C4"/>
    <w:rsid w:val="00F53928"/>
    <w:rsid w:val="00F53BCB"/>
    <w:rsid w:val="00F54767"/>
    <w:rsid w:val="00F55226"/>
    <w:rsid w:val="00F55A98"/>
    <w:rsid w:val="00F561B5"/>
    <w:rsid w:val="00F56A0A"/>
    <w:rsid w:val="00F56BC2"/>
    <w:rsid w:val="00F56D63"/>
    <w:rsid w:val="00F576A4"/>
    <w:rsid w:val="00F60485"/>
    <w:rsid w:val="00F60771"/>
    <w:rsid w:val="00F60C9C"/>
    <w:rsid w:val="00F610C4"/>
    <w:rsid w:val="00F6131D"/>
    <w:rsid w:val="00F61658"/>
    <w:rsid w:val="00F61913"/>
    <w:rsid w:val="00F61E21"/>
    <w:rsid w:val="00F61F02"/>
    <w:rsid w:val="00F622A9"/>
    <w:rsid w:val="00F6274C"/>
    <w:rsid w:val="00F627A4"/>
    <w:rsid w:val="00F62D33"/>
    <w:rsid w:val="00F62F80"/>
    <w:rsid w:val="00F62FE5"/>
    <w:rsid w:val="00F632C4"/>
    <w:rsid w:val="00F637BE"/>
    <w:rsid w:val="00F63A87"/>
    <w:rsid w:val="00F64253"/>
    <w:rsid w:val="00F64280"/>
    <w:rsid w:val="00F6461E"/>
    <w:rsid w:val="00F64720"/>
    <w:rsid w:val="00F64AEC"/>
    <w:rsid w:val="00F64ECC"/>
    <w:rsid w:val="00F650AB"/>
    <w:rsid w:val="00F65327"/>
    <w:rsid w:val="00F662A5"/>
    <w:rsid w:val="00F6663E"/>
    <w:rsid w:val="00F667D5"/>
    <w:rsid w:val="00F669BB"/>
    <w:rsid w:val="00F66C18"/>
    <w:rsid w:val="00F66D4F"/>
    <w:rsid w:val="00F66E17"/>
    <w:rsid w:val="00F67308"/>
    <w:rsid w:val="00F674FD"/>
    <w:rsid w:val="00F67DF3"/>
    <w:rsid w:val="00F70501"/>
    <w:rsid w:val="00F70719"/>
    <w:rsid w:val="00F71508"/>
    <w:rsid w:val="00F71509"/>
    <w:rsid w:val="00F71623"/>
    <w:rsid w:val="00F7176C"/>
    <w:rsid w:val="00F717EB"/>
    <w:rsid w:val="00F717F8"/>
    <w:rsid w:val="00F7183E"/>
    <w:rsid w:val="00F71986"/>
    <w:rsid w:val="00F720CC"/>
    <w:rsid w:val="00F72538"/>
    <w:rsid w:val="00F725C3"/>
    <w:rsid w:val="00F72679"/>
    <w:rsid w:val="00F7270F"/>
    <w:rsid w:val="00F72805"/>
    <w:rsid w:val="00F72A48"/>
    <w:rsid w:val="00F72F8D"/>
    <w:rsid w:val="00F730ED"/>
    <w:rsid w:val="00F736F1"/>
    <w:rsid w:val="00F73AFF"/>
    <w:rsid w:val="00F73BC0"/>
    <w:rsid w:val="00F73E85"/>
    <w:rsid w:val="00F73EC7"/>
    <w:rsid w:val="00F73F05"/>
    <w:rsid w:val="00F743C2"/>
    <w:rsid w:val="00F74678"/>
    <w:rsid w:val="00F748E5"/>
    <w:rsid w:val="00F74993"/>
    <w:rsid w:val="00F74BD3"/>
    <w:rsid w:val="00F75A40"/>
    <w:rsid w:val="00F760E8"/>
    <w:rsid w:val="00F765BB"/>
    <w:rsid w:val="00F766F9"/>
    <w:rsid w:val="00F76C16"/>
    <w:rsid w:val="00F76EDA"/>
    <w:rsid w:val="00F77C79"/>
    <w:rsid w:val="00F802FF"/>
    <w:rsid w:val="00F8051A"/>
    <w:rsid w:val="00F805A4"/>
    <w:rsid w:val="00F80C59"/>
    <w:rsid w:val="00F81468"/>
    <w:rsid w:val="00F81A74"/>
    <w:rsid w:val="00F81B60"/>
    <w:rsid w:val="00F82906"/>
    <w:rsid w:val="00F82B4B"/>
    <w:rsid w:val="00F82FD2"/>
    <w:rsid w:val="00F831C4"/>
    <w:rsid w:val="00F833FC"/>
    <w:rsid w:val="00F83728"/>
    <w:rsid w:val="00F838E5"/>
    <w:rsid w:val="00F841B5"/>
    <w:rsid w:val="00F84290"/>
    <w:rsid w:val="00F8429D"/>
    <w:rsid w:val="00F84CCF"/>
    <w:rsid w:val="00F84F62"/>
    <w:rsid w:val="00F8522C"/>
    <w:rsid w:val="00F85A92"/>
    <w:rsid w:val="00F85AAC"/>
    <w:rsid w:val="00F85E18"/>
    <w:rsid w:val="00F85F7F"/>
    <w:rsid w:val="00F86295"/>
    <w:rsid w:val="00F8694F"/>
    <w:rsid w:val="00F86C1F"/>
    <w:rsid w:val="00F872D6"/>
    <w:rsid w:val="00F87827"/>
    <w:rsid w:val="00F87CC2"/>
    <w:rsid w:val="00F901C7"/>
    <w:rsid w:val="00F90568"/>
    <w:rsid w:val="00F905CB"/>
    <w:rsid w:val="00F90DD7"/>
    <w:rsid w:val="00F911C5"/>
    <w:rsid w:val="00F9154F"/>
    <w:rsid w:val="00F91930"/>
    <w:rsid w:val="00F921E3"/>
    <w:rsid w:val="00F92DB2"/>
    <w:rsid w:val="00F93915"/>
    <w:rsid w:val="00F93E95"/>
    <w:rsid w:val="00F950D1"/>
    <w:rsid w:val="00F95233"/>
    <w:rsid w:val="00F953C9"/>
    <w:rsid w:val="00F957F3"/>
    <w:rsid w:val="00F9592B"/>
    <w:rsid w:val="00F95E29"/>
    <w:rsid w:val="00F962B0"/>
    <w:rsid w:val="00F965B5"/>
    <w:rsid w:val="00F967BE"/>
    <w:rsid w:val="00F969A9"/>
    <w:rsid w:val="00F96B62"/>
    <w:rsid w:val="00F970BE"/>
    <w:rsid w:val="00F979BF"/>
    <w:rsid w:val="00F97B48"/>
    <w:rsid w:val="00F97CB5"/>
    <w:rsid w:val="00FA001F"/>
    <w:rsid w:val="00FA013F"/>
    <w:rsid w:val="00FA0522"/>
    <w:rsid w:val="00FA066A"/>
    <w:rsid w:val="00FA099F"/>
    <w:rsid w:val="00FA09C2"/>
    <w:rsid w:val="00FA0C75"/>
    <w:rsid w:val="00FA0FE1"/>
    <w:rsid w:val="00FA0FEB"/>
    <w:rsid w:val="00FA115B"/>
    <w:rsid w:val="00FA14BA"/>
    <w:rsid w:val="00FA163D"/>
    <w:rsid w:val="00FA17F9"/>
    <w:rsid w:val="00FA1B85"/>
    <w:rsid w:val="00FA1EFA"/>
    <w:rsid w:val="00FA252D"/>
    <w:rsid w:val="00FA2558"/>
    <w:rsid w:val="00FA2635"/>
    <w:rsid w:val="00FA3789"/>
    <w:rsid w:val="00FA37B9"/>
    <w:rsid w:val="00FA3947"/>
    <w:rsid w:val="00FA3E06"/>
    <w:rsid w:val="00FA4447"/>
    <w:rsid w:val="00FA48B0"/>
    <w:rsid w:val="00FA4AD4"/>
    <w:rsid w:val="00FA5231"/>
    <w:rsid w:val="00FA5A93"/>
    <w:rsid w:val="00FA5DE4"/>
    <w:rsid w:val="00FA5EAD"/>
    <w:rsid w:val="00FA649C"/>
    <w:rsid w:val="00FA67A1"/>
    <w:rsid w:val="00FA681C"/>
    <w:rsid w:val="00FA693E"/>
    <w:rsid w:val="00FA6A2A"/>
    <w:rsid w:val="00FA6C2E"/>
    <w:rsid w:val="00FA6E9A"/>
    <w:rsid w:val="00FA6EDE"/>
    <w:rsid w:val="00FA7094"/>
    <w:rsid w:val="00FA7647"/>
    <w:rsid w:val="00FA76CE"/>
    <w:rsid w:val="00FA79BB"/>
    <w:rsid w:val="00FA7A25"/>
    <w:rsid w:val="00FA7A98"/>
    <w:rsid w:val="00FB0879"/>
    <w:rsid w:val="00FB0971"/>
    <w:rsid w:val="00FB1989"/>
    <w:rsid w:val="00FB19A8"/>
    <w:rsid w:val="00FB2341"/>
    <w:rsid w:val="00FB23C8"/>
    <w:rsid w:val="00FB255D"/>
    <w:rsid w:val="00FB2602"/>
    <w:rsid w:val="00FB2772"/>
    <w:rsid w:val="00FB2A68"/>
    <w:rsid w:val="00FB2A88"/>
    <w:rsid w:val="00FB2D78"/>
    <w:rsid w:val="00FB314B"/>
    <w:rsid w:val="00FB32CE"/>
    <w:rsid w:val="00FB3339"/>
    <w:rsid w:val="00FB36D0"/>
    <w:rsid w:val="00FB3CA3"/>
    <w:rsid w:val="00FB3E56"/>
    <w:rsid w:val="00FB421E"/>
    <w:rsid w:val="00FB4437"/>
    <w:rsid w:val="00FB473F"/>
    <w:rsid w:val="00FB4918"/>
    <w:rsid w:val="00FB49C2"/>
    <w:rsid w:val="00FB4CC9"/>
    <w:rsid w:val="00FB4D01"/>
    <w:rsid w:val="00FB4EE1"/>
    <w:rsid w:val="00FB52F1"/>
    <w:rsid w:val="00FB546F"/>
    <w:rsid w:val="00FB5952"/>
    <w:rsid w:val="00FB5DBC"/>
    <w:rsid w:val="00FB6297"/>
    <w:rsid w:val="00FB62E0"/>
    <w:rsid w:val="00FB6783"/>
    <w:rsid w:val="00FB685B"/>
    <w:rsid w:val="00FB6CF0"/>
    <w:rsid w:val="00FB6F44"/>
    <w:rsid w:val="00FB7DD0"/>
    <w:rsid w:val="00FB7E89"/>
    <w:rsid w:val="00FC08A3"/>
    <w:rsid w:val="00FC08AA"/>
    <w:rsid w:val="00FC127B"/>
    <w:rsid w:val="00FC148B"/>
    <w:rsid w:val="00FC17BD"/>
    <w:rsid w:val="00FC1BA0"/>
    <w:rsid w:val="00FC1DBA"/>
    <w:rsid w:val="00FC1DCE"/>
    <w:rsid w:val="00FC1E06"/>
    <w:rsid w:val="00FC2258"/>
    <w:rsid w:val="00FC2550"/>
    <w:rsid w:val="00FC2730"/>
    <w:rsid w:val="00FC29EA"/>
    <w:rsid w:val="00FC3209"/>
    <w:rsid w:val="00FC3C7E"/>
    <w:rsid w:val="00FC3CBE"/>
    <w:rsid w:val="00FC405B"/>
    <w:rsid w:val="00FC45EF"/>
    <w:rsid w:val="00FC47CC"/>
    <w:rsid w:val="00FC4B4B"/>
    <w:rsid w:val="00FC525E"/>
    <w:rsid w:val="00FC5369"/>
    <w:rsid w:val="00FC5818"/>
    <w:rsid w:val="00FC58EF"/>
    <w:rsid w:val="00FC5F67"/>
    <w:rsid w:val="00FC6042"/>
    <w:rsid w:val="00FC60C4"/>
    <w:rsid w:val="00FC6110"/>
    <w:rsid w:val="00FC6287"/>
    <w:rsid w:val="00FC6365"/>
    <w:rsid w:val="00FC757A"/>
    <w:rsid w:val="00FC75F7"/>
    <w:rsid w:val="00FC78A4"/>
    <w:rsid w:val="00FC7A7A"/>
    <w:rsid w:val="00FD0001"/>
    <w:rsid w:val="00FD014C"/>
    <w:rsid w:val="00FD1227"/>
    <w:rsid w:val="00FD1467"/>
    <w:rsid w:val="00FD154E"/>
    <w:rsid w:val="00FD1822"/>
    <w:rsid w:val="00FD1874"/>
    <w:rsid w:val="00FD1E61"/>
    <w:rsid w:val="00FD1EEE"/>
    <w:rsid w:val="00FD2141"/>
    <w:rsid w:val="00FD23CA"/>
    <w:rsid w:val="00FD263C"/>
    <w:rsid w:val="00FD26E5"/>
    <w:rsid w:val="00FD28CF"/>
    <w:rsid w:val="00FD291A"/>
    <w:rsid w:val="00FD296A"/>
    <w:rsid w:val="00FD2AFD"/>
    <w:rsid w:val="00FD2C8A"/>
    <w:rsid w:val="00FD2EE9"/>
    <w:rsid w:val="00FD2F75"/>
    <w:rsid w:val="00FD3702"/>
    <w:rsid w:val="00FD39B7"/>
    <w:rsid w:val="00FD3A55"/>
    <w:rsid w:val="00FD3BA0"/>
    <w:rsid w:val="00FD3C49"/>
    <w:rsid w:val="00FD3FF3"/>
    <w:rsid w:val="00FD439D"/>
    <w:rsid w:val="00FD479F"/>
    <w:rsid w:val="00FD4E41"/>
    <w:rsid w:val="00FD4E45"/>
    <w:rsid w:val="00FD505D"/>
    <w:rsid w:val="00FD5187"/>
    <w:rsid w:val="00FD56AD"/>
    <w:rsid w:val="00FD57C7"/>
    <w:rsid w:val="00FD5BF9"/>
    <w:rsid w:val="00FD6235"/>
    <w:rsid w:val="00FD648B"/>
    <w:rsid w:val="00FD681A"/>
    <w:rsid w:val="00FD76B1"/>
    <w:rsid w:val="00FD7884"/>
    <w:rsid w:val="00FD7A5A"/>
    <w:rsid w:val="00FE04B8"/>
    <w:rsid w:val="00FE05D6"/>
    <w:rsid w:val="00FE06E0"/>
    <w:rsid w:val="00FE092E"/>
    <w:rsid w:val="00FE0A1D"/>
    <w:rsid w:val="00FE0AE2"/>
    <w:rsid w:val="00FE0B9E"/>
    <w:rsid w:val="00FE1414"/>
    <w:rsid w:val="00FE1BB4"/>
    <w:rsid w:val="00FE2170"/>
    <w:rsid w:val="00FE21B3"/>
    <w:rsid w:val="00FE2333"/>
    <w:rsid w:val="00FE2789"/>
    <w:rsid w:val="00FE27F4"/>
    <w:rsid w:val="00FE29DB"/>
    <w:rsid w:val="00FE2A6B"/>
    <w:rsid w:val="00FE30F6"/>
    <w:rsid w:val="00FE3753"/>
    <w:rsid w:val="00FE3ABA"/>
    <w:rsid w:val="00FE3FF7"/>
    <w:rsid w:val="00FE44C9"/>
    <w:rsid w:val="00FE4A60"/>
    <w:rsid w:val="00FE4C3C"/>
    <w:rsid w:val="00FE4CD8"/>
    <w:rsid w:val="00FE4D9B"/>
    <w:rsid w:val="00FE4E8D"/>
    <w:rsid w:val="00FE540D"/>
    <w:rsid w:val="00FE5540"/>
    <w:rsid w:val="00FE560B"/>
    <w:rsid w:val="00FE5B80"/>
    <w:rsid w:val="00FE5F3B"/>
    <w:rsid w:val="00FE5FAF"/>
    <w:rsid w:val="00FE6021"/>
    <w:rsid w:val="00FE634B"/>
    <w:rsid w:val="00FE63FD"/>
    <w:rsid w:val="00FE6EB2"/>
    <w:rsid w:val="00FE76FB"/>
    <w:rsid w:val="00FE77A2"/>
    <w:rsid w:val="00FE78D3"/>
    <w:rsid w:val="00FE7EE2"/>
    <w:rsid w:val="00FF0A05"/>
    <w:rsid w:val="00FF0CFB"/>
    <w:rsid w:val="00FF1095"/>
    <w:rsid w:val="00FF1163"/>
    <w:rsid w:val="00FF13DC"/>
    <w:rsid w:val="00FF16BE"/>
    <w:rsid w:val="00FF208B"/>
    <w:rsid w:val="00FF2163"/>
    <w:rsid w:val="00FF2237"/>
    <w:rsid w:val="00FF2719"/>
    <w:rsid w:val="00FF2772"/>
    <w:rsid w:val="00FF29B5"/>
    <w:rsid w:val="00FF2ADE"/>
    <w:rsid w:val="00FF2CF6"/>
    <w:rsid w:val="00FF2D1C"/>
    <w:rsid w:val="00FF2D24"/>
    <w:rsid w:val="00FF357B"/>
    <w:rsid w:val="00FF360A"/>
    <w:rsid w:val="00FF3B8E"/>
    <w:rsid w:val="00FF4194"/>
    <w:rsid w:val="00FF4703"/>
    <w:rsid w:val="00FF4B37"/>
    <w:rsid w:val="00FF4FB5"/>
    <w:rsid w:val="00FF4FF7"/>
    <w:rsid w:val="00FF531C"/>
    <w:rsid w:val="00FF5327"/>
    <w:rsid w:val="00FF5374"/>
    <w:rsid w:val="00FF5896"/>
    <w:rsid w:val="00FF65A5"/>
    <w:rsid w:val="00FF65BA"/>
    <w:rsid w:val="00FF6644"/>
    <w:rsid w:val="00FF6BBB"/>
    <w:rsid w:val="00FF701E"/>
    <w:rsid w:val="00FF744F"/>
    <w:rsid w:val="00FF7D47"/>
    <w:rsid w:val="00FF7EB5"/>
    <w:rsid w:val="00FF7FD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style="mso-position-horizontal:center;mso-width-percent:400;mso-height-percent:200;mso-width-relative:margin;mso-height-relative:margin" fillcolor="white">
      <v:fill color="white"/>
      <v:textbox style="mso-fit-shape-to-text:t"/>
      <o:colormru v:ext="edit" colors="#bd1f2b,#cf1e24,#d90b13,#e31c18"/>
    </o:shapedefaults>
    <o:shapelayout v:ext="edit">
      <o:idmap v:ext="edit" data="1"/>
    </o:shapelayout>
  </w:shapeDefaults>
  <w:decimalSymbol w:val=","/>
  <w:listSeparator w:val=";"/>
  <w15:docId w15:val="{F4915719-8CA8-4039-8467-5186AF6E68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semiHidden="1" w:uiPriority="0" w:unhideWhenUsed="1" w:qFormat="1"/>
    <w:lsdException w:name="heading 3" w:locked="1" w:semiHidden="1" w:uiPriority="0" w:unhideWhenUsed="1"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9D708C"/>
    <w:pPr>
      <w:widowControl w:val="0"/>
      <w:overflowPunct w:val="0"/>
      <w:autoSpaceDE w:val="0"/>
      <w:autoSpaceDN w:val="0"/>
      <w:adjustRightInd w:val="0"/>
      <w:spacing w:before="100" w:after="100"/>
    </w:pPr>
    <w:rPr>
      <w:kern w:val="28"/>
    </w:rPr>
  </w:style>
  <w:style w:type="paragraph" w:styleId="Titolo1">
    <w:name w:val="heading 1"/>
    <w:basedOn w:val="Normale"/>
    <w:next w:val="Normale"/>
    <w:link w:val="Titolo1Carattere"/>
    <w:uiPriority w:val="99"/>
    <w:qFormat/>
    <w:rsid w:val="00BC3FFD"/>
    <w:pPr>
      <w:keepNext/>
      <w:spacing w:before="0" w:after="120"/>
      <w:jc w:val="both"/>
      <w:outlineLvl w:val="0"/>
    </w:pPr>
    <w:rPr>
      <w:rFonts w:ascii="Cambria" w:hAnsi="Cambria"/>
      <w:b/>
      <w:kern w:val="32"/>
      <w:sz w:val="32"/>
    </w:rPr>
  </w:style>
  <w:style w:type="paragraph" w:styleId="Titolo3">
    <w:name w:val="heading 3"/>
    <w:basedOn w:val="Normale"/>
    <w:next w:val="Normale"/>
    <w:link w:val="Titolo3Carattere"/>
    <w:unhideWhenUsed/>
    <w:qFormat/>
    <w:locked/>
    <w:rsid w:val="00E77400"/>
    <w:pPr>
      <w:keepNext/>
      <w:keepLines/>
      <w:spacing w:before="200" w:after="0"/>
      <w:outlineLvl w:val="2"/>
    </w:pPr>
    <w:rPr>
      <w:rFonts w:asciiTheme="majorHAnsi" w:eastAsiaTheme="majorEastAsia" w:hAnsiTheme="majorHAnsi" w:cstheme="majorBidi"/>
      <w:b/>
      <w:bCs/>
      <w:color w:val="4F81BD" w:themeColor="accent1"/>
    </w:rPr>
  </w:style>
  <w:style w:type="paragraph" w:styleId="Titolo4">
    <w:name w:val="heading 4"/>
    <w:basedOn w:val="Normale"/>
    <w:next w:val="Normale"/>
    <w:link w:val="Titolo4Carattere"/>
    <w:qFormat/>
    <w:locked/>
    <w:rsid w:val="00CD17F5"/>
    <w:pPr>
      <w:keepNext/>
      <w:keepLines/>
      <w:spacing w:before="200" w:after="0"/>
      <w:outlineLvl w:val="3"/>
    </w:pPr>
    <w:rPr>
      <w:rFonts w:ascii="Cambria" w:hAnsi="Cambria"/>
      <w:b/>
      <w:bCs/>
      <w:i/>
      <w:iCs/>
      <w:color w:val="4F81BD"/>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link w:val="Titolo1"/>
    <w:uiPriority w:val="99"/>
    <w:locked/>
    <w:rsid w:val="00226782"/>
    <w:rPr>
      <w:rFonts w:ascii="Cambria" w:hAnsi="Cambria" w:cs="Times New Roman"/>
      <w:b/>
      <w:kern w:val="32"/>
      <w:sz w:val="32"/>
    </w:rPr>
  </w:style>
  <w:style w:type="paragraph" w:styleId="Corpotesto">
    <w:name w:val="Body Text"/>
    <w:basedOn w:val="Normale"/>
    <w:link w:val="CorpotestoCarattere"/>
    <w:uiPriority w:val="99"/>
    <w:rsid w:val="00BC3FFD"/>
    <w:pPr>
      <w:spacing w:before="0" w:after="0" w:line="360" w:lineRule="auto"/>
    </w:pPr>
  </w:style>
  <w:style w:type="character" w:customStyle="1" w:styleId="CorpotestoCarattere">
    <w:name w:val="Corpo testo Carattere"/>
    <w:link w:val="Corpotesto"/>
    <w:uiPriority w:val="99"/>
    <w:locked/>
    <w:rsid w:val="00226782"/>
    <w:rPr>
      <w:rFonts w:cs="Times New Roman"/>
      <w:kern w:val="28"/>
      <w:sz w:val="20"/>
    </w:rPr>
  </w:style>
  <w:style w:type="paragraph" w:styleId="Pidipagina">
    <w:name w:val="footer"/>
    <w:basedOn w:val="Normale"/>
    <w:link w:val="PidipaginaCarattere"/>
    <w:uiPriority w:val="99"/>
    <w:rsid w:val="00BC3FFD"/>
    <w:pPr>
      <w:tabs>
        <w:tab w:val="center" w:pos="4818"/>
        <w:tab w:val="right" w:pos="9637"/>
      </w:tabs>
      <w:spacing w:before="0" w:after="0"/>
      <w:jc w:val="both"/>
    </w:pPr>
  </w:style>
  <w:style w:type="character" w:customStyle="1" w:styleId="PidipaginaCarattere">
    <w:name w:val="Piè di pagina Carattere"/>
    <w:link w:val="Pidipagina"/>
    <w:uiPriority w:val="99"/>
    <w:locked/>
    <w:rsid w:val="00226782"/>
    <w:rPr>
      <w:rFonts w:cs="Times New Roman"/>
      <w:kern w:val="28"/>
      <w:sz w:val="20"/>
    </w:rPr>
  </w:style>
  <w:style w:type="character" w:styleId="Collegamentoipertestuale">
    <w:name w:val="Hyperlink"/>
    <w:uiPriority w:val="99"/>
    <w:rsid w:val="001F7282"/>
    <w:rPr>
      <w:rFonts w:cs="Times New Roman"/>
      <w:color w:val="0000FF"/>
      <w:u w:val="single"/>
    </w:rPr>
  </w:style>
  <w:style w:type="paragraph" w:styleId="Intestazione">
    <w:name w:val="header"/>
    <w:basedOn w:val="Normale"/>
    <w:link w:val="IntestazioneCarattere"/>
    <w:uiPriority w:val="99"/>
    <w:rsid w:val="000F6161"/>
    <w:pPr>
      <w:tabs>
        <w:tab w:val="center" w:pos="4819"/>
        <w:tab w:val="right" w:pos="9638"/>
      </w:tabs>
    </w:pPr>
  </w:style>
  <w:style w:type="character" w:customStyle="1" w:styleId="IntestazioneCarattere">
    <w:name w:val="Intestazione Carattere"/>
    <w:link w:val="Intestazione"/>
    <w:uiPriority w:val="99"/>
    <w:locked/>
    <w:rsid w:val="00226782"/>
    <w:rPr>
      <w:rFonts w:cs="Times New Roman"/>
      <w:kern w:val="28"/>
      <w:sz w:val="20"/>
    </w:rPr>
  </w:style>
  <w:style w:type="character" w:styleId="Numeropagina">
    <w:name w:val="page number"/>
    <w:uiPriority w:val="99"/>
    <w:rsid w:val="0026018C"/>
    <w:rPr>
      <w:rFonts w:cs="Times New Roman"/>
    </w:rPr>
  </w:style>
  <w:style w:type="paragraph" w:styleId="Testofumetto">
    <w:name w:val="Balloon Text"/>
    <w:basedOn w:val="Normale"/>
    <w:link w:val="TestofumettoCarattere"/>
    <w:uiPriority w:val="99"/>
    <w:semiHidden/>
    <w:rsid w:val="00486F36"/>
    <w:rPr>
      <w:sz w:val="2"/>
    </w:rPr>
  </w:style>
  <w:style w:type="character" w:customStyle="1" w:styleId="TestofumettoCarattere">
    <w:name w:val="Testo fumetto Carattere"/>
    <w:link w:val="Testofumetto"/>
    <w:uiPriority w:val="99"/>
    <w:semiHidden/>
    <w:locked/>
    <w:rsid w:val="00226782"/>
    <w:rPr>
      <w:rFonts w:cs="Times New Roman"/>
      <w:kern w:val="28"/>
      <w:sz w:val="2"/>
    </w:rPr>
  </w:style>
  <w:style w:type="paragraph" w:styleId="NormaleWeb">
    <w:name w:val="Normal (Web)"/>
    <w:basedOn w:val="Normale"/>
    <w:uiPriority w:val="99"/>
    <w:rsid w:val="00100058"/>
    <w:pPr>
      <w:widowControl/>
      <w:overflowPunct/>
      <w:autoSpaceDE/>
      <w:autoSpaceDN/>
      <w:adjustRightInd/>
      <w:spacing w:beforeAutospacing="1" w:afterAutospacing="1"/>
    </w:pPr>
    <w:rPr>
      <w:kern w:val="0"/>
      <w:sz w:val="24"/>
      <w:szCs w:val="24"/>
    </w:rPr>
  </w:style>
  <w:style w:type="paragraph" w:styleId="PreformattatoHTML">
    <w:name w:val="HTML Preformatted"/>
    <w:basedOn w:val="Normale"/>
    <w:link w:val="PreformattatoHTMLCarattere"/>
    <w:uiPriority w:val="99"/>
    <w:rsid w:val="0090609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spacing w:before="0" w:after="0"/>
    </w:pPr>
    <w:rPr>
      <w:rFonts w:ascii="Courier New" w:hAnsi="Courier New"/>
    </w:rPr>
  </w:style>
  <w:style w:type="character" w:customStyle="1" w:styleId="PreformattatoHTMLCarattere">
    <w:name w:val="Preformattato HTML Carattere"/>
    <w:link w:val="PreformattatoHTML"/>
    <w:uiPriority w:val="99"/>
    <w:locked/>
    <w:rsid w:val="00226782"/>
    <w:rPr>
      <w:rFonts w:ascii="Courier New" w:hAnsi="Courier New" w:cs="Times New Roman"/>
      <w:kern w:val="28"/>
      <w:sz w:val="20"/>
    </w:rPr>
  </w:style>
  <w:style w:type="character" w:styleId="Enfasigrassetto">
    <w:name w:val="Strong"/>
    <w:uiPriority w:val="99"/>
    <w:qFormat/>
    <w:rsid w:val="008C6EAA"/>
    <w:rPr>
      <w:rFonts w:cs="Times New Roman"/>
      <w:b/>
    </w:rPr>
  </w:style>
  <w:style w:type="table" w:styleId="Grigliatabella">
    <w:name w:val="Table Grid"/>
    <w:basedOn w:val="Tabellanormale"/>
    <w:uiPriority w:val="99"/>
    <w:locked/>
    <w:rsid w:val="00E75DC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pple-style-span">
    <w:name w:val="apple-style-span"/>
    <w:uiPriority w:val="99"/>
    <w:rsid w:val="00E75DCC"/>
  </w:style>
  <w:style w:type="paragraph" w:styleId="Testonotaapidipagina">
    <w:name w:val="footnote text"/>
    <w:basedOn w:val="Normale"/>
    <w:link w:val="TestonotaapidipaginaCarattere"/>
    <w:uiPriority w:val="99"/>
    <w:rsid w:val="006C145B"/>
  </w:style>
  <w:style w:type="character" w:customStyle="1" w:styleId="TestonotaapidipaginaCarattere">
    <w:name w:val="Testo nota a piè di pagina Carattere"/>
    <w:link w:val="Testonotaapidipagina"/>
    <w:uiPriority w:val="99"/>
    <w:locked/>
    <w:rsid w:val="00F05FF9"/>
    <w:rPr>
      <w:rFonts w:cs="Times New Roman"/>
      <w:kern w:val="28"/>
      <w:sz w:val="20"/>
    </w:rPr>
  </w:style>
  <w:style w:type="character" w:styleId="Rimandonotaapidipagina">
    <w:name w:val="footnote reference"/>
    <w:rsid w:val="006C145B"/>
    <w:rPr>
      <w:rFonts w:cs="Times New Roman"/>
      <w:vertAlign w:val="superscript"/>
    </w:rPr>
  </w:style>
  <w:style w:type="character" w:styleId="Enfasicorsivo">
    <w:name w:val="Emphasis"/>
    <w:uiPriority w:val="99"/>
    <w:qFormat/>
    <w:locked/>
    <w:rsid w:val="00E80FB8"/>
    <w:rPr>
      <w:rFonts w:cs="Times New Roman"/>
      <w:i/>
    </w:rPr>
  </w:style>
  <w:style w:type="paragraph" w:customStyle="1" w:styleId="Grigliamedia1-Colore21">
    <w:name w:val="Griglia media 1 - Colore 21"/>
    <w:basedOn w:val="Normale"/>
    <w:uiPriority w:val="34"/>
    <w:qFormat/>
    <w:rsid w:val="0022535F"/>
    <w:pPr>
      <w:ind w:left="720"/>
      <w:contextualSpacing/>
    </w:pPr>
  </w:style>
  <w:style w:type="character" w:styleId="Rimandocommento">
    <w:name w:val="annotation reference"/>
    <w:uiPriority w:val="99"/>
    <w:semiHidden/>
    <w:unhideWhenUsed/>
    <w:rsid w:val="00407D29"/>
    <w:rPr>
      <w:sz w:val="16"/>
      <w:szCs w:val="16"/>
    </w:rPr>
  </w:style>
  <w:style w:type="paragraph" w:styleId="Testocommento">
    <w:name w:val="annotation text"/>
    <w:basedOn w:val="Normale"/>
    <w:link w:val="TestocommentoCarattere"/>
    <w:uiPriority w:val="99"/>
    <w:semiHidden/>
    <w:unhideWhenUsed/>
    <w:rsid w:val="00407D29"/>
  </w:style>
  <w:style w:type="character" w:customStyle="1" w:styleId="TestocommentoCarattere">
    <w:name w:val="Testo commento Carattere"/>
    <w:link w:val="Testocommento"/>
    <w:uiPriority w:val="99"/>
    <w:semiHidden/>
    <w:rsid w:val="00407D29"/>
    <w:rPr>
      <w:kern w:val="28"/>
      <w:sz w:val="20"/>
      <w:szCs w:val="20"/>
    </w:rPr>
  </w:style>
  <w:style w:type="paragraph" w:styleId="Soggettocommento">
    <w:name w:val="annotation subject"/>
    <w:basedOn w:val="Testocommento"/>
    <w:next w:val="Testocommento"/>
    <w:link w:val="SoggettocommentoCarattere"/>
    <w:uiPriority w:val="99"/>
    <w:semiHidden/>
    <w:unhideWhenUsed/>
    <w:rsid w:val="00407D29"/>
    <w:rPr>
      <w:b/>
      <w:bCs/>
    </w:rPr>
  </w:style>
  <w:style w:type="character" w:customStyle="1" w:styleId="SoggettocommentoCarattere">
    <w:name w:val="Soggetto commento Carattere"/>
    <w:link w:val="Soggettocommento"/>
    <w:uiPriority w:val="99"/>
    <w:semiHidden/>
    <w:rsid w:val="00407D29"/>
    <w:rPr>
      <w:b/>
      <w:bCs/>
      <w:kern w:val="28"/>
      <w:sz w:val="20"/>
      <w:szCs w:val="20"/>
    </w:rPr>
  </w:style>
  <w:style w:type="paragraph" w:styleId="Sottotitolo">
    <w:name w:val="Subtitle"/>
    <w:basedOn w:val="Normale"/>
    <w:next w:val="Normale"/>
    <w:link w:val="SottotitoloCarattere"/>
    <w:qFormat/>
    <w:locked/>
    <w:rsid w:val="006166D3"/>
    <w:pPr>
      <w:numPr>
        <w:ilvl w:val="1"/>
      </w:numPr>
    </w:pPr>
    <w:rPr>
      <w:rFonts w:ascii="Cambria" w:hAnsi="Cambria"/>
      <w:i/>
      <w:iCs/>
      <w:color w:val="4F81BD"/>
      <w:spacing w:val="15"/>
      <w:sz w:val="24"/>
      <w:szCs w:val="24"/>
    </w:rPr>
  </w:style>
  <w:style w:type="character" w:customStyle="1" w:styleId="SottotitoloCarattere">
    <w:name w:val="Sottotitolo Carattere"/>
    <w:link w:val="Sottotitolo"/>
    <w:rsid w:val="006166D3"/>
    <w:rPr>
      <w:rFonts w:ascii="Cambria" w:eastAsia="Times New Roman" w:hAnsi="Cambria" w:cs="Times New Roman"/>
      <w:i/>
      <w:iCs/>
      <w:color w:val="4F81BD"/>
      <w:spacing w:val="15"/>
      <w:kern w:val="28"/>
      <w:sz w:val="24"/>
      <w:szCs w:val="24"/>
    </w:rPr>
  </w:style>
  <w:style w:type="character" w:customStyle="1" w:styleId="Titolo4Carattere">
    <w:name w:val="Titolo 4 Carattere"/>
    <w:link w:val="Titolo4"/>
    <w:uiPriority w:val="9"/>
    <w:rsid w:val="00CD17F5"/>
    <w:rPr>
      <w:rFonts w:ascii="Cambria" w:eastAsia="Times New Roman" w:hAnsi="Cambria" w:cs="Times New Roman"/>
      <w:b/>
      <w:bCs/>
      <w:i/>
      <w:iCs/>
      <w:color w:val="4F81BD"/>
      <w:kern w:val="28"/>
      <w:sz w:val="20"/>
      <w:szCs w:val="20"/>
    </w:rPr>
  </w:style>
  <w:style w:type="paragraph" w:customStyle="1" w:styleId="Default">
    <w:name w:val="Default"/>
    <w:uiPriority w:val="99"/>
    <w:rsid w:val="00417ECD"/>
    <w:pPr>
      <w:autoSpaceDE w:val="0"/>
      <w:autoSpaceDN w:val="0"/>
      <w:adjustRightInd w:val="0"/>
    </w:pPr>
    <w:rPr>
      <w:rFonts w:ascii="Arial Narrow" w:hAnsi="Arial Narrow"/>
      <w:color w:val="000000"/>
      <w:sz w:val="24"/>
      <w:szCs w:val="24"/>
    </w:rPr>
  </w:style>
  <w:style w:type="paragraph" w:customStyle="1" w:styleId="Paragrafobase">
    <w:name w:val="[Paragrafo base]"/>
    <w:basedOn w:val="Normale"/>
    <w:uiPriority w:val="99"/>
    <w:rsid w:val="00083173"/>
    <w:pPr>
      <w:overflowPunct/>
      <w:spacing w:before="0" w:after="0" w:line="288" w:lineRule="auto"/>
      <w:textAlignment w:val="center"/>
    </w:pPr>
    <w:rPr>
      <w:rFonts w:ascii="Times-Roman" w:hAnsi="Times-Roman" w:cs="Times-Roman"/>
      <w:color w:val="000000"/>
      <w:kern w:val="0"/>
      <w:sz w:val="24"/>
      <w:szCs w:val="24"/>
    </w:rPr>
  </w:style>
  <w:style w:type="table" w:customStyle="1" w:styleId="Grigliatabella1">
    <w:name w:val="Griglia tabella1"/>
    <w:basedOn w:val="Tabellanormale"/>
    <w:next w:val="Grigliatabella"/>
    <w:uiPriority w:val="99"/>
    <w:rsid w:val="00A365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01TitoGra">
    <w:name w:val="001TitoGra"/>
    <w:basedOn w:val="Normale"/>
    <w:qFormat/>
    <w:rsid w:val="00FF1163"/>
    <w:pPr>
      <w:spacing w:before="0" w:after="0" w:line="240" w:lineRule="exact"/>
    </w:pPr>
    <w:rPr>
      <w:rFonts w:ascii="Arial Narrow" w:hAnsi="Arial Narrow" w:cs="Arial"/>
      <w:b/>
      <w:color w:val="5F5F5F"/>
      <w:sz w:val="22"/>
      <w:szCs w:val="22"/>
    </w:rPr>
  </w:style>
  <w:style w:type="paragraph" w:customStyle="1" w:styleId="001TitoloBolocco">
    <w:name w:val="001TitoloBolocco"/>
    <w:basedOn w:val="Titolo1"/>
    <w:link w:val="001TitoloBoloccoCarattere"/>
    <w:qFormat/>
    <w:rsid w:val="00FA4447"/>
    <w:pPr>
      <w:pBdr>
        <w:bottom w:val="single" w:sz="18" w:space="1" w:color="E31C18"/>
      </w:pBdr>
      <w:spacing w:after="240" w:line="240" w:lineRule="exact"/>
    </w:pPr>
    <w:rPr>
      <w:rFonts w:ascii="Calibri" w:hAnsi="Calibri" w:cs="Arial"/>
      <w:bCs/>
      <w:caps/>
      <w:color w:val="000000"/>
      <w:sz w:val="26"/>
      <w:szCs w:val="28"/>
    </w:rPr>
  </w:style>
  <w:style w:type="character" w:customStyle="1" w:styleId="001TitoloBoloccoCarattere">
    <w:name w:val="001TitoloBolocco Carattere"/>
    <w:link w:val="001TitoloBolocco"/>
    <w:rsid w:val="00FA4447"/>
    <w:rPr>
      <w:rFonts w:ascii="Calibri" w:hAnsi="Calibri" w:cs="Arial"/>
      <w:b/>
      <w:bCs/>
      <w:caps/>
      <w:color w:val="000000"/>
      <w:kern w:val="32"/>
      <w:sz w:val="26"/>
      <w:szCs w:val="28"/>
    </w:rPr>
  </w:style>
  <w:style w:type="paragraph" w:customStyle="1" w:styleId="00TitoGra1">
    <w:name w:val="00TitoGra1"/>
    <w:basedOn w:val="Normale"/>
    <w:qFormat/>
    <w:rsid w:val="00E53642"/>
    <w:pPr>
      <w:spacing w:before="0" w:after="0" w:line="280" w:lineRule="exact"/>
    </w:pPr>
    <w:rPr>
      <w:rFonts w:ascii="Calibri" w:hAnsi="Calibri" w:cs="Arial"/>
      <w:b/>
      <w:color w:val="D90B13"/>
      <w:sz w:val="28"/>
      <w:szCs w:val="28"/>
    </w:rPr>
  </w:style>
  <w:style w:type="character" w:customStyle="1" w:styleId="001TitoGraRed">
    <w:name w:val="001TitoGraRed"/>
    <w:uiPriority w:val="1"/>
    <w:qFormat/>
    <w:rsid w:val="00FF1163"/>
    <w:rPr>
      <w:color w:val="E31C18"/>
    </w:rPr>
  </w:style>
  <w:style w:type="paragraph" w:customStyle="1" w:styleId="001SottotitoloGra">
    <w:name w:val="001SottotitoloGra"/>
    <w:basedOn w:val="001TitoGra"/>
    <w:qFormat/>
    <w:rsid w:val="00FF1163"/>
    <w:pPr>
      <w:spacing w:after="120"/>
    </w:pPr>
    <w:rPr>
      <w:b w:val="0"/>
      <w:sz w:val="20"/>
      <w:szCs w:val="20"/>
    </w:rPr>
  </w:style>
  <w:style w:type="paragraph" w:styleId="Rientrocorpodeltesto">
    <w:name w:val="Body Text Indent"/>
    <w:basedOn w:val="Normale"/>
    <w:link w:val="RientrocorpodeltestoCarattere"/>
    <w:uiPriority w:val="99"/>
    <w:semiHidden/>
    <w:unhideWhenUsed/>
    <w:rsid w:val="00A53D09"/>
    <w:pPr>
      <w:spacing w:after="120"/>
      <w:ind w:left="283"/>
    </w:pPr>
  </w:style>
  <w:style w:type="character" w:customStyle="1" w:styleId="RientrocorpodeltestoCarattere">
    <w:name w:val="Rientro corpo del testo Carattere"/>
    <w:link w:val="Rientrocorpodeltesto"/>
    <w:uiPriority w:val="99"/>
    <w:semiHidden/>
    <w:rsid w:val="00A53D09"/>
    <w:rPr>
      <w:kern w:val="28"/>
    </w:rPr>
  </w:style>
  <w:style w:type="character" w:customStyle="1" w:styleId="st">
    <w:name w:val="st"/>
    <w:rsid w:val="00431975"/>
  </w:style>
  <w:style w:type="paragraph" w:styleId="Paragrafoelenco">
    <w:name w:val="List Paragraph"/>
    <w:basedOn w:val="Normale"/>
    <w:uiPriority w:val="34"/>
    <w:qFormat/>
    <w:rsid w:val="00011C85"/>
    <w:pPr>
      <w:widowControl/>
      <w:overflowPunct/>
      <w:autoSpaceDE/>
      <w:autoSpaceDN/>
      <w:adjustRightInd/>
      <w:spacing w:before="0" w:after="0"/>
      <w:ind w:left="720"/>
      <w:contextualSpacing/>
    </w:pPr>
    <w:rPr>
      <w:rFonts w:ascii="Calibri" w:eastAsia="Calibri" w:hAnsi="Calibri"/>
      <w:kern w:val="0"/>
      <w:sz w:val="24"/>
      <w:szCs w:val="24"/>
    </w:rPr>
  </w:style>
  <w:style w:type="character" w:styleId="Collegamentovisitato">
    <w:name w:val="FollowedHyperlink"/>
    <w:basedOn w:val="Carpredefinitoparagrafo"/>
    <w:uiPriority w:val="99"/>
    <w:semiHidden/>
    <w:unhideWhenUsed/>
    <w:rsid w:val="00C55AE4"/>
    <w:rPr>
      <w:color w:val="800080" w:themeColor="followedHyperlink"/>
      <w:u w:val="single"/>
    </w:rPr>
  </w:style>
  <w:style w:type="paragraph" w:styleId="Corpodeltesto2">
    <w:name w:val="Body Text 2"/>
    <w:basedOn w:val="Normale"/>
    <w:link w:val="Corpodeltesto2Carattere"/>
    <w:uiPriority w:val="99"/>
    <w:unhideWhenUsed/>
    <w:rsid w:val="003A0D1A"/>
    <w:pPr>
      <w:spacing w:after="120" w:line="480" w:lineRule="auto"/>
    </w:pPr>
  </w:style>
  <w:style w:type="character" w:customStyle="1" w:styleId="Corpodeltesto2Carattere">
    <w:name w:val="Corpo del testo 2 Carattere"/>
    <w:basedOn w:val="Carpredefinitoparagrafo"/>
    <w:link w:val="Corpodeltesto2"/>
    <w:uiPriority w:val="99"/>
    <w:rsid w:val="003A0D1A"/>
    <w:rPr>
      <w:kern w:val="28"/>
    </w:rPr>
  </w:style>
  <w:style w:type="paragraph" w:customStyle="1" w:styleId="Elencoacolori-Colore11">
    <w:name w:val="Elenco a colori - Colore 11"/>
    <w:basedOn w:val="Normale"/>
    <w:uiPriority w:val="34"/>
    <w:qFormat/>
    <w:rsid w:val="003D697C"/>
    <w:pPr>
      <w:widowControl/>
      <w:overflowPunct/>
      <w:autoSpaceDE/>
      <w:autoSpaceDN/>
      <w:adjustRightInd/>
      <w:spacing w:before="0" w:after="0"/>
      <w:ind w:left="720"/>
      <w:contextualSpacing/>
    </w:pPr>
    <w:rPr>
      <w:rFonts w:ascii="Calibri" w:eastAsia="Calibri" w:hAnsi="Calibri"/>
      <w:kern w:val="0"/>
      <w:sz w:val="24"/>
      <w:szCs w:val="24"/>
    </w:rPr>
  </w:style>
  <w:style w:type="character" w:customStyle="1" w:styleId="Corpodeltesto2Carattere1">
    <w:name w:val="Corpo del testo 2 Carattere1"/>
    <w:uiPriority w:val="99"/>
    <w:semiHidden/>
    <w:rsid w:val="003D697C"/>
    <w:rPr>
      <w:kern w:val="28"/>
    </w:rPr>
  </w:style>
  <w:style w:type="character" w:customStyle="1" w:styleId="TestonotaapidipaginaCarattere1">
    <w:name w:val="Testo nota a piè di pagina Carattere1"/>
    <w:uiPriority w:val="99"/>
    <w:semiHidden/>
    <w:rsid w:val="003D697C"/>
    <w:rPr>
      <w:sz w:val="20"/>
    </w:rPr>
  </w:style>
  <w:style w:type="paragraph" w:customStyle="1" w:styleId="Rientrocorpodeltesto31">
    <w:name w:val="Rientro corpo del testo 31"/>
    <w:basedOn w:val="Normale"/>
    <w:uiPriority w:val="99"/>
    <w:rsid w:val="003D697C"/>
    <w:pPr>
      <w:widowControl/>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overflowPunct/>
      <w:autoSpaceDE/>
      <w:autoSpaceDN/>
      <w:adjustRightInd/>
      <w:spacing w:before="0" w:after="0" w:line="240" w:lineRule="exact"/>
      <w:ind w:left="-567"/>
      <w:jc w:val="both"/>
    </w:pPr>
    <w:rPr>
      <w:spacing w:val="-3"/>
      <w:kern w:val="0"/>
      <w:sz w:val="22"/>
      <w:lang w:eastAsia="ar-SA"/>
    </w:rPr>
  </w:style>
  <w:style w:type="character" w:customStyle="1" w:styleId="Titolo3Carattere">
    <w:name w:val="Titolo 3 Carattere"/>
    <w:basedOn w:val="Carpredefinitoparagrafo"/>
    <w:link w:val="Titolo3"/>
    <w:rsid w:val="00E77400"/>
    <w:rPr>
      <w:rFonts w:asciiTheme="majorHAnsi" w:eastAsiaTheme="majorEastAsia" w:hAnsiTheme="majorHAnsi" w:cstheme="majorBidi"/>
      <w:b/>
      <w:bCs/>
      <w:color w:val="4F81BD" w:themeColor="accent1"/>
      <w:kern w:val="28"/>
    </w:rPr>
  </w:style>
  <w:style w:type="paragraph" w:styleId="Revisione">
    <w:name w:val="Revision"/>
    <w:hidden/>
    <w:uiPriority w:val="71"/>
    <w:rsid w:val="001D330A"/>
    <w:rPr>
      <w:kern w:val="28"/>
    </w:rPr>
  </w:style>
  <w:style w:type="paragraph" w:styleId="Testonotadichiusura">
    <w:name w:val="endnote text"/>
    <w:basedOn w:val="Normale"/>
    <w:link w:val="TestonotadichiusuraCarattere"/>
    <w:uiPriority w:val="99"/>
    <w:semiHidden/>
    <w:unhideWhenUsed/>
    <w:rsid w:val="003E5E5A"/>
    <w:pPr>
      <w:spacing w:before="0" w:after="0"/>
    </w:pPr>
  </w:style>
  <w:style w:type="character" w:customStyle="1" w:styleId="TestonotadichiusuraCarattere">
    <w:name w:val="Testo nota di chiusura Carattere"/>
    <w:basedOn w:val="Carpredefinitoparagrafo"/>
    <w:link w:val="Testonotadichiusura"/>
    <w:uiPriority w:val="99"/>
    <w:semiHidden/>
    <w:rsid w:val="003E5E5A"/>
    <w:rPr>
      <w:kern w:val="28"/>
    </w:rPr>
  </w:style>
  <w:style w:type="character" w:styleId="Rimandonotadichiusura">
    <w:name w:val="endnote reference"/>
    <w:basedOn w:val="Carpredefinitoparagrafo"/>
    <w:uiPriority w:val="99"/>
    <w:semiHidden/>
    <w:unhideWhenUsed/>
    <w:rsid w:val="003E5E5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73486">
      <w:bodyDiv w:val="1"/>
      <w:marLeft w:val="0"/>
      <w:marRight w:val="0"/>
      <w:marTop w:val="0"/>
      <w:marBottom w:val="0"/>
      <w:divBdr>
        <w:top w:val="none" w:sz="0" w:space="0" w:color="auto"/>
        <w:left w:val="none" w:sz="0" w:space="0" w:color="auto"/>
        <w:bottom w:val="none" w:sz="0" w:space="0" w:color="auto"/>
        <w:right w:val="none" w:sz="0" w:space="0" w:color="auto"/>
      </w:divBdr>
    </w:div>
    <w:div w:id="6180447">
      <w:bodyDiv w:val="1"/>
      <w:marLeft w:val="0"/>
      <w:marRight w:val="0"/>
      <w:marTop w:val="0"/>
      <w:marBottom w:val="0"/>
      <w:divBdr>
        <w:top w:val="none" w:sz="0" w:space="0" w:color="auto"/>
        <w:left w:val="none" w:sz="0" w:space="0" w:color="auto"/>
        <w:bottom w:val="none" w:sz="0" w:space="0" w:color="auto"/>
        <w:right w:val="none" w:sz="0" w:space="0" w:color="auto"/>
      </w:divBdr>
    </w:div>
    <w:div w:id="29649862">
      <w:bodyDiv w:val="1"/>
      <w:marLeft w:val="0"/>
      <w:marRight w:val="0"/>
      <w:marTop w:val="0"/>
      <w:marBottom w:val="0"/>
      <w:divBdr>
        <w:top w:val="none" w:sz="0" w:space="0" w:color="auto"/>
        <w:left w:val="none" w:sz="0" w:space="0" w:color="auto"/>
        <w:bottom w:val="none" w:sz="0" w:space="0" w:color="auto"/>
        <w:right w:val="none" w:sz="0" w:space="0" w:color="auto"/>
      </w:divBdr>
    </w:div>
    <w:div w:id="38866925">
      <w:bodyDiv w:val="1"/>
      <w:marLeft w:val="0"/>
      <w:marRight w:val="0"/>
      <w:marTop w:val="0"/>
      <w:marBottom w:val="0"/>
      <w:divBdr>
        <w:top w:val="none" w:sz="0" w:space="0" w:color="auto"/>
        <w:left w:val="none" w:sz="0" w:space="0" w:color="auto"/>
        <w:bottom w:val="none" w:sz="0" w:space="0" w:color="auto"/>
        <w:right w:val="none" w:sz="0" w:space="0" w:color="auto"/>
      </w:divBdr>
    </w:div>
    <w:div w:id="56101012">
      <w:bodyDiv w:val="1"/>
      <w:marLeft w:val="0"/>
      <w:marRight w:val="0"/>
      <w:marTop w:val="0"/>
      <w:marBottom w:val="0"/>
      <w:divBdr>
        <w:top w:val="none" w:sz="0" w:space="0" w:color="auto"/>
        <w:left w:val="none" w:sz="0" w:space="0" w:color="auto"/>
        <w:bottom w:val="none" w:sz="0" w:space="0" w:color="auto"/>
        <w:right w:val="none" w:sz="0" w:space="0" w:color="auto"/>
      </w:divBdr>
    </w:div>
    <w:div w:id="69041894">
      <w:bodyDiv w:val="1"/>
      <w:marLeft w:val="0"/>
      <w:marRight w:val="0"/>
      <w:marTop w:val="0"/>
      <w:marBottom w:val="0"/>
      <w:divBdr>
        <w:top w:val="none" w:sz="0" w:space="0" w:color="auto"/>
        <w:left w:val="none" w:sz="0" w:space="0" w:color="auto"/>
        <w:bottom w:val="none" w:sz="0" w:space="0" w:color="auto"/>
        <w:right w:val="none" w:sz="0" w:space="0" w:color="auto"/>
      </w:divBdr>
    </w:div>
    <w:div w:id="72625743">
      <w:bodyDiv w:val="1"/>
      <w:marLeft w:val="0"/>
      <w:marRight w:val="0"/>
      <w:marTop w:val="0"/>
      <w:marBottom w:val="0"/>
      <w:divBdr>
        <w:top w:val="none" w:sz="0" w:space="0" w:color="auto"/>
        <w:left w:val="none" w:sz="0" w:space="0" w:color="auto"/>
        <w:bottom w:val="none" w:sz="0" w:space="0" w:color="auto"/>
        <w:right w:val="none" w:sz="0" w:space="0" w:color="auto"/>
      </w:divBdr>
    </w:div>
    <w:div w:id="73742131">
      <w:bodyDiv w:val="1"/>
      <w:marLeft w:val="0"/>
      <w:marRight w:val="0"/>
      <w:marTop w:val="0"/>
      <w:marBottom w:val="0"/>
      <w:divBdr>
        <w:top w:val="none" w:sz="0" w:space="0" w:color="auto"/>
        <w:left w:val="none" w:sz="0" w:space="0" w:color="auto"/>
        <w:bottom w:val="none" w:sz="0" w:space="0" w:color="auto"/>
        <w:right w:val="none" w:sz="0" w:space="0" w:color="auto"/>
      </w:divBdr>
    </w:div>
    <w:div w:id="110394348">
      <w:bodyDiv w:val="1"/>
      <w:marLeft w:val="0"/>
      <w:marRight w:val="0"/>
      <w:marTop w:val="0"/>
      <w:marBottom w:val="0"/>
      <w:divBdr>
        <w:top w:val="none" w:sz="0" w:space="0" w:color="auto"/>
        <w:left w:val="none" w:sz="0" w:space="0" w:color="auto"/>
        <w:bottom w:val="none" w:sz="0" w:space="0" w:color="auto"/>
        <w:right w:val="none" w:sz="0" w:space="0" w:color="auto"/>
      </w:divBdr>
    </w:div>
    <w:div w:id="111638430">
      <w:bodyDiv w:val="1"/>
      <w:marLeft w:val="0"/>
      <w:marRight w:val="0"/>
      <w:marTop w:val="0"/>
      <w:marBottom w:val="0"/>
      <w:divBdr>
        <w:top w:val="none" w:sz="0" w:space="0" w:color="auto"/>
        <w:left w:val="none" w:sz="0" w:space="0" w:color="auto"/>
        <w:bottom w:val="none" w:sz="0" w:space="0" w:color="auto"/>
        <w:right w:val="none" w:sz="0" w:space="0" w:color="auto"/>
      </w:divBdr>
    </w:div>
    <w:div w:id="190531945">
      <w:bodyDiv w:val="1"/>
      <w:marLeft w:val="0"/>
      <w:marRight w:val="0"/>
      <w:marTop w:val="0"/>
      <w:marBottom w:val="0"/>
      <w:divBdr>
        <w:top w:val="none" w:sz="0" w:space="0" w:color="auto"/>
        <w:left w:val="none" w:sz="0" w:space="0" w:color="auto"/>
        <w:bottom w:val="none" w:sz="0" w:space="0" w:color="auto"/>
        <w:right w:val="none" w:sz="0" w:space="0" w:color="auto"/>
      </w:divBdr>
    </w:div>
    <w:div w:id="193345705">
      <w:bodyDiv w:val="1"/>
      <w:marLeft w:val="0"/>
      <w:marRight w:val="0"/>
      <w:marTop w:val="0"/>
      <w:marBottom w:val="0"/>
      <w:divBdr>
        <w:top w:val="none" w:sz="0" w:space="0" w:color="auto"/>
        <w:left w:val="none" w:sz="0" w:space="0" w:color="auto"/>
        <w:bottom w:val="none" w:sz="0" w:space="0" w:color="auto"/>
        <w:right w:val="none" w:sz="0" w:space="0" w:color="auto"/>
      </w:divBdr>
    </w:div>
    <w:div w:id="217282464">
      <w:bodyDiv w:val="1"/>
      <w:marLeft w:val="0"/>
      <w:marRight w:val="0"/>
      <w:marTop w:val="0"/>
      <w:marBottom w:val="0"/>
      <w:divBdr>
        <w:top w:val="none" w:sz="0" w:space="0" w:color="auto"/>
        <w:left w:val="none" w:sz="0" w:space="0" w:color="auto"/>
        <w:bottom w:val="none" w:sz="0" w:space="0" w:color="auto"/>
        <w:right w:val="none" w:sz="0" w:space="0" w:color="auto"/>
      </w:divBdr>
    </w:div>
    <w:div w:id="224222885">
      <w:bodyDiv w:val="1"/>
      <w:marLeft w:val="0"/>
      <w:marRight w:val="0"/>
      <w:marTop w:val="0"/>
      <w:marBottom w:val="0"/>
      <w:divBdr>
        <w:top w:val="none" w:sz="0" w:space="0" w:color="auto"/>
        <w:left w:val="none" w:sz="0" w:space="0" w:color="auto"/>
        <w:bottom w:val="none" w:sz="0" w:space="0" w:color="auto"/>
        <w:right w:val="none" w:sz="0" w:space="0" w:color="auto"/>
      </w:divBdr>
    </w:div>
    <w:div w:id="237443218">
      <w:bodyDiv w:val="1"/>
      <w:marLeft w:val="0"/>
      <w:marRight w:val="0"/>
      <w:marTop w:val="0"/>
      <w:marBottom w:val="0"/>
      <w:divBdr>
        <w:top w:val="none" w:sz="0" w:space="0" w:color="auto"/>
        <w:left w:val="none" w:sz="0" w:space="0" w:color="auto"/>
        <w:bottom w:val="none" w:sz="0" w:space="0" w:color="auto"/>
        <w:right w:val="none" w:sz="0" w:space="0" w:color="auto"/>
      </w:divBdr>
    </w:div>
    <w:div w:id="253520606">
      <w:bodyDiv w:val="1"/>
      <w:marLeft w:val="0"/>
      <w:marRight w:val="0"/>
      <w:marTop w:val="0"/>
      <w:marBottom w:val="0"/>
      <w:divBdr>
        <w:top w:val="none" w:sz="0" w:space="0" w:color="auto"/>
        <w:left w:val="none" w:sz="0" w:space="0" w:color="auto"/>
        <w:bottom w:val="none" w:sz="0" w:space="0" w:color="auto"/>
        <w:right w:val="none" w:sz="0" w:space="0" w:color="auto"/>
      </w:divBdr>
    </w:div>
    <w:div w:id="262542289">
      <w:bodyDiv w:val="1"/>
      <w:marLeft w:val="0"/>
      <w:marRight w:val="0"/>
      <w:marTop w:val="0"/>
      <w:marBottom w:val="0"/>
      <w:divBdr>
        <w:top w:val="none" w:sz="0" w:space="0" w:color="auto"/>
        <w:left w:val="none" w:sz="0" w:space="0" w:color="auto"/>
        <w:bottom w:val="none" w:sz="0" w:space="0" w:color="auto"/>
        <w:right w:val="none" w:sz="0" w:space="0" w:color="auto"/>
      </w:divBdr>
    </w:div>
    <w:div w:id="309137912">
      <w:bodyDiv w:val="1"/>
      <w:marLeft w:val="0"/>
      <w:marRight w:val="0"/>
      <w:marTop w:val="0"/>
      <w:marBottom w:val="0"/>
      <w:divBdr>
        <w:top w:val="none" w:sz="0" w:space="0" w:color="auto"/>
        <w:left w:val="none" w:sz="0" w:space="0" w:color="auto"/>
        <w:bottom w:val="none" w:sz="0" w:space="0" w:color="auto"/>
        <w:right w:val="none" w:sz="0" w:space="0" w:color="auto"/>
      </w:divBdr>
    </w:div>
    <w:div w:id="358816678">
      <w:bodyDiv w:val="1"/>
      <w:marLeft w:val="0"/>
      <w:marRight w:val="0"/>
      <w:marTop w:val="0"/>
      <w:marBottom w:val="0"/>
      <w:divBdr>
        <w:top w:val="none" w:sz="0" w:space="0" w:color="auto"/>
        <w:left w:val="none" w:sz="0" w:space="0" w:color="auto"/>
        <w:bottom w:val="none" w:sz="0" w:space="0" w:color="auto"/>
        <w:right w:val="none" w:sz="0" w:space="0" w:color="auto"/>
      </w:divBdr>
    </w:div>
    <w:div w:id="364403850">
      <w:bodyDiv w:val="1"/>
      <w:marLeft w:val="0"/>
      <w:marRight w:val="0"/>
      <w:marTop w:val="0"/>
      <w:marBottom w:val="0"/>
      <w:divBdr>
        <w:top w:val="none" w:sz="0" w:space="0" w:color="auto"/>
        <w:left w:val="none" w:sz="0" w:space="0" w:color="auto"/>
        <w:bottom w:val="none" w:sz="0" w:space="0" w:color="auto"/>
        <w:right w:val="none" w:sz="0" w:space="0" w:color="auto"/>
      </w:divBdr>
    </w:div>
    <w:div w:id="402219072">
      <w:bodyDiv w:val="1"/>
      <w:marLeft w:val="0"/>
      <w:marRight w:val="0"/>
      <w:marTop w:val="0"/>
      <w:marBottom w:val="0"/>
      <w:divBdr>
        <w:top w:val="none" w:sz="0" w:space="0" w:color="auto"/>
        <w:left w:val="none" w:sz="0" w:space="0" w:color="auto"/>
        <w:bottom w:val="none" w:sz="0" w:space="0" w:color="auto"/>
        <w:right w:val="none" w:sz="0" w:space="0" w:color="auto"/>
      </w:divBdr>
    </w:div>
    <w:div w:id="474226301">
      <w:bodyDiv w:val="1"/>
      <w:marLeft w:val="0"/>
      <w:marRight w:val="0"/>
      <w:marTop w:val="0"/>
      <w:marBottom w:val="0"/>
      <w:divBdr>
        <w:top w:val="none" w:sz="0" w:space="0" w:color="auto"/>
        <w:left w:val="none" w:sz="0" w:space="0" w:color="auto"/>
        <w:bottom w:val="none" w:sz="0" w:space="0" w:color="auto"/>
        <w:right w:val="none" w:sz="0" w:space="0" w:color="auto"/>
      </w:divBdr>
    </w:div>
    <w:div w:id="498884580">
      <w:bodyDiv w:val="1"/>
      <w:marLeft w:val="0"/>
      <w:marRight w:val="0"/>
      <w:marTop w:val="0"/>
      <w:marBottom w:val="0"/>
      <w:divBdr>
        <w:top w:val="none" w:sz="0" w:space="0" w:color="auto"/>
        <w:left w:val="none" w:sz="0" w:space="0" w:color="auto"/>
        <w:bottom w:val="none" w:sz="0" w:space="0" w:color="auto"/>
        <w:right w:val="none" w:sz="0" w:space="0" w:color="auto"/>
      </w:divBdr>
    </w:div>
    <w:div w:id="521630806">
      <w:bodyDiv w:val="1"/>
      <w:marLeft w:val="0"/>
      <w:marRight w:val="0"/>
      <w:marTop w:val="0"/>
      <w:marBottom w:val="0"/>
      <w:divBdr>
        <w:top w:val="none" w:sz="0" w:space="0" w:color="auto"/>
        <w:left w:val="none" w:sz="0" w:space="0" w:color="auto"/>
        <w:bottom w:val="none" w:sz="0" w:space="0" w:color="auto"/>
        <w:right w:val="none" w:sz="0" w:space="0" w:color="auto"/>
      </w:divBdr>
    </w:div>
    <w:div w:id="530411729">
      <w:bodyDiv w:val="1"/>
      <w:marLeft w:val="0"/>
      <w:marRight w:val="0"/>
      <w:marTop w:val="0"/>
      <w:marBottom w:val="0"/>
      <w:divBdr>
        <w:top w:val="none" w:sz="0" w:space="0" w:color="auto"/>
        <w:left w:val="none" w:sz="0" w:space="0" w:color="auto"/>
        <w:bottom w:val="none" w:sz="0" w:space="0" w:color="auto"/>
        <w:right w:val="none" w:sz="0" w:space="0" w:color="auto"/>
      </w:divBdr>
    </w:div>
    <w:div w:id="532038552">
      <w:bodyDiv w:val="1"/>
      <w:marLeft w:val="0"/>
      <w:marRight w:val="0"/>
      <w:marTop w:val="0"/>
      <w:marBottom w:val="0"/>
      <w:divBdr>
        <w:top w:val="none" w:sz="0" w:space="0" w:color="auto"/>
        <w:left w:val="none" w:sz="0" w:space="0" w:color="auto"/>
        <w:bottom w:val="none" w:sz="0" w:space="0" w:color="auto"/>
        <w:right w:val="none" w:sz="0" w:space="0" w:color="auto"/>
      </w:divBdr>
    </w:div>
    <w:div w:id="546995541">
      <w:bodyDiv w:val="1"/>
      <w:marLeft w:val="0"/>
      <w:marRight w:val="0"/>
      <w:marTop w:val="0"/>
      <w:marBottom w:val="0"/>
      <w:divBdr>
        <w:top w:val="none" w:sz="0" w:space="0" w:color="auto"/>
        <w:left w:val="none" w:sz="0" w:space="0" w:color="auto"/>
        <w:bottom w:val="none" w:sz="0" w:space="0" w:color="auto"/>
        <w:right w:val="none" w:sz="0" w:space="0" w:color="auto"/>
      </w:divBdr>
    </w:div>
    <w:div w:id="572397950">
      <w:bodyDiv w:val="1"/>
      <w:marLeft w:val="0"/>
      <w:marRight w:val="0"/>
      <w:marTop w:val="0"/>
      <w:marBottom w:val="0"/>
      <w:divBdr>
        <w:top w:val="none" w:sz="0" w:space="0" w:color="auto"/>
        <w:left w:val="none" w:sz="0" w:space="0" w:color="auto"/>
        <w:bottom w:val="none" w:sz="0" w:space="0" w:color="auto"/>
        <w:right w:val="none" w:sz="0" w:space="0" w:color="auto"/>
      </w:divBdr>
    </w:div>
    <w:div w:id="588998793">
      <w:bodyDiv w:val="1"/>
      <w:marLeft w:val="0"/>
      <w:marRight w:val="0"/>
      <w:marTop w:val="0"/>
      <w:marBottom w:val="0"/>
      <w:divBdr>
        <w:top w:val="none" w:sz="0" w:space="0" w:color="auto"/>
        <w:left w:val="none" w:sz="0" w:space="0" w:color="auto"/>
        <w:bottom w:val="none" w:sz="0" w:space="0" w:color="auto"/>
        <w:right w:val="none" w:sz="0" w:space="0" w:color="auto"/>
      </w:divBdr>
    </w:div>
    <w:div w:id="602761312">
      <w:bodyDiv w:val="1"/>
      <w:marLeft w:val="0"/>
      <w:marRight w:val="0"/>
      <w:marTop w:val="0"/>
      <w:marBottom w:val="0"/>
      <w:divBdr>
        <w:top w:val="none" w:sz="0" w:space="0" w:color="auto"/>
        <w:left w:val="none" w:sz="0" w:space="0" w:color="auto"/>
        <w:bottom w:val="none" w:sz="0" w:space="0" w:color="auto"/>
        <w:right w:val="none" w:sz="0" w:space="0" w:color="auto"/>
      </w:divBdr>
    </w:div>
    <w:div w:id="622662056">
      <w:bodyDiv w:val="1"/>
      <w:marLeft w:val="0"/>
      <w:marRight w:val="0"/>
      <w:marTop w:val="0"/>
      <w:marBottom w:val="0"/>
      <w:divBdr>
        <w:top w:val="none" w:sz="0" w:space="0" w:color="auto"/>
        <w:left w:val="none" w:sz="0" w:space="0" w:color="auto"/>
        <w:bottom w:val="none" w:sz="0" w:space="0" w:color="auto"/>
        <w:right w:val="none" w:sz="0" w:space="0" w:color="auto"/>
      </w:divBdr>
    </w:div>
    <w:div w:id="631524876">
      <w:bodyDiv w:val="1"/>
      <w:marLeft w:val="0"/>
      <w:marRight w:val="0"/>
      <w:marTop w:val="0"/>
      <w:marBottom w:val="0"/>
      <w:divBdr>
        <w:top w:val="none" w:sz="0" w:space="0" w:color="auto"/>
        <w:left w:val="none" w:sz="0" w:space="0" w:color="auto"/>
        <w:bottom w:val="none" w:sz="0" w:space="0" w:color="auto"/>
        <w:right w:val="none" w:sz="0" w:space="0" w:color="auto"/>
      </w:divBdr>
    </w:div>
    <w:div w:id="636954640">
      <w:bodyDiv w:val="1"/>
      <w:marLeft w:val="0"/>
      <w:marRight w:val="0"/>
      <w:marTop w:val="0"/>
      <w:marBottom w:val="0"/>
      <w:divBdr>
        <w:top w:val="none" w:sz="0" w:space="0" w:color="auto"/>
        <w:left w:val="none" w:sz="0" w:space="0" w:color="auto"/>
        <w:bottom w:val="none" w:sz="0" w:space="0" w:color="auto"/>
        <w:right w:val="none" w:sz="0" w:space="0" w:color="auto"/>
      </w:divBdr>
    </w:div>
    <w:div w:id="646596715">
      <w:bodyDiv w:val="1"/>
      <w:marLeft w:val="0"/>
      <w:marRight w:val="0"/>
      <w:marTop w:val="0"/>
      <w:marBottom w:val="0"/>
      <w:divBdr>
        <w:top w:val="none" w:sz="0" w:space="0" w:color="auto"/>
        <w:left w:val="none" w:sz="0" w:space="0" w:color="auto"/>
        <w:bottom w:val="none" w:sz="0" w:space="0" w:color="auto"/>
        <w:right w:val="none" w:sz="0" w:space="0" w:color="auto"/>
      </w:divBdr>
    </w:div>
    <w:div w:id="669018745">
      <w:bodyDiv w:val="1"/>
      <w:marLeft w:val="0"/>
      <w:marRight w:val="0"/>
      <w:marTop w:val="0"/>
      <w:marBottom w:val="0"/>
      <w:divBdr>
        <w:top w:val="none" w:sz="0" w:space="0" w:color="auto"/>
        <w:left w:val="none" w:sz="0" w:space="0" w:color="auto"/>
        <w:bottom w:val="none" w:sz="0" w:space="0" w:color="auto"/>
        <w:right w:val="none" w:sz="0" w:space="0" w:color="auto"/>
      </w:divBdr>
    </w:div>
    <w:div w:id="679351289">
      <w:bodyDiv w:val="1"/>
      <w:marLeft w:val="0"/>
      <w:marRight w:val="0"/>
      <w:marTop w:val="0"/>
      <w:marBottom w:val="0"/>
      <w:divBdr>
        <w:top w:val="none" w:sz="0" w:space="0" w:color="auto"/>
        <w:left w:val="none" w:sz="0" w:space="0" w:color="auto"/>
        <w:bottom w:val="none" w:sz="0" w:space="0" w:color="auto"/>
        <w:right w:val="none" w:sz="0" w:space="0" w:color="auto"/>
      </w:divBdr>
    </w:div>
    <w:div w:id="707073509">
      <w:bodyDiv w:val="1"/>
      <w:marLeft w:val="0"/>
      <w:marRight w:val="0"/>
      <w:marTop w:val="0"/>
      <w:marBottom w:val="0"/>
      <w:divBdr>
        <w:top w:val="none" w:sz="0" w:space="0" w:color="auto"/>
        <w:left w:val="none" w:sz="0" w:space="0" w:color="auto"/>
        <w:bottom w:val="none" w:sz="0" w:space="0" w:color="auto"/>
        <w:right w:val="none" w:sz="0" w:space="0" w:color="auto"/>
      </w:divBdr>
    </w:div>
    <w:div w:id="709768472">
      <w:bodyDiv w:val="1"/>
      <w:marLeft w:val="0"/>
      <w:marRight w:val="0"/>
      <w:marTop w:val="0"/>
      <w:marBottom w:val="0"/>
      <w:divBdr>
        <w:top w:val="none" w:sz="0" w:space="0" w:color="auto"/>
        <w:left w:val="none" w:sz="0" w:space="0" w:color="auto"/>
        <w:bottom w:val="none" w:sz="0" w:space="0" w:color="auto"/>
        <w:right w:val="none" w:sz="0" w:space="0" w:color="auto"/>
      </w:divBdr>
    </w:div>
    <w:div w:id="727991793">
      <w:bodyDiv w:val="1"/>
      <w:marLeft w:val="0"/>
      <w:marRight w:val="0"/>
      <w:marTop w:val="0"/>
      <w:marBottom w:val="0"/>
      <w:divBdr>
        <w:top w:val="none" w:sz="0" w:space="0" w:color="auto"/>
        <w:left w:val="none" w:sz="0" w:space="0" w:color="auto"/>
        <w:bottom w:val="none" w:sz="0" w:space="0" w:color="auto"/>
        <w:right w:val="none" w:sz="0" w:space="0" w:color="auto"/>
      </w:divBdr>
    </w:div>
    <w:div w:id="740325353">
      <w:bodyDiv w:val="1"/>
      <w:marLeft w:val="0"/>
      <w:marRight w:val="0"/>
      <w:marTop w:val="0"/>
      <w:marBottom w:val="0"/>
      <w:divBdr>
        <w:top w:val="none" w:sz="0" w:space="0" w:color="auto"/>
        <w:left w:val="none" w:sz="0" w:space="0" w:color="auto"/>
        <w:bottom w:val="none" w:sz="0" w:space="0" w:color="auto"/>
        <w:right w:val="none" w:sz="0" w:space="0" w:color="auto"/>
      </w:divBdr>
    </w:div>
    <w:div w:id="772897932">
      <w:bodyDiv w:val="1"/>
      <w:marLeft w:val="0"/>
      <w:marRight w:val="0"/>
      <w:marTop w:val="0"/>
      <w:marBottom w:val="0"/>
      <w:divBdr>
        <w:top w:val="none" w:sz="0" w:space="0" w:color="auto"/>
        <w:left w:val="none" w:sz="0" w:space="0" w:color="auto"/>
        <w:bottom w:val="none" w:sz="0" w:space="0" w:color="auto"/>
        <w:right w:val="none" w:sz="0" w:space="0" w:color="auto"/>
      </w:divBdr>
    </w:div>
    <w:div w:id="777142644">
      <w:bodyDiv w:val="1"/>
      <w:marLeft w:val="0"/>
      <w:marRight w:val="0"/>
      <w:marTop w:val="0"/>
      <w:marBottom w:val="0"/>
      <w:divBdr>
        <w:top w:val="none" w:sz="0" w:space="0" w:color="auto"/>
        <w:left w:val="none" w:sz="0" w:space="0" w:color="auto"/>
        <w:bottom w:val="none" w:sz="0" w:space="0" w:color="auto"/>
        <w:right w:val="none" w:sz="0" w:space="0" w:color="auto"/>
      </w:divBdr>
    </w:div>
    <w:div w:id="777220110">
      <w:bodyDiv w:val="1"/>
      <w:marLeft w:val="0"/>
      <w:marRight w:val="0"/>
      <w:marTop w:val="0"/>
      <w:marBottom w:val="0"/>
      <w:divBdr>
        <w:top w:val="none" w:sz="0" w:space="0" w:color="auto"/>
        <w:left w:val="none" w:sz="0" w:space="0" w:color="auto"/>
        <w:bottom w:val="none" w:sz="0" w:space="0" w:color="auto"/>
        <w:right w:val="none" w:sz="0" w:space="0" w:color="auto"/>
      </w:divBdr>
    </w:div>
    <w:div w:id="788858470">
      <w:bodyDiv w:val="1"/>
      <w:marLeft w:val="0"/>
      <w:marRight w:val="0"/>
      <w:marTop w:val="0"/>
      <w:marBottom w:val="0"/>
      <w:divBdr>
        <w:top w:val="none" w:sz="0" w:space="0" w:color="auto"/>
        <w:left w:val="none" w:sz="0" w:space="0" w:color="auto"/>
        <w:bottom w:val="none" w:sz="0" w:space="0" w:color="auto"/>
        <w:right w:val="none" w:sz="0" w:space="0" w:color="auto"/>
      </w:divBdr>
    </w:div>
    <w:div w:id="789978370">
      <w:marLeft w:val="0"/>
      <w:marRight w:val="0"/>
      <w:marTop w:val="0"/>
      <w:marBottom w:val="0"/>
      <w:divBdr>
        <w:top w:val="none" w:sz="0" w:space="0" w:color="auto"/>
        <w:left w:val="none" w:sz="0" w:space="0" w:color="auto"/>
        <w:bottom w:val="none" w:sz="0" w:space="0" w:color="auto"/>
        <w:right w:val="none" w:sz="0" w:space="0" w:color="auto"/>
      </w:divBdr>
    </w:div>
    <w:div w:id="789978371">
      <w:marLeft w:val="0"/>
      <w:marRight w:val="0"/>
      <w:marTop w:val="0"/>
      <w:marBottom w:val="0"/>
      <w:divBdr>
        <w:top w:val="none" w:sz="0" w:space="0" w:color="auto"/>
        <w:left w:val="none" w:sz="0" w:space="0" w:color="auto"/>
        <w:bottom w:val="none" w:sz="0" w:space="0" w:color="auto"/>
        <w:right w:val="none" w:sz="0" w:space="0" w:color="auto"/>
      </w:divBdr>
    </w:div>
    <w:div w:id="789978372">
      <w:marLeft w:val="0"/>
      <w:marRight w:val="0"/>
      <w:marTop w:val="0"/>
      <w:marBottom w:val="0"/>
      <w:divBdr>
        <w:top w:val="none" w:sz="0" w:space="0" w:color="auto"/>
        <w:left w:val="none" w:sz="0" w:space="0" w:color="auto"/>
        <w:bottom w:val="none" w:sz="0" w:space="0" w:color="auto"/>
        <w:right w:val="none" w:sz="0" w:space="0" w:color="auto"/>
      </w:divBdr>
    </w:div>
    <w:div w:id="789978373">
      <w:marLeft w:val="0"/>
      <w:marRight w:val="0"/>
      <w:marTop w:val="0"/>
      <w:marBottom w:val="0"/>
      <w:divBdr>
        <w:top w:val="none" w:sz="0" w:space="0" w:color="auto"/>
        <w:left w:val="none" w:sz="0" w:space="0" w:color="auto"/>
        <w:bottom w:val="none" w:sz="0" w:space="0" w:color="auto"/>
        <w:right w:val="none" w:sz="0" w:space="0" w:color="auto"/>
      </w:divBdr>
    </w:div>
    <w:div w:id="789978374">
      <w:marLeft w:val="0"/>
      <w:marRight w:val="0"/>
      <w:marTop w:val="0"/>
      <w:marBottom w:val="0"/>
      <w:divBdr>
        <w:top w:val="none" w:sz="0" w:space="0" w:color="auto"/>
        <w:left w:val="none" w:sz="0" w:space="0" w:color="auto"/>
        <w:bottom w:val="none" w:sz="0" w:space="0" w:color="auto"/>
        <w:right w:val="none" w:sz="0" w:space="0" w:color="auto"/>
      </w:divBdr>
    </w:div>
    <w:div w:id="789978375">
      <w:marLeft w:val="0"/>
      <w:marRight w:val="0"/>
      <w:marTop w:val="0"/>
      <w:marBottom w:val="0"/>
      <w:divBdr>
        <w:top w:val="none" w:sz="0" w:space="0" w:color="auto"/>
        <w:left w:val="none" w:sz="0" w:space="0" w:color="auto"/>
        <w:bottom w:val="none" w:sz="0" w:space="0" w:color="auto"/>
        <w:right w:val="none" w:sz="0" w:space="0" w:color="auto"/>
      </w:divBdr>
    </w:div>
    <w:div w:id="789978376">
      <w:marLeft w:val="0"/>
      <w:marRight w:val="0"/>
      <w:marTop w:val="0"/>
      <w:marBottom w:val="0"/>
      <w:divBdr>
        <w:top w:val="none" w:sz="0" w:space="0" w:color="auto"/>
        <w:left w:val="none" w:sz="0" w:space="0" w:color="auto"/>
        <w:bottom w:val="none" w:sz="0" w:space="0" w:color="auto"/>
        <w:right w:val="none" w:sz="0" w:space="0" w:color="auto"/>
      </w:divBdr>
    </w:div>
    <w:div w:id="789978377">
      <w:marLeft w:val="0"/>
      <w:marRight w:val="0"/>
      <w:marTop w:val="0"/>
      <w:marBottom w:val="0"/>
      <w:divBdr>
        <w:top w:val="none" w:sz="0" w:space="0" w:color="auto"/>
        <w:left w:val="none" w:sz="0" w:space="0" w:color="auto"/>
        <w:bottom w:val="none" w:sz="0" w:space="0" w:color="auto"/>
        <w:right w:val="none" w:sz="0" w:space="0" w:color="auto"/>
      </w:divBdr>
    </w:div>
    <w:div w:id="789978378">
      <w:marLeft w:val="0"/>
      <w:marRight w:val="0"/>
      <w:marTop w:val="0"/>
      <w:marBottom w:val="0"/>
      <w:divBdr>
        <w:top w:val="none" w:sz="0" w:space="0" w:color="auto"/>
        <w:left w:val="none" w:sz="0" w:space="0" w:color="auto"/>
        <w:bottom w:val="none" w:sz="0" w:space="0" w:color="auto"/>
        <w:right w:val="none" w:sz="0" w:space="0" w:color="auto"/>
      </w:divBdr>
    </w:div>
    <w:div w:id="789978379">
      <w:marLeft w:val="0"/>
      <w:marRight w:val="0"/>
      <w:marTop w:val="0"/>
      <w:marBottom w:val="0"/>
      <w:divBdr>
        <w:top w:val="none" w:sz="0" w:space="0" w:color="auto"/>
        <w:left w:val="none" w:sz="0" w:space="0" w:color="auto"/>
        <w:bottom w:val="none" w:sz="0" w:space="0" w:color="auto"/>
        <w:right w:val="none" w:sz="0" w:space="0" w:color="auto"/>
      </w:divBdr>
    </w:div>
    <w:div w:id="789978380">
      <w:marLeft w:val="0"/>
      <w:marRight w:val="0"/>
      <w:marTop w:val="0"/>
      <w:marBottom w:val="0"/>
      <w:divBdr>
        <w:top w:val="none" w:sz="0" w:space="0" w:color="auto"/>
        <w:left w:val="none" w:sz="0" w:space="0" w:color="auto"/>
        <w:bottom w:val="none" w:sz="0" w:space="0" w:color="auto"/>
        <w:right w:val="none" w:sz="0" w:space="0" w:color="auto"/>
      </w:divBdr>
    </w:div>
    <w:div w:id="789978381">
      <w:marLeft w:val="0"/>
      <w:marRight w:val="0"/>
      <w:marTop w:val="0"/>
      <w:marBottom w:val="0"/>
      <w:divBdr>
        <w:top w:val="none" w:sz="0" w:space="0" w:color="auto"/>
        <w:left w:val="none" w:sz="0" w:space="0" w:color="auto"/>
        <w:bottom w:val="none" w:sz="0" w:space="0" w:color="auto"/>
        <w:right w:val="none" w:sz="0" w:space="0" w:color="auto"/>
      </w:divBdr>
    </w:div>
    <w:div w:id="789978382">
      <w:marLeft w:val="0"/>
      <w:marRight w:val="0"/>
      <w:marTop w:val="0"/>
      <w:marBottom w:val="0"/>
      <w:divBdr>
        <w:top w:val="none" w:sz="0" w:space="0" w:color="auto"/>
        <w:left w:val="none" w:sz="0" w:space="0" w:color="auto"/>
        <w:bottom w:val="none" w:sz="0" w:space="0" w:color="auto"/>
        <w:right w:val="none" w:sz="0" w:space="0" w:color="auto"/>
      </w:divBdr>
    </w:div>
    <w:div w:id="789978383">
      <w:marLeft w:val="0"/>
      <w:marRight w:val="0"/>
      <w:marTop w:val="0"/>
      <w:marBottom w:val="0"/>
      <w:divBdr>
        <w:top w:val="none" w:sz="0" w:space="0" w:color="auto"/>
        <w:left w:val="none" w:sz="0" w:space="0" w:color="auto"/>
        <w:bottom w:val="none" w:sz="0" w:space="0" w:color="auto"/>
        <w:right w:val="none" w:sz="0" w:space="0" w:color="auto"/>
      </w:divBdr>
    </w:div>
    <w:div w:id="789978384">
      <w:marLeft w:val="0"/>
      <w:marRight w:val="0"/>
      <w:marTop w:val="0"/>
      <w:marBottom w:val="0"/>
      <w:divBdr>
        <w:top w:val="none" w:sz="0" w:space="0" w:color="auto"/>
        <w:left w:val="none" w:sz="0" w:space="0" w:color="auto"/>
        <w:bottom w:val="none" w:sz="0" w:space="0" w:color="auto"/>
        <w:right w:val="none" w:sz="0" w:space="0" w:color="auto"/>
      </w:divBdr>
    </w:div>
    <w:div w:id="789978385">
      <w:marLeft w:val="0"/>
      <w:marRight w:val="0"/>
      <w:marTop w:val="0"/>
      <w:marBottom w:val="0"/>
      <w:divBdr>
        <w:top w:val="none" w:sz="0" w:space="0" w:color="auto"/>
        <w:left w:val="none" w:sz="0" w:space="0" w:color="auto"/>
        <w:bottom w:val="none" w:sz="0" w:space="0" w:color="auto"/>
        <w:right w:val="none" w:sz="0" w:space="0" w:color="auto"/>
      </w:divBdr>
    </w:div>
    <w:div w:id="789978386">
      <w:marLeft w:val="0"/>
      <w:marRight w:val="0"/>
      <w:marTop w:val="0"/>
      <w:marBottom w:val="0"/>
      <w:divBdr>
        <w:top w:val="none" w:sz="0" w:space="0" w:color="auto"/>
        <w:left w:val="none" w:sz="0" w:space="0" w:color="auto"/>
        <w:bottom w:val="none" w:sz="0" w:space="0" w:color="auto"/>
        <w:right w:val="none" w:sz="0" w:space="0" w:color="auto"/>
      </w:divBdr>
    </w:div>
    <w:div w:id="789978387">
      <w:marLeft w:val="0"/>
      <w:marRight w:val="0"/>
      <w:marTop w:val="0"/>
      <w:marBottom w:val="0"/>
      <w:divBdr>
        <w:top w:val="none" w:sz="0" w:space="0" w:color="auto"/>
        <w:left w:val="none" w:sz="0" w:space="0" w:color="auto"/>
        <w:bottom w:val="none" w:sz="0" w:space="0" w:color="auto"/>
        <w:right w:val="none" w:sz="0" w:space="0" w:color="auto"/>
      </w:divBdr>
    </w:div>
    <w:div w:id="789978388">
      <w:marLeft w:val="0"/>
      <w:marRight w:val="0"/>
      <w:marTop w:val="0"/>
      <w:marBottom w:val="0"/>
      <w:divBdr>
        <w:top w:val="none" w:sz="0" w:space="0" w:color="auto"/>
        <w:left w:val="none" w:sz="0" w:space="0" w:color="auto"/>
        <w:bottom w:val="none" w:sz="0" w:space="0" w:color="auto"/>
        <w:right w:val="none" w:sz="0" w:space="0" w:color="auto"/>
      </w:divBdr>
    </w:div>
    <w:div w:id="789978389">
      <w:marLeft w:val="0"/>
      <w:marRight w:val="0"/>
      <w:marTop w:val="0"/>
      <w:marBottom w:val="0"/>
      <w:divBdr>
        <w:top w:val="none" w:sz="0" w:space="0" w:color="auto"/>
        <w:left w:val="none" w:sz="0" w:space="0" w:color="auto"/>
        <w:bottom w:val="none" w:sz="0" w:space="0" w:color="auto"/>
        <w:right w:val="none" w:sz="0" w:space="0" w:color="auto"/>
      </w:divBdr>
    </w:div>
    <w:div w:id="789978390">
      <w:marLeft w:val="0"/>
      <w:marRight w:val="0"/>
      <w:marTop w:val="0"/>
      <w:marBottom w:val="0"/>
      <w:divBdr>
        <w:top w:val="none" w:sz="0" w:space="0" w:color="auto"/>
        <w:left w:val="none" w:sz="0" w:space="0" w:color="auto"/>
        <w:bottom w:val="none" w:sz="0" w:space="0" w:color="auto"/>
        <w:right w:val="none" w:sz="0" w:space="0" w:color="auto"/>
      </w:divBdr>
    </w:div>
    <w:div w:id="789978391">
      <w:marLeft w:val="0"/>
      <w:marRight w:val="0"/>
      <w:marTop w:val="0"/>
      <w:marBottom w:val="0"/>
      <w:divBdr>
        <w:top w:val="none" w:sz="0" w:space="0" w:color="auto"/>
        <w:left w:val="none" w:sz="0" w:space="0" w:color="auto"/>
        <w:bottom w:val="none" w:sz="0" w:space="0" w:color="auto"/>
        <w:right w:val="none" w:sz="0" w:space="0" w:color="auto"/>
      </w:divBdr>
    </w:div>
    <w:div w:id="789978392">
      <w:marLeft w:val="0"/>
      <w:marRight w:val="0"/>
      <w:marTop w:val="0"/>
      <w:marBottom w:val="0"/>
      <w:divBdr>
        <w:top w:val="none" w:sz="0" w:space="0" w:color="auto"/>
        <w:left w:val="none" w:sz="0" w:space="0" w:color="auto"/>
        <w:bottom w:val="none" w:sz="0" w:space="0" w:color="auto"/>
        <w:right w:val="none" w:sz="0" w:space="0" w:color="auto"/>
      </w:divBdr>
    </w:div>
    <w:div w:id="789978393">
      <w:marLeft w:val="0"/>
      <w:marRight w:val="0"/>
      <w:marTop w:val="0"/>
      <w:marBottom w:val="0"/>
      <w:divBdr>
        <w:top w:val="none" w:sz="0" w:space="0" w:color="auto"/>
        <w:left w:val="none" w:sz="0" w:space="0" w:color="auto"/>
        <w:bottom w:val="none" w:sz="0" w:space="0" w:color="auto"/>
        <w:right w:val="none" w:sz="0" w:space="0" w:color="auto"/>
      </w:divBdr>
    </w:div>
    <w:div w:id="789978394">
      <w:marLeft w:val="0"/>
      <w:marRight w:val="0"/>
      <w:marTop w:val="0"/>
      <w:marBottom w:val="0"/>
      <w:divBdr>
        <w:top w:val="none" w:sz="0" w:space="0" w:color="auto"/>
        <w:left w:val="none" w:sz="0" w:space="0" w:color="auto"/>
        <w:bottom w:val="none" w:sz="0" w:space="0" w:color="auto"/>
        <w:right w:val="none" w:sz="0" w:space="0" w:color="auto"/>
      </w:divBdr>
    </w:div>
    <w:div w:id="789978395">
      <w:marLeft w:val="0"/>
      <w:marRight w:val="0"/>
      <w:marTop w:val="0"/>
      <w:marBottom w:val="0"/>
      <w:divBdr>
        <w:top w:val="none" w:sz="0" w:space="0" w:color="auto"/>
        <w:left w:val="none" w:sz="0" w:space="0" w:color="auto"/>
        <w:bottom w:val="none" w:sz="0" w:space="0" w:color="auto"/>
        <w:right w:val="none" w:sz="0" w:space="0" w:color="auto"/>
      </w:divBdr>
    </w:div>
    <w:div w:id="789978396">
      <w:marLeft w:val="0"/>
      <w:marRight w:val="0"/>
      <w:marTop w:val="0"/>
      <w:marBottom w:val="0"/>
      <w:divBdr>
        <w:top w:val="none" w:sz="0" w:space="0" w:color="auto"/>
        <w:left w:val="none" w:sz="0" w:space="0" w:color="auto"/>
        <w:bottom w:val="none" w:sz="0" w:space="0" w:color="auto"/>
        <w:right w:val="none" w:sz="0" w:space="0" w:color="auto"/>
      </w:divBdr>
    </w:div>
    <w:div w:id="789978397">
      <w:marLeft w:val="0"/>
      <w:marRight w:val="0"/>
      <w:marTop w:val="0"/>
      <w:marBottom w:val="0"/>
      <w:divBdr>
        <w:top w:val="none" w:sz="0" w:space="0" w:color="auto"/>
        <w:left w:val="none" w:sz="0" w:space="0" w:color="auto"/>
        <w:bottom w:val="none" w:sz="0" w:space="0" w:color="auto"/>
        <w:right w:val="none" w:sz="0" w:space="0" w:color="auto"/>
      </w:divBdr>
    </w:div>
    <w:div w:id="789978398">
      <w:marLeft w:val="0"/>
      <w:marRight w:val="0"/>
      <w:marTop w:val="0"/>
      <w:marBottom w:val="0"/>
      <w:divBdr>
        <w:top w:val="none" w:sz="0" w:space="0" w:color="auto"/>
        <w:left w:val="none" w:sz="0" w:space="0" w:color="auto"/>
        <w:bottom w:val="none" w:sz="0" w:space="0" w:color="auto"/>
        <w:right w:val="none" w:sz="0" w:space="0" w:color="auto"/>
      </w:divBdr>
    </w:div>
    <w:div w:id="789978399">
      <w:marLeft w:val="0"/>
      <w:marRight w:val="0"/>
      <w:marTop w:val="0"/>
      <w:marBottom w:val="0"/>
      <w:divBdr>
        <w:top w:val="none" w:sz="0" w:space="0" w:color="auto"/>
        <w:left w:val="none" w:sz="0" w:space="0" w:color="auto"/>
        <w:bottom w:val="none" w:sz="0" w:space="0" w:color="auto"/>
        <w:right w:val="none" w:sz="0" w:space="0" w:color="auto"/>
      </w:divBdr>
    </w:div>
    <w:div w:id="789978400">
      <w:marLeft w:val="0"/>
      <w:marRight w:val="0"/>
      <w:marTop w:val="0"/>
      <w:marBottom w:val="0"/>
      <w:divBdr>
        <w:top w:val="none" w:sz="0" w:space="0" w:color="auto"/>
        <w:left w:val="none" w:sz="0" w:space="0" w:color="auto"/>
        <w:bottom w:val="none" w:sz="0" w:space="0" w:color="auto"/>
        <w:right w:val="none" w:sz="0" w:space="0" w:color="auto"/>
      </w:divBdr>
    </w:div>
    <w:div w:id="789978401">
      <w:marLeft w:val="0"/>
      <w:marRight w:val="0"/>
      <w:marTop w:val="0"/>
      <w:marBottom w:val="0"/>
      <w:divBdr>
        <w:top w:val="none" w:sz="0" w:space="0" w:color="auto"/>
        <w:left w:val="none" w:sz="0" w:space="0" w:color="auto"/>
        <w:bottom w:val="none" w:sz="0" w:space="0" w:color="auto"/>
        <w:right w:val="none" w:sz="0" w:space="0" w:color="auto"/>
      </w:divBdr>
    </w:div>
    <w:div w:id="789978402">
      <w:marLeft w:val="0"/>
      <w:marRight w:val="0"/>
      <w:marTop w:val="0"/>
      <w:marBottom w:val="0"/>
      <w:divBdr>
        <w:top w:val="none" w:sz="0" w:space="0" w:color="auto"/>
        <w:left w:val="none" w:sz="0" w:space="0" w:color="auto"/>
        <w:bottom w:val="none" w:sz="0" w:space="0" w:color="auto"/>
        <w:right w:val="none" w:sz="0" w:space="0" w:color="auto"/>
      </w:divBdr>
    </w:div>
    <w:div w:id="789978403">
      <w:marLeft w:val="0"/>
      <w:marRight w:val="0"/>
      <w:marTop w:val="0"/>
      <w:marBottom w:val="0"/>
      <w:divBdr>
        <w:top w:val="none" w:sz="0" w:space="0" w:color="auto"/>
        <w:left w:val="none" w:sz="0" w:space="0" w:color="auto"/>
        <w:bottom w:val="none" w:sz="0" w:space="0" w:color="auto"/>
        <w:right w:val="none" w:sz="0" w:space="0" w:color="auto"/>
      </w:divBdr>
    </w:div>
    <w:div w:id="789978404">
      <w:marLeft w:val="0"/>
      <w:marRight w:val="0"/>
      <w:marTop w:val="0"/>
      <w:marBottom w:val="0"/>
      <w:divBdr>
        <w:top w:val="none" w:sz="0" w:space="0" w:color="auto"/>
        <w:left w:val="none" w:sz="0" w:space="0" w:color="auto"/>
        <w:bottom w:val="none" w:sz="0" w:space="0" w:color="auto"/>
        <w:right w:val="none" w:sz="0" w:space="0" w:color="auto"/>
      </w:divBdr>
    </w:div>
    <w:div w:id="789978405">
      <w:marLeft w:val="0"/>
      <w:marRight w:val="0"/>
      <w:marTop w:val="0"/>
      <w:marBottom w:val="0"/>
      <w:divBdr>
        <w:top w:val="none" w:sz="0" w:space="0" w:color="auto"/>
        <w:left w:val="none" w:sz="0" w:space="0" w:color="auto"/>
        <w:bottom w:val="none" w:sz="0" w:space="0" w:color="auto"/>
        <w:right w:val="none" w:sz="0" w:space="0" w:color="auto"/>
      </w:divBdr>
    </w:div>
    <w:div w:id="789978406">
      <w:marLeft w:val="0"/>
      <w:marRight w:val="0"/>
      <w:marTop w:val="0"/>
      <w:marBottom w:val="0"/>
      <w:divBdr>
        <w:top w:val="none" w:sz="0" w:space="0" w:color="auto"/>
        <w:left w:val="none" w:sz="0" w:space="0" w:color="auto"/>
        <w:bottom w:val="none" w:sz="0" w:space="0" w:color="auto"/>
        <w:right w:val="none" w:sz="0" w:space="0" w:color="auto"/>
      </w:divBdr>
    </w:div>
    <w:div w:id="789978407">
      <w:marLeft w:val="0"/>
      <w:marRight w:val="0"/>
      <w:marTop w:val="0"/>
      <w:marBottom w:val="0"/>
      <w:divBdr>
        <w:top w:val="none" w:sz="0" w:space="0" w:color="auto"/>
        <w:left w:val="none" w:sz="0" w:space="0" w:color="auto"/>
        <w:bottom w:val="none" w:sz="0" w:space="0" w:color="auto"/>
        <w:right w:val="none" w:sz="0" w:space="0" w:color="auto"/>
      </w:divBdr>
    </w:div>
    <w:div w:id="789978408">
      <w:marLeft w:val="0"/>
      <w:marRight w:val="0"/>
      <w:marTop w:val="0"/>
      <w:marBottom w:val="0"/>
      <w:divBdr>
        <w:top w:val="none" w:sz="0" w:space="0" w:color="auto"/>
        <w:left w:val="none" w:sz="0" w:space="0" w:color="auto"/>
        <w:bottom w:val="none" w:sz="0" w:space="0" w:color="auto"/>
        <w:right w:val="none" w:sz="0" w:space="0" w:color="auto"/>
      </w:divBdr>
    </w:div>
    <w:div w:id="789978409">
      <w:marLeft w:val="0"/>
      <w:marRight w:val="0"/>
      <w:marTop w:val="0"/>
      <w:marBottom w:val="0"/>
      <w:divBdr>
        <w:top w:val="none" w:sz="0" w:space="0" w:color="auto"/>
        <w:left w:val="none" w:sz="0" w:space="0" w:color="auto"/>
        <w:bottom w:val="none" w:sz="0" w:space="0" w:color="auto"/>
        <w:right w:val="none" w:sz="0" w:space="0" w:color="auto"/>
      </w:divBdr>
    </w:div>
    <w:div w:id="789978410">
      <w:marLeft w:val="0"/>
      <w:marRight w:val="0"/>
      <w:marTop w:val="0"/>
      <w:marBottom w:val="0"/>
      <w:divBdr>
        <w:top w:val="none" w:sz="0" w:space="0" w:color="auto"/>
        <w:left w:val="none" w:sz="0" w:space="0" w:color="auto"/>
        <w:bottom w:val="none" w:sz="0" w:space="0" w:color="auto"/>
        <w:right w:val="none" w:sz="0" w:space="0" w:color="auto"/>
      </w:divBdr>
    </w:div>
    <w:div w:id="789978411">
      <w:marLeft w:val="0"/>
      <w:marRight w:val="0"/>
      <w:marTop w:val="0"/>
      <w:marBottom w:val="0"/>
      <w:divBdr>
        <w:top w:val="none" w:sz="0" w:space="0" w:color="auto"/>
        <w:left w:val="none" w:sz="0" w:space="0" w:color="auto"/>
        <w:bottom w:val="none" w:sz="0" w:space="0" w:color="auto"/>
        <w:right w:val="none" w:sz="0" w:space="0" w:color="auto"/>
      </w:divBdr>
    </w:div>
    <w:div w:id="789978412">
      <w:marLeft w:val="0"/>
      <w:marRight w:val="0"/>
      <w:marTop w:val="0"/>
      <w:marBottom w:val="0"/>
      <w:divBdr>
        <w:top w:val="none" w:sz="0" w:space="0" w:color="auto"/>
        <w:left w:val="none" w:sz="0" w:space="0" w:color="auto"/>
        <w:bottom w:val="none" w:sz="0" w:space="0" w:color="auto"/>
        <w:right w:val="none" w:sz="0" w:space="0" w:color="auto"/>
      </w:divBdr>
    </w:div>
    <w:div w:id="789978413">
      <w:marLeft w:val="0"/>
      <w:marRight w:val="0"/>
      <w:marTop w:val="0"/>
      <w:marBottom w:val="0"/>
      <w:divBdr>
        <w:top w:val="none" w:sz="0" w:space="0" w:color="auto"/>
        <w:left w:val="none" w:sz="0" w:space="0" w:color="auto"/>
        <w:bottom w:val="none" w:sz="0" w:space="0" w:color="auto"/>
        <w:right w:val="none" w:sz="0" w:space="0" w:color="auto"/>
      </w:divBdr>
    </w:div>
    <w:div w:id="789978414">
      <w:marLeft w:val="0"/>
      <w:marRight w:val="0"/>
      <w:marTop w:val="0"/>
      <w:marBottom w:val="0"/>
      <w:divBdr>
        <w:top w:val="none" w:sz="0" w:space="0" w:color="auto"/>
        <w:left w:val="none" w:sz="0" w:space="0" w:color="auto"/>
        <w:bottom w:val="none" w:sz="0" w:space="0" w:color="auto"/>
        <w:right w:val="none" w:sz="0" w:space="0" w:color="auto"/>
      </w:divBdr>
    </w:div>
    <w:div w:id="789978415">
      <w:marLeft w:val="0"/>
      <w:marRight w:val="0"/>
      <w:marTop w:val="0"/>
      <w:marBottom w:val="0"/>
      <w:divBdr>
        <w:top w:val="none" w:sz="0" w:space="0" w:color="auto"/>
        <w:left w:val="none" w:sz="0" w:space="0" w:color="auto"/>
        <w:bottom w:val="none" w:sz="0" w:space="0" w:color="auto"/>
        <w:right w:val="none" w:sz="0" w:space="0" w:color="auto"/>
      </w:divBdr>
    </w:div>
    <w:div w:id="789978416">
      <w:marLeft w:val="0"/>
      <w:marRight w:val="0"/>
      <w:marTop w:val="0"/>
      <w:marBottom w:val="0"/>
      <w:divBdr>
        <w:top w:val="none" w:sz="0" w:space="0" w:color="auto"/>
        <w:left w:val="none" w:sz="0" w:space="0" w:color="auto"/>
        <w:bottom w:val="none" w:sz="0" w:space="0" w:color="auto"/>
        <w:right w:val="none" w:sz="0" w:space="0" w:color="auto"/>
      </w:divBdr>
    </w:div>
    <w:div w:id="789978417">
      <w:marLeft w:val="0"/>
      <w:marRight w:val="0"/>
      <w:marTop w:val="0"/>
      <w:marBottom w:val="0"/>
      <w:divBdr>
        <w:top w:val="none" w:sz="0" w:space="0" w:color="auto"/>
        <w:left w:val="none" w:sz="0" w:space="0" w:color="auto"/>
        <w:bottom w:val="none" w:sz="0" w:space="0" w:color="auto"/>
        <w:right w:val="none" w:sz="0" w:space="0" w:color="auto"/>
      </w:divBdr>
    </w:div>
    <w:div w:id="789978418">
      <w:marLeft w:val="0"/>
      <w:marRight w:val="0"/>
      <w:marTop w:val="0"/>
      <w:marBottom w:val="0"/>
      <w:divBdr>
        <w:top w:val="none" w:sz="0" w:space="0" w:color="auto"/>
        <w:left w:val="none" w:sz="0" w:space="0" w:color="auto"/>
        <w:bottom w:val="none" w:sz="0" w:space="0" w:color="auto"/>
        <w:right w:val="none" w:sz="0" w:space="0" w:color="auto"/>
      </w:divBdr>
    </w:div>
    <w:div w:id="789978419">
      <w:marLeft w:val="0"/>
      <w:marRight w:val="0"/>
      <w:marTop w:val="0"/>
      <w:marBottom w:val="0"/>
      <w:divBdr>
        <w:top w:val="none" w:sz="0" w:space="0" w:color="auto"/>
        <w:left w:val="none" w:sz="0" w:space="0" w:color="auto"/>
        <w:bottom w:val="none" w:sz="0" w:space="0" w:color="auto"/>
        <w:right w:val="none" w:sz="0" w:space="0" w:color="auto"/>
      </w:divBdr>
    </w:div>
    <w:div w:id="789978420">
      <w:marLeft w:val="0"/>
      <w:marRight w:val="0"/>
      <w:marTop w:val="0"/>
      <w:marBottom w:val="0"/>
      <w:divBdr>
        <w:top w:val="none" w:sz="0" w:space="0" w:color="auto"/>
        <w:left w:val="none" w:sz="0" w:space="0" w:color="auto"/>
        <w:bottom w:val="none" w:sz="0" w:space="0" w:color="auto"/>
        <w:right w:val="none" w:sz="0" w:space="0" w:color="auto"/>
      </w:divBdr>
    </w:div>
    <w:div w:id="789978421">
      <w:marLeft w:val="0"/>
      <w:marRight w:val="0"/>
      <w:marTop w:val="0"/>
      <w:marBottom w:val="0"/>
      <w:divBdr>
        <w:top w:val="none" w:sz="0" w:space="0" w:color="auto"/>
        <w:left w:val="none" w:sz="0" w:space="0" w:color="auto"/>
        <w:bottom w:val="none" w:sz="0" w:space="0" w:color="auto"/>
        <w:right w:val="none" w:sz="0" w:space="0" w:color="auto"/>
      </w:divBdr>
    </w:div>
    <w:div w:id="789978422">
      <w:marLeft w:val="0"/>
      <w:marRight w:val="0"/>
      <w:marTop w:val="0"/>
      <w:marBottom w:val="0"/>
      <w:divBdr>
        <w:top w:val="none" w:sz="0" w:space="0" w:color="auto"/>
        <w:left w:val="none" w:sz="0" w:space="0" w:color="auto"/>
        <w:bottom w:val="none" w:sz="0" w:space="0" w:color="auto"/>
        <w:right w:val="none" w:sz="0" w:space="0" w:color="auto"/>
      </w:divBdr>
    </w:div>
    <w:div w:id="789978423">
      <w:marLeft w:val="0"/>
      <w:marRight w:val="0"/>
      <w:marTop w:val="0"/>
      <w:marBottom w:val="0"/>
      <w:divBdr>
        <w:top w:val="none" w:sz="0" w:space="0" w:color="auto"/>
        <w:left w:val="none" w:sz="0" w:space="0" w:color="auto"/>
        <w:bottom w:val="none" w:sz="0" w:space="0" w:color="auto"/>
        <w:right w:val="none" w:sz="0" w:space="0" w:color="auto"/>
      </w:divBdr>
    </w:div>
    <w:div w:id="789978424">
      <w:marLeft w:val="0"/>
      <w:marRight w:val="0"/>
      <w:marTop w:val="0"/>
      <w:marBottom w:val="0"/>
      <w:divBdr>
        <w:top w:val="none" w:sz="0" w:space="0" w:color="auto"/>
        <w:left w:val="none" w:sz="0" w:space="0" w:color="auto"/>
        <w:bottom w:val="none" w:sz="0" w:space="0" w:color="auto"/>
        <w:right w:val="none" w:sz="0" w:space="0" w:color="auto"/>
      </w:divBdr>
    </w:div>
    <w:div w:id="789978425">
      <w:marLeft w:val="0"/>
      <w:marRight w:val="0"/>
      <w:marTop w:val="0"/>
      <w:marBottom w:val="0"/>
      <w:divBdr>
        <w:top w:val="none" w:sz="0" w:space="0" w:color="auto"/>
        <w:left w:val="none" w:sz="0" w:space="0" w:color="auto"/>
        <w:bottom w:val="none" w:sz="0" w:space="0" w:color="auto"/>
        <w:right w:val="none" w:sz="0" w:space="0" w:color="auto"/>
      </w:divBdr>
    </w:div>
    <w:div w:id="789978426">
      <w:marLeft w:val="0"/>
      <w:marRight w:val="0"/>
      <w:marTop w:val="0"/>
      <w:marBottom w:val="0"/>
      <w:divBdr>
        <w:top w:val="none" w:sz="0" w:space="0" w:color="auto"/>
        <w:left w:val="none" w:sz="0" w:space="0" w:color="auto"/>
        <w:bottom w:val="none" w:sz="0" w:space="0" w:color="auto"/>
        <w:right w:val="none" w:sz="0" w:space="0" w:color="auto"/>
      </w:divBdr>
    </w:div>
    <w:div w:id="789978427">
      <w:marLeft w:val="0"/>
      <w:marRight w:val="0"/>
      <w:marTop w:val="0"/>
      <w:marBottom w:val="0"/>
      <w:divBdr>
        <w:top w:val="none" w:sz="0" w:space="0" w:color="auto"/>
        <w:left w:val="none" w:sz="0" w:space="0" w:color="auto"/>
        <w:bottom w:val="none" w:sz="0" w:space="0" w:color="auto"/>
        <w:right w:val="none" w:sz="0" w:space="0" w:color="auto"/>
      </w:divBdr>
    </w:div>
    <w:div w:id="789978428">
      <w:marLeft w:val="0"/>
      <w:marRight w:val="0"/>
      <w:marTop w:val="0"/>
      <w:marBottom w:val="0"/>
      <w:divBdr>
        <w:top w:val="none" w:sz="0" w:space="0" w:color="auto"/>
        <w:left w:val="none" w:sz="0" w:space="0" w:color="auto"/>
        <w:bottom w:val="none" w:sz="0" w:space="0" w:color="auto"/>
        <w:right w:val="none" w:sz="0" w:space="0" w:color="auto"/>
      </w:divBdr>
    </w:div>
    <w:div w:id="789978429">
      <w:marLeft w:val="0"/>
      <w:marRight w:val="0"/>
      <w:marTop w:val="0"/>
      <w:marBottom w:val="0"/>
      <w:divBdr>
        <w:top w:val="none" w:sz="0" w:space="0" w:color="auto"/>
        <w:left w:val="none" w:sz="0" w:space="0" w:color="auto"/>
        <w:bottom w:val="none" w:sz="0" w:space="0" w:color="auto"/>
        <w:right w:val="none" w:sz="0" w:space="0" w:color="auto"/>
      </w:divBdr>
    </w:div>
    <w:div w:id="789978430">
      <w:marLeft w:val="0"/>
      <w:marRight w:val="0"/>
      <w:marTop w:val="0"/>
      <w:marBottom w:val="0"/>
      <w:divBdr>
        <w:top w:val="none" w:sz="0" w:space="0" w:color="auto"/>
        <w:left w:val="none" w:sz="0" w:space="0" w:color="auto"/>
        <w:bottom w:val="none" w:sz="0" w:space="0" w:color="auto"/>
        <w:right w:val="none" w:sz="0" w:space="0" w:color="auto"/>
      </w:divBdr>
    </w:div>
    <w:div w:id="789978431">
      <w:marLeft w:val="0"/>
      <w:marRight w:val="0"/>
      <w:marTop w:val="0"/>
      <w:marBottom w:val="0"/>
      <w:divBdr>
        <w:top w:val="none" w:sz="0" w:space="0" w:color="auto"/>
        <w:left w:val="none" w:sz="0" w:space="0" w:color="auto"/>
        <w:bottom w:val="none" w:sz="0" w:space="0" w:color="auto"/>
        <w:right w:val="none" w:sz="0" w:space="0" w:color="auto"/>
      </w:divBdr>
    </w:div>
    <w:div w:id="789978432">
      <w:marLeft w:val="0"/>
      <w:marRight w:val="0"/>
      <w:marTop w:val="0"/>
      <w:marBottom w:val="0"/>
      <w:divBdr>
        <w:top w:val="none" w:sz="0" w:space="0" w:color="auto"/>
        <w:left w:val="none" w:sz="0" w:space="0" w:color="auto"/>
        <w:bottom w:val="none" w:sz="0" w:space="0" w:color="auto"/>
        <w:right w:val="none" w:sz="0" w:space="0" w:color="auto"/>
      </w:divBdr>
    </w:div>
    <w:div w:id="789978433">
      <w:marLeft w:val="0"/>
      <w:marRight w:val="0"/>
      <w:marTop w:val="0"/>
      <w:marBottom w:val="0"/>
      <w:divBdr>
        <w:top w:val="none" w:sz="0" w:space="0" w:color="auto"/>
        <w:left w:val="none" w:sz="0" w:space="0" w:color="auto"/>
        <w:bottom w:val="none" w:sz="0" w:space="0" w:color="auto"/>
        <w:right w:val="none" w:sz="0" w:space="0" w:color="auto"/>
      </w:divBdr>
    </w:div>
    <w:div w:id="789978434">
      <w:marLeft w:val="0"/>
      <w:marRight w:val="0"/>
      <w:marTop w:val="0"/>
      <w:marBottom w:val="0"/>
      <w:divBdr>
        <w:top w:val="none" w:sz="0" w:space="0" w:color="auto"/>
        <w:left w:val="none" w:sz="0" w:space="0" w:color="auto"/>
        <w:bottom w:val="none" w:sz="0" w:space="0" w:color="auto"/>
        <w:right w:val="none" w:sz="0" w:space="0" w:color="auto"/>
      </w:divBdr>
    </w:div>
    <w:div w:id="789978435">
      <w:marLeft w:val="0"/>
      <w:marRight w:val="0"/>
      <w:marTop w:val="0"/>
      <w:marBottom w:val="0"/>
      <w:divBdr>
        <w:top w:val="none" w:sz="0" w:space="0" w:color="auto"/>
        <w:left w:val="none" w:sz="0" w:space="0" w:color="auto"/>
        <w:bottom w:val="none" w:sz="0" w:space="0" w:color="auto"/>
        <w:right w:val="none" w:sz="0" w:space="0" w:color="auto"/>
      </w:divBdr>
    </w:div>
    <w:div w:id="789978436">
      <w:marLeft w:val="0"/>
      <w:marRight w:val="0"/>
      <w:marTop w:val="0"/>
      <w:marBottom w:val="0"/>
      <w:divBdr>
        <w:top w:val="none" w:sz="0" w:space="0" w:color="auto"/>
        <w:left w:val="none" w:sz="0" w:space="0" w:color="auto"/>
        <w:bottom w:val="none" w:sz="0" w:space="0" w:color="auto"/>
        <w:right w:val="none" w:sz="0" w:space="0" w:color="auto"/>
      </w:divBdr>
    </w:div>
    <w:div w:id="789978437">
      <w:marLeft w:val="0"/>
      <w:marRight w:val="0"/>
      <w:marTop w:val="0"/>
      <w:marBottom w:val="0"/>
      <w:divBdr>
        <w:top w:val="none" w:sz="0" w:space="0" w:color="auto"/>
        <w:left w:val="none" w:sz="0" w:space="0" w:color="auto"/>
        <w:bottom w:val="none" w:sz="0" w:space="0" w:color="auto"/>
        <w:right w:val="none" w:sz="0" w:space="0" w:color="auto"/>
      </w:divBdr>
    </w:div>
    <w:div w:id="789978438">
      <w:marLeft w:val="0"/>
      <w:marRight w:val="0"/>
      <w:marTop w:val="0"/>
      <w:marBottom w:val="0"/>
      <w:divBdr>
        <w:top w:val="none" w:sz="0" w:space="0" w:color="auto"/>
        <w:left w:val="none" w:sz="0" w:space="0" w:color="auto"/>
        <w:bottom w:val="none" w:sz="0" w:space="0" w:color="auto"/>
        <w:right w:val="none" w:sz="0" w:space="0" w:color="auto"/>
      </w:divBdr>
    </w:div>
    <w:div w:id="789978439">
      <w:marLeft w:val="0"/>
      <w:marRight w:val="0"/>
      <w:marTop w:val="0"/>
      <w:marBottom w:val="0"/>
      <w:divBdr>
        <w:top w:val="none" w:sz="0" w:space="0" w:color="auto"/>
        <w:left w:val="none" w:sz="0" w:space="0" w:color="auto"/>
        <w:bottom w:val="none" w:sz="0" w:space="0" w:color="auto"/>
        <w:right w:val="none" w:sz="0" w:space="0" w:color="auto"/>
      </w:divBdr>
    </w:div>
    <w:div w:id="789978440">
      <w:marLeft w:val="0"/>
      <w:marRight w:val="0"/>
      <w:marTop w:val="0"/>
      <w:marBottom w:val="0"/>
      <w:divBdr>
        <w:top w:val="none" w:sz="0" w:space="0" w:color="auto"/>
        <w:left w:val="none" w:sz="0" w:space="0" w:color="auto"/>
        <w:bottom w:val="none" w:sz="0" w:space="0" w:color="auto"/>
        <w:right w:val="none" w:sz="0" w:space="0" w:color="auto"/>
      </w:divBdr>
    </w:div>
    <w:div w:id="789978441">
      <w:marLeft w:val="0"/>
      <w:marRight w:val="0"/>
      <w:marTop w:val="0"/>
      <w:marBottom w:val="0"/>
      <w:divBdr>
        <w:top w:val="none" w:sz="0" w:space="0" w:color="auto"/>
        <w:left w:val="none" w:sz="0" w:space="0" w:color="auto"/>
        <w:bottom w:val="none" w:sz="0" w:space="0" w:color="auto"/>
        <w:right w:val="none" w:sz="0" w:space="0" w:color="auto"/>
      </w:divBdr>
    </w:div>
    <w:div w:id="789978442">
      <w:marLeft w:val="0"/>
      <w:marRight w:val="0"/>
      <w:marTop w:val="0"/>
      <w:marBottom w:val="0"/>
      <w:divBdr>
        <w:top w:val="none" w:sz="0" w:space="0" w:color="auto"/>
        <w:left w:val="none" w:sz="0" w:space="0" w:color="auto"/>
        <w:bottom w:val="none" w:sz="0" w:space="0" w:color="auto"/>
        <w:right w:val="none" w:sz="0" w:space="0" w:color="auto"/>
      </w:divBdr>
    </w:div>
    <w:div w:id="789978443">
      <w:marLeft w:val="0"/>
      <w:marRight w:val="0"/>
      <w:marTop w:val="0"/>
      <w:marBottom w:val="0"/>
      <w:divBdr>
        <w:top w:val="none" w:sz="0" w:space="0" w:color="auto"/>
        <w:left w:val="none" w:sz="0" w:space="0" w:color="auto"/>
        <w:bottom w:val="none" w:sz="0" w:space="0" w:color="auto"/>
        <w:right w:val="none" w:sz="0" w:space="0" w:color="auto"/>
      </w:divBdr>
    </w:div>
    <w:div w:id="789978444">
      <w:marLeft w:val="0"/>
      <w:marRight w:val="0"/>
      <w:marTop w:val="0"/>
      <w:marBottom w:val="0"/>
      <w:divBdr>
        <w:top w:val="none" w:sz="0" w:space="0" w:color="auto"/>
        <w:left w:val="none" w:sz="0" w:space="0" w:color="auto"/>
        <w:bottom w:val="none" w:sz="0" w:space="0" w:color="auto"/>
        <w:right w:val="none" w:sz="0" w:space="0" w:color="auto"/>
      </w:divBdr>
    </w:div>
    <w:div w:id="789978445">
      <w:marLeft w:val="0"/>
      <w:marRight w:val="0"/>
      <w:marTop w:val="0"/>
      <w:marBottom w:val="0"/>
      <w:divBdr>
        <w:top w:val="none" w:sz="0" w:space="0" w:color="auto"/>
        <w:left w:val="none" w:sz="0" w:space="0" w:color="auto"/>
        <w:bottom w:val="none" w:sz="0" w:space="0" w:color="auto"/>
        <w:right w:val="none" w:sz="0" w:space="0" w:color="auto"/>
      </w:divBdr>
    </w:div>
    <w:div w:id="789978446">
      <w:marLeft w:val="0"/>
      <w:marRight w:val="0"/>
      <w:marTop w:val="0"/>
      <w:marBottom w:val="0"/>
      <w:divBdr>
        <w:top w:val="none" w:sz="0" w:space="0" w:color="auto"/>
        <w:left w:val="none" w:sz="0" w:space="0" w:color="auto"/>
        <w:bottom w:val="none" w:sz="0" w:space="0" w:color="auto"/>
        <w:right w:val="none" w:sz="0" w:space="0" w:color="auto"/>
      </w:divBdr>
    </w:div>
    <w:div w:id="789978447">
      <w:marLeft w:val="0"/>
      <w:marRight w:val="0"/>
      <w:marTop w:val="0"/>
      <w:marBottom w:val="0"/>
      <w:divBdr>
        <w:top w:val="none" w:sz="0" w:space="0" w:color="auto"/>
        <w:left w:val="none" w:sz="0" w:space="0" w:color="auto"/>
        <w:bottom w:val="none" w:sz="0" w:space="0" w:color="auto"/>
        <w:right w:val="none" w:sz="0" w:space="0" w:color="auto"/>
      </w:divBdr>
    </w:div>
    <w:div w:id="789978448">
      <w:marLeft w:val="0"/>
      <w:marRight w:val="0"/>
      <w:marTop w:val="0"/>
      <w:marBottom w:val="0"/>
      <w:divBdr>
        <w:top w:val="none" w:sz="0" w:space="0" w:color="auto"/>
        <w:left w:val="none" w:sz="0" w:space="0" w:color="auto"/>
        <w:bottom w:val="none" w:sz="0" w:space="0" w:color="auto"/>
        <w:right w:val="none" w:sz="0" w:space="0" w:color="auto"/>
      </w:divBdr>
    </w:div>
    <w:div w:id="789978449">
      <w:marLeft w:val="0"/>
      <w:marRight w:val="0"/>
      <w:marTop w:val="0"/>
      <w:marBottom w:val="0"/>
      <w:divBdr>
        <w:top w:val="none" w:sz="0" w:space="0" w:color="auto"/>
        <w:left w:val="none" w:sz="0" w:space="0" w:color="auto"/>
        <w:bottom w:val="none" w:sz="0" w:space="0" w:color="auto"/>
        <w:right w:val="none" w:sz="0" w:space="0" w:color="auto"/>
      </w:divBdr>
    </w:div>
    <w:div w:id="789978450">
      <w:marLeft w:val="0"/>
      <w:marRight w:val="0"/>
      <w:marTop w:val="0"/>
      <w:marBottom w:val="0"/>
      <w:divBdr>
        <w:top w:val="none" w:sz="0" w:space="0" w:color="auto"/>
        <w:left w:val="none" w:sz="0" w:space="0" w:color="auto"/>
        <w:bottom w:val="none" w:sz="0" w:space="0" w:color="auto"/>
        <w:right w:val="none" w:sz="0" w:space="0" w:color="auto"/>
      </w:divBdr>
    </w:div>
    <w:div w:id="789978451">
      <w:marLeft w:val="0"/>
      <w:marRight w:val="0"/>
      <w:marTop w:val="0"/>
      <w:marBottom w:val="0"/>
      <w:divBdr>
        <w:top w:val="none" w:sz="0" w:space="0" w:color="auto"/>
        <w:left w:val="none" w:sz="0" w:space="0" w:color="auto"/>
        <w:bottom w:val="none" w:sz="0" w:space="0" w:color="auto"/>
        <w:right w:val="none" w:sz="0" w:space="0" w:color="auto"/>
      </w:divBdr>
    </w:div>
    <w:div w:id="789978452">
      <w:marLeft w:val="0"/>
      <w:marRight w:val="0"/>
      <w:marTop w:val="0"/>
      <w:marBottom w:val="0"/>
      <w:divBdr>
        <w:top w:val="none" w:sz="0" w:space="0" w:color="auto"/>
        <w:left w:val="none" w:sz="0" w:space="0" w:color="auto"/>
        <w:bottom w:val="none" w:sz="0" w:space="0" w:color="auto"/>
        <w:right w:val="none" w:sz="0" w:space="0" w:color="auto"/>
      </w:divBdr>
    </w:div>
    <w:div w:id="789978453">
      <w:marLeft w:val="0"/>
      <w:marRight w:val="0"/>
      <w:marTop w:val="0"/>
      <w:marBottom w:val="0"/>
      <w:divBdr>
        <w:top w:val="none" w:sz="0" w:space="0" w:color="auto"/>
        <w:left w:val="none" w:sz="0" w:space="0" w:color="auto"/>
        <w:bottom w:val="none" w:sz="0" w:space="0" w:color="auto"/>
        <w:right w:val="none" w:sz="0" w:space="0" w:color="auto"/>
      </w:divBdr>
    </w:div>
    <w:div w:id="789978454">
      <w:marLeft w:val="0"/>
      <w:marRight w:val="0"/>
      <w:marTop w:val="0"/>
      <w:marBottom w:val="0"/>
      <w:divBdr>
        <w:top w:val="none" w:sz="0" w:space="0" w:color="auto"/>
        <w:left w:val="none" w:sz="0" w:space="0" w:color="auto"/>
        <w:bottom w:val="none" w:sz="0" w:space="0" w:color="auto"/>
        <w:right w:val="none" w:sz="0" w:space="0" w:color="auto"/>
      </w:divBdr>
    </w:div>
    <w:div w:id="789978455">
      <w:marLeft w:val="0"/>
      <w:marRight w:val="0"/>
      <w:marTop w:val="0"/>
      <w:marBottom w:val="0"/>
      <w:divBdr>
        <w:top w:val="none" w:sz="0" w:space="0" w:color="auto"/>
        <w:left w:val="none" w:sz="0" w:space="0" w:color="auto"/>
        <w:bottom w:val="none" w:sz="0" w:space="0" w:color="auto"/>
        <w:right w:val="none" w:sz="0" w:space="0" w:color="auto"/>
      </w:divBdr>
    </w:div>
    <w:div w:id="789978456">
      <w:marLeft w:val="0"/>
      <w:marRight w:val="0"/>
      <w:marTop w:val="0"/>
      <w:marBottom w:val="0"/>
      <w:divBdr>
        <w:top w:val="none" w:sz="0" w:space="0" w:color="auto"/>
        <w:left w:val="none" w:sz="0" w:space="0" w:color="auto"/>
        <w:bottom w:val="none" w:sz="0" w:space="0" w:color="auto"/>
        <w:right w:val="none" w:sz="0" w:space="0" w:color="auto"/>
      </w:divBdr>
    </w:div>
    <w:div w:id="789978457">
      <w:marLeft w:val="0"/>
      <w:marRight w:val="0"/>
      <w:marTop w:val="0"/>
      <w:marBottom w:val="0"/>
      <w:divBdr>
        <w:top w:val="none" w:sz="0" w:space="0" w:color="auto"/>
        <w:left w:val="none" w:sz="0" w:space="0" w:color="auto"/>
        <w:bottom w:val="none" w:sz="0" w:space="0" w:color="auto"/>
        <w:right w:val="none" w:sz="0" w:space="0" w:color="auto"/>
      </w:divBdr>
    </w:div>
    <w:div w:id="789978458">
      <w:marLeft w:val="0"/>
      <w:marRight w:val="0"/>
      <w:marTop w:val="0"/>
      <w:marBottom w:val="0"/>
      <w:divBdr>
        <w:top w:val="none" w:sz="0" w:space="0" w:color="auto"/>
        <w:left w:val="none" w:sz="0" w:space="0" w:color="auto"/>
        <w:bottom w:val="none" w:sz="0" w:space="0" w:color="auto"/>
        <w:right w:val="none" w:sz="0" w:space="0" w:color="auto"/>
      </w:divBdr>
    </w:div>
    <w:div w:id="789978459">
      <w:marLeft w:val="0"/>
      <w:marRight w:val="0"/>
      <w:marTop w:val="0"/>
      <w:marBottom w:val="0"/>
      <w:divBdr>
        <w:top w:val="none" w:sz="0" w:space="0" w:color="auto"/>
        <w:left w:val="none" w:sz="0" w:space="0" w:color="auto"/>
        <w:bottom w:val="none" w:sz="0" w:space="0" w:color="auto"/>
        <w:right w:val="none" w:sz="0" w:space="0" w:color="auto"/>
      </w:divBdr>
    </w:div>
    <w:div w:id="789978460">
      <w:marLeft w:val="0"/>
      <w:marRight w:val="0"/>
      <w:marTop w:val="0"/>
      <w:marBottom w:val="0"/>
      <w:divBdr>
        <w:top w:val="none" w:sz="0" w:space="0" w:color="auto"/>
        <w:left w:val="none" w:sz="0" w:space="0" w:color="auto"/>
        <w:bottom w:val="none" w:sz="0" w:space="0" w:color="auto"/>
        <w:right w:val="none" w:sz="0" w:space="0" w:color="auto"/>
      </w:divBdr>
    </w:div>
    <w:div w:id="789978461">
      <w:marLeft w:val="0"/>
      <w:marRight w:val="0"/>
      <w:marTop w:val="0"/>
      <w:marBottom w:val="0"/>
      <w:divBdr>
        <w:top w:val="none" w:sz="0" w:space="0" w:color="auto"/>
        <w:left w:val="none" w:sz="0" w:space="0" w:color="auto"/>
        <w:bottom w:val="none" w:sz="0" w:space="0" w:color="auto"/>
        <w:right w:val="none" w:sz="0" w:space="0" w:color="auto"/>
      </w:divBdr>
    </w:div>
    <w:div w:id="789978462">
      <w:marLeft w:val="0"/>
      <w:marRight w:val="0"/>
      <w:marTop w:val="0"/>
      <w:marBottom w:val="0"/>
      <w:divBdr>
        <w:top w:val="none" w:sz="0" w:space="0" w:color="auto"/>
        <w:left w:val="none" w:sz="0" w:space="0" w:color="auto"/>
        <w:bottom w:val="none" w:sz="0" w:space="0" w:color="auto"/>
        <w:right w:val="none" w:sz="0" w:space="0" w:color="auto"/>
      </w:divBdr>
    </w:div>
    <w:div w:id="789978463">
      <w:marLeft w:val="0"/>
      <w:marRight w:val="0"/>
      <w:marTop w:val="0"/>
      <w:marBottom w:val="0"/>
      <w:divBdr>
        <w:top w:val="none" w:sz="0" w:space="0" w:color="auto"/>
        <w:left w:val="none" w:sz="0" w:space="0" w:color="auto"/>
        <w:bottom w:val="none" w:sz="0" w:space="0" w:color="auto"/>
        <w:right w:val="none" w:sz="0" w:space="0" w:color="auto"/>
      </w:divBdr>
    </w:div>
    <w:div w:id="789978464">
      <w:marLeft w:val="0"/>
      <w:marRight w:val="0"/>
      <w:marTop w:val="0"/>
      <w:marBottom w:val="0"/>
      <w:divBdr>
        <w:top w:val="none" w:sz="0" w:space="0" w:color="auto"/>
        <w:left w:val="none" w:sz="0" w:space="0" w:color="auto"/>
        <w:bottom w:val="none" w:sz="0" w:space="0" w:color="auto"/>
        <w:right w:val="none" w:sz="0" w:space="0" w:color="auto"/>
      </w:divBdr>
    </w:div>
    <w:div w:id="789978465">
      <w:marLeft w:val="0"/>
      <w:marRight w:val="0"/>
      <w:marTop w:val="0"/>
      <w:marBottom w:val="0"/>
      <w:divBdr>
        <w:top w:val="none" w:sz="0" w:space="0" w:color="auto"/>
        <w:left w:val="none" w:sz="0" w:space="0" w:color="auto"/>
        <w:bottom w:val="none" w:sz="0" w:space="0" w:color="auto"/>
        <w:right w:val="none" w:sz="0" w:space="0" w:color="auto"/>
      </w:divBdr>
    </w:div>
    <w:div w:id="789978466">
      <w:marLeft w:val="0"/>
      <w:marRight w:val="0"/>
      <w:marTop w:val="0"/>
      <w:marBottom w:val="0"/>
      <w:divBdr>
        <w:top w:val="none" w:sz="0" w:space="0" w:color="auto"/>
        <w:left w:val="none" w:sz="0" w:space="0" w:color="auto"/>
        <w:bottom w:val="none" w:sz="0" w:space="0" w:color="auto"/>
        <w:right w:val="none" w:sz="0" w:space="0" w:color="auto"/>
      </w:divBdr>
    </w:div>
    <w:div w:id="789978467">
      <w:marLeft w:val="0"/>
      <w:marRight w:val="0"/>
      <w:marTop w:val="0"/>
      <w:marBottom w:val="0"/>
      <w:divBdr>
        <w:top w:val="none" w:sz="0" w:space="0" w:color="auto"/>
        <w:left w:val="none" w:sz="0" w:space="0" w:color="auto"/>
        <w:bottom w:val="none" w:sz="0" w:space="0" w:color="auto"/>
        <w:right w:val="none" w:sz="0" w:space="0" w:color="auto"/>
      </w:divBdr>
    </w:div>
    <w:div w:id="795757659">
      <w:bodyDiv w:val="1"/>
      <w:marLeft w:val="0"/>
      <w:marRight w:val="0"/>
      <w:marTop w:val="0"/>
      <w:marBottom w:val="0"/>
      <w:divBdr>
        <w:top w:val="none" w:sz="0" w:space="0" w:color="auto"/>
        <w:left w:val="none" w:sz="0" w:space="0" w:color="auto"/>
        <w:bottom w:val="none" w:sz="0" w:space="0" w:color="auto"/>
        <w:right w:val="none" w:sz="0" w:space="0" w:color="auto"/>
      </w:divBdr>
    </w:div>
    <w:div w:id="814880752">
      <w:bodyDiv w:val="1"/>
      <w:marLeft w:val="0"/>
      <w:marRight w:val="0"/>
      <w:marTop w:val="0"/>
      <w:marBottom w:val="0"/>
      <w:divBdr>
        <w:top w:val="none" w:sz="0" w:space="0" w:color="auto"/>
        <w:left w:val="none" w:sz="0" w:space="0" w:color="auto"/>
        <w:bottom w:val="none" w:sz="0" w:space="0" w:color="auto"/>
        <w:right w:val="none" w:sz="0" w:space="0" w:color="auto"/>
      </w:divBdr>
    </w:div>
    <w:div w:id="816804025">
      <w:bodyDiv w:val="1"/>
      <w:marLeft w:val="0"/>
      <w:marRight w:val="0"/>
      <w:marTop w:val="0"/>
      <w:marBottom w:val="0"/>
      <w:divBdr>
        <w:top w:val="none" w:sz="0" w:space="0" w:color="auto"/>
        <w:left w:val="none" w:sz="0" w:space="0" w:color="auto"/>
        <w:bottom w:val="none" w:sz="0" w:space="0" w:color="auto"/>
        <w:right w:val="none" w:sz="0" w:space="0" w:color="auto"/>
      </w:divBdr>
    </w:div>
    <w:div w:id="841511630">
      <w:bodyDiv w:val="1"/>
      <w:marLeft w:val="0"/>
      <w:marRight w:val="0"/>
      <w:marTop w:val="0"/>
      <w:marBottom w:val="0"/>
      <w:divBdr>
        <w:top w:val="none" w:sz="0" w:space="0" w:color="auto"/>
        <w:left w:val="none" w:sz="0" w:space="0" w:color="auto"/>
        <w:bottom w:val="none" w:sz="0" w:space="0" w:color="auto"/>
        <w:right w:val="none" w:sz="0" w:space="0" w:color="auto"/>
      </w:divBdr>
    </w:div>
    <w:div w:id="860320878">
      <w:bodyDiv w:val="1"/>
      <w:marLeft w:val="0"/>
      <w:marRight w:val="0"/>
      <w:marTop w:val="0"/>
      <w:marBottom w:val="0"/>
      <w:divBdr>
        <w:top w:val="none" w:sz="0" w:space="0" w:color="auto"/>
        <w:left w:val="none" w:sz="0" w:space="0" w:color="auto"/>
        <w:bottom w:val="none" w:sz="0" w:space="0" w:color="auto"/>
        <w:right w:val="none" w:sz="0" w:space="0" w:color="auto"/>
      </w:divBdr>
    </w:div>
    <w:div w:id="863788067">
      <w:bodyDiv w:val="1"/>
      <w:marLeft w:val="0"/>
      <w:marRight w:val="0"/>
      <w:marTop w:val="0"/>
      <w:marBottom w:val="0"/>
      <w:divBdr>
        <w:top w:val="none" w:sz="0" w:space="0" w:color="auto"/>
        <w:left w:val="none" w:sz="0" w:space="0" w:color="auto"/>
        <w:bottom w:val="none" w:sz="0" w:space="0" w:color="auto"/>
        <w:right w:val="none" w:sz="0" w:space="0" w:color="auto"/>
      </w:divBdr>
    </w:div>
    <w:div w:id="905456798">
      <w:bodyDiv w:val="1"/>
      <w:marLeft w:val="0"/>
      <w:marRight w:val="0"/>
      <w:marTop w:val="0"/>
      <w:marBottom w:val="0"/>
      <w:divBdr>
        <w:top w:val="none" w:sz="0" w:space="0" w:color="auto"/>
        <w:left w:val="none" w:sz="0" w:space="0" w:color="auto"/>
        <w:bottom w:val="none" w:sz="0" w:space="0" w:color="auto"/>
        <w:right w:val="none" w:sz="0" w:space="0" w:color="auto"/>
      </w:divBdr>
    </w:div>
    <w:div w:id="928737212">
      <w:bodyDiv w:val="1"/>
      <w:marLeft w:val="0"/>
      <w:marRight w:val="0"/>
      <w:marTop w:val="0"/>
      <w:marBottom w:val="0"/>
      <w:divBdr>
        <w:top w:val="none" w:sz="0" w:space="0" w:color="auto"/>
        <w:left w:val="none" w:sz="0" w:space="0" w:color="auto"/>
        <w:bottom w:val="none" w:sz="0" w:space="0" w:color="auto"/>
        <w:right w:val="none" w:sz="0" w:space="0" w:color="auto"/>
      </w:divBdr>
    </w:div>
    <w:div w:id="936712378">
      <w:bodyDiv w:val="1"/>
      <w:marLeft w:val="0"/>
      <w:marRight w:val="0"/>
      <w:marTop w:val="0"/>
      <w:marBottom w:val="0"/>
      <w:divBdr>
        <w:top w:val="none" w:sz="0" w:space="0" w:color="auto"/>
        <w:left w:val="none" w:sz="0" w:space="0" w:color="auto"/>
        <w:bottom w:val="none" w:sz="0" w:space="0" w:color="auto"/>
        <w:right w:val="none" w:sz="0" w:space="0" w:color="auto"/>
      </w:divBdr>
    </w:div>
    <w:div w:id="950010919">
      <w:bodyDiv w:val="1"/>
      <w:marLeft w:val="0"/>
      <w:marRight w:val="0"/>
      <w:marTop w:val="0"/>
      <w:marBottom w:val="0"/>
      <w:divBdr>
        <w:top w:val="none" w:sz="0" w:space="0" w:color="auto"/>
        <w:left w:val="none" w:sz="0" w:space="0" w:color="auto"/>
        <w:bottom w:val="none" w:sz="0" w:space="0" w:color="auto"/>
        <w:right w:val="none" w:sz="0" w:space="0" w:color="auto"/>
      </w:divBdr>
    </w:div>
    <w:div w:id="954796405">
      <w:bodyDiv w:val="1"/>
      <w:marLeft w:val="0"/>
      <w:marRight w:val="0"/>
      <w:marTop w:val="0"/>
      <w:marBottom w:val="0"/>
      <w:divBdr>
        <w:top w:val="none" w:sz="0" w:space="0" w:color="auto"/>
        <w:left w:val="none" w:sz="0" w:space="0" w:color="auto"/>
        <w:bottom w:val="none" w:sz="0" w:space="0" w:color="auto"/>
        <w:right w:val="none" w:sz="0" w:space="0" w:color="auto"/>
      </w:divBdr>
    </w:div>
    <w:div w:id="975910780">
      <w:bodyDiv w:val="1"/>
      <w:marLeft w:val="0"/>
      <w:marRight w:val="0"/>
      <w:marTop w:val="0"/>
      <w:marBottom w:val="0"/>
      <w:divBdr>
        <w:top w:val="none" w:sz="0" w:space="0" w:color="auto"/>
        <w:left w:val="none" w:sz="0" w:space="0" w:color="auto"/>
        <w:bottom w:val="none" w:sz="0" w:space="0" w:color="auto"/>
        <w:right w:val="none" w:sz="0" w:space="0" w:color="auto"/>
      </w:divBdr>
    </w:div>
    <w:div w:id="980883531">
      <w:bodyDiv w:val="1"/>
      <w:marLeft w:val="0"/>
      <w:marRight w:val="0"/>
      <w:marTop w:val="0"/>
      <w:marBottom w:val="0"/>
      <w:divBdr>
        <w:top w:val="none" w:sz="0" w:space="0" w:color="auto"/>
        <w:left w:val="none" w:sz="0" w:space="0" w:color="auto"/>
        <w:bottom w:val="none" w:sz="0" w:space="0" w:color="auto"/>
        <w:right w:val="none" w:sz="0" w:space="0" w:color="auto"/>
      </w:divBdr>
    </w:div>
    <w:div w:id="989481145">
      <w:bodyDiv w:val="1"/>
      <w:marLeft w:val="0"/>
      <w:marRight w:val="0"/>
      <w:marTop w:val="0"/>
      <w:marBottom w:val="0"/>
      <w:divBdr>
        <w:top w:val="none" w:sz="0" w:space="0" w:color="auto"/>
        <w:left w:val="none" w:sz="0" w:space="0" w:color="auto"/>
        <w:bottom w:val="none" w:sz="0" w:space="0" w:color="auto"/>
        <w:right w:val="none" w:sz="0" w:space="0" w:color="auto"/>
      </w:divBdr>
    </w:div>
    <w:div w:id="1056049388">
      <w:bodyDiv w:val="1"/>
      <w:marLeft w:val="0"/>
      <w:marRight w:val="0"/>
      <w:marTop w:val="0"/>
      <w:marBottom w:val="0"/>
      <w:divBdr>
        <w:top w:val="none" w:sz="0" w:space="0" w:color="auto"/>
        <w:left w:val="none" w:sz="0" w:space="0" w:color="auto"/>
        <w:bottom w:val="none" w:sz="0" w:space="0" w:color="auto"/>
        <w:right w:val="none" w:sz="0" w:space="0" w:color="auto"/>
      </w:divBdr>
    </w:div>
    <w:div w:id="1056078106">
      <w:bodyDiv w:val="1"/>
      <w:marLeft w:val="0"/>
      <w:marRight w:val="0"/>
      <w:marTop w:val="0"/>
      <w:marBottom w:val="0"/>
      <w:divBdr>
        <w:top w:val="none" w:sz="0" w:space="0" w:color="auto"/>
        <w:left w:val="none" w:sz="0" w:space="0" w:color="auto"/>
        <w:bottom w:val="none" w:sz="0" w:space="0" w:color="auto"/>
        <w:right w:val="none" w:sz="0" w:space="0" w:color="auto"/>
      </w:divBdr>
    </w:div>
    <w:div w:id="1062564905">
      <w:bodyDiv w:val="1"/>
      <w:marLeft w:val="0"/>
      <w:marRight w:val="0"/>
      <w:marTop w:val="0"/>
      <w:marBottom w:val="0"/>
      <w:divBdr>
        <w:top w:val="none" w:sz="0" w:space="0" w:color="auto"/>
        <w:left w:val="none" w:sz="0" w:space="0" w:color="auto"/>
        <w:bottom w:val="none" w:sz="0" w:space="0" w:color="auto"/>
        <w:right w:val="none" w:sz="0" w:space="0" w:color="auto"/>
      </w:divBdr>
    </w:div>
    <w:div w:id="1158225750">
      <w:bodyDiv w:val="1"/>
      <w:marLeft w:val="0"/>
      <w:marRight w:val="0"/>
      <w:marTop w:val="0"/>
      <w:marBottom w:val="0"/>
      <w:divBdr>
        <w:top w:val="none" w:sz="0" w:space="0" w:color="auto"/>
        <w:left w:val="none" w:sz="0" w:space="0" w:color="auto"/>
        <w:bottom w:val="none" w:sz="0" w:space="0" w:color="auto"/>
        <w:right w:val="none" w:sz="0" w:space="0" w:color="auto"/>
      </w:divBdr>
    </w:div>
    <w:div w:id="1183520987">
      <w:bodyDiv w:val="1"/>
      <w:marLeft w:val="0"/>
      <w:marRight w:val="0"/>
      <w:marTop w:val="0"/>
      <w:marBottom w:val="0"/>
      <w:divBdr>
        <w:top w:val="none" w:sz="0" w:space="0" w:color="auto"/>
        <w:left w:val="none" w:sz="0" w:space="0" w:color="auto"/>
        <w:bottom w:val="none" w:sz="0" w:space="0" w:color="auto"/>
        <w:right w:val="none" w:sz="0" w:space="0" w:color="auto"/>
      </w:divBdr>
    </w:div>
    <w:div w:id="1193766728">
      <w:bodyDiv w:val="1"/>
      <w:marLeft w:val="0"/>
      <w:marRight w:val="0"/>
      <w:marTop w:val="0"/>
      <w:marBottom w:val="0"/>
      <w:divBdr>
        <w:top w:val="none" w:sz="0" w:space="0" w:color="auto"/>
        <w:left w:val="none" w:sz="0" w:space="0" w:color="auto"/>
        <w:bottom w:val="none" w:sz="0" w:space="0" w:color="auto"/>
        <w:right w:val="none" w:sz="0" w:space="0" w:color="auto"/>
      </w:divBdr>
    </w:div>
    <w:div w:id="1213075025">
      <w:bodyDiv w:val="1"/>
      <w:marLeft w:val="0"/>
      <w:marRight w:val="0"/>
      <w:marTop w:val="0"/>
      <w:marBottom w:val="0"/>
      <w:divBdr>
        <w:top w:val="none" w:sz="0" w:space="0" w:color="auto"/>
        <w:left w:val="none" w:sz="0" w:space="0" w:color="auto"/>
        <w:bottom w:val="none" w:sz="0" w:space="0" w:color="auto"/>
        <w:right w:val="none" w:sz="0" w:space="0" w:color="auto"/>
      </w:divBdr>
    </w:div>
    <w:div w:id="1223516784">
      <w:bodyDiv w:val="1"/>
      <w:marLeft w:val="0"/>
      <w:marRight w:val="0"/>
      <w:marTop w:val="0"/>
      <w:marBottom w:val="0"/>
      <w:divBdr>
        <w:top w:val="none" w:sz="0" w:space="0" w:color="auto"/>
        <w:left w:val="none" w:sz="0" w:space="0" w:color="auto"/>
        <w:bottom w:val="none" w:sz="0" w:space="0" w:color="auto"/>
        <w:right w:val="none" w:sz="0" w:space="0" w:color="auto"/>
      </w:divBdr>
    </w:div>
    <w:div w:id="1230384266">
      <w:bodyDiv w:val="1"/>
      <w:marLeft w:val="0"/>
      <w:marRight w:val="0"/>
      <w:marTop w:val="0"/>
      <w:marBottom w:val="0"/>
      <w:divBdr>
        <w:top w:val="none" w:sz="0" w:space="0" w:color="auto"/>
        <w:left w:val="none" w:sz="0" w:space="0" w:color="auto"/>
        <w:bottom w:val="none" w:sz="0" w:space="0" w:color="auto"/>
        <w:right w:val="none" w:sz="0" w:space="0" w:color="auto"/>
      </w:divBdr>
    </w:div>
    <w:div w:id="1233662563">
      <w:bodyDiv w:val="1"/>
      <w:marLeft w:val="0"/>
      <w:marRight w:val="0"/>
      <w:marTop w:val="0"/>
      <w:marBottom w:val="0"/>
      <w:divBdr>
        <w:top w:val="none" w:sz="0" w:space="0" w:color="auto"/>
        <w:left w:val="none" w:sz="0" w:space="0" w:color="auto"/>
        <w:bottom w:val="none" w:sz="0" w:space="0" w:color="auto"/>
        <w:right w:val="none" w:sz="0" w:space="0" w:color="auto"/>
      </w:divBdr>
    </w:div>
    <w:div w:id="1245871805">
      <w:bodyDiv w:val="1"/>
      <w:marLeft w:val="0"/>
      <w:marRight w:val="0"/>
      <w:marTop w:val="0"/>
      <w:marBottom w:val="0"/>
      <w:divBdr>
        <w:top w:val="none" w:sz="0" w:space="0" w:color="auto"/>
        <w:left w:val="none" w:sz="0" w:space="0" w:color="auto"/>
        <w:bottom w:val="none" w:sz="0" w:space="0" w:color="auto"/>
        <w:right w:val="none" w:sz="0" w:space="0" w:color="auto"/>
      </w:divBdr>
    </w:div>
    <w:div w:id="1255699842">
      <w:bodyDiv w:val="1"/>
      <w:marLeft w:val="0"/>
      <w:marRight w:val="0"/>
      <w:marTop w:val="0"/>
      <w:marBottom w:val="0"/>
      <w:divBdr>
        <w:top w:val="none" w:sz="0" w:space="0" w:color="auto"/>
        <w:left w:val="none" w:sz="0" w:space="0" w:color="auto"/>
        <w:bottom w:val="none" w:sz="0" w:space="0" w:color="auto"/>
        <w:right w:val="none" w:sz="0" w:space="0" w:color="auto"/>
      </w:divBdr>
    </w:div>
    <w:div w:id="1264651650">
      <w:bodyDiv w:val="1"/>
      <w:marLeft w:val="0"/>
      <w:marRight w:val="0"/>
      <w:marTop w:val="0"/>
      <w:marBottom w:val="0"/>
      <w:divBdr>
        <w:top w:val="none" w:sz="0" w:space="0" w:color="auto"/>
        <w:left w:val="none" w:sz="0" w:space="0" w:color="auto"/>
        <w:bottom w:val="none" w:sz="0" w:space="0" w:color="auto"/>
        <w:right w:val="none" w:sz="0" w:space="0" w:color="auto"/>
      </w:divBdr>
    </w:div>
    <w:div w:id="1331058562">
      <w:bodyDiv w:val="1"/>
      <w:marLeft w:val="0"/>
      <w:marRight w:val="0"/>
      <w:marTop w:val="0"/>
      <w:marBottom w:val="0"/>
      <w:divBdr>
        <w:top w:val="none" w:sz="0" w:space="0" w:color="auto"/>
        <w:left w:val="none" w:sz="0" w:space="0" w:color="auto"/>
        <w:bottom w:val="none" w:sz="0" w:space="0" w:color="auto"/>
        <w:right w:val="none" w:sz="0" w:space="0" w:color="auto"/>
      </w:divBdr>
    </w:div>
    <w:div w:id="1344865989">
      <w:bodyDiv w:val="1"/>
      <w:marLeft w:val="0"/>
      <w:marRight w:val="0"/>
      <w:marTop w:val="0"/>
      <w:marBottom w:val="0"/>
      <w:divBdr>
        <w:top w:val="none" w:sz="0" w:space="0" w:color="auto"/>
        <w:left w:val="none" w:sz="0" w:space="0" w:color="auto"/>
        <w:bottom w:val="none" w:sz="0" w:space="0" w:color="auto"/>
        <w:right w:val="none" w:sz="0" w:space="0" w:color="auto"/>
      </w:divBdr>
    </w:div>
    <w:div w:id="1377895670">
      <w:bodyDiv w:val="1"/>
      <w:marLeft w:val="0"/>
      <w:marRight w:val="0"/>
      <w:marTop w:val="0"/>
      <w:marBottom w:val="0"/>
      <w:divBdr>
        <w:top w:val="none" w:sz="0" w:space="0" w:color="auto"/>
        <w:left w:val="none" w:sz="0" w:space="0" w:color="auto"/>
        <w:bottom w:val="none" w:sz="0" w:space="0" w:color="auto"/>
        <w:right w:val="none" w:sz="0" w:space="0" w:color="auto"/>
      </w:divBdr>
    </w:div>
    <w:div w:id="1383098536">
      <w:bodyDiv w:val="1"/>
      <w:marLeft w:val="0"/>
      <w:marRight w:val="0"/>
      <w:marTop w:val="0"/>
      <w:marBottom w:val="0"/>
      <w:divBdr>
        <w:top w:val="none" w:sz="0" w:space="0" w:color="auto"/>
        <w:left w:val="none" w:sz="0" w:space="0" w:color="auto"/>
        <w:bottom w:val="none" w:sz="0" w:space="0" w:color="auto"/>
        <w:right w:val="none" w:sz="0" w:space="0" w:color="auto"/>
      </w:divBdr>
    </w:div>
    <w:div w:id="1394743330">
      <w:bodyDiv w:val="1"/>
      <w:marLeft w:val="0"/>
      <w:marRight w:val="0"/>
      <w:marTop w:val="0"/>
      <w:marBottom w:val="0"/>
      <w:divBdr>
        <w:top w:val="none" w:sz="0" w:space="0" w:color="auto"/>
        <w:left w:val="none" w:sz="0" w:space="0" w:color="auto"/>
        <w:bottom w:val="none" w:sz="0" w:space="0" w:color="auto"/>
        <w:right w:val="none" w:sz="0" w:space="0" w:color="auto"/>
      </w:divBdr>
    </w:div>
    <w:div w:id="1398749045">
      <w:bodyDiv w:val="1"/>
      <w:marLeft w:val="0"/>
      <w:marRight w:val="0"/>
      <w:marTop w:val="0"/>
      <w:marBottom w:val="0"/>
      <w:divBdr>
        <w:top w:val="none" w:sz="0" w:space="0" w:color="auto"/>
        <w:left w:val="none" w:sz="0" w:space="0" w:color="auto"/>
        <w:bottom w:val="none" w:sz="0" w:space="0" w:color="auto"/>
        <w:right w:val="none" w:sz="0" w:space="0" w:color="auto"/>
      </w:divBdr>
    </w:div>
    <w:div w:id="1441340290">
      <w:bodyDiv w:val="1"/>
      <w:marLeft w:val="0"/>
      <w:marRight w:val="0"/>
      <w:marTop w:val="0"/>
      <w:marBottom w:val="0"/>
      <w:divBdr>
        <w:top w:val="none" w:sz="0" w:space="0" w:color="auto"/>
        <w:left w:val="none" w:sz="0" w:space="0" w:color="auto"/>
        <w:bottom w:val="none" w:sz="0" w:space="0" w:color="auto"/>
        <w:right w:val="none" w:sz="0" w:space="0" w:color="auto"/>
      </w:divBdr>
    </w:div>
    <w:div w:id="1452359703">
      <w:bodyDiv w:val="1"/>
      <w:marLeft w:val="0"/>
      <w:marRight w:val="0"/>
      <w:marTop w:val="0"/>
      <w:marBottom w:val="0"/>
      <w:divBdr>
        <w:top w:val="none" w:sz="0" w:space="0" w:color="auto"/>
        <w:left w:val="none" w:sz="0" w:space="0" w:color="auto"/>
        <w:bottom w:val="none" w:sz="0" w:space="0" w:color="auto"/>
        <w:right w:val="none" w:sz="0" w:space="0" w:color="auto"/>
      </w:divBdr>
    </w:div>
    <w:div w:id="1461997288">
      <w:bodyDiv w:val="1"/>
      <w:marLeft w:val="0"/>
      <w:marRight w:val="0"/>
      <w:marTop w:val="0"/>
      <w:marBottom w:val="0"/>
      <w:divBdr>
        <w:top w:val="none" w:sz="0" w:space="0" w:color="auto"/>
        <w:left w:val="none" w:sz="0" w:space="0" w:color="auto"/>
        <w:bottom w:val="none" w:sz="0" w:space="0" w:color="auto"/>
        <w:right w:val="none" w:sz="0" w:space="0" w:color="auto"/>
      </w:divBdr>
    </w:div>
    <w:div w:id="1479565532">
      <w:bodyDiv w:val="1"/>
      <w:marLeft w:val="0"/>
      <w:marRight w:val="0"/>
      <w:marTop w:val="0"/>
      <w:marBottom w:val="0"/>
      <w:divBdr>
        <w:top w:val="none" w:sz="0" w:space="0" w:color="auto"/>
        <w:left w:val="none" w:sz="0" w:space="0" w:color="auto"/>
        <w:bottom w:val="none" w:sz="0" w:space="0" w:color="auto"/>
        <w:right w:val="none" w:sz="0" w:space="0" w:color="auto"/>
      </w:divBdr>
    </w:div>
    <w:div w:id="1495025756">
      <w:bodyDiv w:val="1"/>
      <w:marLeft w:val="0"/>
      <w:marRight w:val="0"/>
      <w:marTop w:val="0"/>
      <w:marBottom w:val="0"/>
      <w:divBdr>
        <w:top w:val="none" w:sz="0" w:space="0" w:color="auto"/>
        <w:left w:val="none" w:sz="0" w:space="0" w:color="auto"/>
        <w:bottom w:val="none" w:sz="0" w:space="0" w:color="auto"/>
        <w:right w:val="none" w:sz="0" w:space="0" w:color="auto"/>
      </w:divBdr>
    </w:div>
    <w:div w:id="1514107287">
      <w:bodyDiv w:val="1"/>
      <w:marLeft w:val="0"/>
      <w:marRight w:val="0"/>
      <w:marTop w:val="0"/>
      <w:marBottom w:val="0"/>
      <w:divBdr>
        <w:top w:val="none" w:sz="0" w:space="0" w:color="auto"/>
        <w:left w:val="none" w:sz="0" w:space="0" w:color="auto"/>
        <w:bottom w:val="none" w:sz="0" w:space="0" w:color="auto"/>
        <w:right w:val="none" w:sz="0" w:space="0" w:color="auto"/>
      </w:divBdr>
    </w:div>
    <w:div w:id="1520392994">
      <w:bodyDiv w:val="1"/>
      <w:marLeft w:val="0"/>
      <w:marRight w:val="0"/>
      <w:marTop w:val="0"/>
      <w:marBottom w:val="0"/>
      <w:divBdr>
        <w:top w:val="none" w:sz="0" w:space="0" w:color="auto"/>
        <w:left w:val="none" w:sz="0" w:space="0" w:color="auto"/>
        <w:bottom w:val="none" w:sz="0" w:space="0" w:color="auto"/>
        <w:right w:val="none" w:sz="0" w:space="0" w:color="auto"/>
      </w:divBdr>
    </w:div>
    <w:div w:id="1542859679">
      <w:bodyDiv w:val="1"/>
      <w:marLeft w:val="0"/>
      <w:marRight w:val="0"/>
      <w:marTop w:val="0"/>
      <w:marBottom w:val="0"/>
      <w:divBdr>
        <w:top w:val="none" w:sz="0" w:space="0" w:color="auto"/>
        <w:left w:val="none" w:sz="0" w:space="0" w:color="auto"/>
        <w:bottom w:val="none" w:sz="0" w:space="0" w:color="auto"/>
        <w:right w:val="none" w:sz="0" w:space="0" w:color="auto"/>
      </w:divBdr>
    </w:div>
    <w:div w:id="1556551405">
      <w:bodyDiv w:val="1"/>
      <w:marLeft w:val="0"/>
      <w:marRight w:val="0"/>
      <w:marTop w:val="0"/>
      <w:marBottom w:val="0"/>
      <w:divBdr>
        <w:top w:val="none" w:sz="0" w:space="0" w:color="auto"/>
        <w:left w:val="none" w:sz="0" w:space="0" w:color="auto"/>
        <w:bottom w:val="none" w:sz="0" w:space="0" w:color="auto"/>
        <w:right w:val="none" w:sz="0" w:space="0" w:color="auto"/>
      </w:divBdr>
    </w:div>
    <w:div w:id="1556771593">
      <w:bodyDiv w:val="1"/>
      <w:marLeft w:val="0"/>
      <w:marRight w:val="0"/>
      <w:marTop w:val="0"/>
      <w:marBottom w:val="0"/>
      <w:divBdr>
        <w:top w:val="none" w:sz="0" w:space="0" w:color="auto"/>
        <w:left w:val="none" w:sz="0" w:space="0" w:color="auto"/>
        <w:bottom w:val="none" w:sz="0" w:space="0" w:color="auto"/>
        <w:right w:val="none" w:sz="0" w:space="0" w:color="auto"/>
      </w:divBdr>
    </w:div>
    <w:div w:id="1557469869">
      <w:bodyDiv w:val="1"/>
      <w:marLeft w:val="0"/>
      <w:marRight w:val="0"/>
      <w:marTop w:val="0"/>
      <w:marBottom w:val="0"/>
      <w:divBdr>
        <w:top w:val="none" w:sz="0" w:space="0" w:color="auto"/>
        <w:left w:val="none" w:sz="0" w:space="0" w:color="auto"/>
        <w:bottom w:val="none" w:sz="0" w:space="0" w:color="auto"/>
        <w:right w:val="none" w:sz="0" w:space="0" w:color="auto"/>
      </w:divBdr>
    </w:div>
    <w:div w:id="1566377109">
      <w:bodyDiv w:val="1"/>
      <w:marLeft w:val="0"/>
      <w:marRight w:val="0"/>
      <w:marTop w:val="0"/>
      <w:marBottom w:val="0"/>
      <w:divBdr>
        <w:top w:val="none" w:sz="0" w:space="0" w:color="auto"/>
        <w:left w:val="none" w:sz="0" w:space="0" w:color="auto"/>
        <w:bottom w:val="none" w:sz="0" w:space="0" w:color="auto"/>
        <w:right w:val="none" w:sz="0" w:space="0" w:color="auto"/>
      </w:divBdr>
    </w:div>
    <w:div w:id="1581212622">
      <w:bodyDiv w:val="1"/>
      <w:marLeft w:val="0"/>
      <w:marRight w:val="0"/>
      <w:marTop w:val="0"/>
      <w:marBottom w:val="0"/>
      <w:divBdr>
        <w:top w:val="none" w:sz="0" w:space="0" w:color="auto"/>
        <w:left w:val="none" w:sz="0" w:space="0" w:color="auto"/>
        <w:bottom w:val="none" w:sz="0" w:space="0" w:color="auto"/>
        <w:right w:val="none" w:sz="0" w:space="0" w:color="auto"/>
      </w:divBdr>
    </w:div>
    <w:div w:id="1587692668">
      <w:bodyDiv w:val="1"/>
      <w:marLeft w:val="0"/>
      <w:marRight w:val="0"/>
      <w:marTop w:val="0"/>
      <w:marBottom w:val="0"/>
      <w:divBdr>
        <w:top w:val="none" w:sz="0" w:space="0" w:color="auto"/>
        <w:left w:val="none" w:sz="0" w:space="0" w:color="auto"/>
        <w:bottom w:val="none" w:sz="0" w:space="0" w:color="auto"/>
        <w:right w:val="none" w:sz="0" w:space="0" w:color="auto"/>
      </w:divBdr>
    </w:div>
    <w:div w:id="1592621503">
      <w:bodyDiv w:val="1"/>
      <w:marLeft w:val="0"/>
      <w:marRight w:val="0"/>
      <w:marTop w:val="0"/>
      <w:marBottom w:val="0"/>
      <w:divBdr>
        <w:top w:val="none" w:sz="0" w:space="0" w:color="auto"/>
        <w:left w:val="none" w:sz="0" w:space="0" w:color="auto"/>
        <w:bottom w:val="none" w:sz="0" w:space="0" w:color="auto"/>
        <w:right w:val="none" w:sz="0" w:space="0" w:color="auto"/>
      </w:divBdr>
    </w:div>
    <w:div w:id="1614052666">
      <w:bodyDiv w:val="1"/>
      <w:marLeft w:val="0"/>
      <w:marRight w:val="0"/>
      <w:marTop w:val="0"/>
      <w:marBottom w:val="0"/>
      <w:divBdr>
        <w:top w:val="none" w:sz="0" w:space="0" w:color="auto"/>
        <w:left w:val="none" w:sz="0" w:space="0" w:color="auto"/>
        <w:bottom w:val="none" w:sz="0" w:space="0" w:color="auto"/>
        <w:right w:val="none" w:sz="0" w:space="0" w:color="auto"/>
      </w:divBdr>
    </w:div>
    <w:div w:id="1622348086">
      <w:bodyDiv w:val="1"/>
      <w:marLeft w:val="0"/>
      <w:marRight w:val="0"/>
      <w:marTop w:val="0"/>
      <w:marBottom w:val="0"/>
      <w:divBdr>
        <w:top w:val="none" w:sz="0" w:space="0" w:color="auto"/>
        <w:left w:val="none" w:sz="0" w:space="0" w:color="auto"/>
        <w:bottom w:val="none" w:sz="0" w:space="0" w:color="auto"/>
        <w:right w:val="none" w:sz="0" w:space="0" w:color="auto"/>
      </w:divBdr>
    </w:div>
    <w:div w:id="1673333997">
      <w:bodyDiv w:val="1"/>
      <w:marLeft w:val="0"/>
      <w:marRight w:val="0"/>
      <w:marTop w:val="0"/>
      <w:marBottom w:val="0"/>
      <w:divBdr>
        <w:top w:val="none" w:sz="0" w:space="0" w:color="auto"/>
        <w:left w:val="none" w:sz="0" w:space="0" w:color="auto"/>
        <w:bottom w:val="none" w:sz="0" w:space="0" w:color="auto"/>
        <w:right w:val="none" w:sz="0" w:space="0" w:color="auto"/>
      </w:divBdr>
    </w:div>
    <w:div w:id="1686714692">
      <w:bodyDiv w:val="1"/>
      <w:marLeft w:val="0"/>
      <w:marRight w:val="0"/>
      <w:marTop w:val="0"/>
      <w:marBottom w:val="0"/>
      <w:divBdr>
        <w:top w:val="none" w:sz="0" w:space="0" w:color="auto"/>
        <w:left w:val="none" w:sz="0" w:space="0" w:color="auto"/>
        <w:bottom w:val="none" w:sz="0" w:space="0" w:color="auto"/>
        <w:right w:val="none" w:sz="0" w:space="0" w:color="auto"/>
      </w:divBdr>
    </w:div>
    <w:div w:id="1694845000">
      <w:bodyDiv w:val="1"/>
      <w:marLeft w:val="0"/>
      <w:marRight w:val="0"/>
      <w:marTop w:val="0"/>
      <w:marBottom w:val="0"/>
      <w:divBdr>
        <w:top w:val="none" w:sz="0" w:space="0" w:color="auto"/>
        <w:left w:val="none" w:sz="0" w:space="0" w:color="auto"/>
        <w:bottom w:val="none" w:sz="0" w:space="0" w:color="auto"/>
        <w:right w:val="none" w:sz="0" w:space="0" w:color="auto"/>
      </w:divBdr>
    </w:div>
    <w:div w:id="1732993946">
      <w:bodyDiv w:val="1"/>
      <w:marLeft w:val="0"/>
      <w:marRight w:val="0"/>
      <w:marTop w:val="0"/>
      <w:marBottom w:val="0"/>
      <w:divBdr>
        <w:top w:val="none" w:sz="0" w:space="0" w:color="auto"/>
        <w:left w:val="none" w:sz="0" w:space="0" w:color="auto"/>
        <w:bottom w:val="none" w:sz="0" w:space="0" w:color="auto"/>
        <w:right w:val="none" w:sz="0" w:space="0" w:color="auto"/>
      </w:divBdr>
    </w:div>
    <w:div w:id="1763067765">
      <w:bodyDiv w:val="1"/>
      <w:marLeft w:val="0"/>
      <w:marRight w:val="0"/>
      <w:marTop w:val="0"/>
      <w:marBottom w:val="0"/>
      <w:divBdr>
        <w:top w:val="none" w:sz="0" w:space="0" w:color="auto"/>
        <w:left w:val="none" w:sz="0" w:space="0" w:color="auto"/>
        <w:bottom w:val="none" w:sz="0" w:space="0" w:color="auto"/>
        <w:right w:val="none" w:sz="0" w:space="0" w:color="auto"/>
      </w:divBdr>
    </w:div>
    <w:div w:id="1779442476">
      <w:bodyDiv w:val="1"/>
      <w:marLeft w:val="0"/>
      <w:marRight w:val="0"/>
      <w:marTop w:val="0"/>
      <w:marBottom w:val="0"/>
      <w:divBdr>
        <w:top w:val="none" w:sz="0" w:space="0" w:color="auto"/>
        <w:left w:val="none" w:sz="0" w:space="0" w:color="auto"/>
        <w:bottom w:val="none" w:sz="0" w:space="0" w:color="auto"/>
        <w:right w:val="none" w:sz="0" w:space="0" w:color="auto"/>
      </w:divBdr>
    </w:div>
    <w:div w:id="1781560111">
      <w:bodyDiv w:val="1"/>
      <w:marLeft w:val="0"/>
      <w:marRight w:val="0"/>
      <w:marTop w:val="0"/>
      <w:marBottom w:val="0"/>
      <w:divBdr>
        <w:top w:val="none" w:sz="0" w:space="0" w:color="auto"/>
        <w:left w:val="none" w:sz="0" w:space="0" w:color="auto"/>
        <w:bottom w:val="none" w:sz="0" w:space="0" w:color="auto"/>
        <w:right w:val="none" w:sz="0" w:space="0" w:color="auto"/>
      </w:divBdr>
    </w:div>
    <w:div w:id="1846632407">
      <w:bodyDiv w:val="1"/>
      <w:marLeft w:val="0"/>
      <w:marRight w:val="0"/>
      <w:marTop w:val="0"/>
      <w:marBottom w:val="0"/>
      <w:divBdr>
        <w:top w:val="none" w:sz="0" w:space="0" w:color="auto"/>
        <w:left w:val="none" w:sz="0" w:space="0" w:color="auto"/>
        <w:bottom w:val="none" w:sz="0" w:space="0" w:color="auto"/>
        <w:right w:val="none" w:sz="0" w:space="0" w:color="auto"/>
      </w:divBdr>
    </w:div>
    <w:div w:id="1886720462">
      <w:bodyDiv w:val="1"/>
      <w:marLeft w:val="0"/>
      <w:marRight w:val="0"/>
      <w:marTop w:val="0"/>
      <w:marBottom w:val="0"/>
      <w:divBdr>
        <w:top w:val="none" w:sz="0" w:space="0" w:color="auto"/>
        <w:left w:val="none" w:sz="0" w:space="0" w:color="auto"/>
        <w:bottom w:val="none" w:sz="0" w:space="0" w:color="auto"/>
        <w:right w:val="none" w:sz="0" w:space="0" w:color="auto"/>
      </w:divBdr>
    </w:div>
    <w:div w:id="1887524226">
      <w:bodyDiv w:val="1"/>
      <w:marLeft w:val="0"/>
      <w:marRight w:val="0"/>
      <w:marTop w:val="0"/>
      <w:marBottom w:val="0"/>
      <w:divBdr>
        <w:top w:val="none" w:sz="0" w:space="0" w:color="auto"/>
        <w:left w:val="none" w:sz="0" w:space="0" w:color="auto"/>
        <w:bottom w:val="none" w:sz="0" w:space="0" w:color="auto"/>
        <w:right w:val="none" w:sz="0" w:space="0" w:color="auto"/>
      </w:divBdr>
    </w:div>
    <w:div w:id="1893539418">
      <w:bodyDiv w:val="1"/>
      <w:marLeft w:val="0"/>
      <w:marRight w:val="0"/>
      <w:marTop w:val="0"/>
      <w:marBottom w:val="0"/>
      <w:divBdr>
        <w:top w:val="none" w:sz="0" w:space="0" w:color="auto"/>
        <w:left w:val="none" w:sz="0" w:space="0" w:color="auto"/>
        <w:bottom w:val="none" w:sz="0" w:space="0" w:color="auto"/>
        <w:right w:val="none" w:sz="0" w:space="0" w:color="auto"/>
      </w:divBdr>
    </w:div>
    <w:div w:id="1916237994">
      <w:bodyDiv w:val="1"/>
      <w:marLeft w:val="0"/>
      <w:marRight w:val="0"/>
      <w:marTop w:val="0"/>
      <w:marBottom w:val="0"/>
      <w:divBdr>
        <w:top w:val="none" w:sz="0" w:space="0" w:color="auto"/>
        <w:left w:val="none" w:sz="0" w:space="0" w:color="auto"/>
        <w:bottom w:val="none" w:sz="0" w:space="0" w:color="auto"/>
        <w:right w:val="none" w:sz="0" w:space="0" w:color="auto"/>
      </w:divBdr>
    </w:div>
    <w:div w:id="1918854835">
      <w:bodyDiv w:val="1"/>
      <w:marLeft w:val="0"/>
      <w:marRight w:val="0"/>
      <w:marTop w:val="0"/>
      <w:marBottom w:val="0"/>
      <w:divBdr>
        <w:top w:val="none" w:sz="0" w:space="0" w:color="auto"/>
        <w:left w:val="none" w:sz="0" w:space="0" w:color="auto"/>
        <w:bottom w:val="none" w:sz="0" w:space="0" w:color="auto"/>
        <w:right w:val="none" w:sz="0" w:space="0" w:color="auto"/>
      </w:divBdr>
    </w:div>
    <w:div w:id="1933514611">
      <w:bodyDiv w:val="1"/>
      <w:marLeft w:val="0"/>
      <w:marRight w:val="0"/>
      <w:marTop w:val="0"/>
      <w:marBottom w:val="0"/>
      <w:divBdr>
        <w:top w:val="none" w:sz="0" w:space="0" w:color="auto"/>
        <w:left w:val="none" w:sz="0" w:space="0" w:color="auto"/>
        <w:bottom w:val="none" w:sz="0" w:space="0" w:color="auto"/>
        <w:right w:val="none" w:sz="0" w:space="0" w:color="auto"/>
      </w:divBdr>
    </w:div>
    <w:div w:id="1957561391">
      <w:bodyDiv w:val="1"/>
      <w:marLeft w:val="0"/>
      <w:marRight w:val="0"/>
      <w:marTop w:val="0"/>
      <w:marBottom w:val="0"/>
      <w:divBdr>
        <w:top w:val="none" w:sz="0" w:space="0" w:color="auto"/>
        <w:left w:val="none" w:sz="0" w:space="0" w:color="auto"/>
        <w:bottom w:val="none" w:sz="0" w:space="0" w:color="auto"/>
        <w:right w:val="none" w:sz="0" w:space="0" w:color="auto"/>
      </w:divBdr>
    </w:div>
    <w:div w:id="1982880334">
      <w:bodyDiv w:val="1"/>
      <w:marLeft w:val="0"/>
      <w:marRight w:val="0"/>
      <w:marTop w:val="0"/>
      <w:marBottom w:val="0"/>
      <w:divBdr>
        <w:top w:val="none" w:sz="0" w:space="0" w:color="auto"/>
        <w:left w:val="none" w:sz="0" w:space="0" w:color="auto"/>
        <w:bottom w:val="none" w:sz="0" w:space="0" w:color="auto"/>
        <w:right w:val="none" w:sz="0" w:space="0" w:color="auto"/>
      </w:divBdr>
    </w:div>
    <w:div w:id="1984846649">
      <w:bodyDiv w:val="1"/>
      <w:marLeft w:val="0"/>
      <w:marRight w:val="0"/>
      <w:marTop w:val="0"/>
      <w:marBottom w:val="0"/>
      <w:divBdr>
        <w:top w:val="none" w:sz="0" w:space="0" w:color="auto"/>
        <w:left w:val="none" w:sz="0" w:space="0" w:color="auto"/>
        <w:bottom w:val="none" w:sz="0" w:space="0" w:color="auto"/>
        <w:right w:val="none" w:sz="0" w:space="0" w:color="auto"/>
      </w:divBdr>
    </w:div>
    <w:div w:id="2040888814">
      <w:bodyDiv w:val="1"/>
      <w:marLeft w:val="0"/>
      <w:marRight w:val="0"/>
      <w:marTop w:val="0"/>
      <w:marBottom w:val="0"/>
      <w:divBdr>
        <w:top w:val="none" w:sz="0" w:space="0" w:color="auto"/>
        <w:left w:val="none" w:sz="0" w:space="0" w:color="auto"/>
        <w:bottom w:val="none" w:sz="0" w:space="0" w:color="auto"/>
        <w:right w:val="none" w:sz="0" w:space="0" w:color="auto"/>
      </w:divBdr>
    </w:div>
    <w:div w:id="2063209383">
      <w:bodyDiv w:val="1"/>
      <w:marLeft w:val="0"/>
      <w:marRight w:val="0"/>
      <w:marTop w:val="0"/>
      <w:marBottom w:val="0"/>
      <w:divBdr>
        <w:top w:val="none" w:sz="0" w:space="0" w:color="auto"/>
        <w:left w:val="none" w:sz="0" w:space="0" w:color="auto"/>
        <w:bottom w:val="none" w:sz="0" w:space="0" w:color="auto"/>
        <w:right w:val="none" w:sz="0" w:space="0" w:color="auto"/>
      </w:divBdr>
    </w:div>
    <w:div w:id="2068020546">
      <w:bodyDiv w:val="1"/>
      <w:marLeft w:val="0"/>
      <w:marRight w:val="0"/>
      <w:marTop w:val="0"/>
      <w:marBottom w:val="0"/>
      <w:divBdr>
        <w:top w:val="none" w:sz="0" w:space="0" w:color="auto"/>
        <w:left w:val="none" w:sz="0" w:space="0" w:color="auto"/>
        <w:bottom w:val="none" w:sz="0" w:space="0" w:color="auto"/>
        <w:right w:val="none" w:sz="0" w:space="0" w:color="auto"/>
      </w:divBdr>
    </w:div>
    <w:div w:id="2068140086">
      <w:bodyDiv w:val="1"/>
      <w:marLeft w:val="0"/>
      <w:marRight w:val="0"/>
      <w:marTop w:val="0"/>
      <w:marBottom w:val="0"/>
      <w:divBdr>
        <w:top w:val="none" w:sz="0" w:space="0" w:color="auto"/>
        <w:left w:val="none" w:sz="0" w:space="0" w:color="auto"/>
        <w:bottom w:val="none" w:sz="0" w:space="0" w:color="auto"/>
        <w:right w:val="none" w:sz="0" w:space="0" w:color="auto"/>
      </w:divBdr>
    </w:div>
    <w:div w:id="207959350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pixelsPerInch w:val="72"/>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5.png"/><Relationship Id="rId39" Type="http://schemas.openxmlformats.org/officeDocument/2006/relationships/hyperlink" Target="https://www.istat.it/it/files/2011/04/dlgs322.pdf" TargetMode="External"/><Relationship Id="rId21" Type="http://schemas.openxmlformats.org/officeDocument/2006/relationships/image" Target="media/image12.png"/><Relationship Id="rId34" Type="http://schemas.openxmlformats.org/officeDocument/2006/relationships/footer" Target="footer2.xml"/><Relationship Id="rId42" Type="http://schemas.openxmlformats.org/officeDocument/2006/relationships/hyperlink" Target="https://www.istat.it/it/informazioni-e-servizi/per-i-giornalisti/appuntamenti/calendario-diffusioni-ed-eventi" TargetMode="External"/><Relationship Id="rId47" Type="http://schemas.openxmlformats.org/officeDocument/2006/relationships/hyperlink" Target="http://ec.europa.eu/eurostat/data/database%20" TargetMode="External"/><Relationship Id="rId50" Type="http://schemas.openxmlformats.org/officeDocument/2006/relationships/header" Target="header7.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image" Target="media/image7.png"/><Relationship Id="rId29" Type="http://schemas.openxmlformats.org/officeDocument/2006/relationships/header" Target="header3.xml"/><Relationship Id="rId11" Type="http://schemas.openxmlformats.org/officeDocument/2006/relationships/endnotes" Target="endnotes.xml"/><Relationship Id="rId24" Type="http://schemas.openxmlformats.org/officeDocument/2006/relationships/header" Target="header1.xml"/><Relationship Id="rId32" Type="http://schemas.openxmlformats.org/officeDocument/2006/relationships/image" Target="media/image20.png"/><Relationship Id="rId37" Type="http://schemas.openxmlformats.org/officeDocument/2006/relationships/hyperlink" Target="http://eur-lex.europa.eu/legal-content/IT/TXT/?uri=CELEX%3A32016R0792" TargetMode="External"/><Relationship Id="rId40" Type="http://schemas.openxmlformats.org/officeDocument/2006/relationships/hyperlink" Target="http://www.istat.it/it/congiuntura/revisioni" TargetMode="External"/><Relationship Id="rId45" Type="http://schemas.openxmlformats.org/officeDocument/2006/relationships/hyperlink" Target="http://dati-congiuntura.istat.it/" TargetMode="External"/><Relationship Id="rId5" Type="http://schemas.openxmlformats.org/officeDocument/2006/relationships/customXml" Target="../customXml/item5.xml"/><Relationship Id="rId15" Type="http://schemas.openxmlformats.org/officeDocument/2006/relationships/image" Target="media/image6.png"/><Relationship Id="rId23" Type="http://schemas.openxmlformats.org/officeDocument/2006/relationships/hyperlink" Target="http://www.istat.it/it/congiuntura" TargetMode="External"/><Relationship Id="rId28" Type="http://schemas.openxmlformats.org/officeDocument/2006/relationships/image" Target="media/image17.png"/><Relationship Id="rId36" Type="http://schemas.openxmlformats.org/officeDocument/2006/relationships/header" Target="header6.xml"/><Relationship Id="rId49" Type="http://schemas.openxmlformats.org/officeDocument/2006/relationships/hyperlink" Target="mailto:alessandro.brunetti@istat.it" TargetMode="External"/><Relationship Id="rId10" Type="http://schemas.openxmlformats.org/officeDocument/2006/relationships/footnotes" Target="footnotes.xml"/><Relationship Id="rId19" Type="http://schemas.openxmlformats.org/officeDocument/2006/relationships/image" Target="media/image10.png"/><Relationship Id="rId31" Type="http://schemas.openxmlformats.org/officeDocument/2006/relationships/header" Target="header4.xml"/><Relationship Id="rId44" Type="http://schemas.openxmlformats.org/officeDocument/2006/relationships/hyperlink" Target="https://esploradati.istat.it/" TargetMode="External"/><Relationship Id="rId52"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5.png"/><Relationship Id="rId22" Type="http://schemas.openxmlformats.org/officeDocument/2006/relationships/hyperlink" Target="https://esploradati.istat.it/" TargetMode="External"/><Relationship Id="rId27" Type="http://schemas.openxmlformats.org/officeDocument/2006/relationships/image" Target="media/image16.png"/><Relationship Id="rId30" Type="http://schemas.openxmlformats.org/officeDocument/2006/relationships/footer" Target="footer1.xml"/><Relationship Id="rId35" Type="http://schemas.openxmlformats.org/officeDocument/2006/relationships/hyperlink" Target="http://ec.europa.eu/eurostat/ramon/nomenclatures/index.cfm?TargetUrl=DSP_GEN_DESC_VIEW_NOHDR&amp;StrNom=COICOP_5&amp;StrLanguageCode=EN" TargetMode="External"/><Relationship Id="rId43" Type="http://schemas.openxmlformats.org/officeDocument/2006/relationships/hyperlink" Target="https://www.istat.it/it/archivio/prezzi+al+consumo" TargetMode="External"/><Relationship Id="rId48" Type="http://schemas.openxmlformats.org/officeDocument/2006/relationships/hyperlink" Target="mailto:manuela.morricone@istat.it" TargetMode="External"/><Relationship Id="rId8" Type="http://schemas.openxmlformats.org/officeDocument/2006/relationships/settings" Target="settings.xml"/><Relationship Id="rId51" Type="http://schemas.openxmlformats.org/officeDocument/2006/relationships/fontTable" Target="fontTable.xml"/><Relationship Id="rId3" Type="http://schemas.openxmlformats.org/officeDocument/2006/relationships/customXml" Target="../customXml/item3.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header" Target="header2.xml"/><Relationship Id="rId33" Type="http://schemas.openxmlformats.org/officeDocument/2006/relationships/header" Target="header5.xml"/><Relationship Id="rId38" Type="http://schemas.openxmlformats.org/officeDocument/2006/relationships/hyperlink" Target="https://eur-lex.europa.eu/legal-content/IT/TXT/?uri=CELEX:32020R1148" TargetMode="External"/><Relationship Id="rId46" Type="http://schemas.openxmlformats.org/officeDocument/2006/relationships/hyperlink" Target="http://seriestoriche.istat.it/" TargetMode="External"/><Relationship Id="rId20" Type="http://schemas.openxmlformats.org/officeDocument/2006/relationships/image" Target="media/image11.png"/><Relationship Id="rId41"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numbering" Target="numbering.xml"/></Relationships>
</file>

<file path=word/_rels/footer1.xml.rels><?xml version="1.0" encoding="UTF-8" standalone="yes"?>
<Relationships xmlns="http://schemas.openxmlformats.org/package/2006/relationships"><Relationship Id="rId1" Type="http://schemas.openxmlformats.org/officeDocument/2006/relationships/image" Target="media/image18.jpeg"/></Relationships>
</file>

<file path=word/_rels/footer2.xml.rels><?xml version="1.0" encoding="UTF-8" standalone="yes"?>
<Relationships xmlns="http://schemas.openxmlformats.org/package/2006/relationships"><Relationship Id="rId1" Type="http://schemas.openxmlformats.org/officeDocument/2006/relationships/image" Target="media/image18.jpeg"/></Relationships>
</file>

<file path=word/_rels/footnotes.xml.rels><?xml version="1.0" encoding="UTF-8" standalone="yes"?>
<Relationships xmlns="http://schemas.openxmlformats.org/package/2006/relationships"><Relationship Id="rId3" Type="http://schemas.openxmlformats.org/officeDocument/2006/relationships/hyperlink" Target="http://dati.istat.it/" TargetMode="External"/><Relationship Id="rId2" Type="http://schemas.openxmlformats.org/officeDocument/2006/relationships/hyperlink" Target="http://ec.europa.eu/eurostat/documents/3859598/5926625/KS-RA-13-017-EN.PDF/59eb2c1c-da1f-472c-b191-3d0c76521f9b?version=1.0" TargetMode="External"/><Relationship Id="rId1" Type="http://schemas.openxmlformats.org/officeDocument/2006/relationships/hyperlink" Target="http://ec.europa.eu/eurostat/ramon/nomenclatures/index.cfm?TargetUrl=LST_NOM_DTL&amp;StrNom=HICP_2000&amp;StrLanguageCode=EN&amp;IntPcKey=&amp;StrLayoutCode" TargetMode="External"/></Relationships>
</file>

<file path=word/_rels/header1.xml.rels><?xml version="1.0" encoding="UTF-8" standalone="yes"?>
<Relationships xmlns="http://schemas.openxmlformats.org/package/2006/relationships"><Relationship Id="rId3" Type="http://schemas.openxmlformats.org/officeDocument/2006/relationships/hyperlink" Target="file:///G:\Users\enzalucia.vaccaro\My%20Documents\TESTATINE\ufficiostampa@istat.it" TargetMode="External"/><Relationship Id="rId2" Type="http://schemas.openxmlformats.org/officeDocument/2006/relationships/hyperlink" Target="https://contact.istat.it/s/?language=it" TargetMode="External"/><Relationship Id="rId1" Type="http://schemas.openxmlformats.org/officeDocument/2006/relationships/hyperlink" Target="http://www.istat.it" TargetMode="External"/><Relationship Id="rId6" Type="http://schemas.openxmlformats.org/officeDocument/2006/relationships/image" Target="media/image13.png"/><Relationship Id="rId5" Type="http://schemas.openxmlformats.org/officeDocument/2006/relationships/hyperlink" Target="file:///G:\Users\enzalucia.vaccaro\My%20Documents\TESTATINE\ufficiostampa@istat.it" TargetMode="External"/><Relationship Id="rId4" Type="http://schemas.openxmlformats.org/officeDocument/2006/relationships/hyperlink" Target="https://contact.istat.it/s/?language=it"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4.png"/></Relationships>
</file>

<file path=word/_rels/header3.xml.rels><?xml version="1.0" encoding="UTF-8" standalone="yes"?>
<Relationships xmlns="http://schemas.openxmlformats.org/package/2006/relationships"><Relationship Id="rId1" Type="http://schemas.openxmlformats.org/officeDocument/2006/relationships/image" Target="media/image14.png"/></Relationships>
</file>

<file path=word/_rels/header4.xml.rels><?xml version="1.0" encoding="UTF-8" standalone="yes"?>
<Relationships xmlns="http://schemas.openxmlformats.org/package/2006/relationships"><Relationship Id="rId1" Type="http://schemas.openxmlformats.org/officeDocument/2006/relationships/image" Target="media/image19.png"/></Relationships>
</file>

<file path=word/_rels/header5.xml.rels><?xml version="1.0" encoding="UTF-8" standalone="yes"?>
<Relationships xmlns="http://schemas.openxmlformats.org/package/2006/relationships"><Relationship Id="rId1" Type="http://schemas.openxmlformats.org/officeDocument/2006/relationships/image" Target="media/image14.png"/></Relationships>
</file>

<file path=word/_rels/header6.xml.rels><?xml version="1.0" encoding="UTF-8" standalone="yes"?>
<Relationships xmlns="http://schemas.openxmlformats.org/package/2006/relationships"><Relationship Id="rId1" Type="http://schemas.openxmlformats.org/officeDocument/2006/relationships/image" Target="media/image21.png"/></Relationships>
</file>

<file path=word/_rels/header7.xml.rels><?xml version="1.0" encoding="UTF-8" standalone="yes"?>
<Relationships xmlns="http://schemas.openxmlformats.org/package/2006/relationships"><Relationship Id="rId1" Type="http://schemas.openxmlformats.org/officeDocument/2006/relationships/image" Target="media/image23.png"/></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Nota o comunicato" ma:contentTypeID="0x010100B795A82E90F7744F8BBD5BCEA1E47B9D00412BB8B24175FB4599016A296A388103" ma:contentTypeVersion="2" ma:contentTypeDescription="" ma:contentTypeScope="" ma:versionID="fef993d87c238cc71779350178681a56">
  <xsd:schema xmlns:xsd="http://www.w3.org/2001/XMLSchema" xmlns:xs="http://www.w3.org/2001/XMLSchema" xmlns:p="http://schemas.microsoft.com/office/2006/metadata/properties" xmlns:ns2="2886d22a-1eb9-406b-961e-e52bb60f5915" targetNamespace="http://schemas.microsoft.com/office/2006/metadata/properties" ma:root="true" ma:fieldsID="6a986a9c8108b3d7a67e5da413ff238a" ns2:_="">
    <xsd:import namespace="2886d22a-1eb9-406b-961e-e52bb60f5915"/>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86d22a-1eb9-406b-961e-e52bb60f5915" elementFormDefault="qualified">
    <xsd:import namespace="http://schemas.microsoft.com/office/2006/documentManagement/types"/>
    <xsd:import namespace="http://schemas.microsoft.com/office/infopath/2007/PartnerControls"/>
    <xsd:element name="_dlc_DocId" ma:index="8" nillable="true" ma:displayName="Valore ID documento" ma:description="Valore dell'ID documento assegnato all'elemento." ma:internalName="_dlc_DocId" ma:readOnly="true">
      <xsd:simpleType>
        <xsd:restriction base="dms:Text"/>
      </xsd:simpleType>
    </xsd:element>
    <xsd:element name="_dlc_DocIdUrl" ma:index="9" nillable="true" ma:displayName="ID documento" ma:description="Collegamento permanente al documento."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4.xml><?xml version="1.0" encoding="utf-8"?>
<p:properties xmlns:p="http://schemas.microsoft.com/office/2006/metadata/properties" xmlns:xsi="http://www.w3.org/2001/XMLSchema-instance" xmlns:pc="http://schemas.microsoft.com/office/infopath/2007/PartnerControls">
  <documentManagement>
    <_dlc_DocId xmlns="2886d22a-1eb9-406b-961e-e52bb60f5915" xsi:nil="true"/>
    <_dlc_DocIdUrl xmlns="2886d22a-1eb9-406b-961e-e52bb60f5915">
      <Url xsi:nil="true"/>
      <Description xsi:nil="true"/>
    </_dlc_DocIdUrl>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E3AF1E-A2A9-4EA0-8AB3-6C89D8C1FDC6}">
  <ds:schemaRefs>
    <ds:schemaRef ds:uri="http://schemas.microsoft.com/sharepoint/v3/contenttype/forms"/>
  </ds:schemaRefs>
</ds:datastoreItem>
</file>

<file path=customXml/itemProps2.xml><?xml version="1.0" encoding="utf-8"?>
<ds:datastoreItem xmlns:ds="http://schemas.openxmlformats.org/officeDocument/2006/customXml" ds:itemID="{86E03142-7A50-4C8E-AB71-7CC44E5E75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886d22a-1eb9-406b-961e-e52bb60f591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95A818C-DDC1-42DD-B617-058F19D5343F}">
  <ds:schemaRefs>
    <ds:schemaRef ds:uri="http://schemas.microsoft.com/sharepoint/events"/>
  </ds:schemaRefs>
</ds:datastoreItem>
</file>

<file path=customXml/itemProps4.xml><?xml version="1.0" encoding="utf-8"?>
<ds:datastoreItem xmlns:ds="http://schemas.openxmlformats.org/officeDocument/2006/customXml" ds:itemID="{9ABA1FE9-F373-477D-AEF6-6C95730012D1}">
  <ds:schemaRefs>
    <ds:schemaRef ds:uri="http://schemas.microsoft.com/office/2006/documentManagement/types"/>
    <ds:schemaRef ds:uri="http://purl.org/dc/dcmitype/"/>
    <ds:schemaRef ds:uri="http://purl.org/dc/elements/1.1/"/>
    <ds:schemaRef ds:uri="http://www.w3.org/XML/1998/namespace"/>
    <ds:schemaRef ds:uri="http://schemas.microsoft.com/office/2006/metadata/properties"/>
    <ds:schemaRef ds:uri="2886d22a-1eb9-406b-961e-e52bb60f5915"/>
    <ds:schemaRef ds:uri="http://schemas.openxmlformats.org/package/2006/metadata/core-properties"/>
    <ds:schemaRef ds:uri="http://schemas.microsoft.com/office/infopath/2007/PartnerControls"/>
    <ds:schemaRef ds:uri="http://purl.org/dc/terms/"/>
  </ds:schemaRefs>
</ds:datastoreItem>
</file>

<file path=customXml/itemProps5.xml><?xml version="1.0" encoding="utf-8"?>
<ds:datastoreItem xmlns:ds="http://schemas.openxmlformats.org/officeDocument/2006/customXml" ds:itemID="{52AFAA87-FF4C-4733-9EE0-B777ACB0E7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9714</Words>
  <Characters>55375</Characters>
  <Application>Microsoft Office Word</Application>
  <DocSecurity>0</DocSecurity>
  <Lines>461</Lines>
  <Paragraphs>129</Paragraphs>
  <ScaleCrop>false</ScaleCrop>
  <HeadingPairs>
    <vt:vector size="2" baseType="variant">
      <vt:variant>
        <vt:lpstr>Titolo</vt:lpstr>
      </vt:variant>
      <vt:variant>
        <vt:i4>1</vt:i4>
      </vt:variant>
    </vt:vector>
  </HeadingPairs>
  <TitlesOfParts>
    <vt:vector size="1" baseType="lpstr">
      <vt:lpstr>Prezzi al consumo</vt:lpstr>
    </vt:vector>
  </TitlesOfParts>
  <Company>HP</Company>
  <LinksUpToDate>false</LinksUpToDate>
  <CharactersWithSpaces>64960</CharactersWithSpaces>
  <SharedDoc>false</SharedDoc>
  <HLinks>
    <vt:vector size="96" baseType="variant">
      <vt:variant>
        <vt:i4>7340157</vt:i4>
      </vt:variant>
      <vt:variant>
        <vt:i4>42</vt:i4>
      </vt:variant>
      <vt:variant>
        <vt:i4>0</vt:i4>
      </vt:variant>
      <vt:variant>
        <vt:i4>5</vt:i4>
      </vt:variant>
      <vt:variant>
        <vt:lpwstr>http://ec.europa.eu/eurostat/data/database</vt:lpwstr>
      </vt:variant>
      <vt:variant>
        <vt:lpwstr/>
      </vt:variant>
      <vt:variant>
        <vt:i4>6291582</vt:i4>
      </vt:variant>
      <vt:variant>
        <vt:i4>39</vt:i4>
      </vt:variant>
      <vt:variant>
        <vt:i4>0</vt:i4>
      </vt:variant>
      <vt:variant>
        <vt:i4>5</vt:i4>
      </vt:variant>
      <vt:variant>
        <vt:lpwstr>http://seriestoriche.istat.it/</vt:lpwstr>
      </vt:variant>
      <vt:variant>
        <vt:lpwstr/>
      </vt:variant>
      <vt:variant>
        <vt:i4>720927</vt:i4>
      </vt:variant>
      <vt:variant>
        <vt:i4>36</vt:i4>
      </vt:variant>
      <vt:variant>
        <vt:i4>0</vt:i4>
      </vt:variant>
      <vt:variant>
        <vt:i4>5</vt:i4>
      </vt:variant>
      <vt:variant>
        <vt:lpwstr>http://dati-congiuntura.istat.it/</vt:lpwstr>
      </vt:variant>
      <vt:variant>
        <vt:lpwstr/>
      </vt:variant>
      <vt:variant>
        <vt:i4>6094849</vt:i4>
      </vt:variant>
      <vt:variant>
        <vt:i4>33</vt:i4>
      </vt:variant>
      <vt:variant>
        <vt:i4>0</vt:i4>
      </vt:variant>
      <vt:variant>
        <vt:i4>5</vt:i4>
      </vt:variant>
      <vt:variant>
        <vt:lpwstr>http://dati.istat.it/</vt:lpwstr>
      </vt:variant>
      <vt:variant>
        <vt:lpwstr/>
      </vt:variant>
      <vt:variant>
        <vt:i4>2031702</vt:i4>
      </vt:variant>
      <vt:variant>
        <vt:i4>30</vt:i4>
      </vt:variant>
      <vt:variant>
        <vt:i4>0</vt:i4>
      </vt:variant>
      <vt:variant>
        <vt:i4>5</vt:i4>
      </vt:variant>
      <vt:variant>
        <vt:lpwstr>http://www.istat.it/it/prezzi</vt:lpwstr>
      </vt:variant>
      <vt:variant>
        <vt:lpwstr/>
      </vt:variant>
      <vt:variant>
        <vt:i4>7471162</vt:i4>
      </vt:variant>
      <vt:variant>
        <vt:i4>27</vt:i4>
      </vt:variant>
      <vt:variant>
        <vt:i4>0</vt:i4>
      </vt:variant>
      <vt:variant>
        <vt:i4>5</vt:i4>
      </vt:variant>
      <vt:variant>
        <vt:lpwstr>http://www.istat.it/it/informazioni/per-i-giornalisti/appuntamenti</vt:lpwstr>
      </vt:variant>
      <vt:variant>
        <vt:lpwstr/>
      </vt:variant>
      <vt:variant>
        <vt:i4>7733354</vt:i4>
      </vt:variant>
      <vt:variant>
        <vt:i4>24</vt:i4>
      </vt:variant>
      <vt:variant>
        <vt:i4>0</vt:i4>
      </vt:variant>
      <vt:variant>
        <vt:i4>5</vt:i4>
      </vt:variant>
      <vt:variant>
        <vt:lpwstr>http://www.istat.it/it/files/2016/07/scheda-PrezziAlConsumo.pdf</vt:lpwstr>
      </vt:variant>
      <vt:variant>
        <vt:lpwstr/>
      </vt:variant>
      <vt:variant>
        <vt:i4>7012425</vt:i4>
      </vt:variant>
      <vt:variant>
        <vt:i4>21</vt:i4>
      </vt:variant>
      <vt:variant>
        <vt:i4>0</vt:i4>
      </vt:variant>
      <vt:variant>
        <vt:i4>5</vt:i4>
      </vt:variant>
      <vt:variant>
        <vt:lpwstr>http://siqual.istat.it/SIQual/files/impo_reg330_2009_it.pdf?cod=13472&amp;tipo=2</vt:lpwstr>
      </vt:variant>
      <vt:variant>
        <vt:lpwstr/>
      </vt:variant>
      <vt:variant>
        <vt:i4>1704030</vt:i4>
      </vt:variant>
      <vt:variant>
        <vt:i4>18</vt:i4>
      </vt:variant>
      <vt:variant>
        <vt:i4>0</vt:i4>
      </vt:variant>
      <vt:variant>
        <vt:i4>5</vt:i4>
      </vt:variant>
      <vt:variant>
        <vt:lpwstr>http://eur-lex.europa.eu/legal-content/IT/TXT/?uri=CELEX%3A32016R0792</vt:lpwstr>
      </vt:variant>
      <vt:variant>
        <vt:lpwstr/>
      </vt:variant>
      <vt:variant>
        <vt:i4>1704030</vt:i4>
      </vt:variant>
      <vt:variant>
        <vt:i4>15</vt:i4>
      </vt:variant>
      <vt:variant>
        <vt:i4>0</vt:i4>
      </vt:variant>
      <vt:variant>
        <vt:i4>5</vt:i4>
      </vt:variant>
      <vt:variant>
        <vt:lpwstr>http://eur-lex.europa.eu/legal-content/IT/TXT/?uri=CELEX%3A32016R0792</vt:lpwstr>
      </vt:variant>
      <vt:variant>
        <vt:lpwstr/>
      </vt:variant>
      <vt:variant>
        <vt:i4>1835016</vt:i4>
      </vt:variant>
      <vt:variant>
        <vt:i4>12</vt:i4>
      </vt:variant>
      <vt:variant>
        <vt:i4>0</vt:i4>
      </vt:variant>
      <vt:variant>
        <vt:i4>5</vt:i4>
      </vt:variant>
      <vt:variant>
        <vt:lpwstr>https://www.istat.it/it/files/2011/04/dlgs322.pdf</vt:lpwstr>
      </vt:variant>
      <vt:variant>
        <vt:lpwstr/>
      </vt:variant>
      <vt:variant>
        <vt:i4>1704030</vt:i4>
      </vt:variant>
      <vt:variant>
        <vt:i4>9</vt:i4>
      </vt:variant>
      <vt:variant>
        <vt:i4>0</vt:i4>
      </vt:variant>
      <vt:variant>
        <vt:i4>5</vt:i4>
      </vt:variant>
      <vt:variant>
        <vt:lpwstr>http://eur-lex.europa.eu/legal-content/IT/TXT/?uri=CELEX%3A32016R0792</vt:lpwstr>
      </vt:variant>
      <vt:variant>
        <vt:lpwstr/>
      </vt:variant>
      <vt:variant>
        <vt:i4>524290</vt:i4>
      </vt:variant>
      <vt:variant>
        <vt:i4>0</vt:i4>
      </vt:variant>
      <vt:variant>
        <vt:i4>0</vt:i4>
      </vt:variant>
      <vt:variant>
        <vt:i4>5</vt:i4>
      </vt:variant>
      <vt:variant>
        <vt:lpwstr>dati.istat.it</vt:lpwstr>
      </vt:variant>
      <vt:variant>
        <vt:lpwstr/>
      </vt:variant>
      <vt:variant>
        <vt:i4>6094849</vt:i4>
      </vt:variant>
      <vt:variant>
        <vt:i4>6</vt:i4>
      </vt:variant>
      <vt:variant>
        <vt:i4>0</vt:i4>
      </vt:variant>
      <vt:variant>
        <vt:i4>5</vt:i4>
      </vt:variant>
      <vt:variant>
        <vt:lpwstr>http://dati.istat.it/</vt:lpwstr>
      </vt:variant>
      <vt:variant>
        <vt:lpwstr/>
      </vt:variant>
      <vt:variant>
        <vt:i4>6422641</vt:i4>
      </vt:variant>
      <vt:variant>
        <vt:i4>3</vt:i4>
      </vt:variant>
      <vt:variant>
        <vt:i4>0</vt:i4>
      </vt:variant>
      <vt:variant>
        <vt:i4>5</vt:i4>
      </vt:variant>
      <vt:variant>
        <vt:lpwstr>http://ec.europa.eu/eurostat/documents/3859598/5926625/KS-RA-13-017-EN.PDF/59eb2c1c-da1f-472c-b191-3d0c76521f9b?version=1.0</vt:lpwstr>
      </vt:variant>
      <vt:variant>
        <vt:lpwstr/>
      </vt:variant>
      <vt:variant>
        <vt:i4>5570613</vt:i4>
      </vt:variant>
      <vt:variant>
        <vt:i4>0</vt:i4>
      </vt:variant>
      <vt:variant>
        <vt:i4>0</vt:i4>
      </vt:variant>
      <vt:variant>
        <vt:i4>5</vt:i4>
      </vt:variant>
      <vt:variant>
        <vt:lpwstr>http://ec.europa.eu/eurostat/ramon/nomenclatures/index.cfm?TargetUrl=LST_NOM_DTL&amp;StrNom=HICP_2000&amp;StrLanguageCode=EN&amp;IntPcKey=&amp;StrLayoutCode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Prezzi al consumo</dc:title>
  <dc:subject/>
  <dc:creator>ISTAT</dc:creator>
  <cp:keywords/>
  <dc:description/>
  <cp:lastModifiedBy>Lidia Fagiolo</cp:lastModifiedBy>
  <cp:revision>2</cp:revision>
  <cp:lastPrinted>2024-05-31T05:56:00Z</cp:lastPrinted>
  <dcterms:created xsi:type="dcterms:W3CDTF">2024-07-31T06:39:00Z</dcterms:created>
  <dcterms:modified xsi:type="dcterms:W3CDTF">2024-07-31T06:39:00Z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0x010100B795A82E90F7744F8BBD5BCEA1E47B9D00412BB8B24175FB4599016A296A388103</vt:lpwstr>
  </property>
  <property fmtid="{D5CDD505-2E9C-101B-9397-08002B2CF9AE}" pid="3" name="_dlc_DocIdItemGuid">
    <vt:lpwstr>6bb85586-540d-4d2b-9c4b-d21fc383fe5f</vt:lpwstr>
  </property>
</Properties>
</file>