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2B0" w:rsidRPr="007A1FCE" w:rsidRDefault="00E402B0" w:rsidP="00E402B0">
      <w:pPr>
        <w:spacing w:before="0" w:after="0"/>
        <w:ind w:left="1814"/>
        <w:rPr>
          <w:rFonts w:ascii="Arial" w:hAnsi="Arial" w:cs="Arial"/>
          <w:color w:val="5F5F5F"/>
          <w:sz w:val="14"/>
          <w:szCs w:val="28"/>
        </w:rPr>
      </w:pPr>
    </w:p>
    <w:p w:rsidR="00E402B0" w:rsidRPr="00720F52" w:rsidRDefault="006D1295" w:rsidP="00E402B0">
      <w:pPr>
        <w:spacing w:before="0" w:after="0"/>
        <w:ind w:left="1843"/>
        <w:rPr>
          <w:rFonts w:ascii="Arial" w:hAnsi="Arial" w:cs="Arial"/>
          <w:color w:val="000000"/>
          <w:sz w:val="28"/>
          <w:szCs w:val="28"/>
          <w:lang w:val="en-GB"/>
        </w:rPr>
      </w:pPr>
      <w:r>
        <w:rPr>
          <w:rFonts w:ascii="Arial" w:hAnsi="Arial" w:cs="Arial"/>
          <w:color w:val="5F5F5F"/>
          <w:sz w:val="28"/>
          <w:szCs w:val="28"/>
          <w:lang w:val="en-US"/>
        </w:rPr>
        <w:t>July</w:t>
      </w:r>
      <w:r w:rsidR="00D97FFB" w:rsidRPr="00D97FFB">
        <w:rPr>
          <w:rFonts w:ascii="Arial" w:hAnsi="Arial" w:cs="Arial"/>
          <w:color w:val="5F5F5F"/>
          <w:sz w:val="28"/>
          <w:szCs w:val="28"/>
          <w:lang w:val="en-US"/>
        </w:rPr>
        <w:t xml:space="preserve"> </w:t>
      </w:r>
      <w:r w:rsidR="00E402B0" w:rsidRPr="00870560">
        <w:rPr>
          <w:rFonts w:ascii="Arial" w:hAnsi="Arial" w:cs="Arial"/>
          <w:color w:val="5F5F5F"/>
          <w:sz w:val="28"/>
          <w:szCs w:val="28"/>
          <w:lang w:val="en-US"/>
        </w:rPr>
        <w:t>20</w:t>
      </w:r>
      <w:r w:rsidR="007030EB">
        <w:rPr>
          <w:rFonts w:ascii="Arial" w:hAnsi="Arial" w:cs="Arial"/>
          <w:color w:val="5F5F5F"/>
          <w:sz w:val="28"/>
          <w:szCs w:val="28"/>
          <w:lang w:val="en-US"/>
        </w:rPr>
        <w:t>2</w:t>
      </w:r>
      <w:r w:rsidR="00550724">
        <w:rPr>
          <w:rFonts w:ascii="Arial" w:hAnsi="Arial" w:cs="Arial"/>
          <w:color w:val="5F5F5F"/>
          <w:sz w:val="28"/>
          <w:szCs w:val="28"/>
          <w:lang w:val="en-US"/>
        </w:rPr>
        <w:t>4</w:t>
      </w:r>
    </w:p>
    <w:p w:rsidR="00E402B0" w:rsidRDefault="00E402B0" w:rsidP="00E402B0">
      <w:pPr>
        <w:pStyle w:val="Titolo3"/>
        <w:tabs>
          <w:tab w:val="right" w:pos="9360"/>
        </w:tabs>
        <w:spacing w:before="0" w:after="0"/>
        <w:ind w:left="1843" w:right="-176"/>
        <w:rPr>
          <w:rFonts w:ascii="Calibri" w:hAnsi="Calibri"/>
          <w:caps/>
          <w:color w:val="5F5F5F"/>
          <w:sz w:val="44"/>
          <w:szCs w:val="44"/>
          <w:lang w:val="en-US"/>
        </w:rPr>
      </w:pPr>
      <w:r w:rsidRPr="008D3000">
        <w:rPr>
          <w:rFonts w:ascii="Calibri" w:hAnsi="Calibri"/>
          <w:caps/>
          <w:color w:val="5F5F5F"/>
          <w:sz w:val="44"/>
          <w:szCs w:val="44"/>
          <w:lang w:val="en-US"/>
        </w:rPr>
        <w:t xml:space="preserve">Consumer prices </w:t>
      </w:r>
    </w:p>
    <w:p w:rsidR="00E402B0" w:rsidRDefault="00E402B0" w:rsidP="00E402B0">
      <w:pPr>
        <w:spacing w:before="0" w:after="0"/>
        <w:ind w:left="284"/>
        <w:jc w:val="both"/>
        <w:rPr>
          <w:rFonts w:ascii="Arial" w:hAnsi="Arial" w:cs="Arial"/>
          <w:sz w:val="21"/>
          <w:szCs w:val="21"/>
          <w:lang w:val="en-US"/>
        </w:rPr>
      </w:pPr>
      <w:r>
        <w:rPr>
          <w:lang w:val="en-US"/>
        </w:rPr>
        <w:tab/>
      </w:r>
      <w:r>
        <w:rPr>
          <w:lang w:val="en-US"/>
        </w:rPr>
        <w:tab/>
      </w:r>
      <w:r>
        <w:rPr>
          <w:lang w:val="en-US"/>
        </w:rPr>
        <w:tab/>
      </w:r>
      <w:r w:rsidR="00E83F68" w:rsidRPr="00867CCC">
        <w:rPr>
          <w:rFonts w:ascii="Arial" w:hAnsi="Arial" w:cs="Arial"/>
          <w:color w:val="808080"/>
          <w:sz w:val="28"/>
          <w:szCs w:val="28"/>
          <w:lang w:val="en-US"/>
        </w:rPr>
        <w:t xml:space="preserve">Provisional </w:t>
      </w:r>
      <w:r w:rsidRPr="00867CCC">
        <w:rPr>
          <w:rFonts w:ascii="Arial" w:hAnsi="Arial" w:cs="Arial"/>
          <w:color w:val="808080"/>
          <w:sz w:val="28"/>
          <w:szCs w:val="28"/>
          <w:lang w:val="en-US"/>
        </w:rPr>
        <w:t>data</w:t>
      </w:r>
    </w:p>
    <w:p w:rsidR="00E402B0" w:rsidRDefault="00E402B0" w:rsidP="002C2387">
      <w:pPr>
        <w:pStyle w:val="Paragrafoelenco"/>
        <w:tabs>
          <w:tab w:val="left" w:pos="10206"/>
        </w:tabs>
        <w:spacing w:after="100" w:line="230" w:lineRule="exact"/>
        <w:ind w:left="284"/>
        <w:contextualSpacing w:val="0"/>
        <w:jc w:val="both"/>
        <w:rPr>
          <w:rFonts w:cs="Arial"/>
          <w:bCs/>
          <w:color w:val="5F5F5F"/>
          <w:sz w:val="20"/>
          <w:szCs w:val="20"/>
          <w:lang w:val="en-US"/>
        </w:rPr>
      </w:pPr>
    </w:p>
    <w:p w:rsidR="00BC301E" w:rsidRDefault="00AD7BF0" w:rsidP="008C2C13">
      <w:pPr>
        <w:pStyle w:val="Paragrafoelenco"/>
        <w:numPr>
          <w:ilvl w:val="0"/>
          <w:numId w:val="5"/>
        </w:numPr>
        <w:tabs>
          <w:tab w:val="left" w:pos="10206"/>
        </w:tabs>
        <w:spacing w:after="100" w:line="230" w:lineRule="exact"/>
        <w:ind w:left="284" w:hanging="284"/>
        <w:contextualSpacing w:val="0"/>
        <w:jc w:val="both"/>
        <w:rPr>
          <w:rFonts w:ascii="Arial" w:eastAsia="Calibri" w:hAnsi="Arial" w:cs="Arial"/>
          <w:sz w:val="21"/>
          <w:szCs w:val="21"/>
          <w:lang w:val="en-US"/>
        </w:rPr>
      </w:pPr>
      <w:r w:rsidRPr="00AD7BF0">
        <w:rPr>
          <w:rFonts w:ascii="Arial" w:eastAsia="Calibri" w:hAnsi="Arial" w:cs="Arial"/>
          <w:sz w:val="21"/>
          <w:szCs w:val="21"/>
          <w:lang w:val="en-US"/>
        </w:rPr>
        <w:t xml:space="preserve">According to preliminary estimates, in </w:t>
      </w:r>
      <w:r w:rsidR="00D559EB">
        <w:rPr>
          <w:rFonts w:ascii="Arial" w:eastAsia="Calibri" w:hAnsi="Arial" w:cs="Arial"/>
          <w:sz w:val="21"/>
          <w:szCs w:val="21"/>
          <w:lang w:val="en-US"/>
        </w:rPr>
        <w:t>July</w:t>
      </w:r>
      <w:r w:rsidR="008C3818">
        <w:rPr>
          <w:rFonts w:ascii="Arial" w:eastAsia="Calibri" w:hAnsi="Arial" w:cs="Arial"/>
          <w:sz w:val="21"/>
          <w:szCs w:val="21"/>
          <w:lang w:val="en-US"/>
        </w:rPr>
        <w:t xml:space="preserve"> 2024</w:t>
      </w:r>
      <w:r w:rsidRPr="00AD7BF0">
        <w:rPr>
          <w:rFonts w:ascii="Arial" w:eastAsia="Calibri" w:hAnsi="Arial" w:cs="Arial"/>
          <w:sz w:val="21"/>
          <w:szCs w:val="21"/>
          <w:lang w:val="en-US"/>
        </w:rPr>
        <w:t xml:space="preserve"> the Italian consumer price index for the who</w:t>
      </w:r>
      <w:r w:rsidR="008C2C13">
        <w:rPr>
          <w:rFonts w:ascii="Arial" w:eastAsia="Calibri" w:hAnsi="Arial" w:cs="Arial"/>
          <w:sz w:val="21"/>
          <w:szCs w:val="21"/>
          <w:lang w:val="en-US"/>
        </w:rPr>
        <w:t>le nation (NIC) increased by 0.</w:t>
      </w:r>
      <w:r w:rsidR="00D559EB">
        <w:rPr>
          <w:rFonts w:ascii="Arial" w:eastAsia="Calibri" w:hAnsi="Arial" w:cs="Arial"/>
          <w:sz w:val="21"/>
          <w:szCs w:val="21"/>
          <w:lang w:val="en-US"/>
        </w:rPr>
        <w:t>5</w:t>
      </w:r>
      <w:r w:rsidRPr="00AD7BF0">
        <w:rPr>
          <w:rFonts w:ascii="Arial" w:eastAsia="Calibri" w:hAnsi="Arial" w:cs="Arial"/>
          <w:sz w:val="21"/>
          <w:szCs w:val="21"/>
          <w:lang w:val="en-US"/>
        </w:rPr>
        <w:t xml:space="preserve">% on monthly basis and </w:t>
      </w:r>
      <w:r w:rsidR="00BC301E">
        <w:rPr>
          <w:rFonts w:ascii="Arial" w:eastAsia="Calibri" w:hAnsi="Arial" w:cs="Arial"/>
          <w:sz w:val="21"/>
          <w:szCs w:val="21"/>
          <w:lang w:val="en-US"/>
        </w:rPr>
        <w:t xml:space="preserve">by </w:t>
      </w:r>
      <w:r w:rsidR="00D559EB">
        <w:rPr>
          <w:rFonts w:ascii="Arial" w:eastAsia="Calibri" w:hAnsi="Arial" w:cs="Arial"/>
          <w:sz w:val="21"/>
          <w:szCs w:val="21"/>
          <w:lang w:val="en-US"/>
        </w:rPr>
        <w:t>1.3</w:t>
      </w:r>
      <w:r w:rsidR="008C2C13">
        <w:rPr>
          <w:rFonts w:ascii="Arial" w:eastAsia="Calibri" w:hAnsi="Arial" w:cs="Arial"/>
          <w:sz w:val="21"/>
          <w:szCs w:val="21"/>
          <w:lang w:val="en-US"/>
        </w:rPr>
        <w:t xml:space="preserve">% with respect to </w:t>
      </w:r>
      <w:r w:rsidR="00D559EB">
        <w:rPr>
          <w:rFonts w:ascii="Arial" w:eastAsia="Calibri" w:hAnsi="Arial" w:cs="Arial"/>
          <w:sz w:val="21"/>
          <w:szCs w:val="21"/>
          <w:lang w:val="en-US"/>
        </w:rPr>
        <w:t>July</w:t>
      </w:r>
      <w:r w:rsidR="0037581D">
        <w:rPr>
          <w:rFonts w:ascii="Arial" w:eastAsia="Calibri" w:hAnsi="Arial" w:cs="Arial"/>
          <w:sz w:val="21"/>
          <w:szCs w:val="21"/>
          <w:lang w:val="en-US"/>
        </w:rPr>
        <w:t xml:space="preserve"> 2023</w:t>
      </w:r>
      <w:r w:rsidR="0037581D" w:rsidRPr="00AD7BF0">
        <w:rPr>
          <w:rFonts w:ascii="Arial" w:eastAsia="Calibri" w:hAnsi="Arial" w:cs="Arial"/>
          <w:sz w:val="21"/>
          <w:szCs w:val="21"/>
          <w:lang w:val="en-US"/>
        </w:rPr>
        <w:t xml:space="preserve"> </w:t>
      </w:r>
      <w:r w:rsidR="00BC301E">
        <w:rPr>
          <w:rFonts w:ascii="Arial" w:eastAsia="Calibri" w:hAnsi="Arial" w:cs="Arial"/>
          <w:sz w:val="21"/>
          <w:szCs w:val="21"/>
          <w:lang w:val="en-US"/>
        </w:rPr>
        <w:t>(</w:t>
      </w:r>
      <w:r w:rsidR="006A155A">
        <w:rPr>
          <w:rFonts w:ascii="Arial" w:eastAsia="Calibri" w:hAnsi="Arial" w:cs="Arial"/>
          <w:sz w:val="21"/>
          <w:szCs w:val="21"/>
          <w:lang w:val="en-US"/>
        </w:rPr>
        <w:t xml:space="preserve">from </w:t>
      </w:r>
      <w:r w:rsidR="00D559EB">
        <w:rPr>
          <w:rFonts w:ascii="Arial" w:eastAsia="Calibri" w:hAnsi="Arial" w:cs="Arial"/>
          <w:sz w:val="21"/>
          <w:szCs w:val="21"/>
          <w:lang w:val="en-US"/>
        </w:rPr>
        <w:t>+0.8%</w:t>
      </w:r>
      <w:r w:rsidR="004A4277" w:rsidRPr="005E473D">
        <w:rPr>
          <w:rFonts w:ascii="Arial" w:eastAsia="Calibri" w:hAnsi="Arial" w:cs="Arial"/>
          <w:sz w:val="21"/>
          <w:szCs w:val="21"/>
          <w:lang w:val="en-US"/>
        </w:rPr>
        <w:t xml:space="preserve"> in</w:t>
      </w:r>
      <w:r w:rsidR="004A4277">
        <w:rPr>
          <w:rFonts w:ascii="Arial" w:eastAsia="Calibri" w:hAnsi="Arial" w:cs="Arial"/>
          <w:sz w:val="21"/>
          <w:szCs w:val="21"/>
          <w:lang w:val="en-US"/>
        </w:rPr>
        <w:t xml:space="preserve"> </w:t>
      </w:r>
      <w:r w:rsidR="00D559EB">
        <w:rPr>
          <w:rFonts w:ascii="Arial" w:eastAsia="Calibri" w:hAnsi="Arial" w:cs="Arial"/>
          <w:sz w:val="21"/>
          <w:szCs w:val="21"/>
          <w:lang w:val="en-US"/>
        </w:rPr>
        <w:t>June</w:t>
      </w:r>
      <w:r w:rsidR="004A4277">
        <w:rPr>
          <w:rFonts w:ascii="Arial" w:eastAsia="Calibri" w:hAnsi="Arial" w:cs="Arial"/>
          <w:sz w:val="21"/>
          <w:szCs w:val="21"/>
          <w:lang w:val="en-US"/>
        </w:rPr>
        <w:t xml:space="preserve"> 2024</w:t>
      </w:r>
      <w:r w:rsidRPr="00AD7BF0">
        <w:rPr>
          <w:rFonts w:ascii="Arial" w:eastAsia="Calibri" w:hAnsi="Arial" w:cs="Arial"/>
          <w:sz w:val="21"/>
          <w:szCs w:val="21"/>
          <w:lang w:val="en-US"/>
        </w:rPr>
        <w:t>).</w:t>
      </w:r>
    </w:p>
    <w:p w:rsidR="007A1FCE" w:rsidRDefault="006A155A" w:rsidP="004348E6">
      <w:pPr>
        <w:pStyle w:val="Paragrafoelenco"/>
        <w:numPr>
          <w:ilvl w:val="0"/>
          <w:numId w:val="5"/>
        </w:numPr>
        <w:tabs>
          <w:tab w:val="left" w:pos="10206"/>
        </w:tabs>
        <w:spacing w:after="100" w:line="230" w:lineRule="exact"/>
        <w:ind w:left="284" w:hanging="284"/>
        <w:contextualSpacing w:val="0"/>
        <w:jc w:val="both"/>
        <w:rPr>
          <w:rFonts w:ascii="Arial" w:eastAsia="Calibri" w:hAnsi="Arial" w:cs="Arial"/>
          <w:sz w:val="21"/>
          <w:szCs w:val="21"/>
          <w:lang w:val="en-US"/>
        </w:rPr>
      </w:pPr>
      <w:r w:rsidRPr="00E1760C">
        <w:rPr>
          <w:rFonts w:ascii="Arial" w:eastAsia="Calibri" w:hAnsi="Arial" w:cs="Arial"/>
          <w:sz w:val="21"/>
          <w:szCs w:val="21"/>
          <w:lang w:val="en-US"/>
        </w:rPr>
        <w:t xml:space="preserve">The </w:t>
      </w:r>
      <w:r>
        <w:rPr>
          <w:rFonts w:ascii="Arial" w:eastAsia="Calibri" w:hAnsi="Arial" w:cs="Arial"/>
          <w:sz w:val="21"/>
          <w:szCs w:val="21"/>
          <w:lang w:val="en-US"/>
        </w:rPr>
        <w:t>increase</w:t>
      </w:r>
      <w:r w:rsidRPr="00E1760C">
        <w:rPr>
          <w:rFonts w:ascii="Arial" w:eastAsia="Calibri" w:hAnsi="Arial" w:cs="Arial"/>
          <w:sz w:val="21"/>
          <w:szCs w:val="21"/>
          <w:lang w:val="en-US"/>
        </w:rPr>
        <w:t xml:space="preserve"> of the growth on annual basis of All-item index </w:t>
      </w:r>
      <w:r w:rsidR="00D655E2">
        <w:rPr>
          <w:rFonts w:ascii="Arial" w:eastAsia="Calibri" w:hAnsi="Arial" w:cs="Arial"/>
          <w:sz w:val="21"/>
          <w:szCs w:val="21"/>
          <w:lang w:val="en-US"/>
        </w:rPr>
        <w:t xml:space="preserve">was mainly due to the prices of Regulated energy products (from +3.5% to +11.3%), of </w:t>
      </w:r>
      <w:r w:rsidR="00E10085" w:rsidRPr="007C280B">
        <w:rPr>
          <w:rFonts w:ascii="Arial" w:eastAsia="Calibri" w:hAnsi="Arial" w:cs="Arial"/>
          <w:sz w:val="21"/>
          <w:szCs w:val="21"/>
          <w:lang w:val="en-US"/>
        </w:rPr>
        <w:t>Non-regulated energy products</w:t>
      </w:r>
      <w:r w:rsidR="00D655E2">
        <w:rPr>
          <w:rFonts w:ascii="Arial" w:eastAsia="Calibri" w:hAnsi="Arial" w:cs="Arial"/>
          <w:sz w:val="21"/>
          <w:szCs w:val="21"/>
          <w:lang w:val="en-US"/>
        </w:rPr>
        <w:t xml:space="preserve"> (from -10.3% to -6.1</w:t>
      </w:r>
      <w:r w:rsidR="00E10085">
        <w:rPr>
          <w:rFonts w:ascii="Arial" w:eastAsia="Calibri" w:hAnsi="Arial" w:cs="Arial"/>
          <w:sz w:val="21"/>
          <w:szCs w:val="21"/>
          <w:lang w:val="en-US"/>
        </w:rPr>
        <w:t xml:space="preserve">%), of </w:t>
      </w:r>
      <w:r w:rsidR="00D655E2">
        <w:rPr>
          <w:rFonts w:ascii="Arial" w:eastAsia="Calibri" w:hAnsi="Arial" w:cs="Arial"/>
          <w:sz w:val="21"/>
          <w:szCs w:val="21"/>
          <w:lang w:val="en-US"/>
        </w:rPr>
        <w:t>Tobacco (from +3.4% to +4.1%) and of Services related to recreation, including repair and personal care  (from +4.0% to +4.4%)</w:t>
      </w:r>
      <w:r w:rsidR="00E10085">
        <w:rPr>
          <w:rFonts w:ascii="Arial" w:eastAsia="Calibri" w:hAnsi="Arial" w:cs="Arial"/>
          <w:sz w:val="21"/>
          <w:szCs w:val="21"/>
          <w:lang w:val="en-US"/>
        </w:rPr>
        <w:t>; o</w:t>
      </w:r>
      <w:r w:rsidR="00E10085" w:rsidRPr="004348E6">
        <w:rPr>
          <w:rFonts w:ascii="Arial" w:eastAsia="Calibri" w:hAnsi="Arial" w:cs="Arial"/>
          <w:sz w:val="21"/>
          <w:szCs w:val="21"/>
          <w:lang w:val="en-US"/>
        </w:rPr>
        <w:t>n the contrary, the prices of</w:t>
      </w:r>
      <w:r w:rsidR="00E10085">
        <w:rPr>
          <w:rFonts w:ascii="Arial" w:eastAsia="Calibri" w:hAnsi="Arial" w:cs="Arial"/>
          <w:sz w:val="21"/>
          <w:szCs w:val="21"/>
          <w:lang w:val="en-US"/>
        </w:rPr>
        <w:t xml:space="preserve"> </w:t>
      </w:r>
      <w:r w:rsidR="00EF3A54">
        <w:rPr>
          <w:rFonts w:ascii="Arial" w:eastAsia="Calibri" w:hAnsi="Arial" w:cs="Arial"/>
          <w:sz w:val="21"/>
          <w:szCs w:val="21"/>
          <w:lang w:val="en-US"/>
        </w:rPr>
        <w:t>Unprocess</w:t>
      </w:r>
      <w:r w:rsidR="00D655E2">
        <w:rPr>
          <w:rFonts w:ascii="Arial" w:eastAsia="Calibri" w:hAnsi="Arial" w:cs="Arial"/>
          <w:sz w:val="21"/>
          <w:szCs w:val="21"/>
          <w:lang w:val="en-US"/>
        </w:rPr>
        <w:t>ed foods (from +0.3% to -0.3</w:t>
      </w:r>
      <w:r w:rsidR="00E10085">
        <w:rPr>
          <w:rFonts w:ascii="Arial" w:eastAsia="Calibri" w:hAnsi="Arial" w:cs="Arial"/>
          <w:sz w:val="21"/>
          <w:szCs w:val="21"/>
          <w:lang w:val="en-US"/>
        </w:rPr>
        <w:t>%)</w:t>
      </w:r>
      <w:r w:rsidR="00D655E2">
        <w:rPr>
          <w:rFonts w:ascii="Arial" w:eastAsia="Calibri" w:hAnsi="Arial" w:cs="Arial"/>
          <w:sz w:val="21"/>
          <w:szCs w:val="21"/>
          <w:lang w:val="en-US"/>
        </w:rPr>
        <w:t>, of Services miscellaneous (from +1.8% to +1.5%), of Non-durable goods (from +1.3% to +1.0%),</w:t>
      </w:r>
      <w:r w:rsidR="00E10085">
        <w:rPr>
          <w:rFonts w:ascii="Arial" w:eastAsia="Calibri" w:hAnsi="Arial" w:cs="Arial"/>
          <w:sz w:val="21"/>
          <w:szCs w:val="21"/>
          <w:lang w:val="en-US"/>
        </w:rPr>
        <w:t xml:space="preserve"> of </w:t>
      </w:r>
      <w:r w:rsidR="00D655E2" w:rsidRPr="00D655E2">
        <w:rPr>
          <w:rFonts w:ascii="Arial" w:eastAsia="Calibri" w:hAnsi="Arial" w:cs="Arial"/>
          <w:sz w:val="21"/>
          <w:szCs w:val="21"/>
          <w:lang w:val="en-GB"/>
        </w:rPr>
        <w:t>Processed food including alcohol</w:t>
      </w:r>
      <w:r w:rsidR="00D655E2" w:rsidRPr="00D655E2">
        <w:rPr>
          <w:rFonts w:ascii="Arial" w:eastAsia="Calibri" w:hAnsi="Arial" w:cs="Arial"/>
          <w:sz w:val="21"/>
          <w:szCs w:val="21"/>
          <w:lang w:val="en-US"/>
        </w:rPr>
        <w:t xml:space="preserve"> </w:t>
      </w:r>
      <w:r w:rsidR="00D655E2">
        <w:rPr>
          <w:rFonts w:ascii="Arial" w:eastAsia="Calibri" w:hAnsi="Arial" w:cs="Arial"/>
          <w:sz w:val="21"/>
          <w:szCs w:val="21"/>
          <w:lang w:val="en-US"/>
        </w:rPr>
        <w:t xml:space="preserve">(from +2.0% to +1.8%) and of Durable goods (from -1.0% to -1.2%) </w:t>
      </w:r>
      <w:r w:rsidR="00E10085" w:rsidRPr="007C280B">
        <w:rPr>
          <w:rFonts w:ascii="Arial" w:eastAsia="Calibri" w:hAnsi="Arial" w:cs="Arial"/>
          <w:sz w:val="21"/>
          <w:szCs w:val="21"/>
          <w:lang w:val="en-US"/>
        </w:rPr>
        <w:t>slowed down</w:t>
      </w:r>
      <w:r w:rsidR="00B00EF2" w:rsidRPr="004348E6">
        <w:rPr>
          <w:rFonts w:ascii="Arial" w:eastAsia="Calibri" w:hAnsi="Arial" w:cs="Arial"/>
          <w:sz w:val="21"/>
          <w:szCs w:val="21"/>
          <w:lang w:val="en-US"/>
        </w:rPr>
        <w:t>.</w:t>
      </w:r>
      <w:r w:rsidR="00D655E2" w:rsidRPr="00D655E2">
        <w:rPr>
          <w:rFonts w:ascii="Arial" w:eastAsia="Calibri" w:hAnsi="Arial" w:cs="Arial"/>
          <w:sz w:val="21"/>
          <w:szCs w:val="21"/>
          <w:lang w:val="en-US"/>
        </w:rPr>
        <w:t xml:space="preserve"> </w:t>
      </w:r>
    </w:p>
    <w:p w:rsidR="007A1FCE" w:rsidRDefault="00E44C84" w:rsidP="007A1FCE">
      <w:pPr>
        <w:pStyle w:val="Paragrafoelenco"/>
        <w:numPr>
          <w:ilvl w:val="0"/>
          <w:numId w:val="5"/>
        </w:numPr>
        <w:tabs>
          <w:tab w:val="left" w:pos="10206"/>
        </w:tabs>
        <w:spacing w:after="100" w:line="230" w:lineRule="exact"/>
        <w:ind w:left="284" w:hanging="284"/>
        <w:contextualSpacing w:val="0"/>
        <w:jc w:val="both"/>
        <w:rPr>
          <w:rFonts w:ascii="Arial" w:eastAsia="Calibri" w:hAnsi="Arial" w:cs="Arial"/>
          <w:sz w:val="21"/>
          <w:szCs w:val="21"/>
          <w:lang w:val="en-US"/>
        </w:rPr>
      </w:pPr>
      <w:r>
        <w:rPr>
          <w:rFonts w:ascii="Arial" w:eastAsia="Calibri" w:hAnsi="Arial" w:cs="Arial"/>
          <w:sz w:val="21"/>
          <w:szCs w:val="21"/>
          <w:lang w:val="en-US"/>
        </w:rPr>
        <w:t xml:space="preserve">In </w:t>
      </w:r>
      <w:r w:rsidR="006224D9">
        <w:rPr>
          <w:rFonts w:ascii="Arial" w:eastAsia="Calibri" w:hAnsi="Arial" w:cs="Arial"/>
          <w:sz w:val="21"/>
          <w:szCs w:val="21"/>
          <w:lang w:val="en-US"/>
        </w:rPr>
        <w:t>July</w:t>
      </w:r>
      <w:r w:rsidR="0037581D">
        <w:rPr>
          <w:rFonts w:ascii="Arial" w:eastAsia="Calibri" w:hAnsi="Arial" w:cs="Arial"/>
          <w:sz w:val="21"/>
          <w:szCs w:val="21"/>
          <w:lang w:val="en-US"/>
        </w:rPr>
        <w:t xml:space="preserve"> 2024</w:t>
      </w:r>
      <w:r w:rsidR="002C2387">
        <w:rPr>
          <w:rFonts w:ascii="Arial" w:eastAsia="Calibri" w:hAnsi="Arial" w:cs="Arial"/>
          <w:sz w:val="21"/>
          <w:szCs w:val="21"/>
          <w:lang w:val="en-US"/>
        </w:rPr>
        <w:t>, c</w:t>
      </w:r>
      <w:r w:rsidR="007A1FCE" w:rsidRPr="00DA4E0F">
        <w:rPr>
          <w:rFonts w:ascii="Arial" w:eastAsia="Calibri" w:hAnsi="Arial" w:cs="Arial"/>
          <w:sz w:val="21"/>
          <w:szCs w:val="21"/>
          <w:lang w:val="en-US"/>
        </w:rPr>
        <w:t>ore inflation (excluding energy and unprocessed food)</w:t>
      </w:r>
      <w:r w:rsidR="007A1FCE">
        <w:rPr>
          <w:rFonts w:ascii="Arial" w:eastAsia="Calibri" w:hAnsi="Arial" w:cs="Arial"/>
          <w:sz w:val="21"/>
          <w:szCs w:val="21"/>
          <w:lang w:val="en-US"/>
        </w:rPr>
        <w:t xml:space="preserve"> </w:t>
      </w:r>
      <w:r w:rsidR="00D655E2">
        <w:rPr>
          <w:rFonts w:ascii="Arial" w:eastAsia="Calibri" w:hAnsi="Arial" w:cs="Arial"/>
          <w:sz w:val="21"/>
          <w:szCs w:val="21"/>
          <w:lang w:val="en-US"/>
        </w:rPr>
        <w:t>was stable at +1.9</w:t>
      </w:r>
      <w:r w:rsidR="003760E6">
        <w:rPr>
          <w:rFonts w:ascii="Arial" w:eastAsia="Calibri" w:hAnsi="Arial" w:cs="Arial"/>
          <w:sz w:val="21"/>
          <w:szCs w:val="21"/>
          <w:lang w:val="en-US"/>
        </w:rPr>
        <w:t xml:space="preserve">% and </w:t>
      </w:r>
      <w:r w:rsidR="007A1FCE">
        <w:rPr>
          <w:rFonts w:ascii="Arial" w:eastAsia="Calibri" w:hAnsi="Arial" w:cs="Arial"/>
          <w:sz w:val="21"/>
          <w:szCs w:val="21"/>
          <w:lang w:val="en-US"/>
        </w:rPr>
        <w:t xml:space="preserve">inflation excluding energy </w:t>
      </w:r>
      <w:r w:rsidR="003760E6">
        <w:rPr>
          <w:rFonts w:ascii="Arial" w:eastAsia="Calibri" w:hAnsi="Arial" w:cs="Arial"/>
          <w:sz w:val="21"/>
          <w:szCs w:val="21"/>
          <w:lang w:val="en-US"/>
        </w:rPr>
        <w:t xml:space="preserve">slowed down </w:t>
      </w:r>
      <w:r w:rsidR="00695743">
        <w:rPr>
          <w:rFonts w:ascii="Arial" w:eastAsia="Calibri" w:hAnsi="Arial" w:cs="Arial"/>
          <w:sz w:val="21"/>
          <w:szCs w:val="21"/>
          <w:lang w:val="en-US"/>
        </w:rPr>
        <w:t xml:space="preserve">(from </w:t>
      </w:r>
      <w:r w:rsidR="007A1FCE">
        <w:rPr>
          <w:rFonts w:ascii="Arial" w:eastAsia="Calibri" w:hAnsi="Arial" w:cs="Arial"/>
          <w:sz w:val="21"/>
          <w:szCs w:val="21"/>
          <w:lang w:val="en-US"/>
        </w:rPr>
        <w:t>+</w:t>
      </w:r>
      <w:r w:rsidR="00211A41">
        <w:rPr>
          <w:rFonts w:ascii="Arial" w:eastAsia="Calibri" w:hAnsi="Arial" w:cs="Arial"/>
          <w:sz w:val="21"/>
          <w:szCs w:val="21"/>
          <w:lang w:val="en-US"/>
        </w:rPr>
        <w:t>1.9</w:t>
      </w:r>
      <w:r w:rsidR="00695743">
        <w:rPr>
          <w:rFonts w:ascii="Arial" w:eastAsia="Calibri" w:hAnsi="Arial" w:cs="Arial"/>
          <w:sz w:val="21"/>
          <w:szCs w:val="21"/>
          <w:lang w:val="en-US"/>
        </w:rPr>
        <w:t xml:space="preserve">% to </w:t>
      </w:r>
      <w:r w:rsidR="007A1FCE">
        <w:rPr>
          <w:rFonts w:ascii="Arial" w:eastAsia="Calibri" w:hAnsi="Arial" w:cs="Arial"/>
          <w:sz w:val="21"/>
          <w:szCs w:val="21"/>
          <w:lang w:val="en-US"/>
        </w:rPr>
        <w:t>+</w:t>
      </w:r>
      <w:r w:rsidR="00211A41">
        <w:rPr>
          <w:rFonts w:ascii="Arial" w:eastAsia="Calibri" w:hAnsi="Arial" w:cs="Arial"/>
          <w:sz w:val="21"/>
          <w:szCs w:val="21"/>
          <w:lang w:val="en-US"/>
        </w:rPr>
        <w:t>1.8</w:t>
      </w:r>
      <w:r w:rsidR="007A1FCE">
        <w:rPr>
          <w:rFonts w:ascii="Arial" w:eastAsia="Calibri" w:hAnsi="Arial" w:cs="Arial"/>
          <w:sz w:val="21"/>
          <w:szCs w:val="21"/>
          <w:lang w:val="en-US"/>
        </w:rPr>
        <w:t>%).</w:t>
      </w:r>
    </w:p>
    <w:p w:rsidR="0037581D" w:rsidRPr="0037581D" w:rsidRDefault="0037581D" w:rsidP="0037581D">
      <w:pPr>
        <w:pStyle w:val="Paragrafoelenco"/>
        <w:numPr>
          <w:ilvl w:val="0"/>
          <w:numId w:val="5"/>
        </w:numPr>
        <w:tabs>
          <w:tab w:val="left" w:pos="10206"/>
        </w:tabs>
        <w:spacing w:after="100" w:line="230" w:lineRule="exact"/>
        <w:ind w:left="284" w:hanging="284"/>
        <w:contextualSpacing w:val="0"/>
        <w:jc w:val="both"/>
        <w:rPr>
          <w:rFonts w:ascii="Arial" w:eastAsia="Calibri" w:hAnsi="Arial" w:cs="Arial"/>
          <w:sz w:val="21"/>
          <w:szCs w:val="21"/>
          <w:lang w:val="en-US"/>
        </w:rPr>
      </w:pPr>
      <w:r>
        <w:rPr>
          <w:rFonts w:ascii="Arial" w:eastAsia="Calibri" w:hAnsi="Arial" w:cs="Arial"/>
          <w:sz w:val="21"/>
          <w:szCs w:val="21"/>
          <w:lang w:val="en-US"/>
        </w:rPr>
        <w:t>As for Goods, the year on year growth rate was -</w:t>
      </w:r>
      <w:r w:rsidR="00CC2081">
        <w:rPr>
          <w:rFonts w:ascii="Arial" w:eastAsia="Calibri" w:hAnsi="Arial" w:cs="Arial"/>
          <w:sz w:val="21"/>
          <w:szCs w:val="21"/>
          <w:lang w:val="en-US"/>
        </w:rPr>
        <w:t>0.</w:t>
      </w:r>
      <w:r w:rsidR="006A6195">
        <w:rPr>
          <w:rFonts w:ascii="Arial" w:eastAsia="Calibri" w:hAnsi="Arial" w:cs="Arial"/>
          <w:sz w:val="21"/>
          <w:szCs w:val="21"/>
          <w:lang w:val="en-US"/>
        </w:rPr>
        <w:t>1</w:t>
      </w:r>
      <w:r>
        <w:rPr>
          <w:rFonts w:ascii="Arial" w:eastAsia="Calibri" w:hAnsi="Arial" w:cs="Arial"/>
          <w:sz w:val="21"/>
          <w:szCs w:val="21"/>
          <w:lang w:val="en-US"/>
        </w:rPr>
        <w:t>% (</w:t>
      </w:r>
      <w:r w:rsidR="006A6195">
        <w:rPr>
          <w:rFonts w:ascii="Arial" w:eastAsia="Calibri" w:hAnsi="Arial" w:cs="Arial"/>
          <w:sz w:val="21"/>
          <w:szCs w:val="21"/>
          <w:lang w:val="en-US"/>
        </w:rPr>
        <w:t>from -0.7</w:t>
      </w:r>
      <w:r w:rsidR="007A454F">
        <w:rPr>
          <w:rFonts w:ascii="Arial" w:eastAsia="Calibri" w:hAnsi="Arial" w:cs="Arial"/>
          <w:sz w:val="21"/>
          <w:szCs w:val="21"/>
          <w:lang w:val="en-US"/>
        </w:rPr>
        <w:t>%</w:t>
      </w:r>
      <w:r w:rsidR="002C66F6" w:rsidRPr="005E473D">
        <w:rPr>
          <w:rFonts w:ascii="Arial" w:eastAsia="Calibri" w:hAnsi="Arial" w:cs="Arial"/>
          <w:sz w:val="21"/>
          <w:szCs w:val="21"/>
          <w:lang w:val="en-US"/>
        </w:rPr>
        <w:t xml:space="preserve"> in</w:t>
      </w:r>
      <w:r w:rsidR="002C66F6">
        <w:rPr>
          <w:rFonts w:ascii="Arial" w:eastAsia="Calibri" w:hAnsi="Arial" w:cs="Arial"/>
          <w:sz w:val="21"/>
          <w:szCs w:val="21"/>
          <w:lang w:val="en-US"/>
        </w:rPr>
        <w:t xml:space="preserve"> </w:t>
      </w:r>
      <w:r w:rsidR="008C22D2">
        <w:rPr>
          <w:rFonts w:ascii="Arial" w:eastAsia="Calibri" w:hAnsi="Arial" w:cs="Arial"/>
          <w:sz w:val="21"/>
          <w:szCs w:val="21"/>
          <w:lang w:val="en-US"/>
        </w:rPr>
        <w:t>June</w:t>
      </w:r>
      <w:r>
        <w:rPr>
          <w:rFonts w:ascii="Arial" w:eastAsia="Calibri" w:hAnsi="Arial" w:cs="Arial"/>
          <w:sz w:val="21"/>
          <w:szCs w:val="21"/>
          <w:lang w:val="en-US"/>
        </w:rPr>
        <w:t xml:space="preserve">) </w:t>
      </w:r>
      <w:r w:rsidR="002C66F6">
        <w:rPr>
          <w:rFonts w:ascii="Arial" w:eastAsia="Calibri" w:hAnsi="Arial" w:cs="Arial"/>
          <w:sz w:val="21"/>
          <w:szCs w:val="21"/>
          <w:lang w:val="en-US"/>
        </w:rPr>
        <w:t>and</w:t>
      </w:r>
      <w:r>
        <w:rPr>
          <w:rFonts w:ascii="Arial" w:eastAsia="Calibri" w:hAnsi="Arial" w:cs="Arial"/>
          <w:sz w:val="21"/>
          <w:szCs w:val="21"/>
          <w:lang w:val="en-US"/>
        </w:rPr>
        <w:t xml:space="preserve"> for </w:t>
      </w:r>
      <w:r w:rsidRPr="00D878BF">
        <w:rPr>
          <w:rFonts w:ascii="Arial" w:eastAsia="Calibri" w:hAnsi="Arial" w:cs="Arial"/>
          <w:sz w:val="21"/>
          <w:szCs w:val="21"/>
          <w:lang w:val="en-US"/>
        </w:rPr>
        <w:t xml:space="preserve">Services </w:t>
      </w:r>
      <w:r>
        <w:rPr>
          <w:rFonts w:ascii="Arial" w:eastAsia="Calibri" w:hAnsi="Arial" w:cs="Arial"/>
          <w:sz w:val="21"/>
          <w:szCs w:val="21"/>
          <w:lang w:val="en-US"/>
        </w:rPr>
        <w:t xml:space="preserve">the annual rate of change was </w:t>
      </w:r>
      <w:r w:rsidR="006A6195">
        <w:rPr>
          <w:rFonts w:ascii="Arial" w:eastAsia="Calibri" w:hAnsi="Arial" w:cs="Arial"/>
          <w:sz w:val="21"/>
          <w:szCs w:val="21"/>
          <w:lang w:val="en-US"/>
        </w:rPr>
        <w:t>+3.0</w:t>
      </w:r>
      <w:r w:rsidR="00CC2081">
        <w:rPr>
          <w:rFonts w:ascii="Arial" w:eastAsia="Calibri" w:hAnsi="Arial" w:cs="Arial"/>
          <w:sz w:val="21"/>
          <w:szCs w:val="21"/>
          <w:lang w:val="en-US"/>
        </w:rPr>
        <w:t xml:space="preserve">% (from </w:t>
      </w:r>
      <w:r>
        <w:rPr>
          <w:rFonts w:ascii="Arial" w:eastAsia="Calibri" w:hAnsi="Arial" w:cs="Arial"/>
          <w:sz w:val="21"/>
          <w:szCs w:val="21"/>
          <w:lang w:val="en-US"/>
        </w:rPr>
        <w:t>+</w:t>
      </w:r>
      <w:r w:rsidR="006A6195">
        <w:rPr>
          <w:rFonts w:ascii="Arial" w:eastAsia="Calibri" w:hAnsi="Arial" w:cs="Arial"/>
          <w:sz w:val="21"/>
          <w:szCs w:val="21"/>
          <w:lang w:val="en-US"/>
        </w:rPr>
        <w:t>2.8</w:t>
      </w:r>
      <w:r w:rsidR="00C42256">
        <w:rPr>
          <w:rFonts w:ascii="Arial" w:eastAsia="Calibri" w:hAnsi="Arial" w:cs="Arial"/>
          <w:sz w:val="21"/>
          <w:szCs w:val="21"/>
          <w:lang w:val="en-US"/>
        </w:rPr>
        <w:t>%</w:t>
      </w:r>
      <w:r w:rsidR="00CC2081">
        <w:rPr>
          <w:rFonts w:ascii="Arial" w:eastAsia="Calibri" w:hAnsi="Arial" w:cs="Arial"/>
          <w:sz w:val="21"/>
          <w:szCs w:val="21"/>
          <w:lang w:val="en-US"/>
        </w:rPr>
        <w:t>)</w:t>
      </w:r>
      <w:r w:rsidRPr="00D878BF">
        <w:rPr>
          <w:rFonts w:ascii="Arial" w:eastAsia="Calibri" w:hAnsi="Arial" w:cs="Arial"/>
          <w:sz w:val="21"/>
          <w:szCs w:val="21"/>
          <w:lang w:val="en-US"/>
        </w:rPr>
        <w:t xml:space="preserve">. As a consequence, the inflationary gap between Services and Goods </w:t>
      </w:r>
      <w:r w:rsidR="003760E6">
        <w:rPr>
          <w:rFonts w:ascii="Arial" w:eastAsia="Calibri" w:hAnsi="Arial" w:cs="Arial"/>
          <w:sz w:val="21"/>
          <w:szCs w:val="21"/>
          <w:lang w:val="en-US"/>
        </w:rPr>
        <w:t>decreased</w:t>
      </w:r>
      <w:r>
        <w:rPr>
          <w:rFonts w:ascii="Arial" w:eastAsia="Calibri" w:hAnsi="Arial" w:cs="Arial"/>
          <w:sz w:val="21"/>
          <w:szCs w:val="21"/>
          <w:lang w:val="en-US"/>
        </w:rPr>
        <w:t xml:space="preserve"> </w:t>
      </w:r>
      <w:r w:rsidR="00A4310C">
        <w:rPr>
          <w:rFonts w:ascii="Arial" w:eastAsia="Calibri" w:hAnsi="Arial" w:cs="Arial"/>
          <w:sz w:val="21"/>
          <w:szCs w:val="21"/>
          <w:lang w:val="en-US"/>
        </w:rPr>
        <w:t>(</w:t>
      </w:r>
      <w:r w:rsidR="006A6195">
        <w:rPr>
          <w:rFonts w:ascii="Arial" w:eastAsia="Calibri" w:hAnsi="Arial" w:cs="Arial"/>
          <w:sz w:val="21"/>
          <w:szCs w:val="21"/>
          <w:lang w:val="en-US"/>
        </w:rPr>
        <w:t>from +3.5</w:t>
      </w:r>
      <w:r w:rsidR="003760E6">
        <w:rPr>
          <w:rFonts w:ascii="Arial" w:eastAsia="Calibri" w:hAnsi="Arial" w:cs="Arial"/>
          <w:sz w:val="21"/>
          <w:szCs w:val="21"/>
          <w:lang w:val="en-US"/>
        </w:rPr>
        <w:t xml:space="preserve"> percentage points in </w:t>
      </w:r>
      <w:r w:rsidR="006A6195">
        <w:rPr>
          <w:rFonts w:ascii="Arial" w:eastAsia="Calibri" w:hAnsi="Arial" w:cs="Arial"/>
          <w:sz w:val="21"/>
          <w:szCs w:val="21"/>
          <w:lang w:val="en-US"/>
        </w:rPr>
        <w:t>June to +3.1</w:t>
      </w:r>
      <w:r w:rsidR="00CC2081">
        <w:rPr>
          <w:rFonts w:ascii="Arial" w:eastAsia="Calibri" w:hAnsi="Arial" w:cs="Arial"/>
          <w:sz w:val="21"/>
          <w:szCs w:val="21"/>
          <w:lang w:val="en-US"/>
        </w:rPr>
        <w:t>)</w:t>
      </w:r>
      <w:r w:rsidRPr="00D878BF">
        <w:rPr>
          <w:rFonts w:ascii="Arial" w:eastAsia="Calibri" w:hAnsi="Arial" w:cs="Arial"/>
          <w:sz w:val="21"/>
          <w:szCs w:val="21"/>
          <w:lang w:val="en-US"/>
        </w:rPr>
        <w:t>.</w:t>
      </w:r>
    </w:p>
    <w:p w:rsidR="00230B94" w:rsidRDefault="00230B94" w:rsidP="00230B94">
      <w:pPr>
        <w:pStyle w:val="Paragrafoelenco"/>
        <w:numPr>
          <w:ilvl w:val="0"/>
          <w:numId w:val="5"/>
        </w:numPr>
        <w:tabs>
          <w:tab w:val="left" w:pos="10206"/>
        </w:tabs>
        <w:spacing w:after="100" w:line="230" w:lineRule="exact"/>
        <w:ind w:left="284" w:hanging="284"/>
        <w:contextualSpacing w:val="0"/>
        <w:jc w:val="both"/>
        <w:rPr>
          <w:rFonts w:ascii="Arial" w:eastAsia="Calibri" w:hAnsi="Arial" w:cs="Arial"/>
          <w:sz w:val="21"/>
          <w:szCs w:val="21"/>
          <w:lang w:val="en-US"/>
        </w:rPr>
      </w:pPr>
      <w:r>
        <w:rPr>
          <w:rFonts w:ascii="Arial" w:eastAsia="Calibri" w:hAnsi="Arial" w:cs="Arial"/>
          <w:sz w:val="21"/>
          <w:szCs w:val="21"/>
          <w:lang w:val="en-US"/>
        </w:rPr>
        <w:t>The p</w:t>
      </w:r>
      <w:r w:rsidRPr="00D878BF">
        <w:rPr>
          <w:rFonts w:ascii="Arial" w:eastAsia="Calibri" w:hAnsi="Arial" w:cs="Arial"/>
          <w:sz w:val="21"/>
          <w:szCs w:val="21"/>
          <w:lang w:val="en-US"/>
        </w:rPr>
        <w:t xml:space="preserve">rices of Grocery and unprocessed food </w:t>
      </w:r>
      <w:r w:rsidR="006A6195">
        <w:rPr>
          <w:rFonts w:ascii="Arial" w:eastAsia="Calibri" w:hAnsi="Arial" w:cs="Arial"/>
          <w:sz w:val="21"/>
          <w:szCs w:val="21"/>
          <w:lang w:val="en-US"/>
        </w:rPr>
        <w:t xml:space="preserve">decreased by 0.3 </w:t>
      </w:r>
      <w:r w:rsidRPr="00D878BF">
        <w:rPr>
          <w:rFonts w:ascii="Arial" w:eastAsia="Calibri" w:hAnsi="Arial" w:cs="Arial"/>
          <w:sz w:val="21"/>
          <w:szCs w:val="21"/>
          <w:lang w:val="en-US"/>
        </w:rPr>
        <w:t>on monthly basis and</w:t>
      </w:r>
      <w:r w:rsidR="00EB0D51">
        <w:rPr>
          <w:rFonts w:ascii="Arial" w:eastAsia="Calibri" w:hAnsi="Arial" w:cs="Arial"/>
          <w:sz w:val="21"/>
          <w:szCs w:val="21"/>
          <w:lang w:val="en-US"/>
        </w:rPr>
        <w:t xml:space="preserve"> </w:t>
      </w:r>
      <w:r w:rsidR="002F4833">
        <w:rPr>
          <w:rFonts w:ascii="Arial" w:eastAsia="Calibri" w:hAnsi="Arial" w:cs="Arial"/>
          <w:sz w:val="21"/>
          <w:szCs w:val="21"/>
          <w:lang w:val="en-US"/>
        </w:rPr>
        <w:t xml:space="preserve">increased </w:t>
      </w:r>
      <w:r w:rsidR="00EB0D51">
        <w:rPr>
          <w:rFonts w:ascii="Arial" w:eastAsia="Calibri" w:hAnsi="Arial" w:cs="Arial"/>
          <w:sz w:val="21"/>
          <w:szCs w:val="21"/>
          <w:lang w:val="en-US"/>
        </w:rPr>
        <w:t xml:space="preserve">by </w:t>
      </w:r>
      <w:r w:rsidR="006A6195">
        <w:rPr>
          <w:rFonts w:ascii="Arial" w:eastAsia="Calibri" w:hAnsi="Arial" w:cs="Arial"/>
          <w:sz w:val="21"/>
          <w:szCs w:val="21"/>
          <w:lang w:val="en-US"/>
        </w:rPr>
        <w:t>0.8</w:t>
      </w:r>
      <w:r>
        <w:rPr>
          <w:rFonts w:ascii="Arial" w:eastAsia="Calibri" w:hAnsi="Arial" w:cs="Arial"/>
          <w:sz w:val="21"/>
          <w:szCs w:val="21"/>
          <w:lang w:val="en-US"/>
        </w:rPr>
        <w:t>% o</w:t>
      </w:r>
      <w:r w:rsidRPr="00D878BF">
        <w:rPr>
          <w:rFonts w:ascii="Arial" w:eastAsia="Calibri" w:hAnsi="Arial" w:cs="Arial"/>
          <w:sz w:val="21"/>
          <w:szCs w:val="21"/>
          <w:lang w:val="en-US"/>
        </w:rPr>
        <w:t>n annual basis (</w:t>
      </w:r>
      <w:r>
        <w:rPr>
          <w:rFonts w:ascii="Arial" w:eastAsia="Calibri" w:hAnsi="Arial" w:cs="Arial"/>
          <w:sz w:val="21"/>
          <w:szCs w:val="21"/>
          <w:lang w:val="en-US"/>
        </w:rPr>
        <w:t>down from</w:t>
      </w:r>
      <w:r w:rsidRPr="00D878BF">
        <w:rPr>
          <w:rFonts w:ascii="Arial" w:eastAsia="Calibri" w:hAnsi="Arial" w:cs="Arial"/>
          <w:sz w:val="21"/>
          <w:szCs w:val="21"/>
          <w:lang w:val="en-US"/>
        </w:rPr>
        <w:t xml:space="preserve"> +</w:t>
      </w:r>
      <w:r w:rsidR="006A6195">
        <w:rPr>
          <w:rFonts w:ascii="Arial" w:eastAsia="Calibri" w:hAnsi="Arial" w:cs="Arial"/>
          <w:sz w:val="21"/>
          <w:szCs w:val="21"/>
          <w:lang w:val="en-US"/>
        </w:rPr>
        <w:t>1.2</w:t>
      </w:r>
      <w:r w:rsidRPr="00D878BF">
        <w:rPr>
          <w:rFonts w:ascii="Arial" w:eastAsia="Calibri" w:hAnsi="Arial" w:cs="Arial"/>
          <w:sz w:val="21"/>
          <w:szCs w:val="21"/>
          <w:lang w:val="en-US"/>
        </w:rPr>
        <w:t xml:space="preserve">% </w:t>
      </w:r>
      <w:r>
        <w:rPr>
          <w:rFonts w:ascii="Arial" w:eastAsia="Calibri" w:hAnsi="Arial" w:cs="Arial"/>
          <w:sz w:val="21"/>
          <w:szCs w:val="21"/>
          <w:lang w:val="en-US"/>
        </w:rPr>
        <w:t xml:space="preserve">in </w:t>
      </w:r>
      <w:r w:rsidRPr="00FC4DB8">
        <w:rPr>
          <w:rFonts w:ascii="Arial" w:eastAsia="Calibri" w:hAnsi="Arial" w:cs="Arial"/>
          <w:sz w:val="21"/>
          <w:szCs w:val="21"/>
          <w:lang w:val="en-US"/>
        </w:rPr>
        <w:t>the previous month</w:t>
      </w:r>
      <w:r w:rsidRPr="00D878BF">
        <w:rPr>
          <w:rFonts w:ascii="Arial" w:eastAsia="Calibri" w:hAnsi="Arial" w:cs="Arial"/>
          <w:sz w:val="21"/>
          <w:szCs w:val="21"/>
          <w:lang w:val="en-US"/>
        </w:rPr>
        <w:t>).</w:t>
      </w:r>
    </w:p>
    <w:p w:rsidR="008B152F" w:rsidRPr="008B152F" w:rsidRDefault="00230B94" w:rsidP="008B152F">
      <w:pPr>
        <w:pStyle w:val="Paragrafoelenco"/>
        <w:numPr>
          <w:ilvl w:val="0"/>
          <w:numId w:val="5"/>
        </w:numPr>
        <w:spacing w:after="100" w:line="230" w:lineRule="exact"/>
        <w:ind w:left="284" w:hanging="284"/>
        <w:contextualSpacing w:val="0"/>
        <w:jc w:val="both"/>
        <w:rPr>
          <w:rFonts w:ascii="Arial" w:eastAsia="Calibri" w:hAnsi="Arial" w:cs="Arial"/>
          <w:sz w:val="21"/>
          <w:szCs w:val="21"/>
          <w:lang w:val="en-US"/>
        </w:rPr>
      </w:pPr>
      <w:r w:rsidRPr="00807A59">
        <w:rPr>
          <w:rFonts w:ascii="Arial" w:eastAsia="Calibri" w:hAnsi="Arial" w:cs="Arial"/>
          <w:sz w:val="21"/>
          <w:szCs w:val="21"/>
          <w:lang w:val="en-US"/>
        </w:rPr>
        <w:t>The increase on monthly basis was</w:t>
      </w:r>
      <w:r>
        <w:rPr>
          <w:rFonts w:ascii="Arial" w:eastAsia="Calibri" w:hAnsi="Arial" w:cs="Arial"/>
          <w:sz w:val="21"/>
          <w:szCs w:val="21"/>
          <w:lang w:val="en-US"/>
        </w:rPr>
        <w:t xml:space="preserve"> mainly</w:t>
      </w:r>
      <w:r w:rsidRPr="00807A59">
        <w:rPr>
          <w:rFonts w:ascii="Arial" w:eastAsia="Calibri" w:hAnsi="Arial" w:cs="Arial"/>
          <w:sz w:val="21"/>
          <w:szCs w:val="21"/>
          <w:lang w:val="en-US"/>
        </w:rPr>
        <w:t xml:space="preserve"> due to </w:t>
      </w:r>
      <w:r>
        <w:rPr>
          <w:rFonts w:ascii="Arial" w:eastAsia="Calibri" w:hAnsi="Arial" w:cs="Arial"/>
          <w:sz w:val="21"/>
          <w:szCs w:val="21"/>
          <w:lang w:val="en-US"/>
        </w:rPr>
        <w:t xml:space="preserve">the </w:t>
      </w:r>
      <w:r w:rsidRPr="00807A59">
        <w:rPr>
          <w:rFonts w:ascii="Arial" w:eastAsia="Calibri" w:hAnsi="Arial" w:cs="Arial"/>
          <w:sz w:val="21"/>
          <w:szCs w:val="21"/>
          <w:lang w:val="en-US"/>
        </w:rPr>
        <w:t xml:space="preserve">prices </w:t>
      </w:r>
      <w:r w:rsidR="00223E2E">
        <w:rPr>
          <w:rFonts w:ascii="Arial" w:eastAsia="Calibri" w:hAnsi="Arial" w:cs="Arial"/>
          <w:sz w:val="21"/>
          <w:szCs w:val="21"/>
          <w:lang w:val="en-US"/>
        </w:rPr>
        <w:t xml:space="preserve">of </w:t>
      </w:r>
      <w:r w:rsidR="008C698F">
        <w:rPr>
          <w:rFonts w:ascii="Arial" w:eastAsia="Calibri" w:hAnsi="Arial" w:cs="Arial"/>
          <w:sz w:val="21"/>
          <w:szCs w:val="21"/>
          <w:lang w:val="en-US"/>
        </w:rPr>
        <w:t>Regulated energy products (+5.5</w:t>
      </w:r>
      <w:r w:rsidR="00801AA1">
        <w:rPr>
          <w:rFonts w:ascii="Arial" w:eastAsia="Calibri" w:hAnsi="Arial" w:cs="Arial"/>
          <w:sz w:val="21"/>
          <w:szCs w:val="21"/>
          <w:lang w:val="en-US"/>
        </w:rPr>
        <w:t xml:space="preserve">%), </w:t>
      </w:r>
      <w:r w:rsidR="008C698F">
        <w:rPr>
          <w:rFonts w:ascii="Arial" w:eastAsia="Calibri" w:hAnsi="Arial" w:cs="Arial"/>
          <w:sz w:val="21"/>
          <w:szCs w:val="21"/>
          <w:lang w:val="en-US"/>
        </w:rPr>
        <w:t xml:space="preserve">of </w:t>
      </w:r>
      <w:r w:rsidR="008C698F" w:rsidRPr="007C280B">
        <w:rPr>
          <w:rFonts w:ascii="Arial" w:eastAsia="Calibri" w:hAnsi="Arial" w:cs="Arial"/>
          <w:sz w:val="21"/>
          <w:szCs w:val="21"/>
          <w:lang w:val="en-US"/>
        </w:rPr>
        <w:t>Non-regulated energy products</w:t>
      </w:r>
      <w:r w:rsidR="008C698F">
        <w:rPr>
          <w:rFonts w:ascii="Arial" w:eastAsia="Calibri" w:hAnsi="Arial" w:cs="Arial"/>
          <w:sz w:val="21"/>
          <w:szCs w:val="21"/>
          <w:lang w:val="en-US"/>
        </w:rPr>
        <w:t xml:space="preserve"> (+3.3%), </w:t>
      </w:r>
      <w:r w:rsidR="008F61C0">
        <w:rPr>
          <w:rFonts w:ascii="Arial" w:eastAsia="Calibri" w:hAnsi="Arial" w:cs="Arial"/>
          <w:sz w:val="21"/>
          <w:szCs w:val="21"/>
          <w:lang w:val="en-US"/>
        </w:rPr>
        <w:t xml:space="preserve">of Services related to recreation, including repair and personal care (+0.8%) </w:t>
      </w:r>
      <w:r w:rsidR="00801AA1">
        <w:rPr>
          <w:rFonts w:ascii="Arial" w:eastAsia="Calibri" w:hAnsi="Arial" w:cs="Arial"/>
          <w:sz w:val="21"/>
          <w:szCs w:val="21"/>
          <w:lang w:val="en-US"/>
        </w:rPr>
        <w:t>of Services related to transport (+0.</w:t>
      </w:r>
      <w:r w:rsidR="008F61C0">
        <w:rPr>
          <w:rFonts w:ascii="Arial" w:eastAsia="Calibri" w:hAnsi="Arial" w:cs="Arial"/>
          <w:sz w:val="21"/>
          <w:szCs w:val="21"/>
          <w:lang w:val="en-US"/>
        </w:rPr>
        <w:t>4%)</w:t>
      </w:r>
      <w:r w:rsidR="00801AA1">
        <w:rPr>
          <w:rFonts w:ascii="Arial" w:eastAsia="Calibri" w:hAnsi="Arial" w:cs="Arial"/>
          <w:sz w:val="21"/>
          <w:szCs w:val="21"/>
          <w:lang w:val="en-US"/>
        </w:rPr>
        <w:t xml:space="preserve"> and of Processed food (incl</w:t>
      </w:r>
      <w:r w:rsidR="008F61C0">
        <w:rPr>
          <w:rFonts w:ascii="Arial" w:eastAsia="Calibri" w:hAnsi="Arial" w:cs="Arial"/>
          <w:sz w:val="21"/>
          <w:szCs w:val="21"/>
          <w:lang w:val="en-US"/>
        </w:rPr>
        <w:t>uding alcohol and tobacco) (+0.3</w:t>
      </w:r>
      <w:r w:rsidR="00801AA1">
        <w:rPr>
          <w:rFonts w:ascii="Arial" w:eastAsia="Calibri" w:hAnsi="Arial" w:cs="Arial"/>
          <w:sz w:val="21"/>
          <w:szCs w:val="21"/>
          <w:lang w:val="en-US"/>
        </w:rPr>
        <w:t>%)</w:t>
      </w:r>
      <w:r w:rsidR="0031636F">
        <w:rPr>
          <w:rFonts w:ascii="Arial" w:eastAsia="Calibri" w:hAnsi="Arial" w:cs="Arial"/>
          <w:sz w:val="21"/>
          <w:szCs w:val="21"/>
          <w:lang w:val="en-US"/>
        </w:rPr>
        <w:t xml:space="preserve">; on the other hand the prices of </w:t>
      </w:r>
      <w:r w:rsidR="004913FA">
        <w:rPr>
          <w:rFonts w:ascii="Arial" w:eastAsia="Calibri" w:hAnsi="Arial" w:cs="Arial"/>
          <w:sz w:val="21"/>
          <w:szCs w:val="21"/>
          <w:lang w:val="en-US"/>
        </w:rPr>
        <w:t>Unpro</w:t>
      </w:r>
      <w:r w:rsidR="008F61C0">
        <w:rPr>
          <w:rFonts w:ascii="Arial" w:eastAsia="Calibri" w:hAnsi="Arial" w:cs="Arial"/>
          <w:sz w:val="21"/>
          <w:szCs w:val="21"/>
          <w:lang w:val="en-US"/>
        </w:rPr>
        <w:t>cessed foods (-1.4</w:t>
      </w:r>
      <w:r w:rsidR="004913FA">
        <w:rPr>
          <w:rFonts w:ascii="Arial" w:eastAsia="Calibri" w:hAnsi="Arial" w:cs="Arial"/>
          <w:sz w:val="21"/>
          <w:szCs w:val="21"/>
          <w:lang w:val="en-US"/>
        </w:rPr>
        <w:t>%)</w:t>
      </w:r>
      <w:r w:rsidR="008F61C0">
        <w:rPr>
          <w:rFonts w:ascii="Arial" w:eastAsia="Calibri" w:hAnsi="Arial" w:cs="Arial"/>
          <w:sz w:val="21"/>
          <w:szCs w:val="21"/>
          <w:lang w:val="en-US"/>
        </w:rPr>
        <w:t xml:space="preserve"> </w:t>
      </w:r>
      <w:r w:rsidR="001D6BF0">
        <w:rPr>
          <w:rFonts w:ascii="Arial" w:eastAsia="Calibri" w:hAnsi="Arial" w:cs="Arial"/>
          <w:sz w:val="21"/>
          <w:szCs w:val="21"/>
          <w:lang w:val="en-US"/>
        </w:rPr>
        <w:t>decreased</w:t>
      </w:r>
      <w:r w:rsidR="00D600E2" w:rsidRPr="007C280B">
        <w:rPr>
          <w:rFonts w:ascii="Arial" w:eastAsia="Calibri" w:hAnsi="Arial" w:cs="Arial"/>
          <w:sz w:val="21"/>
          <w:szCs w:val="21"/>
          <w:lang w:val="en-US"/>
        </w:rPr>
        <w:t>.</w:t>
      </w:r>
    </w:p>
    <w:p w:rsidR="00223E2E" w:rsidRPr="00974EF9" w:rsidRDefault="00223E2E" w:rsidP="00223E2E">
      <w:pPr>
        <w:pStyle w:val="Paragrafoelenco"/>
        <w:numPr>
          <w:ilvl w:val="0"/>
          <w:numId w:val="5"/>
        </w:numPr>
        <w:spacing w:after="100" w:line="230" w:lineRule="exact"/>
        <w:ind w:left="360"/>
        <w:contextualSpacing w:val="0"/>
        <w:jc w:val="both"/>
        <w:rPr>
          <w:rFonts w:ascii="Arial" w:eastAsia="Calibri" w:hAnsi="Arial" w:cs="Arial"/>
          <w:sz w:val="21"/>
          <w:szCs w:val="21"/>
          <w:lang w:val="en-US"/>
        </w:rPr>
      </w:pPr>
      <w:r>
        <w:rPr>
          <w:rFonts w:ascii="Arial" w:eastAsia="Calibri" w:hAnsi="Arial" w:cs="Arial"/>
          <w:sz w:val="21"/>
          <w:szCs w:val="21"/>
          <w:lang w:val="en-US"/>
        </w:rPr>
        <w:t>I</w:t>
      </w:r>
      <w:r w:rsidRPr="00D12A3F">
        <w:rPr>
          <w:rFonts w:ascii="Arial" w:eastAsia="Calibri" w:hAnsi="Arial" w:cs="Arial"/>
          <w:sz w:val="21"/>
          <w:szCs w:val="21"/>
          <w:lang w:val="en-US"/>
        </w:rPr>
        <w:t xml:space="preserve">n </w:t>
      </w:r>
      <w:r w:rsidR="00BD58D1">
        <w:rPr>
          <w:rFonts w:ascii="Arial" w:eastAsia="Calibri" w:hAnsi="Arial" w:cs="Arial"/>
          <w:sz w:val="21"/>
          <w:szCs w:val="21"/>
          <w:lang w:val="en-US"/>
        </w:rPr>
        <w:t>July</w:t>
      </w:r>
      <w:r w:rsidRPr="001A7D6D">
        <w:rPr>
          <w:rFonts w:ascii="Arial" w:eastAsia="Calibri" w:hAnsi="Arial" w:cs="Arial"/>
          <w:sz w:val="21"/>
          <w:szCs w:val="21"/>
          <w:lang w:val="en-US"/>
        </w:rPr>
        <w:t xml:space="preserve"> 202</w:t>
      </w:r>
      <w:r w:rsidR="00671FAE">
        <w:rPr>
          <w:rFonts w:ascii="Arial" w:eastAsia="Calibri" w:hAnsi="Arial" w:cs="Arial"/>
          <w:sz w:val="21"/>
          <w:szCs w:val="21"/>
          <w:lang w:val="en-US"/>
        </w:rPr>
        <w:t>4</w:t>
      </w:r>
      <w:r>
        <w:rPr>
          <w:rFonts w:ascii="Arial" w:eastAsia="Calibri" w:hAnsi="Arial" w:cs="Arial"/>
          <w:sz w:val="21"/>
          <w:szCs w:val="21"/>
          <w:lang w:val="en-US"/>
        </w:rPr>
        <w:t xml:space="preserve"> </w:t>
      </w:r>
      <w:r w:rsidRPr="00237846">
        <w:rPr>
          <w:rFonts w:ascii="Arial" w:eastAsia="Calibri" w:hAnsi="Arial" w:cs="Arial"/>
          <w:sz w:val="21"/>
          <w:szCs w:val="21"/>
          <w:lang w:val="en-US"/>
        </w:rPr>
        <w:t xml:space="preserve">the rate of change of the Italian harmonized index of consumer prices (HICP) </w:t>
      </w:r>
      <w:r w:rsidR="00BD58D1">
        <w:rPr>
          <w:rFonts w:ascii="Arial" w:eastAsia="Calibri" w:hAnsi="Arial" w:cs="Arial"/>
          <w:sz w:val="21"/>
          <w:szCs w:val="21"/>
          <w:lang w:val="en-US"/>
        </w:rPr>
        <w:t xml:space="preserve">decreased by 0.8 </w:t>
      </w:r>
      <w:r w:rsidR="00BD58D1" w:rsidRPr="001A7D6D">
        <w:rPr>
          <w:rFonts w:ascii="Arial" w:eastAsia="Calibri" w:hAnsi="Arial" w:cs="Arial"/>
          <w:sz w:val="21"/>
          <w:szCs w:val="21"/>
          <w:lang w:val="en-US"/>
        </w:rPr>
        <w:t xml:space="preserve">on monthly basis </w:t>
      </w:r>
      <w:r w:rsidR="00BD58D1">
        <w:rPr>
          <w:rFonts w:ascii="Arial" w:eastAsia="Calibri" w:hAnsi="Arial" w:cs="Arial"/>
          <w:sz w:val="21"/>
          <w:szCs w:val="21"/>
          <w:lang w:val="en-US"/>
        </w:rPr>
        <w:t xml:space="preserve">(due to the summer sales not considered by NIC) </w:t>
      </w:r>
      <w:r w:rsidRPr="001A7D6D">
        <w:rPr>
          <w:rFonts w:ascii="Arial" w:eastAsia="Calibri" w:hAnsi="Arial" w:cs="Arial"/>
          <w:sz w:val="21"/>
          <w:szCs w:val="21"/>
          <w:lang w:val="en-US"/>
        </w:rPr>
        <w:t xml:space="preserve">and </w:t>
      </w:r>
      <w:r w:rsidR="00C8186C">
        <w:rPr>
          <w:rFonts w:ascii="Arial" w:eastAsia="Calibri" w:hAnsi="Arial" w:cs="Arial"/>
          <w:sz w:val="21"/>
          <w:szCs w:val="21"/>
          <w:lang w:val="en-US"/>
        </w:rPr>
        <w:t xml:space="preserve">increased by </w:t>
      </w:r>
      <w:r w:rsidR="00BD58D1">
        <w:rPr>
          <w:rFonts w:ascii="Arial" w:eastAsia="Calibri" w:hAnsi="Arial" w:cs="Arial"/>
          <w:sz w:val="21"/>
          <w:szCs w:val="21"/>
          <w:lang w:val="en-US"/>
        </w:rPr>
        <w:t>1.7</w:t>
      </w:r>
      <w:r w:rsidRPr="001A7D6D">
        <w:rPr>
          <w:rFonts w:ascii="Arial" w:eastAsia="Calibri" w:hAnsi="Arial" w:cs="Arial"/>
          <w:sz w:val="21"/>
          <w:szCs w:val="21"/>
          <w:lang w:val="en-US"/>
        </w:rPr>
        <w:t>% on annual basis (</w:t>
      </w:r>
      <w:r w:rsidR="000033DA">
        <w:rPr>
          <w:rFonts w:ascii="Arial" w:eastAsia="Calibri" w:hAnsi="Arial" w:cs="Arial"/>
          <w:sz w:val="21"/>
          <w:szCs w:val="21"/>
          <w:lang w:val="en-US"/>
        </w:rPr>
        <w:t>from +0.</w:t>
      </w:r>
      <w:r w:rsidR="00BD58D1">
        <w:rPr>
          <w:rFonts w:ascii="Arial" w:eastAsia="Calibri" w:hAnsi="Arial" w:cs="Arial"/>
          <w:sz w:val="21"/>
          <w:szCs w:val="21"/>
          <w:lang w:val="en-US"/>
        </w:rPr>
        <w:t>9</w:t>
      </w:r>
      <w:r w:rsidR="00672895">
        <w:rPr>
          <w:rFonts w:ascii="Arial" w:eastAsia="Calibri" w:hAnsi="Arial" w:cs="Arial"/>
          <w:sz w:val="21"/>
          <w:szCs w:val="21"/>
          <w:lang w:val="en-US"/>
        </w:rPr>
        <w:t>% in</w:t>
      </w:r>
      <w:r w:rsidR="0041173A">
        <w:rPr>
          <w:rFonts w:ascii="Arial" w:eastAsia="Calibri" w:hAnsi="Arial" w:cs="Arial"/>
          <w:sz w:val="21"/>
          <w:szCs w:val="21"/>
          <w:lang w:val="en-US"/>
        </w:rPr>
        <w:t xml:space="preserve"> </w:t>
      </w:r>
      <w:r w:rsidR="00BD58D1">
        <w:rPr>
          <w:rFonts w:ascii="Arial" w:eastAsia="Calibri" w:hAnsi="Arial" w:cs="Arial"/>
          <w:sz w:val="21"/>
          <w:szCs w:val="21"/>
          <w:lang w:val="en-US"/>
        </w:rPr>
        <w:t>June</w:t>
      </w:r>
      <w:r>
        <w:rPr>
          <w:rFonts w:ascii="Arial" w:eastAsia="Calibri" w:hAnsi="Arial" w:cs="Arial"/>
          <w:sz w:val="21"/>
          <w:szCs w:val="21"/>
          <w:lang w:val="en-US"/>
        </w:rPr>
        <w:t>)</w:t>
      </w:r>
      <w:r w:rsidRPr="001A7D6D">
        <w:rPr>
          <w:rFonts w:ascii="Arial" w:eastAsia="Calibri" w:hAnsi="Arial" w:cs="Arial"/>
          <w:sz w:val="21"/>
          <w:szCs w:val="21"/>
          <w:lang w:val="en-US"/>
        </w:rPr>
        <w:t>.</w:t>
      </w:r>
    </w:p>
    <w:p w:rsidR="002C2387" w:rsidRPr="00223E2E" w:rsidRDefault="002C2387" w:rsidP="002C2387">
      <w:pPr>
        <w:pStyle w:val="Paragrafoelenco"/>
        <w:tabs>
          <w:tab w:val="left" w:pos="10206"/>
        </w:tabs>
        <w:spacing w:after="100" w:line="230" w:lineRule="exact"/>
        <w:ind w:left="284"/>
        <w:contextualSpacing w:val="0"/>
        <w:jc w:val="both"/>
        <w:rPr>
          <w:rFonts w:ascii="Arial" w:hAnsi="Arial" w:cs="Arial"/>
          <w:sz w:val="21"/>
          <w:szCs w:val="21"/>
          <w:lang w:val="en-US"/>
        </w:rPr>
      </w:pPr>
    </w:p>
    <w:p w:rsidR="00E83F68" w:rsidRPr="003D31BF" w:rsidRDefault="00E83F68" w:rsidP="00E83F68">
      <w:pPr>
        <w:pStyle w:val="Default"/>
        <w:jc w:val="both"/>
        <w:rPr>
          <w:rFonts w:cs="Arial"/>
          <w:b/>
          <w:bCs/>
          <w:color w:val="5F5F5F"/>
          <w:sz w:val="22"/>
          <w:szCs w:val="22"/>
          <w:lang w:val="en-US"/>
        </w:rPr>
      </w:pPr>
      <w:r>
        <w:rPr>
          <w:rFonts w:cs="Arial"/>
          <w:b/>
          <w:bCs/>
          <w:color w:val="E42618"/>
          <w:sz w:val="22"/>
          <w:szCs w:val="22"/>
          <w:lang w:val="en-US"/>
        </w:rPr>
        <w:t>CHART 1</w:t>
      </w:r>
      <w:r w:rsidRPr="003D31BF">
        <w:rPr>
          <w:rFonts w:cs="Arial"/>
          <w:b/>
          <w:bCs/>
          <w:color w:val="E42618"/>
          <w:sz w:val="22"/>
          <w:szCs w:val="22"/>
          <w:lang w:val="en-US"/>
        </w:rPr>
        <w:t>.</w:t>
      </w:r>
      <w:r w:rsidRPr="003D31BF">
        <w:rPr>
          <w:rFonts w:cs="Arial"/>
          <w:b/>
          <w:bCs/>
          <w:color w:val="5F5F5F"/>
          <w:sz w:val="22"/>
          <w:szCs w:val="22"/>
          <w:lang w:val="en-US"/>
        </w:rPr>
        <w:t xml:space="preserve"> </w:t>
      </w:r>
      <w:r>
        <w:rPr>
          <w:rFonts w:cs="Arial"/>
          <w:b/>
          <w:bCs/>
          <w:color w:val="5F5F5F"/>
          <w:sz w:val="22"/>
          <w:szCs w:val="22"/>
          <w:lang w:val="en-US"/>
        </w:rPr>
        <w:t>I</w:t>
      </w:r>
      <w:r w:rsidRPr="008D3000">
        <w:rPr>
          <w:rFonts w:cs="Arial"/>
          <w:b/>
          <w:bCs/>
          <w:color w:val="5F5F5F"/>
          <w:sz w:val="22"/>
          <w:szCs w:val="22"/>
          <w:lang w:val="en-US"/>
        </w:rPr>
        <w:t>TALIAN CONSUMER PRICE INDEX FOR THE WHOLE NATION (NIC)</w:t>
      </w:r>
    </w:p>
    <w:p w:rsidR="0060440B" w:rsidRDefault="00AA06D5" w:rsidP="00E83F68">
      <w:pPr>
        <w:pStyle w:val="Default"/>
        <w:spacing w:after="60" w:line="230" w:lineRule="exact"/>
        <w:jc w:val="both"/>
        <w:rPr>
          <w:rFonts w:cs="Arial"/>
          <w:bCs/>
          <w:color w:val="5F5F5F"/>
          <w:sz w:val="20"/>
          <w:szCs w:val="20"/>
          <w:lang w:val="en-US"/>
        </w:rPr>
      </w:pPr>
      <w:r>
        <w:rPr>
          <w:rFonts w:cs="Arial"/>
          <w:bCs/>
          <w:color w:val="5F5F5F"/>
          <w:sz w:val="20"/>
          <w:szCs w:val="20"/>
          <w:lang w:val="en-US"/>
        </w:rPr>
        <w:t>January 201</w:t>
      </w:r>
      <w:r w:rsidR="008C3818">
        <w:rPr>
          <w:rFonts w:cs="Arial"/>
          <w:bCs/>
          <w:color w:val="5F5F5F"/>
          <w:sz w:val="20"/>
          <w:szCs w:val="20"/>
          <w:lang w:val="en-US"/>
        </w:rPr>
        <w:t>9</w:t>
      </w:r>
      <w:r w:rsidR="00E83F68">
        <w:rPr>
          <w:rFonts w:cs="Arial"/>
          <w:bCs/>
          <w:color w:val="5F5F5F"/>
          <w:sz w:val="20"/>
          <w:szCs w:val="20"/>
          <w:lang w:val="en-US"/>
        </w:rPr>
        <w:t xml:space="preserve"> </w:t>
      </w:r>
      <w:r w:rsidR="00F66FAB">
        <w:rPr>
          <w:rFonts w:cs="Arial"/>
          <w:bCs/>
          <w:color w:val="5F5F5F"/>
          <w:sz w:val="20"/>
          <w:szCs w:val="20"/>
          <w:lang w:val="en-US"/>
        </w:rPr>
        <w:t>–</w:t>
      </w:r>
      <w:r w:rsidR="00E83F68" w:rsidRPr="00471585">
        <w:rPr>
          <w:rFonts w:cs="Arial"/>
          <w:bCs/>
          <w:color w:val="5F5F5F"/>
          <w:sz w:val="20"/>
          <w:szCs w:val="20"/>
          <w:lang w:val="en-US"/>
        </w:rPr>
        <w:t xml:space="preserve"> </w:t>
      </w:r>
      <w:r w:rsidR="006D1295">
        <w:rPr>
          <w:rFonts w:cs="Arial"/>
          <w:bCs/>
          <w:color w:val="5F5F5F"/>
          <w:sz w:val="20"/>
          <w:szCs w:val="20"/>
          <w:lang w:val="en-US"/>
        </w:rPr>
        <w:t>July</w:t>
      </w:r>
      <w:r w:rsidR="008C3818" w:rsidRPr="008C3818">
        <w:rPr>
          <w:rFonts w:cs="Arial"/>
          <w:bCs/>
          <w:color w:val="5F5F5F"/>
          <w:sz w:val="20"/>
          <w:szCs w:val="20"/>
          <w:lang w:val="en-US"/>
        </w:rPr>
        <w:t xml:space="preserve"> 2024</w:t>
      </w:r>
      <w:r w:rsidR="00E83F68">
        <w:rPr>
          <w:rFonts w:cs="Arial"/>
          <w:bCs/>
          <w:color w:val="5F5F5F"/>
          <w:sz w:val="20"/>
          <w:szCs w:val="20"/>
          <w:lang w:val="en-US"/>
        </w:rPr>
        <w:t>, month on previous month and month on same month a year ago percentage changes (index, 2015=100)</w:t>
      </w:r>
      <w:r w:rsidR="0060440B">
        <w:rPr>
          <w:rFonts w:cs="Arial"/>
          <w:bCs/>
          <w:color w:val="5F5F5F"/>
          <w:sz w:val="20"/>
          <w:szCs w:val="20"/>
          <w:lang w:val="en-US"/>
        </w:rPr>
        <w:t xml:space="preserve"> </w:t>
      </w:r>
    </w:p>
    <w:p w:rsidR="008D2065" w:rsidRPr="00913A96" w:rsidRDefault="00C8186C" w:rsidP="00E83F68">
      <w:pPr>
        <w:widowControl/>
        <w:overflowPunct/>
        <w:autoSpaceDE/>
        <w:autoSpaceDN/>
        <w:adjustRightInd/>
        <w:spacing w:before="0" w:after="0"/>
        <w:rPr>
          <w:rFonts w:ascii="Arial" w:hAnsi="Arial" w:cs="Arial"/>
          <w:sz w:val="21"/>
          <w:szCs w:val="21"/>
          <w:lang w:val="en-US"/>
        </w:rPr>
        <w:sectPr w:rsidR="008D2065" w:rsidRPr="00913A96" w:rsidSect="00511311">
          <w:headerReference w:type="default" r:id="rId13"/>
          <w:footerReference w:type="default" r:id="rId14"/>
          <w:headerReference w:type="first" r:id="rId15"/>
          <w:pgSz w:w="11907" w:h="16840" w:code="9"/>
          <w:pgMar w:top="2240" w:right="851" w:bottom="680" w:left="851" w:header="567" w:footer="284" w:gutter="0"/>
          <w:cols w:space="720"/>
          <w:noEndnote/>
          <w:titlePg/>
          <w:docGrid w:linePitch="272"/>
        </w:sectPr>
      </w:pPr>
      <w:bookmarkStart w:id="0" w:name="_GoBack"/>
      <w:bookmarkEnd w:id="0"/>
      <w:r>
        <w:rPr>
          <w:rFonts w:ascii="Arial" w:hAnsi="Arial" w:cs="Arial"/>
          <w:noProof/>
          <w:sz w:val="21"/>
          <w:szCs w:val="21"/>
        </w:rPr>
        <w:drawing>
          <wp:inline distT="0" distB="0" distL="0" distR="0" wp14:anchorId="0F7902FD">
            <wp:extent cx="6486525" cy="324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86525" cy="3243580"/>
                    </a:xfrm>
                    <a:prstGeom prst="rect">
                      <a:avLst/>
                    </a:prstGeom>
                    <a:noFill/>
                  </pic:spPr>
                </pic:pic>
              </a:graphicData>
            </a:graphic>
          </wp:inline>
        </w:drawing>
      </w:r>
    </w:p>
    <w:p w:rsidR="00571CB6" w:rsidRDefault="00571CB6" w:rsidP="00571CB6">
      <w:pPr>
        <w:pStyle w:val="Default"/>
        <w:spacing w:after="100" w:line="230" w:lineRule="exact"/>
        <w:jc w:val="both"/>
        <w:rPr>
          <w:rFonts w:ascii="Arial" w:hAnsi="Arial" w:cs="Arial"/>
          <w:color w:val="auto"/>
          <w:sz w:val="21"/>
          <w:szCs w:val="21"/>
          <w:lang w:val="en-GB"/>
        </w:rPr>
      </w:pPr>
    </w:p>
    <w:p w:rsidR="00571CB6" w:rsidRPr="00E32989" w:rsidRDefault="00571CB6" w:rsidP="00571CB6">
      <w:pPr>
        <w:tabs>
          <w:tab w:val="left" w:pos="-788"/>
          <w:tab w:val="left" w:pos="-567"/>
          <w:tab w:val="left" w:pos="0"/>
          <w:tab w:val="left" w:pos="142"/>
          <w:tab w:val="left" w:pos="1132"/>
          <w:tab w:val="left" w:pos="1698"/>
          <w:tab w:val="left" w:pos="2264"/>
          <w:tab w:val="left" w:pos="2830"/>
          <w:tab w:val="left" w:pos="3396"/>
          <w:tab w:val="left" w:pos="3962"/>
          <w:tab w:val="left" w:pos="4528"/>
          <w:tab w:val="left" w:pos="5093"/>
          <w:tab w:val="left" w:pos="5660"/>
          <w:tab w:val="left" w:pos="6226"/>
          <w:tab w:val="left" w:pos="6792"/>
          <w:tab w:val="left" w:pos="7358"/>
          <w:tab w:val="left" w:pos="7924"/>
          <w:tab w:val="left" w:pos="8490"/>
          <w:tab w:val="left" w:pos="9056"/>
          <w:tab w:val="left" w:pos="9622"/>
        </w:tabs>
        <w:spacing w:after="120"/>
        <w:rPr>
          <w:rFonts w:ascii="Arial Narrow" w:hAnsi="Arial Narrow" w:cs="Arial"/>
          <w:color w:val="5F5F5F"/>
          <w:kern w:val="0"/>
          <w:lang w:val="en-US"/>
        </w:rPr>
      </w:pPr>
      <w:r w:rsidRPr="00292D7C">
        <w:rPr>
          <w:rFonts w:ascii="Arial Narrow" w:hAnsi="Arial Narrow" w:cs="Arial"/>
          <w:b/>
          <w:bCs/>
          <w:color w:val="E42618"/>
          <w:sz w:val="22"/>
          <w:szCs w:val="22"/>
          <w:lang w:val="en-US"/>
        </w:rPr>
        <w:t>TABLE 1</w:t>
      </w:r>
      <w:r w:rsidRPr="00EB3546">
        <w:rPr>
          <w:rFonts w:ascii="Arial Narrow" w:hAnsi="Arial Narrow" w:cs="Arial"/>
          <w:b/>
          <w:bCs/>
          <w:color w:val="E42618"/>
          <w:sz w:val="22"/>
          <w:szCs w:val="22"/>
          <w:lang w:val="en-US"/>
        </w:rPr>
        <w:t xml:space="preserve">. </w:t>
      </w:r>
      <w:r w:rsidRPr="008D3000">
        <w:rPr>
          <w:rFonts w:ascii="Arial Narrow" w:eastAsia="Calibri" w:hAnsi="Arial Narrow" w:cs="Arial"/>
          <w:b/>
          <w:caps/>
          <w:color w:val="5F5F5F"/>
          <w:kern w:val="32"/>
          <w:sz w:val="22"/>
          <w:szCs w:val="22"/>
          <w:lang w:val="en-US" w:eastAsia="en-US"/>
        </w:rPr>
        <w:t>ITALIAN CONSUMER PRICE INDICES</w:t>
      </w:r>
      <w:r>
        <w:rPr>
          <w:rFonts w:ascii="Arial Narrow" w:hAnsi="Arial Narrow" w:cs="Arial"/>
          <w:b/>
          <w:bCs/>
          <w:color w:val="5F5F5F"/>
          <w:lang w:val="en-US"/>
        </w:rPr>
        <w:t xml:space="preserve"> </w:t>
      </w:r>
      <w:r>
        <w:rPr>
          <w:rFonts w:ascii="Arial Narrow" w:hAnsi="Arial Narrow" w:cs="Arial"/>
          <w:b/>
          <w:bCs/>
          <w:color w:val="5F5F5F"/>
          <w:lang w:val="en-US"/>
        </w:rPr>
        <w:br/>
      </w:r>
      <w:r w:rsidR="006D1295">
        <w:rPr>
          <w:rFonts w:ascii="Arial Narrow" w:hAnsi="Arial Narrow" w:cs="Arial"/>
          <w:color w:val="5F5F5F"/>
          <w:kern w:val="0"/>
          <w:lang w:val="en-US"/>
        </w:rPr>
        <w:t>July</w:t>
      </w:r>
      <w:r w:rsidR="008C3818" w:rsidRPr="008C3818">
        <w:rPr>
          <w:rFonts w:ascii="Arial Narrow" w:hAnsi="Arial Narrow" w:cs="Arial"/>
          <w:color w:val="5F5F5F"/>
          <w:kern w:val="0"/>
          <w:lang w:val="en-US"/>
        </w:rPr>
        <w:t xml:space="preserve"> 2024</w:t>
      </w:r>
      <w:r>
        <w:rPr>
          <w:rFonts w:ascii="Arial Narrow" w:hAnsi="Arial Narrow" w:cs="Arial"/>
          <w:color w:val="5F5F5F"/>
          <w:kern w:val="0"/>
          <w:lang w:val="en-US"/>
        </w:rPr>
        <w:t>,</w:t>
      </w:r>
      <w:r w:rsidRPr="008D3000">
        <w:rPr>
          <w:rFonts w:ascii="Arial Narrow" w:hAnsi="Arial Narrow" w:cs="Arial"/>
          <w:color w:val="5F5F5F"/>
          <w:kern w:val="0"/>
          <w:lang w:val="en-US"/>
        </w:rPr>
        <w:t xml:space="preserve"> indices</w:t>
      </w:r>
      <w:r>
        <w:rPr>
          <w:rFonts w:ascii="Arial Narrow" w:hAnsi="Arial Narrow" w:cs="Arial"/>
          <w:color w:val="5F5F5F"/>
          <w:kern w:val="0"/>
          <w:lang w:val="en-US"/>
        </w:rPr>
        <w:t>,</w:t>
      </w:r>
      <w:r w:rsidRPr="008D3000">
        <w:rPr>
          <w:rFonts w:ascii="Arial Narrow" w:hAnsi="Arial Narrow" w:cs="Arial"/>
          <w:color w:val="5F5F5F"/>
          <w:kern w:val="0"/>
          <w:lang w:val="en-US"/>
        </w:rPr>
        <w:t xml:space="preserve"> </w:t>
      </w:r>
      <w:r w:rsidRPr="00B5282C">
        <w:rPr>
          <w:rFonts w:ascii="Arial Narrow" w:hAnsi="Arial Narrow" w:cs="Arial"/>
          <w:color w:val="5F5F5F"/>
          <w:kern w:val="0"/>
          <w:lang w:val="en-US"/>
        </w:rPr>
        <w:t xml:space="preserve">month on previous month </w:t>
      </w:r>
      <w:r>
        <w:rPr>
          <w:rFonts w:ascii="Arial Narrow" w:hAnsi="Arial Narrow" w:cs="Arial"/>
          <w:color w:val="5F5F5F"/>
          <w:kern w:val="0"/>
          <w:lang w:val="en-US"/>
        </w:rPr>
        <w:t>and</w:t>
      </w:r>
      <w:r w:rsidRPr="00B5282C">
        <w:rPr>
          <w:rFonts w:ascii="Arial Narrow" w:hAnsi="Arial Narrow" w:cs="Arial"/>
          <w:color w:val="5F5F5F"/>
          <w:kern w:val="0"/>
          <w:lang w:val="en-US"/>
        </w:rPr>
        <w:t xml:space="preserve"> month on same month a year ago percent changes</w:t>
      </w:r>
      <w:r>
        <w:rPr>
          <w:rFonts w:ascii="Arial Narrow" w:hAnsi="Arial Narrow" w:cs="Arial"/>
          <w:color w:val="5F5F5F"/>
          <w:kern w:val="0"/>
          <w:lang w:val="en-US"/>
        </w:rPr>
        <w:t xml:space="preserve"> </w:t>
      </w:r>
      <w:r w:rsidRPr="008D3000">
        <w:rPr>
          <w:rFonts w:ascii="Arial Narrow" w:hAnsi="Arial Narrow" w:cs="Arial"/>
          <w:color w:val="5F5F5F"/>
          <w:kern w:val="0"/>
          <w:lang w:val="en-US"/>
        </w:rPr>
        <w:t>(</w:t>
      </w:r>
      <w:r w:rsidRPr="00E32989">
        <w:rPr>
          <w:rFonts w:ascii="Arial Narrow" w:hAnsi="Arial Narrow" w:cs="Arial"/>
          <w:color w:val="5F5F5F"/>
          <w:kern w:val="0"/>
          <w:lang w:val="en-US"/>
        </w:rPr>
        <w:t>index</w:t>
      </w:r>
      <w:r>
        <w:rPr>
          <w:rFonts w:ascii="Arial Narrow" w:hAnsi="Arial Narrow" w:cs="Arial"/>
          <w:color w:val="5F5F5F"/>
          <w:kern w:val="0"/>
          <w:lang w:val="en-US"/>
        </w:rPr>
        <w:t>,</w:t>
      </w:r>
      <w:r w:rsidRPr="00E32989">
        <w:rPr>
          <w:rFonts w:ascii="Arial Narrow" w:hAnsi="Arial Narrow" w:cs="Arial"/>
          <w:color w:val="5F5F5F"/>
          <w:kern w:val="0"/>
          <w:lang w:val="en-US"/>
        </w:rPr>
        <w:t xml:space="preserve"> 2015=100</w:t>
      </w:r>
      <w:r w:rsidRPr="008D3000">
        <w:rPr>
          <w:rFonts w:ascii="Arial Narrow" w:hAnsi="Arial Narrow" w:cs="Arial"/>
          <w:color w:val="5F5F5F"/>
          <w:kern w:val="0"/>
          <w:lang w:val="en-US"/>
        </w:rPr>
        <w:t>)</w:t>
      </w:r>
    </w:p>
    <w:tbl>
      <w:tblPr>
        <w:tblW w:w="10206"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279"/>
        <w:gridCol w:w="1642"/>
        <w:gridCol w:w="1642"/>
        <w:gridCol w:w="1643"/>
      </w:tblGrid>
      <w:tr w:rsidR="00550724" w:rsidRPr="00C8186C" w:rsidTr="008E35B2">
        <w:trPr>
          <w:trHeight w:val="255"/>
        </w:trPr>
        <w:tc>
          <w:tcPr>
            <w:tcW w:w="5279" w:type="dxa"/>
            <w:vMerge w:val="restart"/>
            <w:vAlign w:val="center"/>
          </w:tcPr>
          <w:p w:rsidR="00550724" w:rsidRPr="008D3000" w:rsidRDefault="00550724" w:rsidP="008E35B2">
            <w:pPr>
              <w:tabs>
                <w:tab w:val="left" w:pos="0"/>
                <w:tab w:val="left" w:pos="5093"/>
              </w:tabs>
              <w:spacing w:before="40" w:after="20"/>
              <w:rPr>
                <w:rFonts w:ascii="Arial Narrow" w:hAnsi="Arial Narrow" w:cs="Arial"/>
                <w:b/>
                <w:bCs/>
                <w:sz w:val="18"/>
                <w:szCs w:val="18"/>
                <w:lang w:val="en-US"/>
              </w:rPr>
            </w:pPr>
          </w:p>
        </w:tc>
        <w:tc>
          <w:tcPr>
            <w:tcW w:w="1642" w:type="dxa"/>
            <w:shd w:val="clear" w:color="auto" w:fill="D9D9D9" w:themeFill="background1" w:themeFillShade="D9"/>
            <w:vAlign w:val="center"/>
          </w:tcPr>
          <w:p w:rsidR="00550724" w:rsidRPr="008D3000" w:rsidRDefault="00550724" w:rsidP="008E35B2">
            <w:pPr>
              <w:tabs>
                <w:tab w:val="left" w:pos="0"/>
              </w:tabs>
              <w:spacing w:before="40" w:after="20"/>
              <w:jc w:val="right"/>
              <w:rPr>
                <w:sz w:val="18"/>
                <w:szCs w:val="18"/>
                <w:lang w:val="en-US"/>
              </w:rPr>
            </w:pPr>
            <w:r w:rsidRPr="008D3000">
              <w:rPr>
                <w:rFonts w:ascii="Arial Narrow" w:hAnsi="Arial Narrow" w:cs="Arial"/>
                <w:b/>
                <w:bCs/>
                <w:snapToGrid w:val="0"/>
                <w:sz w:val="18"/>
                <w:szCs w:val="18"/>
                <w:lang w:val="en-US"/>
              </w:rPr>
              <w:t>INDICES</w:t>
            </w:r>
          </w:p>
        </w:tc>
        <w:tc>
          <w:tcPr>
            <w:tcW w:w="1642" w:type="dxa"/>
            <w:vAlign w:val="center"/>
          </w:tcPr>
          <w:p w:rsidR="00550724" w:rsidRDefault="00550724" w:rsidP="008E35B2">
            <w:pPr>
              <w:tabs>
                <w:tab w:val="left" w:pos="0"/>
                <w:tab w:val="left" w:pos="5093"/>
              </w:tabs>
              <w:spacing w:before="40" w:after="20"/>
              <w:jc w:val="right"/>
              <w:rPr>
                <w:rFonts w:ascii="Arial Narrow" w:hAnsi="Arial Narrow" w:cs="Arial"/>
                <w:b/>
                <w:bCs/>
                <w:sz w:val="18"/>
                <w:szCs w:val="18"/>
                <w:lang w:val="en-US"/>
              </w:rPr>
            </w:pPr>
            <w:r w:rsidRPr="00B5282C">
              <w:rPr>
                <w:rFonts w:ascii="Arial Narrow" w:hAnsi="Arial Narrow" w:cs="Arial"/>
                <w:b/>
                <w:bCs/>
                <w:sz w:val="18"/>
                <w:szCs w:val="18"/>
                <w:lang w:val="en-US"/>
              </w:rPr>
              <w:t xml:space="preserve">Month on </w:t>
            </w:r>
          </w:p>
          <w:p w:rsidR="00550724" w:rsidRPr="00E709A6" w:rsidRDefault="00550724" w:rsidP="008E35B2">
            <w:pPr>
              <w:tabs>
                <w:tab w:val="left" w:pos="0"/>
                <w:tab w:val="left" w:pos="5093"/>
              </w:tabs>
              <w:spacing w:before="40" w:after="20"/>
              <w:jc w:val="right"/>
              <w:rPr>
                <w:rFonts w:ascii="Arial Narrow" w:hAnsi="Arial Narrow" w:cs="Arial"/>
                <w:b/>
                <w:bCs/>
                <w:sz w:val="18"/>
                <w:szCs w:val="18"/>
                <w:lang w:val="en-US"/>
              </w:rPr>
            </w:pPr>
            <w:r w:rsidRPr="00B5282C">
              <w:rPr>
                <w:rFonts w:ascii="Arial Narrow" w:hAnsi="Arial Narrow" w:cs="Arial"/>
                <w:b/>
                <w:bCs/>
                <w:sz w:val="18"/>
                <w:szCs w:val="18"/>
                <w:lang w:val="en-US"/>
              </w:rPr>
              <w:t xml:space="preserve">previous month </w:t>
            </w:r>
          </w:p>
        </w:tc>
        <w:tc>
          <w:tcPr>
            <w:tcW w:w="1643" w:type="dxa"/>
            <w:shd w:val="clear" w:color="auto" w:fill="D9D9D9" w:themeFill="background1" w:themeFillShade="D9"/>
            <w:vAlign w:val="center"/>
          </w:tcPr>
          <w:p w:rsidR="00550724" w:rsidRDefault="00550724" w:rsidP="008E35B2">
            <w:pPr>
              <w:tabs>
                <w:tab w:val="left" w:pos="0"/>
                <w:tab w:val="left" w:pos="5093"/>
              </w:tabs>
              <w:spacing w:before="40" w:after="20"/>
              <w:jc w:val="right"/>
              <w:rPr>
                <w:rFonts w:ascii="Arial Narrow" w:hAnsi="Arial Narrow" w:cs="Arial"/>
                <w:b/>
                <w:bCs/>
                <w:sz w:val="18"/>
                <w:szCs w:val="18"/>
                <w:lang w:val="en-US"/>
              </w:rPr>
            </w:pPr>
            <w:r>
              <w:rPr>
                <w:rFonts w:ascii="Arial Narrow" w:hAnsi="Arial Narrow" w:cs="Arial"/>
                <w:b/>
                <w:bCs/>
                <w:sz w:val="18"/>
                <w:szCs w:val="18"/>
                <w:lang w:val="en-US"/>
              </w:rPr>
              <w:t>M</w:t>
            </w:r>
            <w:r w:rsidRPr="00B5282C">
              <w:rPr>
                <w:rFonts w:ascii="Arial Narrow" w:hAnsi="Arial Narrow" w:cs="Arial"/>
                <w:b/>
                <w:bCs/>
                <w:sz w:val="18"/>
                <w:szCs w:val="18"/>
                <w:lang w:val="en-US"/>
              </w:rPr>
              <w:t>onth on same</w:t>
            </w:r>
          </w:p>
          <w:p w:rsidR="00550724" w:rsidRPr="00E709A6" w:rsidRDefault="00550724" w:rsidP="008E35B2">
            <w:pPr>
              <w:tabs>
                <w:tab w:val="left" w:pos="0"/>
                <w:tab w:val="left" w:pos="5093"/>
              </w:tabs>
              <w:spacing w:before="40" w:after="20"/>
              <w:jc w:val="right"/>
              <w:rPr>
                <w:rFonts w:ascii="Arial Narrow" w:hAnsi="Arial Narrow" w:cs="Arial"/>
                <w:b/>
                <w:bCs/>
                <w:sz w:val="18"/>
                <w:szCs w:val="18"/>
                <w:lang w:val="en-US"/>
              </w:rPr>
            </w:pPr>
            <w:r w:rsidRPr="00B5282C">
              <w:rPr>
                <w:rFonts w:ascii="Arial Narrow" w:hAnsi="Arial Narrow" w:cs="Arial"/>
                <w:b/>
                <w:bCs/>
                <w:sz w:val="18"/>
                <w:szCs w:val="18"/>
                <w:lang w:val="en-US"/>
              </w:rPr>
              <w:t xml:space="preserve"> month a year ago </w:t>
            </w:r>
          </w:p>
        </w:tc>
      </w:tr>
      <w:tr w:rsidR="00550724" w:rsidRPr="008D3000" w:rsidTr="008E35B2">
        <w:trPr>
          <w:trHeight w:val="255"/>
        </w:trPr>
        <w:tc>
          <w:tcPr>
            <w:tcW w:w="5279" w:type="dxa"/>
            <w:vMerge/>
            <w:vAlign w:val="center"/>
          </w:tcPr>
          <w:p w:rsidR="00550724" w:rsidRPr="008D3000" w:rsidRDefault="00550724" w:rsidP="008E35B2">
            <w:pPr>
              <w:tabs>
                <w:tab w:val="left" w:pos="0"/>
                <w:tab w:val="left" w:pos="5093"/>
              </w:tabs>
              <w:spacing w:before="40" w:after="20"/>
              <w:rPr>
                <w:rFonts w:ascii="Arial Narrow" w:hAnsi="Arial Narrow" w:cs="Arial"/>
                <w:b/>
                <w:bCs/>
                <w:sz w:val="18"/>
                <w:szCs w:val="18"/>
                <w:lang w:val="en-US"/>
              </w:rPr>
            </w:pPr>
          </w:p>
        </w:tc>
        <w:tc>
          <w:tcPr>
            <w:tcW w:w="1642" w:type="dxa"/>
            <w:shd w:val="clear" w:color="auto" w:fill="auto"/>
            <w:vAlign w:val="center"/>
          </w:tcPr>
          <w:p w:rsidR="00550724" w:rsidRPr="00E709A6" w:rsidRDefault="006D1295" w:rsidP="008E35B2">
            <w:pPr>
              <w:tabs>
                <w:tab w:val="left" w:pos="0"/>
              </w:tabs>
              <w:spacing w:before="40" w:after="20"/>
              <w:jc w:val="right"/>
              <w:rPr>
                <w:rFonts w:ascii="Arial Narrow" w:hAnsi="Arial Narrow" w:cs="Arial"/>
                <w:bCs/>
                <w:snapToGrid w:val="0"/>
                <w:sz w:val="18"/>
                <w:szCs w:val="18"/>
                <w:lang w:val="en-US"/>
              </w:rPr>
            </w:pPr>
            <w:r>
              <w:rPr>
                <w:rFonts w:ascii="Arial Narrow" w:hAnsi="Arial Narrow" w:cs="Arial"/>
                <w:bCs/>
                <w:snapToGrid w:val="0"/>
                <w:sz w:val="18"/>
                <w:szCs w:val="18"/>
                <w:lang w:val="en-US"/>
              </w:rPr>
              <w:t>July</w:t>
            </w:r>
            <w:r w:rsidR="00550724" w:rsidRPr="001D0213">
              <w:rPr>
                <w:rFonts w:ascii="Arial Narrow" w:hAnsi="Arial Narrow" w:cs="Arial"/>
                <w:bCs/>
                <w:snapToGrid w:val="0"/>
                <w:sz w:val="18"/>
                <w:szCs w:val="18"/>
                <w:lang w:val="en-US"/>
              </w:rPr>
              <w:t xml:space="preserve"> 202</w:t>
            </w:r>
            <w:r w:rsidR="008E35B2">
              <w:rPr>
                <w:rFonts w:ascii="Arial Narrow" w:hAnsi="Arial Narrow" w:cs="Arial"/>
                <w:bCs/>
                <w:snapToGrid w:val="0"/>
                <w:sz w:val="18"/>
                <w:szCs w:val="18"/>
                <w:lang w:val="en-US"/>
              </w:rPr>
              <w:t>4</w:t>
            </w:r>
          </w:p>
        </w:tc>
        <w:tc>
          <w:tcPr>
            <w:tcW w:w="1642" w:type="dxa"/>
            <w:shd w:val="clear" w:color="auto" w:fill="auto"/>
            <w:vAlign w:val="center"/>
          </w:tcPr>
          <w:p w:rsidR="00550724" w:rsidRPr="00E709A6" w:rsidRDefault="006D1295" w:rsidP="008E35B2">
            <w:pPr>
              <w:tabs>
                <w:tab w:val="left" w:pos="0"/>
                <w:tab w:val="left" w:pos="5093"/>
              </w:tabs>
              <w:spacing w:before="40" w:after="20"/>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550724">
              <w:rPr>
                <w:rFonts w:ascii="Arial Narrow" w:hAnsi="Arial Narrow" w:cs="Arial"/>
                <w:bCs/>
                <w:snapToGrid w:val="0"/>
                <w:sz w:val="18"/>
                <w:szCs w:val="18"/>
                <w:u w:val="single"/>
                <w:lang w:val="en-US"/>
              </w:rPr>
              <w:t>-2</w:t>
            </w:r>
            <w:r w:rsidR="008E35B2">
              <w:rPr>
                <w:rFonts w:ascii="Arial Narrow" w:hAnsi="Arial Narrow" w:cs="Arial"/>
                <w:bCs/>
                <w:snapToGrid w:val="0"/>
                <w:sz w:val="18"/>
                <w:szCs w:val="18"/>
                <w:u w:val="single"/>
                <w:lang w:val="en-US"/>
              </w:rPr>
              <w:t>4</w:t>
            </w:r>
          </w:p>
          <w:p w:rsidR="00550724" w:rsidRPr="00E709A6" w:rsidRDefault="006D1295" w:rsidP="00397476">
            <w:pPr>
              <w:tabs>
                <w:tab w:val="left" w:pos="0"/>
                <w:tab w:val="left" w:pos="5093"/>
              </w:tabs>
              <w:spacing w:before="40" w:after="20"/>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550724" w:rsidRPr="00E709A6">
              <w:rPr>
                <w:rFonts w:ascii="Arial Narrow" w:hAnsi="Arial Narrow" w:cs="Arial"/>
                <w:bCs/>
                <w:snapToGrid w:val="0"/>
                <w:sz w:val="18"/>
                <w:szCs w:val="18"/>
                <w:lang w:val="en-US"/>
              </w:rPr>
              <w:t>-</w:t>
            </w:r>
            <w:r w:rsidR="00550724">
              <w:rPr>
                <w:rFonts w:ascii="Arial Narrow" w:hAnsi="Arial Narrow" w:cs="Arial"/>
                <w:bCs/>
                <w:snapToGrid w:val="0"/>
                <w:sz w:val="18"/>
                <w:szCs w:val="18"/>
                <w:lang w:val="en-US"/>
              </w:rPr>
              <w:t>2</w:t>
            </w:r>
            <w:r w:rsidR="00397476">
              <w:rPr>
                <w:rFonts w:ascii="Arial Narrow" w:hAnsi="Arial Narrow" w:cs="Arial"/>
                <w:bCs/>
                <w:snapToGrid w:val="0"/>
                <w:sz w:val="18"/>
                <w:szCs w:val="18"/>
                <w:lang w:val="en-US"/>
              </w:rPr>
              <w:t>4</w:t>
            </w:r>
          </w:p>
        </w:tc>
        <w:tc>
          <w:tcPr>
            <w:tcW w:w="1643" w:type="dxa"/>
            <w:vAlign w:val="center"/>
          </w:tcPr>
          <w:p w:rsidR="00550724" w:rsidRPr="00E709A6" w:rsidRDefault="006D1295" w:rsidP="008E35B2">
            <w:pPr>
              <w:tabs>
                <w:tab w:val="left" w:pos="0"/>
                <w:tab w:val="left" w:pos="5093"/>
              </w:tabs>
              <w:spacing w:before="40" w:after="20"/>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F10F00">
              <w:rPr>
                <w:rFonts w:ascii="Arial Narrow" w:hAnsi="Arial Narrow" w:cs="Arial"/>
                <w:bCs/>
                <w:snapToGrid w:val="0"/>
                <w:sz w:val="18"/>
                <w:szCs w:val="18"/>
                <w:u w:val="single"/>
                <w:lang w:val="en-US"/>
              </w:rPr>
              <w:t>-</w:t>
            </w:r>
            <w:r w:rsidR="00550724">
              <w:rPr>
                <w:rFonts w:ascii="Arial Narrow" w:hAnsi="Arial Narrow" w:cs="Arial"/>
                <w:bCs/>
                <w:snapToGrid w:val="0"/>
                <w:sz w:val="18"/>
                <w:szCs w:val="18"/>
                <w:u w:val="single"/>
                <w:lang w:val="en-US"/>
              </w:rPr>
              <w:t>2</w:t>
            </w:r>
            <w:r w:rsidR="008E35B2">
              <w:rPr>
                <w:rFonts w:ascii="Arial Narrow" w:hAnsi="Arial Narrow" w:cs="Arial"/>
                <w:bCs/>
                <w:snapToGrid w:val="0"/>
                <w:sz w:val="18"/>
                <w:szCs w:val="18"/>
                <w:u w:val="single"/>
                <w:lang w:val="en-US"/>
              </w:rPr>
              <w:t>4</w:t>
            </w:r>
          </w:p>
          <w:p w:rsidR="00550724" w:rsidRPr="00E709A6" w:rsidRDefault="006D1295" w:rsidP="008E35B2">
            <w:pPr>
              <w:tabs>
                <w:tab w:val="left" w:pos="0"/>
                <w:tab w:val="left" w:pos="5093"/>
              </w:tabs>
              <w:spacing w:before="40" w:after="20"/>
              <w:jc w:val="right"/>
              <w:rPr>
                <w:rFonts w:ascii="Arial Narrow" w:hAnsi="Arial Narrow" w:cs="Arial"/>
                <w:bCs/>
                <w:sz w:val="18"/>
                <w:szCs w:val="18"/>
                <w:u w:val="single"/>
                <w:lang w:val="en-US"/>
              </w:rPr>
            </w:pPr>
            <w:r>
              <w:rPr>
                <w:rFonts w:ascii="Arial Narrow" w:hAnsi="Arial Narrow" w:cs="Arial"/>
                <w:bCs/>
                <w:snapToGrid w:val="0"/>
                <w:sz w:val="18"/>
                <w:szCs w:val="18"/>
                <w:lang w:val="en-US"/>
              </w:rPr>
              <w:t>Jul</w:t>
            </w:r>
            <w:r w:rsidR="00550724">
              <w:rPr>
                <w:rFonts w:ascii="Arial Narrow" w:hAnsi="Arial Narrow" w:cs="Arial"/>
                <w:bCs/>
                <w:snapToGrid w:val="0"/>
                <w:sz w:val="18"/>
                <w:szCs w:val="18"/>
                <w:lang w:val="en-US"/>
              </w:rPr>
              <w:t>-2</w:t>
            </w:r>
            <w:r w:rsidR="008E35B2">
              <w:rPr>
                <w:rFonts w:ascii="Arial Narrow" w:hAnsi="Arial Narrow" w:cs="Arial"/>
                <w:bCs/>
                <w:snapToGrid w:val="0"/>
                <w:sz w:val="18"/>
                <w:szCs w:val="18"/>
                <w:lang w:val="en-US"/>
              </w:rPr>
              <w:t>3</w:t>
            </w:r>
          </w:p>
        </w:tc>
      </w:tr>
      <w:tr w:rsidR="00DD6A5C" w:rsidRPr="006A6195" w:rsidTr="00DD6A5C">
        <w:trPr>
          <w:trHeight w:val="255"/>
        </w:trPr>
        <w:tc>
          <w:tcPr>
            <w:tcW w:w="5279" w:type="dxa"/>
            <w:vAlign w:val="center"/>
          </w:tcPr>
          <w:p w:rsidR="00DD6A5C" w:rsidRPr="008D3000" w:rsidRDefault="00DD6A5C" w:rsidP="00DD6A5C">
            <w:pPr>
              <w:tabs>
                <w:tab w:val="left" w:pos="0"/>
                <w:tab w:val="left" w:pos="5093"/>
              </w:tabs>
              <w:spacing w:before="40" w:after="20"/>
              <w:rPr>
                <w:rFonts w:ascii="Arial Narrow" w:hAnsi="Arial Narrow" w:cs="Arial"/>
                <w:bCs/>
                <w:sz w:val="18"/>
                <w:szCs w:val="18"/>
                <w:lang w:val="en-US"/>
              </w:rPr>
            </w:pPr>
            <w:r w:rsidRPr="008D3000">
              <w:rPr>
                <w:rFonts w:ascii="Arial Narrow" w:hAnsi="Arial Narrow" w:cs="Arial"/>
                <w:bCs/>
                <w:snapToGrid w:val="0"/>
                <w:sz w:val="18"/>
                <w:szCs w:val="18"/>
                <w:lang w:val="en-US"/>
              </w:rPr>
              <w:t xml:space="preserve">Italian consumer price index for the whole nation (NIC) </w:t>
            </w:r>
          </w:p>
        </w:tc>
        <w:tc>
          <w:tcPr>
            <w:tcW w:w="1642" w:type="dxa"/>
            <w:shd w:val="clear" w:color="auto" w:fill="D9D9D9" w:themeFill="background1" w:themeFillShade="D9"/>
          </w:tcPr>
          <w:p w:rsidR="00DD6A5C" w:rsidRPr="00DD6A5C" w:rsidRDefault="00127A69" w:rsidP="00DD6A5C">
            <w:pPr>
              <w:spacing w:before="40" w:after="20"/>
              <w:ind w:right="57"/>
              <w:jc w:val="right"/>
              <w:rPr>
                <w:rFonts w:ascii="Arial Narrow" w:hAnsi="Arial Narrow" w:cs="Arial"/>
                <w:sz w:val="18"/>
                <w:szCs w:val="18"/>
                <w:lang w:val="en-GB"/>
              </w:rPr>
            </w:pPr>
            <w:r>
              <w:rPr>
                <w:rFonts w:ascii="Arial Narrow" w:hAnsi="Arial Narrow" w:cs="Arial"/>
                <w:sz w:val="18"/>
                <w:szCs w:val="18"/>
                <w:lang w:val="en-GB"/>
              </w:rPr>
              <w:t>121.3</w:t>
            </w:r>
          </w:p>
        </w:tc>
        <w:tc>
          <w:tcPr>
            <w:tcW w:w="1642" w:type="dxa"/>
          </w:tcPr>
          <w:p w:rsidR="00DD6A5C" w:rsidRPr="00DD6A5C" w:rsidRDefault="00127A69" w:rsidP="00DD6A5C">
            <w:pPr>
              <w:spacing w:before="40" w:after="20"/>
              <w:ind w:right="57"/>
              <w:jc w:val="right"/>
              <w:rPr>
                <w:rFonts w:ascii="Arial Narrow" w:hAnsi="Arial Narrow" w:cs="Arial"/>
                <w:sz w:val="18"/>
                <w:szCs w:val="18"/>
                <w:lang w:val="en-GB"/>
              </w:rPr>
            </w:pPr>
            <w:r>
              <w:rPr>
                <w:rFonts w:ascii="Arial Narrow" w:hAnsi="Arial Narrow" w:cs="Arial"/>
                <w:sz w:val="18"/>
                <w:szCs w:val="18"/>
                <w:lang w:val="en-GB"/>
              </w:rPr>
              <w:t>+0.5</w:t>
            </w:r>
          </w:p>
        </w:tc>
        <w:tc>
          <w:tcPr>
            <w:tcW w:w="1643" w:type="dxa"/>
            <w:shd w:val="clear" w:color="auto" w:fill="D9D9D9" w:themeFill="background1" w:themeFillShade="D9"/>
          </w:tcPr>
          <w:p w:rsidR="00DD6A5C" w:rsidRPr="00DD6A5C" w:rsidRDefault="00127A69" w:rsidP="00DD6A5C">
            <w:pPr>
              <w:spacing w:before="40" w:after="20"/>
              <w:ind w:right="57"/>
              <w:jc w:val="right"/>
              <w:rPr>
                <w:rFonts w:ascii="Arial Narrow" w:hAnsi="Arial Narrow" w:cs="Arial"/>
                <w:sz w:val="18"/>
                <w:szCs w:val="18"/>
                <w:lang w:val="en-GB"/>
              </w:rPr>
            </w:pPr>
            <w:r>
              <w:rPr>
                <w:rFonts w:ascii="Arial Narrow" w:hAnsi="Arial Narrow" w:cs="Arial"/>
                <w:sz w:val="18"/>
                <w:szCs w:val="18"/>
                <w:lang w:val="en-GB"/>
              </w:rPr>
              <w:t>+1.3</w:t>
            </w:r>
          </w:p>
        </w:tc>
      </w:tr>
      <w:tr w:rsidR="00DD6A5C" w:rsidRPr="006A6195" w:rsidTr="00DD6A5C">
        <w:trPr>
          <w:trHeight w:val="255"/>
        </w:trPr>
        <w:tc>
          <w:tcPr>
            <w:tcW w:w="5279" w:type="dxa"/>
            <w:vAlign w:val="center"/>
          </w:tcPr>
          <w:p w:rsidR="00DD6A5C" w:rsidRPr="008D3000" w:rsidRDefault="00DD6A5C" w:rsidP="00DD6A5C">
            <w:pPr>
              <w:tabs>
                <w:tab w:val="left" w:pos="0"/>
                <w:tab w:val="left" w:pos="5093"/>
              </w:tabs>
              <w:spacing w:before="40" w:after="20"/>
              <w:rPr>
                <w:rFonts w:ascii="Arial Narrow" w:hAnsi="Arial Narrow" w:cs="Arial"/>
                <w:bCs/>
                <w:sz w:val="18"/>
                <w:szCs w:val="18"/>
                <w:lang w:val="en-US"/>
              </w:rPr>
            </w:pPr>
            <w:r w:rsidRPr="008D3000">
              <w:rPr>
                <w:rFonts w:ascii="Arial Narrow" w:hAnsi="Arial Narrow" w:cs="Arial"/>
                <w:bCs/>
                <w:snapToGrid w:val="0"/>
                <w:sz w:val="18"/>
                <w:szCs w:val="18"/>
                <w:lang w:val="en-US"/>
              </w:rPr>
              <w:t xml:space="preserve">Italian harmonized index of consumer prices (HICP) </w:t>
            </w:r>
          </w:p>
        </w:tc>
        <w:tc>
          <w:tcPr>
            <w:tcW w:w="1642" w:type="dxa"/>
            <w:shd w:val="clear" w:color="auto" w:fill="D9D9D9" w:themeFill="background1" w:themeFillShade="D9"/>
          </w:tcPr>
          <w:p w:rsidR="00DD6A5C" w:rsidRPr="00DD6A5C" w:rsidRDefault="00127A69" w:rsidP="00DD6A5C">
            <w:pPr>
              <w:spacing w:before="40" w:after="20"/>
              <w:ind w:right="57"/>
              <w:jc w:val="right"/>
              <w:rPr>
                <w:rFonts w:ascii="Arial Narrow" w:hAnsi="Arial Narrow" w:cs="Arial"/>
                <w:sz w:val="18"/>
                <w:szCs w:val="18"/>
                <w:lang w:val="en-GB"/>
              </w:rPr>
            </w:pPr>
            <w:r>
              <w:rPr>
                <w:rFonts w:ascii="Arial Narrow" w:hAnsi="Arial Narrow" w:cs="Arial"/>
                <w:sz w:val="18"/>
                <w:szCs w:val="18"/>
                <w:lang w:val="en-GB"/>
              </w:rPr>
              <w:t>121.9</w:t>
            </w:r>
          </w:p>
        </w:tc>
        <w:tc>
          <w:tcPr>
            <w:tcW w:w="1642" w:type="dxa"/>
          </w:tcPr>
          <w:p w:rsidR="00DD6A5C" w:rsidRPr="00DD6A5C" w:rsidRDefault="00127A69" w:rsidP="00DD6A5C">
            <w:pPr>
              <w:spacing w:before="40" w:after="20"/>
              <w:ind w:right="57"/>
              <w:jc w:val="right"/>
              <w:rPr>
                <w:rFonts w:ascii="Arial Narrow" w:hAnsi="Arial Narrow" w:cs="Arial"/>
                <w:sz w:val="18"/>
                <w:szCs w:val="18"/>
                <w:lang w:val="en-GB"/>
              </w:rPr>
            </w:pPr>
            <w:r>
              <w:rPr>
                <w:rFonts w:ascii="Arial Narrow" w:hAnsi="Arial Narrow" w:cs="Arial"/>
                <w:sz w:val="18"/>
                <w:szCs w:val="18"/>
                <w:lang w:val="en-GB"/>
              </w:rPr>
              <w:t>-0.8</w:t>
            </w:r>
          </w:p>
        </w:tc>
        <w:tc>
          <w:tcPr>
            <w:tcW w:w="1643" w:type="dxa"/>
            <w:shd w:val="clear" w:color="auto" w:fill="D9D9D9" w:themeFill="background1" w:themeFillShade="D9"/>
          </w:tcPr>
          <w:p w:rsidR="00DD6A5C" w:rsidRPr="00DD6A5C" w:rsidRDefault="00127A69" w:rsidP="00DD6A5C">
            <w:pPr>
              <w:spacing w:before="40" w:after="20"/>
              <w:ind w:right="57"/>
              <w:jc w:val="right"/>
              <w:rPr>
                <w:rFonts w:ascii="Arial Narrow" w:hAnsi="Arial Narrow" w:cs="Arial"/>
                <w:sz w:val="18"/>
                <w:szCs w:val="18"/>
                <w:lang w:val="en-GB"/>
              </w:rPr>
            </w:pPr>
            <w:r>
              <w:rPr>
                <w:rFonts w:ascii="Arial Narrow" w:hAnsi="Arial Narrow" w:cs="Arial"/>
                <w:sz w:val="18"/>
                <w:szCs w:val="18"/>
                <w:lang w:val="en-GB"/>
              </w:rPr>
              <w:t>+1.7</w:t>
            </w:r>
          </w:p>
        </w:tc>
      </w:tr>
    </w:tbl>
    <w:p w:rsidR="00571CB6" w:rsidRDefault="00571CB6" w:rsidP="00571CB6">
      <w:pPr>
        <w:pStyle w:val="Default"/>
        <w:spacing w:after="100" w:line="230" w:lineRule="exact"/>
        <w:jc w:val="both"/>
        <w:rPr>
          <w:rFonts w:ascii="Arial" w:hAnsi="Arial" w:cs="Arial"/>
          <w:color w:val="auto"/>
          <w:sz w:val="21"/>
          <w:szCs w:val="21"/>
          <w:lang w:val="en-GB"/>
        </w:rPr>
      </w:pPr>
    </w:p>
    <w:p w:rsidR="00571CB6" w:rsidRPr="00A55AEA" w:rsidRDefault="00571CB6" w:rsidP="00571CB6">
      <w:pPr>
        <w:pStyle w:val="Default"/>
        <w:spacing w:after="100" w:line="230" w:lineRule="exact"/>
        <w:jc w:val="both"/>
        <w:rPr>
          <w:rFonts w:ascii="Arial" w:hAnsi="Arial" w:cs="Arial"/>
          <w:color w:val="auto"/>
          <w:sz w:val="21"/>
          <w:szCs w:val="21"/>
          <w:lang w:val="en-GB"/>
        </w:rPr>
      </w:pPr>
    </w:p>
    <w:p w:rsidR="00571CB6" w:rsidRDefault="00571CB6" w:rsidP="00571CB6">
      <w:pPr>
        <w:pStyle w:val="Default"/>
        <w:spacing w:after="100" w:line="230" w:lineRule="exact"/>
        <w:jc w:val="both"/>
        <w:rPr>
          <w:rFonts w:cs="Arial"/>
          <w:color w:val="5F5F5F"/>
          <w:lang w:val="en-US"/>
        </w:rPr>
      </w:pPr>
      <w:r>
        <w:rPr>
          <w:rFonts w:cs="Arial"/>
          <w:b/>
          <w:bCs/>
          <w:color w:val="E42618"/>
          <w:sz w:val="22"/>
          <w:szCs w:val="22"/>
          <w:lang w:val="en-US"/>
        </w:rPr>
        <w:t>T</w:t>
      </w:r>
      <w:r w:rsidRPr="008D3000">
        <w:rPr>
          <w:rFonts w:cs="Arial"/>
          <w:b/>
          <w:bCs/>
          <w:color w:val="E42618"/>
          <w:sz w:val="22"/>
          <w:szCs w:val="22"/>
          <w:lang w:val="en-US"/>
        </w:rPr>
        <w:t xml:space="preserve">ABLE </w:t>
      </w:r>
      <w:r w:rsidRPr="003D31BF">
        <w:rPr>
          <w:rFonts w:cs="Arial"/>
          <w:b/>
          <w:bCs/>
          <w:color w:val="E42618"/>
          <w:sz w:val="22"/>
          <w:szCs w:val="22"/>
          <w:lang w:val="en-US"/>
        </w:rPr>
        <w:t>2.</w:t>
      </w:r>
      <w:r>
        <w:rPr>
          <w:rFonts w:cs="Arial"/>
          <w:b/>
          <w:bCs/>
          <w:color w:val="E42618"/>
          <w:sz w:val="22"/>
          <w:szCs w:val="22"/>
          <w:lang w:val="en-US"/>
        </w:rPr>
        <w:t xml:space="preserve"> </w:t>
      </w:r>
      <w:r>
        <w:rPr>
          <w:rFonts w:cs="Arial"/>
          <w:b/>
          <w:bCs/>
          <w:color w:val="5F5F5F"/>
          <w:sz w:val="22"/>
          <w:szCs w:val="22"/>
          <w:lang w:val="en-US"/>
        </w:rPr>
        <w:t>I</w:t>
      </w:r>
      <w:r w:rsidRPr="008D3000">
        <w:rPr>
          <w:rFonts w:cs="Arial"/>
          <w:b/>
          <w:bCs/>
          <w:color w:val="5F5F5F"/>
          <w:sz w:val="22"/>
          <w:szCs w:val="22"/>
          <w:lang w:val="en-US"/>
        </w:rPr>
        <w:t>TALIAN CONSUMER PRICE INDEX FOR THE WHOLE NATION (NIC) BY ECOICOP DIVISION</w:t>
      </w:r>
      <w:r>
        <w:rPr>
          <w:rFonts w:cs="Arial"/>
          <w:b/>
          <w:bCs/>
          <w:color w:val="5F5F5F"/>
          <w:lang w:val="en-US"/>
        </w:rPr>
        <w:br/>
      </w:r>
      <w:r w:rsidR="0017763D">
        <w:rPr>
          <w:rFonts w:cs="Arial"/>
          <w:color w:val="5F5F5F"/>
          <w:sz w:val="20"/>
          <w:szCs w:val="20"/>
          <w:lang w:val="en-US"/>
        </w:rPr>
        <w:t>July</w:t>
      </w:r>
      <w:r w:rsidR="008C3818" w:rsidRPr="008C3818">
        <w:rPr>
          <w:rFonts w:cs="Arial"/>
          <w:color w:val="5F5F5F"/>
          <w:sz w:val="20"/>
          <w:szCs w:val="20"/>
          <w:lang w:val="en-US"/>
        </w:rPr>
        <w:t xml:space="preserve"> 2024</w:t>
      </w:r>
      <w:r w:rsidRPr="00471585">
        <w:rPr>
          <w:rFonts w:cs="Arial"/>
          <w:color w:val="5F5F5F"/>
          <w:sz w:val="20"/>
          <w:szCs w:val="20"/>
          <w:lang w:val="en-US"/>
        </w:rPr>
        <w:t>, weights, indices</w:t>
      </w:r>
      <w:r>
        <w:rPr>
          <w:rFonts w:cs="Arial"/>
          <w:color w:val="5F5F5F"/>
          <w:sz w:val="20"/>
          <w:szCs w:val="20"/>
          <w:lang w:val="en-US"/>
        </w:rPr>
        <w:t>,</w:t>
      </w:r>
      <w:r w:rsidRPr="00471585">
        <w:rPr>
          <w:rFonts w:cs="Arial"/>
          <w:color w:val="5F5F5F"/>
          <w:sz w:val="20"/>
          <w:szCs w:val="20"/>
          <w:lang w:val="en-US"/>
        </w:rPr>
        <w:t xml:space="preserve"> </w:t>
      </w:r>
      <w:r w:rsidRPr="00B5282C">
        <w:rPr>
          <w:rFonts w:cs="Arial"/>
          <w:color w:val="5F5F5F"/>
          <w:sz w:val="20"/>
          <w:szCs w:val="20"/>
          <w:lang w:val="en-US"/>
        </w:rPr>
        <w:t xml:space="preserve">month on previous month </w:t>
      </w:r>
      <w:r>
        <w:rPr>
          <w:rFonts w:cs="Arial"/>
          <w:color w:val="5F5F5F"/>
          <w:sz w:val="20"/>
          <w:szCs w:val="20"/>
          <w:lang w:val="en-US"/>
        </w:rPr>
        <w:t>and</w:t>
      </w:r>
      <w:r w:rsidRPr="00B5282C">
        <w:rPr>
          <w:rFonts w:cs="Arial"/>
          <w:color w:val="5F5F5F"/>
          <w:sz w:val="20"/>
          <w:szCs w:val="20"/>
          <w:lang w:val="en-US"/>
        </w:rPr>
        <w:t xml:space="preserve"> month on same month a year ago percent changes</w:t>
      </w:r>
      <w:r>
        <w:rPr>
          <w:rFonts w:cs="Arial"/>
          <w:color w:val="5F5F5F"/>
          <w:lang w:val="en-US"/>
        </w:rPr>
        <w:t xml:space="preserve"> </w:t>
      </w:r>
      <w:r w:rsidRPr="008D3000">
        <w:rPr>
          <w:rFonts w:cs="Arial"/>
          <w:color w:val="5F5F5F"/>
          <w:lang w:val="en-US"/>
        </w:rPr>
        <w:t>(</w:t>
      </w:r>
      <w:r w:rsidRPr="00E32989">
        <w:rPr>
          <w:rFonts w:cs="Arial"/>
          <w:color w:val="5F5F5F"/>
          <w:sz w:val="20"/>
          <w:szCs w:val="20"/>
          <w:lang w:val="en-US"/>
        </w:rPr>
        <w:t>index, 2015=100</w:t>
      </w:r>
      <w:r w:rsidRPr="008D3000">
        <w:rPr>
          <w:rFonts w:cs="Arial"/>
          <w:color w:val="5F5F5F"/>
          <w:lang w:val="en-US"/>
        </w:rPr>
        <w:t>)</w:t>
      </w:r>
    </w:p>
    <w:tbl>
      <w:tblPr>
        <w:tblW w:w="10348" w:type="dxa"/>
        <w:jc w:val="center"/>
        <w:tblBorders>
          <w:top w:val="single" w:sz="4" w:space="0" w:color="auto"/>
          <w:bottom w:val="single" w:sz="4" w:space="0" w:color="auto"/>
          <w:insideH w:val="single" w:sz="4" w:space="0" w:color="auto"/>
        </w:tblBorders>
        <w:tblLayout w:type="fixed"/>
        <w:tblCellMar>
          <w:left w:w="70" w:type="dxa"/>
          <w:right w:w="0" w:type="dxa"/>
        </w:tblCellMar>
        <w:tblLook w:val="0000" w:firstRow="0" w:lastRow="0" w:firstColumn="0" w:lastColumn="0" w:noHBand="0" w:noVBand="0"/>
      </w:tblPr>
      <w:tblGrid>
        <w:gridCol w:w="4820"/>
        <w:gridCol w:w="850"/>
        <w:gridCol w:w="851"/>
        <w:gridCol w:w="990"/>
        <w:gridCol w:w="853"/>
        <w:gridCol w:w="990"/>
        <w:gridCol w:w="994"/>
      </w:tblGrid>
      <w:tr w:rsidR="00550724" w:rsidRPr="00C8186C" w:rsidTr="008E35B2">
        <w:trPr>
          <w:trHeight w:val="255"/>
          <w:jc w:val="center"/>
        </w:trPr>
        <w:tc>
          <w:tcPr>
            <w:tcW w:w="4820" w:type="dxa"/>
            <w:vMerge w:val="restart"/>
            <w:vAlign w:val="center"/>
          </w:tcPr>
          <w:p w:rsidR="00550724" w:rsidRPr="001855B7" w:rsidRDefault="00550724" w:rsidP="008E35B2">
            <w:pPr>
              <w:spacing w:before="40" w:after="20"/>
              <w:ind w:left="-57"/>
              <w:rPr>
                <w:rFonts w:ascii="Arial Narrow" w:hAnsi="Arial Narrow" w:cs="Arial"/>
                <w:bCs/>
                <w:sz w:val="18"/>
                <w:szCs w:val="18"/>
                <w:lang w:val="en-US"/>
              </w:rPr>
            </w:pPr>
            <w:r>
              <w:rPr>
                <w:rFonts w:ascii="Arial Narrow" w:hAnsi="Arial Narrow" w:cs="Arial"/>
                <w:b/>
                <w:bCs/>
                <w:sz w:val="18"/>
                <w:szCs w:val="18"/>
                <w:lang w:val="en-US"/>
              </w:rPr>
              <w:t>DIVISIONS</w:t>
            </w:r>
          </w:p>
        </w:tc>
        <w:tc>
          <w:tcPr>
            <w:tcW w:w="850" w:type="dxa"/>
            <w:vMerge w:val="restart"/>
            <w:shd w:val="clear" w:color="auto" w:fill="D9D9D9" w:themeFill="background1" w:themeFillShade="D9"/>
            <w:tcMar>
              <w:left w:w="85" w:type="dxa"/>
              <w:right w:w="57" w:type="dxa"/>
            </w:tcMar>
            <w:vAlign w:val="center"/>
          </w:tcPr>
          <w:p w:rsidR="00550724" w:rsidRPr="003171FE" w:rsidRDefault="00550724" w:rsidP="008E35B2">
            <w:pPr>
              <w:spacing w:before="40" w:after="20"/>
              <w:jc w:val="right"/>
              <w:rPr>
                <w:rFonts w:ascii="Arial Narrow" w:hAnsi="Arial Narrow" w:cs="Arial"/>
                <w:sz w:val="18"/>
                <w:szCs w:val="18"/>
                <w:lang w:val="en-US"/>
              </w:rPr>
            </w:pPr>
            <w:r w:rsidRPr="001855B7">
              <w:rPr>
                <w:rFonts w:ascii="Arial Narrow" w:hAnsi="Arial Narrow" w:cs="Arial"/>
                <w:b/>
                <w:bCs/>
                <w:sz w:val="18"/>
                <w:szCs w:val="18"/>
                <w:lang w:val="en-US"/>
              </w:rPr>
              <w:t>Weights</w:t>
            </w:r>
          </w:p>
        </w:tc>
        <w:tc>
          <w:tcPr>
            <w:tcW w:w="851" w:type="dxa"/>
            <w:vMerge w:val="restart"/>
            <w:shd w:val="clear" w:color="auto" w:fill="auto"/>
            <w:vAlign w:val="center"/>
          </w:tcPr>
          <w:p w:rsidR="00550724" w:rsidRPr="001855B7" w:rsidRDefault="00550724" w:rsidP="008E35B2">
            <w:pPr>
              <w:tabs>
                <w:tab w:val="left" w:pos="5093"/>
              </w:tabs>
              <w:spacing w:before="40" w:after="20"/>
              <w:ind w:right="57"/>
              <w:jc w:val="right"/>
              <w:rPr>
                <w:rFonts w:ascii="Arial Narrow" w:hAnsi="Arial Narrow" w:cs="Arial"/>
                <w:b/>
                <w:bCs/>
                <w:sz w:val="18"/>
                <w:szCs w:val="18"/>
                <w:lang w:val="en-US"/>
              </w:rPr>
            </w:pPr>
            <w:r w:rsidRPr="001855B7">
              <w:rPr>
                <w:rFonts w:ascii="Arial Narrow" w:hAnsi="Arial Narrow" w:cs="Arial"/>
                <w:b/>
                <w:bCs/>
                <w:sz w:val="18"/>
                <w:szCs w:val="18"/>
                <w:lang w:val="en-GB"/>
              </w:rPr>
              <w:t>Indices</w:t>
            </w:r>
          </w:p>
        </w:tc>
        <w:tc>
          <w:tcPr>
            <w:tcW w:w="1843" w:type="dxa"/>
            <w:gridSpan w:val="2"/>
            <w:shd w:val="clear" w:color="auto" w:fill="D9D9D9"/>
            <w:vAlign w:val="center"/>
          </w:tcPr>
          <w:p w:rsidR="00550724" w:rsidRDefault="00550724" w:rsidP="008E35B2">
            <w:pPr>
              <w:tabs>
                <w:tab w:val="left" w:pos="0"/>
                <w:tab w:val="left" w:pos="5093"/>
              </w:tabs>
              <w:spacing w:before="40" w:after="20"/>
              <w:jc w:val="center"/>
              <w:rPr>
                <w:rFonts w:ascii="Arial Narrow" w:hAnsi="Arial Narrow" w:cs="Arial"/>
                <w:b/>
                <w:bCs/>
                <w:sz w:val="18"/>
                <w:szCs w:val="18"/>
                <w:lang w:val="en-US"/>
              </w:rPr>
            </w:pPr>
            <w:r w:rsidRPr="00B5282C">
              <w:rPr>
                <w:rFonts w:ascii="Arial Narrow" w:hAnsi="Arial Narrow" w:cs="Arial"/>
                <w:b/>
                <w:bCs/>
                <w:sz w:val="18"/>
                <w:szCs w:val="18"/>
                <w:lang w:val="en-US"/>
              </w:rPr>
              <w:t xml:space="preserve">Month on </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previous month</w:t>
            </w:r>
          </w:p>
        </w:tc>
        <w:tc>
          <w:tcPr>
            <w:tcW w:w="1984" w:type="dxa"/>
            <w:gridSpan w:val="2"/>
            <w:vAlign w:val="center"/>
          </w:tcPr>
          <w:p w:rsidR="00550724" w:rsidRDefault="00550724" w:rsidP="008E35B2">
            <w:pPr>
              <w:tabs>
                <w:tab w:val="left" w:pos="5093"/>
              </w:tabs>
              <w:spacing w:before="40" w:after="20"/>
              <w:jc w:val="center"/>
              <w:rPr>
                <w:rFonts w:ascii="Arial Narrow" w:hAnsi="Arial Narrow" w:cs="Arial"/>
                <w:b/>
                <w:bCs/>
                <w:sz w:val="18"/>
                <w:szCs w:val="18"/>
                <w:lang w:val="en-US"/>
              </w:rPr>
            </w:pPr>
            <w:r>
              <w:rPr>
                <w:rFonts w:ascii="Arial Narrow" w:hAnsi="Arial Narrow" w:cs="Arial"/>
                <w:b/>
                <w:bCs/>
                <w:sz w:val="18"/>
                <w:szCs w:val="18"/>
                <w:lang w:val="en-US"/>
              </w:rPr>
              <w:t>M</w:t>
            </w:r>
            <w:r w:rsidRPr="00B5282C">
              <w:rPr>
                <w:rFonts w:ascii="Arial Narrow" w:hAnsi="Arial Narrow" w:cs="Arial"/>
                <w:b/>
                <w:bCs/>
                <w:sz w:val="18"/>
                <w:szCs w:val="18"/>
                <w:lang w:val="en-US"/>
              </w:rPr>
              <w:t>onth on same month</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a year ago</w:t>
            </w:r>
          </w:p>
        </w:tc>
      </w:tr>
      <w:tr w:rsidR="00550724" w:rsidRPr="00292D7C" w:rsidTr="008E35B2">
        <w:trPr>
          <w:trHeight w:val="227"/>
          <w:jc w:val="center"/>
        </w:trPr>
        <w:tc>
          <w:tcPr>
            <w:tcW w:w="4820" w:type="dxa"/>
            <w:vMerge/>
            <w:vAlign w:val="center"/>
          </w:tcPr>
          <w:p w:rsidR="00550724" w:rsidRDefault="00550724" w:rsidP="008E35B2">
            <w:pPr>
              <w:spacing w:before="40" w:after="20"/>
              <w:ind w:left="-57"/>
              <w:rPr>
                <w:rFonts w:ascii="Arial Narrow" w:hAnsi="Arial Narrow" w:cs="Arial"/>
                <w:b/>
                <w:bCs/>
                <w:sz w:val="18"/>
                <w:szCs w:val="18"/>
                <w:lang w:val="en-US"/>
              </w:rPr>
            </w:pPr>
          </w:p>
        </w:tc>
        <w:tc>
          <w:tcPr>
            <w:tcW w:w="850" w:type="dxa"/>
            <w:vMerge/>
            <w:shd w:val="clear" w:color="auto" w:fill="D9D9D9" w:themeFill="background1" w:themeFillShade="D9"/>
            <w:tcMar>
              <w:left w:w="85" w:type="dxa"/>
              <w:right w:w="57" w:type="dxa"/>
            </w:tcMar>
            <w:vAlign w:val="center"/>
          </w:tcPr>
          <w:p w:rsidR="00550724" w:rsidRPr="001855B7" w:rsidRDefault="00550724" w:rsidP="008E35B2">
            <w:pPr>
              <w:spacing w:before="40" w:after="20"/>
              <w:jc w:val="right"/>
              <w:rPr>
                <w:rFonts w:ascii="Arial Narrow" w:hAnsi="Arial Narrow" w:cs="Arial"/>
                <w:b/>
                <w:bCs/>
                <w:sz w:val="18"/>
                <w:szCs w:val="18"/>
                <w:lang w:val="en-US"/>
              </w:rPr>
            </w:pPr>
          </w:p>
        </w:tc>
        <w:tc>
          <w:tcPr>
            <w:tcW w:w="851" w:type="dxa"/>
            <w:vMerge/>
            <w:shd w:val="clear" w:color="auto" w:fill="auto"/>
            <w:vAlign w:val="center"/>
          </w:tcPr>
          <w:p w:rsidR="00550724" w:rsidRPr="001855B7" w:rsidRDefault="00550724" w:rsidP="008E35B2">
            <w:pPr>
              <w:tabs>
                <w:tab w:val="left" w:pos="5093"/>
              </w:tabs>
              <w:spacing w:before="40" w:after="20"/>
              <w:ind w:right="57"/>
              <w:jc w:val="center"/>
              <w:rPr>
                <w:rFonts w:ascii="Arial Narrow" w:hAnsi="Arial Narrow" w:cs="Arial"/>
                <w:b/>
                <w:bCs/>
                <w:sz w:val="18"/>
                <w:szCs w:val="18"/>
                <w:lang w:val="en-GB"/>
              </w:rPr>
            </w:pPr>
          </w:p>
        </w:tc>
        <w:tc>
          <w:tcPr>
            <w:tcW w:w="990" w:type="dxa"/>
            <w:vAlign w:val="center"/>
          </w:tcPr>
          <w:p w:rsidR="00550724" w:rsidRPr="00E709A6" w:rsidRDefault="0017763D" w:rsidP="008E35B2">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550724">
              <w:rPr>
                <w:rFonts w:ascii="Arial Narrow" w:hAnsi="Arial Narrow" w:cs="Arial"/>
                <w:bCs/>
                <w:snapToGrid w:val="0"/>
                <w:sz w:val="18"/>
                <w:szCs w:val="18"/>
                <w:u w:val="single"/>
                <w:lang w:val="en-US"/>
              </w:rPr>
              <w:t>-2</w:t>
            </w:r>
            <w:r w:rsidR="008E35B2">
              <w:rPr>
                <w:rFonts w:ascii="Arial Narrow" w:hAnsi="Arial Narrow" w:cs="Arial"/>
                <w:bCs/>
                <w:snapToGrid w:val="0"/>
                <w:sz w:val="18"/>
                <w:szCs w:val="18"/>
                <w:u w:val="single"/>
                <w:lang w:val="en-US"/>
              </w:rPr>
              <w:t>4</w:t>
            </w:r>
          </w:p>
          <w:p w:rsidR="00550724" w:rsidRPr="00E709A6" w:rsidRDefault="0017763D" w:rsidP="00A9729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550724" w:rsidRPr="00E709A6">
              <w:rPr>
                <w:rFonts w:ascii="Arial Narrow" w:hAnsi="Arial Narrow" w:cs="Arial"/>
                <w:bCs/>
                <w:snapToGrid w:val="0"/>
                <w:sz w:val="18"/>
                <w:szCs w:val="18"/>
                <w:lang w:val="en-US"/>
              </w:rPr>
              <w:t>-</w:t>
            </w:r>
            <w:r w:rsidR="00550724">
              <w:rPr>
                <w:rFonts w:ascii="Arial Narrow" w:hAnsi="Arial Narrow" w:cs="Arial"/>
                <w:bCs/>
                <w:snapToGrid w:val="0"/>
                <w:sz w:val="18"/>
                <w:szCs w:val="18"/>
                <w:lang w:val="en-US"/>
              </w:rPr>
              <w:t>2</w:t>
            </w:r>
            <w:r w:rsidR="00A97295">
              <w:rPr>
                <w:rFonts w:ascii="Arial Narrow" w:hAnsi="Arial Narrow" w:cs="Arial"/>
                <w:bCs/>
                <w:snapToGrid w:val="0"/>
                <w:sz w:val="18"/>
                <w:szCs w:val="18"/>
                <w:lang w:val="en-US"/>
              </w:rPr>
              <w:t>4</w:t>
            </w:r>
          </w:p>
        </w:tc>
        <w:tc>
          <w:tcPr>
            <w:tcW w:w="853" w:type="dxa"/>
            <w:vAlign w:val="center"/>
          </w:tcPr>
          <w:p w:rsidR="00550724" w:rsidRPr="00E709A6" w:rsidRDefault="0017763D" w:rsidP="008E35B2">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550724">
              <w:rPr>
                <w:rFonts w:ascii="Arial Narrow" w:hAnsi="Arial Narrow" w:cs="Arial"/>
                <w:bCs/>
                <w:snapToGrid w:val="0"/>
                <w:sz w:val="18"/>
                <w:szCs w:val="18"/>
                <w:u w:val="single"/>
                <w:lang w:val="en-US"/>
              </w:rPr>
              <w:t>-2</w:t>
            </w:r>
            <w:r w:rsidR="008E35B2">
              <w:rPr>
                <w:rFonts w:ascii="Arial Narrow" w:hAnsi="Arial Narrow" w:cs="Arial"/>
                <w:bCs/>
                <w:snapToGrid w:val="0"/>
                <w:sz w:val="18"/>
                <w:szCs w:val="18"/>
                <w:u w:val="single"/>
                <w:lang w:val="en-US"/>
              </w:rPr>
              <w:t>3</w:t>
            </w:r>
          </w:p>
          <w:p w:rsidR="00550724" w:rsidRPr="00E709A6" w:rsidRDefault="0017763D" w:rsidP="00A9729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550724" w:rsidRPr="00E709A6">
              <w:rPr>
                <w:rFonts w:ascii="Arial Narrow" w:hAnsi="Arial Narrow" w:cs="Arial"/>
                <w:bCs/>
                <w:snapToGrid w:val="0"/>
                <w:sz w:val="18"/>
                <w:szCs w:val="18"/>
                <w:lang w:val="en-US"/>
              </w:rPr>
              <w:t>-</w:t>
            </w:r>
            <w:r w:rsidR="00550724">
              <w:rPr>
                <w:rFonts w:ascii="Arial Narrow" w:hAnsi="Arial Narrow" w:cs="Arial"/>
                <w:bCs/>
                <w:snapToGrid w:val="0"/>
                <w:sz w:val="18"/>
                <w:szCs w:val="18"/>
                <w:lang w:val="en-US"/>
              </w:rPr>
              <w:t>2</w:t>
            </w:r>
            <w:r w:rsidR="00A97295">
              <w:rPr>
                <w:rFonts w:ascii="Arial Narrow" w:hAnsi="Arial Narrow" w:cs="Arial"/>
                <w:bCs/>
                <w:snapToGrid w:val="0"/>
                <w:sz w:val="18"/>
                <w:szCs w:val="18"/>
                <w:lang w:val="en-US"/>
              </w:rPr>
              <w:t>3</w:t>
            </w:r>
          </w:p>
        </w:tc>
        <w:tc>
          <w:tcPr>
            <w:tcW w:w="990" w:type="dxa"/>
            <w:vAlign w:val="center"/>
          </w:tcPr>
          <w:p w:rsidR="00550724" w:rsidRPr="00E709A6" w:rsidRDefault="0017763D" w:rsidP="008E35B2">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550724">
              <w:rPr>
                <w:rFonts w:ascii="Arial Narrow" w:hAnsi="Arial Narrow" w:cs="Arial"/>
                <w:bCs/>
                <w:snapToGrid w:val="0"/>
                <w:sz w:val="18"/>
                <w:szCs w:val="18"/>
                <w:u w:val="single"/>
                <w:lang w:val="en-US"/>
              </w:rPr>
              <w:t>-2</w:t>
            </w:r>
            <w:r w:rsidR="008E35B2">
              <w:rPr>
                <w:rFonts w:ascii="Arial Narrow" w:hAnsi="Arial Narrow" w:cs="Arial"/>
                <w:bCs/>
                <w:snapToGrid w:val="0"/>
                <w:sz w:val="18"/>
                <w:szCs w:val="18"/>
                <w:u w:val="single"/>
                <w:lang w:val="en-US"/>
              </w:rPr>
              <w:t>4</w:t>
            </w:r>
          </w:p>
          <w:p w:rsidR="00550724" w:rsidRPr="00E709A6" w:rsidRDefault="0017763D" w:rsidP="008E35B2">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Jul</w:t>
            </w:r>
            <w:r w:rsidR="00F2174C">
              <w:rPr>
                <w:rFonts w:ascii="Arial Narrow" w:hAnsi="Arial Narrow" w:cs="Arial"/>
                <w:bCs/>
                <w:snapToGrid w:val="0"/>
                <w:sz w:val="18"/>
                <w:szCs w:val="18"/>
                <w:lang w:val="en-US"/>
              </w:rPr>
              <w:t>-</w:t>
            </w:r>
            <w:r w:rsidR="00550724">
              <w:rPr>
                <w:rFonts w:ascii="Arial Narrow" w:hAnsi="Arial Narrow" w:cs="Arial"/>
                <w:bCs/>
                <w:snapToGrid w:val="0"/>
                <w:sz w:val="18"/>
                <w:szCs w:val="18"/>
                <w:lang w:val="en-US"/>
              </w:rPr>
              <w:t>2</w:t>
            </w:r>
            <w:r w:rsidR="008E35B2">
              <w:rPr>
                <w:rFonts w:ascii="Arial Narrow" w:hAnsi="Arial Narrow" w:cs="Arial"/>
                <w:bCs/>
                <w:snapToGrid w:val="0"/>
                <w:sz w:val="18"/>
                <w:szCs w:val="18"/>
                <w:lang w:val="en-US"/>
              </w:rPr>
              <w:t>3</w:t>
            </w:r>
          </w:p>
        </w:tc>
        <w:tc>
          <w:tcPr>
            <w:tcW w:w="994" w:type="dxa"/>
            <w:vAlign w:val="center"/>
          </w:tcPr>
          <w:p w:rsidR="00550724" w:rsidRPr="00E709A6" w:rsidRDefault="0017763D" w:rsidP="008E35B2">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Jun</w:t>
            </w:r>
            <w:r w:rsidR="00550724">
              <w:rPr>
                <w:rFonts w:ascii="Arial Narrow" w:hAnsi="Arial Narrow" w:cs="Arial"/>
                <w:bCs/>
                <w:snapToGrid w:val="0"/>
                <w:sz w:val="18"/>
                <w:szCs w:val="18"/>
                <w:u w:val="single"/>
                <w:lang w:val="en-US"/>
              </w:rPr>
              <w:t>-2</w:t>
            </w:r>
            <w:r w:rsidR="00A97295">
              <w:rPr>
                <w:rFonts w:ascii="Arial Narrow" w:hAnsi="Arial Narrow" w:cs="Arial"/>
                <w:bCs/>
                <w:snapToGrid w:val="0"/>
                <w:sz w:val="18"/>
                <w:szCs w:val="18"/>
                <w:u w:val="single"/>
                <w:lang w:val="en-US"/>
              </w:rPr>
              <w:t>4</w:t>
            </w:r>
          </w:p>
          <w:p w:rsidR="00550724" w:rsidRPr="00A31C16" w:rsidRDefault="0017763D" w:rsidP="00A97295">
            <w:pPr>
              <w:tabs>
                <w:tab w:val="left" w:pos="5093"/>
              </w:tabs>
              <w:spacing w:before="40" w:after="20"/>
              <w:ind w:left="57"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550724">
              <w:rPr>
                <w:rFonts w:ascii="Arial Narrow" w:hAnsi="Arial Narrow" w:cs="Arial"/>
                <w:bCs/>
                <w:snapToGrid w:val="0"/>
                <w:sz w:val="18"/>
                <w:szCs w:val="18"/>
                <w:lang w:val="en-US"/>
              </w:rPr>
              <w:t>-2</w:t>
            </w:r>
            <w:r w:rsidR="00A97295">
              <w:rPr>
                <w:rFonts w:ascii="Arial Narrow" w:hAnsi="Arial Narrow" w:cs="Arial"/>
                <w:bCs/>
                <w:snapToGrid w:val="0"/>
                <w:sz w:val="18"/>
                <w:szCs w:val="18"/>
                <w:lang w:val="en-US"/>
              </w:rPr>
              <w:t>3</w:t>
            </w:r>
          </w:p>
        </w:tc>
      </w:tr>
      <w:tr w:rsidR="00127A69" w:rsidRPr="00DF6A3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Food and non-alcoholic beverages</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171,945</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129.8</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-0.3</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0.0</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+1.1</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+1.4</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Alcoholic beverages, tobacco</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29,033</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118.4</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+0.1</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-0.3</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+2.5</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+2.2</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Clothing and footwear</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59,553</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108.6</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-0.1</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-0.1</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+1.0</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+1.0</w:t>
            </w:r>
          </w:p>
        </w:tc>
      </w:tr>
      <w:tr w:rsidR="00127A69" w:rsidRPr="00DF6A3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Housing, water, electricity, gas and other fuels</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112,550</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142.3</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+2.8</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-1.4</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-2.3</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-6.2</w:t>
            </w:r>
          </w:p>
        </w:tc>
      </w:tr>
      <w:tr w:rsidR="00127A69" w:rsidRPr="00DF6A3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Furnishings, household equipment and routine household maintenance</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69,621</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114.7</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-0.1</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+0.2</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+0.3</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+0.5</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Health</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82,746</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106.9</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0.0</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+0.1</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+1.5</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+1.6</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Transport</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147,401</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125.0</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+0.5</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+0.5</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+1.5</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+1.6</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Communication</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21,835</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73.3</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-0.7</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-0.9</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-5.4</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-5.6</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Recreation and culture</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81,071</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109.2</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+1.1</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+0.2</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+2.2</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+1.2</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Education</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8,932</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83.7</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0.0</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0.0</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+1.8</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+1.8</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Restaurants and hotels</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117,950</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129.7</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+0.5</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+0.4</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+4.3</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+4.2</w:t>
            </w:r>
          </w:p>
        </w:tc>
      </w:tr>
      <w:tr w:rsidR="00127A69" w:rsidRPr="00901474" w:rsidTr="00C32AEA">
        <w:trPr>
          <w:trHeight w:val="255"/>
          <w:jc w:val="center"/>
        </w:trPr>
        <w:tc>
          <w:tcPr>
            <w:tcW w:w="4820" w:type="dxa"/>
            <w:vAlign w:val="center"/>
          </w:tcPr>
          <w:p w:rsidR="00127A69" w:rsidRPr="005169F8" w:rsidRDefault="00127A69" w:rsidP="00127A69">
            <w:pPr>
              <w:spacing w:before="40" w:after="20"/>
              <w:rPr>
                <w:rFonts w:ascii="Arial Narrow" w:hAnsi="Arial Narrow" w:cs="Arial"/>
                <w:sz w:val="18"/>
                <w:szCs w:val="18"/>
                <w:lang w:val="en-GB"/>
              </w:rPr>
            </w:pPr>
            <w:r w:rsidRPr="005169F8">
              <w:rPr>
                <w:rFonts w:ascii="Arial Narrow" w:hAnsi="Arial Narrow" w:cs="Arial"/>
                <w:sz w:val="18"/>
                <w:szCs w:val="18"/>
                <w:lang w:val="en-GB"/>
              </w:rPr>
              <w:t>Miscellaneous goods and services</w:t>
            </w:r>
          </w:p>
        </w:tc>
        <w:tc>
          <w:tcPr>
            <w:tcW w:w="850" w:type="dxa"/>
            <w:shd w:val="clear" w:color="auto" w:fill="D9D9D9"/>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sz w:val="18"/>
                <w:szCs w:val="18"/>
                <w:lang w:val="en-GB"/>
              </w:rPr>
              <w:t>97,363</w:t>
            </w:r>
          </w:p>
        </w:tc>
        <w:tc>
          <w:tcPr>
            <w:tcW w:w="851" w:type="dxa"/>
            <w:shd w:val="clear" w:color="auto" w:fill="auto"/>
            <w:vAlign w:val="bottom"/>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117.7</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+0.1</w:t>
            </w:r>
          </w:p>
        </w:tc>
        <w:tc>
          <w:tcPr>
            <w:tcW w:w="853" w:type="dxa"/>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+0.3</w:t>
            </w:r>
          </w:p>
        </w:tc>
        <w:tc>
          <w:tcPr>
            <w:tcW w:w="990" w:type="dxa"/>
            <w:shd w:val="clear" w:color="auto" w:fill="D9D9D9"/>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+2.3</w:t>
            </w:r>
          </w:p>
        </w:tc>
        <w:tc>
          <w:tcPr>
            <w:tcW w:w="994" w:type="dxa"/>
            <w:tcMar>
              <w:right w:w="68" w:type="dxa"/>
            </w:tcMar>
            <w:vAlign w:val="center"/>
          </w:tcPr>
          <w:p w:rsidR="00127A69" w:rsidRPr="00127A69" w:rsidRDefault="00127A69" w:rsidP="00127A69">
            <w:pPr>
              <w:spacing w:before="40" w:after="20"/>
              <w:ind w:right="57"/>
              <w:jc w:val="right"/>
              <w:rPr>
                <w:rFonts w:ascii="Arial Narrow" w:hAnsi="Arial Narrow" w:cs="Arial"/>
                <w:sz w:val="18"/>
                <w:szCs w:val="18"/>
                <w:lang w:val="en-GB"/>
              </w:rPr>
            </w:pPr>
            <w:r w:rsidRPr="00127A69">
              <w:rPr>
                <w:rFonts w:ascii="Arial Narrow" w:hAnsi="Arial Narrow" w:cs="Arial"/>
                <w:sz w:val="18"/>
                <w:szCs w:val="18"/>
                <w:lang w:val="en-GB"/>
              </w:rPr>
              <w:t>+2.6</w:t>
            </w:r>
          </w:p>
        </w:tc>
      </w:tr>
      <w:tr w:rsidR="00127A69" w:rsidRPr="00901474" w:rsidTr="00C32AEA">
        <w:trPr>
          <w:trHeight w:val="255"/>
          <w:jc w:val="center"/>
        </w:trPr>
        <w:tc>
          <w:tcPr>
            <w:tcW w:w="4820" w:type="dxa"/>
            <w:shd w:val="clear" w:color="auto" w:fill="E42618"/>
            <w:vAlign w:val="center"/>
          </w:tcPr>
          <w:p w:rsidR="00127A69" w:rsidRPr="005169F8" w:rsidRDefault="00127A69" w:rsidP="00127A69">
            <w:pPr>
              <w:spacing w:before="40" w:after="20"/>
              <w:rPr>
                <w:rFonts w:ascii="Arial Narrow" w:hAnsi="Arial Narrow" w:cs="Arial"/>
                <w:b/>
                <w:bCs/>
                <w:color w:val="FFFFFF"/>
                <w:sz w:val="18"/>
                <w:szCs w:val="18"/>
                <w:lang w:val="en-US"/>
              </w:rPr>
            </w:pPr>
            <w:r w:rsidRPr="005169F8">
              <w:rPr>
                <w:rFonts w:ascii="Arial Narrow" w:hAnsi="Arial Narrow" w:cs="Arial"/>
                <w:b/>
                <w:bCs/>
                <w:color w:val="FFFFFF"/>
                <w:sz w:val="18"/>
                <w:szCs w:val="18"/>
                <w:lang w:val="en-US"/>
              </w:rPr>
              <w:t>ALL ITEMS</w:t>
            </w:r>
          </w:p>
        </w:tc>
        <w:tc>
          <w:tcPr>
            <w:tcW w:w="850" w:type="dxa"/>
            <w:shd w:val="clear" w:color="auto" w:fill="E42618"/>
            <w:tcMar>
              <w:left w:w="85" w:type="dxa"/>
              <w:right w:w="28" w:type="dxa"/>
            </w:tcMar>
            <w:vAlign w:val="bottom"/>
          </w:tcPr>
          <w:p w:rsidR="00127A69" w:rsidRPr="0045683C" w:rsidRDefault="00127A69" w:rsidP="00127A69">
            <w:pPr>
              <w:spacing w:before="40" w:after="20"/>
              <w:ind w:right="57"/>
              <w:jc w:val="right"/>
              <w:rPr>
                <w:rFonts w:ascii="Arial Narrow" w:hAnsi="Arial Narrow" w:cs="Arial"/>
                <w:sz w:val="18"/>
                <w:szCs w:val="18"/>
                <w:lang w:val="en-GB"/>
              </w:rPr>
            </w:pPr>
            <w:r w:rsidRPr="0045683C">
              <w:rPr>
                <w:rFonts w:ascii="Arial Narrow" w:hAnsi="Arial Narrow" w:cs="Arial"/>
                <w:b/>
                <w:color w:val="FFFFFF" w:themeColor="background1"/>
                <w:sz w:val="18"/>
                <w:szCs w:val="18"/>
                <w:lang w:val="en-GB"/>
              </w:rPr>
              <w:t>1,000,000</w:t>
            </w:r>
          </w:p>
        </w:tc>
        <w:tc>
          <w:tcPr>
            <w:tcW w:w="851" w:type="dxa"/>
            <w:shd w:val="clear" w:color="auto" w:fill="E42618"/>
            <w:vAlign w:val="bottom"/>
          </w:tcPr>
          <w:p w:rsidR="00127A69" w:rsidRPr="00127A69" w:rsidRDefault="00127A69" w:rsidP="00127A69">
            <w:pPr>
              <w:spacing w:before="40" w:after="20"/>
              <w:ind w:right="57"/>
              <w:jc w:val="right"/>
              <w:rPr>
                <w:rFonts w:ascii="Arial Narrow" w:hAnsi="Arial Narrow" w:cs="Arial"/>
                <w:b/>
                <w:color w:val="FFFFFF" w:themeColor="background1"/>
                <w:sz w:val="18"/>
                <w:szCs w:val="18"/>
                <w:lang w:val="en-GB"/>
              </w:rPr>
            </w:pPr>
            <w:r w:rsidRPr="00127A69">
              <w:rPr>
                <w:rFonts w:ascii="Arial Narrow" w:hAnsi="Arial Narrow" w:cs="Arial"/>
                <w:b/>
                <w:color w:val="FFFFFF" w:themeColor="background1"/>
                <w:sz w:val="18"/>
                <w:szCs w:val="18"/>
                <w:lang w:val="en-GB"/>
              </w:rPr>
              <w:t>121.3</w:t>
            </w:r>
          </w:p>
        </w:tc>
        <w:tc>
          <w:tcPr>
            <w:tcW w:w="990" w:type="dxa"/>
            <w:shd w:val="clear" w:color="auto" w:fill="E42618"/>
            <w:vAlign w:val="center"/>
          </w:tcPr>
          <w:p w:rsidR="00127A69" w:rsidRPr="00127A69" w:rsidRDefault="00127A69" w:rsidP="00127A69">
            <w:pPr>
              <w:spacing w:before="40" w:after="20"/>
              <w:ind w:right="57"/>
              <w:jc w:val="right"/>
              <w:rPr>
                <w:rFonts w:ascii="Arial Narrow" w:hAnsi="Arial Narrow" w:cs="Arial"/>
                <w:b/>
                <w:color w:val="FFFFFF" w:themeColor="background1"/>
                <w:sz w:val="18"/>
                <w:szCs w:val="18"/>
                <w:lang w:val="en-GB"/>
              </w:rPr>
            </w:pPr>
            <w:r w:rsidRPr="00127A69">
              <w:rPr>
                <w:rFonts w:ascii="Arial Narrow" w:hAnsi="Arial Narrow" w:cs="Arial"/>
                <w:b/>
                <w:color w:val="FFFFFF" w:themeColor="background1"/>
                <w:sz w:val="18"/>
                <w:szCs w:val="18"/>
                <w:lang w:val="en-GB"/>
              </w:rPr>
              <w:t>+0.5</w:t>
            </w:r>
          </w:p>
        </w:tc>
        <w:tc>
          <w:tcPr>
            <w:tcW w:w="853" w:type="dxa"/>
            <w:shd w:val="clear" w:color="auto" w:fill="E42618"/>
            <w:vAlign w:val="center"/>
          </w:tcPr>
          <w:p w:rsidR="00127A69" w:rsidRPr="00127A69" w:rsidRDefault="00127A69" w:rsidP="00127A69">
            <w:pPr>
              <w:spacing w:before="40" w:after="20"/>
              <w:ind w:right="57"/>
              <w:jc w:val="right"/>
              <w:rPr>
                <w:rFonts w:ascii="Arial Narrow" w:hAnsi="Arial Narrow" w:cs="Arial"/>
                <w:b/>
                <w:color w:val="FFFFFF" w:themeColor="background1"/>
                <w:sz w:val="18"/>
                <w:szCs w:val="18"/>
                <w:lang w:val="en-GB"/>
              </w:rPr>
            </w:pPr>
            <w:r w:rsidRPr="00127A69">
              <w:rPr>
                <w:rFonts w:ascii="Arial Narrow" w:hAnsi="Arial Narrow" w:cs="Arial"/>
                <w:b/>
                <w:color w:val="FFFFFF" w:themeColor="background1"/>
                <w:sz w:val="18"/>
                <w:szCs w:val="18"/>
                <w:lang w:val="en-GB"/>
              </w:rPr>
              <w:t>0.0</w:t>
            </w:r>
          </w:p>
        </w:tc>
        <w:tc>
          <w:tcPr>
            <w:tcW w:w="990" w:type="dxa"/>
            <w:shd w:val="clear" w:color="auto" w:fill="E42618"/>
            <w:vAlign w:val="center"/>
          </w:tcPr>
          <w:p w:rsidR="00127A69" w:rsidRPr="00127A69" w:rsidRDefault="00127A69" w:rsidP="00127A69">
            <w:pPr>
              <w:spacing w:before="40" w:after="20"/>
              <w:ind w:right="57"/>
              <w:jc w:val="right"/>
              <w:rPr>
                <w:rFonts w:ascii="Arial Narrow" w:hAnsi="Arial Narrow" w:cs="Arial"/>
                <w:b/>
                <w:color w:val="FFFFFF" w:themeColor="background1"/>
                <w:sz w:val="18"/>
                <w:szCs w:val="18"/>
                <w:lang w:val="en-GB"/>
              </w:rPr>
            </w:pPr>
            <w:r w:rsidRPr="00127A69">
              <w:rPr>
                <w:rFonts w:ascii="Arial Narrow" w:hAnsi="Arial Narrow" w:cs="Arial"/>
                <w:b/>
                <w:color w:val="FFFFFF" w:themeColor="background1"/>
                <w:sz w:val="18"/>
                <w:szCs w:val="18"/>
                <w:lang w:val="en-GB"/>
              </w:rPr>
              <w:t>+1.3</w:t>
            </w:r>
          </w:p>
        </w:tc>
        <w:tc>
          <w:tcPr>
            <w:tcW w:w="994" w:type="dxa"/>
            <w:shd w:val="clear" w:color="auto" w:fill="E42618"/>
            <w:tcMar>
              <w:right w:w="68" w:type="dxa"/>
            </w:tcMar>
            <w:vAlign w:val="center"/>
          </w:tcPr>
          <w:p w:rsidR="00127A69" w:rsidRPr="00127A69" w:rsidRDefault="00127A69" w:rsidP="00127A69">
            <w:pPr>
              <w:spacing w:before="40" w:after="20"/>
              <w:ind w:right="57"/>
              <w:jc w:val="right"/>
              <w:rPr>
                <w:rFonts w:ascii="Arial Narrow" w:hAnsi="Arial Narrow" w:cs="Arial"/>
                <w:b/>
                <w:color w:val="FFFFFF" w:themeColor="background1"/>
                <w:sz w:val="18"/>
                <w:szCs w:val="18"/>
                <w:lang w:val="en-GB"/>
              </w:rPr>
            </w:pPr>
            <w:r w:rsidRPr="00127A69">
              <w:rPr>
                <w:rFonts w:ascii="Arial Narrow" w:hAnsi="Arial Narrow" w:cs="Arial"/>
                <w:b/>
                <w:color w:val="FFFFFF" w:themeColor="background1"/>
                <w:sz w:val="18"/>
                <w:szCs w:val="18"/>
                <w:lang w:val="en-GB"/>
              </w:rPr>
              <w:t>+0.8</w:t>
            </w:r>
          </w:p>
        </w:tc>
      </w:tr>
    </w:tbl>
    <w:p w:rsidR="00571CB6" w:rsidRDefault="00571CB6" w:rsidP="00571CB6">
      <w:pPr>
        <w:spacing w:after="0"/>
        <w:jc w:val="both"/>
        <w:rPr>
          <w:rFonts w:ascii="Arial Narrow" w:hAnsi="Arial Narrow" w:cs="Arial"/>
          <w:b/>
          <w:bCs/>
          <w:color w:val="E42618"/>
          <w:sz w:val="22"/>
          <w:szCs w:val="22"/>
          <w:lang w:val="en-US"/>
        </w:rPr>
      </w:pPr>
    </w:p>
    <w:p w:rsidR="00E83F68" w:rsidRDefault="00E83F68" w:rsidP="00E83F68">
      <w:pPr>
        <w:spacing w:after="0"/>
        <w:jc w:val="both"/>
        <w:rPr>
          <w:rFonts w:ascii="Arial Narrow" w:hAnsi="Arial Narrow" w:cs="Arial"/>
          <w:b/>
          <w:bCs/>
          <w:color w:val="5F5F5F"/>
          <w:sz w:val="22"/>
          <w:szCs w:val="22"/>
          <w:lang w:val="en-US"/>
        </w:rPr>
      </w:pPr>
      <w:r>
        <w:rPr>
          <w:rFonts w:ascii="Arial Narrow" w:hAnsi="Arial Narrow" w:cs="Arial"/>
          <w:b/>
          <w:bCs/>
          <w:color w:val="E42618"/>
          <w:sz w:val="22"/>
          <w:szCs w:val="22"/>
          <w:lang w:val="en-US"/>
        </w:rPr>
        <w:t xml:space="preserve">CHART 2. </w:t>
      </w:r>
      <w:r w:rsidRPr="008D3000">
        <w:rPr>
          <w:rFonts w:ascii="Arial Narrow" w:hAnsi="Arial Narrow" w:cs="Arial"/>
          <w:b/>
          <w:bCs/>
          <w:color w:val="5F5F5F"/>
          <w:sz w:val="22"/>
          <w:szCs w:val="22"/>
          <w:lang w:val="en-US"/>
        </w:rPr>
        <w:t xml:space="preserve">ITALIAN </w:t>
      </w:r>
      <w:r>
        <w:rPr>
          <w:rFonts w:ascii="Arial Narrow" w:hAnsi="Arial Narrow" w:cs="Arial"/>
          <w:b/>
          <w:bCs/>
          <w:color w:val="5F5F5F"/>
          <w:sz w:val="22"/>
          <w:szCs w:val="22"/>
          <w:lang w:val="en-US"/>
        </w:rPr>
        <w:t>NATIONAL CONSUMER PRICE INDEX (NIC) BY COICOP DIVISION</w:t>
      </w:r>
    </w:p>
    <w:p w:rsidR="00E83F68" w:rsidRDefault="001C7BC9" w:rsidP="00E83F68">
      <w:pPr>
        <w:pStyle w:val="Default"/>
        <w:spacing w:after="100" w:line="230" w:lineRule="exact"/>
        <w:jc w:val="both"/>
        <w:rPr>
          <w:rFonts w:cs="Arial"/>
          <w:color w:val="5F5F5F"/>
          <w:sz w:val="20"/>
          <w:szCs w:val="20"/>
          <w:lang w:val="en-US"/>
        </w:rPr>
      </w:pPr>
      <w:r>
        <w:rPr>
          <w:rFonts w:cs="Arial"/>
          <w:color w:val="5F5F5F"/>
          <w:sz w:val="20"/>
          <w:szCs w:val="20"/>
          <w:lang w:val="en-US"/>
        </w:rPr>
        <w:t>July</w:t>
      </w:r>
      <w:r w:rsidR="008C3818" w:rsidRPr="008C3818">
        <w:rPr>
          <w:rFonts w:cs="Arial"/>
          <w:color w:val="5F5F5F"/>
          <w:sz w:val="20"/>
          <w:szCs w:val="20"/>
          <w:lang w:val="en-US"/>
        </w:rPr>
        <w:t xml:space="preserve"> 2024</w:t>
      </w:r>
      <w:r w:rsidR="00E83F68" w:rsidRPr="00841DB0">
        <w:rPr>
          <w:rFonts w:cs="Arial"/>
          <w:color w:val="5F5F5F"/>
          <w:sz w:val="20"/>
          <w:szCs w:val="20"/>
          <w:lang w:val="en-US"/>
        </w:rPr>
        <w:t>, m</w:t>
      </w:r>
      <w:r w:rsidR="00E83F68" w:rsidRPr="00B5282C">
        <w:rPr>
          <w:rFonts w:cs="Arial"/>
          <w:color w:val="5F5F5F"/>
          <w:sz w:val="20"/>
          <w:szCs w:val="20"/>
          <w:lang w:val="en-US"/>
        </w:rPr>
        <w:t>onth on same month a year ago percent</w:t>
      </w:r>
      <w:r w:rsidR="00E83F68">
        <w:rPr>
          <w:rFonts w:cs="Arial"/>
          <w:color w:val="5F5F5F"/>
          <w:sz w:val="20"/>
          <w:szCs w:val="20"/>
          <w:lang w:val="en-US"/>
        </w:rPr>
        <w:t>age</w:t>
      </w:r>
      <w:r w:rsidR="00E83F68" w:rsidRPr="00B5282C">
        <w:rPr>
          <w:rFonts w:cs="Arial"/>
          <w:color w:val="5F5F5F"/>
          <w:sz w:val="20"/>
          <w:szCs w:val="20"/>
          <w:lang w:val="en-US"/>
        </w:rPr>
        <w:t xml:space="preserve"> changes</w:t>
      </w:r>
      <w:r w:rsidR="00E83F68" w:rsidRPr="00841DB0">
        <w:rPr>
          <w:rFonts w:cs="Arial"/>
          <w:color w:val="5F5F5F"/>
          <w:sz w:val="20"/>
          <w:szCs w:val="20"/>
          <w:lang w:val="en-US"/>
        </w:rPr>
        <w:t xml:space="preserve"> (</w:t>
      </w:r>
      <w:r w:rsidR="00E83F68" w:rsidRPr="00E32989">
        <w:rPr>
          <w:rFonts w:cs="Arial"/>
          <w:color w:val="5F5F5F"/>
          <w:sz w:val="20"/>
          <w:szCs w:val="20"/>
          <w:lang w:val="en-US"/>
        </w:rPr>
        <w:t>index, 2015=100</w:t>
      </w:r>
      <w:r w:rsidR="00E83F68" w:rsidRPr="00841DB0">
        <w:rPr>
          <w:rFonts w:cs="Arial"/>
          <w:color w:val="5F5F5F"/>
          <w:sz w:val="20"/>
          <w:szCs w:val="20"/>
          <w:lang w:val="en-US"/>
        </w:rPr>
        <w:t>)</w:t>
      </w:r>
    </w:p>
    <w:p w:rsidR="005E147E" w:rsidRDefault="00127A69" w:rsidP="00401F4B">
      <w:pPr>
        <w:spacing w:before="0" w:after="120"/>
        <w:rPr>
          <w:rFonts w:ascii="Arial Narrow" w:hAnsi="Arial Narrow"/>
          <w:color w:val="5F5F5F"/>
          <w:spacing w:val="-8"/>
          <w:lang w:val="en-GB"/>
        </w:rPr>
      </w:pPr>
      <w:r>
        <w:rPr>
          <w:rFonts w:ascii="Arial Narrow" w:hAnsi="Arial Narrow"/>
          <w:noProof/>
          <w:color w:val="5F5F5F"/>
          <w:spacing w:val="-8"/>
        </w:rPr>
        <w:drawing>
          <wp:inline distT="0" distB="0" distL="0" distR="0" wp14:anchorId="3D3E161B">
            <wp:extent cx="6663690" cy="2164080"/>
            <wp:effectExtent l="0" t="0" r="3810" b="762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3690" cy="2164080"/>
                    </a:xfrm>
                    <a:prstGeom prst="rect">
                      <a:avLst/>
                    </a:prstGeom>
                    <a:noFill/>
                  </pic:spPr>
                </pic:pic>
              </a:graphicData>
            </a:graphic>
          </wp:inline>
        </w:drawing>
      </w:r>
    </w:p>
    <w:p w:rsidR="00E402B0" w:rsidRDefault="00401F4B" w:rsidP="00E402B0">
      <w:pPr>
        <w:pStyle w:val="Default"/>
        <w:spacing w:after="100" w:line="230" w:lineRule="exact"/>
        <w:jc w:val="both"/>
        <w:rPr>
          <w:sz w:val="16"/>
          <w:lang w:val="en-GB"/>
        </w:rPr>
      </w:pPr>
      <w:r w:rsidRPr="00060DAC">
        <w:rPr>
          <w:sz w:val="16"/>
          <w:lang w:val="en-GB"/>
        </w:rPr>
        <w:br w:type="page"/>
      </w:r>
    </w:p>
    <w:p w:rsidR="00571CB6" w:rsidRDefault="00571CB6" w:rsidP="00571CB6">
      <w:pPr>
        <w:pStyle w:val="Default"/>
        <w:spacing w:after="100" w:line="230" w:lineRule="exact"/>
        <w:jc w:val="both"/>
        <w:rPr>
          <w:rFonts w:cs="Arial"/>
          <w:b/>
          <w:bCs/>
          <w:color w:val="E42618"/>
          <w:sz w:val="22"/>
          <w:szCs w:val="22"/>
          <w:lang w:val="en-US"/>
        </w:rPr>
      </w:pPr>
    </w:p>
    <w:p w:rsidR="00571CB6" w:rsidRDefault="00571CB6" w:rsidP="00571CB6">
      <w:pPr>
        <w:pStyle w:val="Default"/>
        <w:spacing w:after="100" w:line="230" w:lineRule="exact"/>
        <w:jc w:val="both"/>
        <w:rPr>
          <w:rFonts w:cs="Arial"/>
          <w:color w:val="5F5F5F"/>
          <w:sz w:val="20"/>
          <w:szCs w:val="20"/>
          <w:lang w:val="en-US"/>
        </w:rPr>
      </w:pPr>
      <w:r w:rsidRPr="008D3000">
        <w:rPr>
          <w:rFonts w:cs="Arial"/>
          <w:b/>
          <w:bCs/>
          <w:color w:val="E42618"/>
          <w:sz w:val="22"/>
          <w:szCs w:val="22"/>
          <w:lang w:val="en-US"/>
        </w:rPr>
        <w:t xml:space="preserve">TABLE </w:t>
      </w:r>
      <w:r>
        <w:rPr>
          <w:rFonts w:cs="Arial"/>
          <w:b/>
          <w:bCs/>
          <w:color w:val="E42618"/>
          <w:sz w:val="22"/>
          <w:szCs w:val="22"/>
          <w:lang w:val="en-US"/>
        </w:rPr>
        <w:t>3</w:t>
      </w:r>
      <w:r w:rsidRPr="00DF2453">
        <w:rPr>
          <w:rFonts w:cs="Arial"/>
          <w:b/>
          <w:bCs/>
          <w:color w:val="E42618"/>
          <w:sz w:val="22"/>
          <w:szCs w:val="22"/>
          <w:lang w:val="en-US"/>
        </w:rPr>
        <w:t>.</w:t>
      </w:r>
      <w:r w:rsidRPr="00231667">
        <w:rPr>
          <w:rFonts w:cs="Arial"/>
          <w:b/>
          <w:bCs/>
          <w:color w:val="5F5F5F"/>
          <w:lang w:val="en-US"/>
        </w:rPr>
        <w:t xml:space="preserve"> </w:t>
      </w:r>
      <w:r w:rsidRPr="008D3000">
        <w:rPr>
          <w:rFonts w:cs="Arial"/>
          <w:b/>
          <w:bCs/>
          <w:color w:val="5F5F5F"/>
          <w:sz w:val="22"/>
          <w:szCs w:val="22"/>
          <w:lang w:val="en-US"/>
        </w:rPr>
        <w:t xml:space="preserve">ITALIAN CONSUMER PRICE INDEX FOR </w:t>
      </w:r>
      <w:r>
        <w:rPr>
          <w:rFonts w:cs="Arial"/>
          <w:b/>
          <w:bCs/>
          <w:color w:val="5F5F5F"/>
          <w:sz w:val="22"/>
          <w:szCs w:val="22"/>
          <w:lang w:val="en-US"/>
        </w:rPr>
        <w:t>THE WHOLE NATION (NIC), BY TYPE</w:t>
      </w:r>
      <w:r w:rsidRPr="008D3000">
        <w:rPr>
          <w:rFonts w:cs="Arial"/>
          <w:b/>
          <w:bCs/>
          <w:color w:val="5F5F5F"/>
          <w:sz w:val="22"/>
          <w:szCs w:val="22"/>
          <w:lang w:val="en-US"/>
        </w:rPr>
        <w:t xml:space="preserve"> OF PRODUCT</w:t>
      </w:r>
      <w:r>
        <w:rPr>
          <w:rFonts w:cs="Arial"/>
          <w:b/>
          <w:bCs/>
          <w:color w:val="5F5F5F"/>
          <w:sz w:val="22"/>
          <w:szCs w:val="22"/>
          <w:lang w:val="en-US"/>
        </w:rPr>
        <w:t>S</w:t>
      </w:r>
      <w:r>
        <w:rPr>
          <w:rFonts w:cs="Arial"/>
          <w:b/>
          <w:bCs/>
          <w:color w:val="5F5F5F"/>
          <w:lang w:val="en-US"/>
        </w:rPr>
        <w:br/>
      </w:r>
      <w:r w:rsidR="000B1D81">
        <w:rPr>
          <w:rFonts w:cs="Arial"/>
          <w:color w:val="5F5F5F"/>
          <w:sz w:val="20"/>
          <w:szCs w:val="20"/>
          <w:lang w:val="en-US"/>
        </w:rPr>
        <w:t>July</w:t>
      </w:r>
      <w:r w:rsidR="008C3818" w:rsidRPr="008C3818">
        <w:rPr>
          <w:rFonts w:cs="Arial"/>
          <w:color w:val="5F5F5F"/>
          <w:sz w:val="20"/>
          <w:szCs w:val="20"/>
          <w:lang w:val="en-US"/>
        </w:rPr>
        <w:t xml:space="preserve"> 2024</w:t>
      </w:r>
      <w:r w:rsidRPr="0030291D">
        <w:rPr>
          <w:rFonts w:cs="Arial"/>
          <w:color w:val="5F5F5F"/>
          <w:sz w:val="20"/>
          <w:szCs w:val="20"/>
          <w:lang w:val="en-US"/>
        </w:rPr>
        <w:t xml:space="preserve">, weights, indices, </w:t>
      </w:r>
      <w:r w:rsidRPr="00B5282C">
        <w:rPr>
          <w:rFonts w:cs="Arial"/>
          <w:color w:val="5F5F5F"/>
          <w:sz w:val="20"/>
          <w:szCs w:val="20"/>
          <w:lang w:val="en-US"/>
        </w:rPr>
        <w:t xml:space="preserve">month on previous month </w:t>
      </w:r>
      <w:r>
        <w:rPr>
          <w:rFonts w:cs="Arial"/>
          <w:color w:val="5F5F5F"/>
          <w:sz w:val="20"/>
          <w:szCs w:val="20"/>
          <w:lang w:val="en-US"/>
        </w:rPr>
        <w:t>and</w:t>
      </w:r>
      <w:r w:rsidRPr="00B5282C">
        <w:rPr>
          <w:rFonts w:cs="Arial"/>
          <w:color w:val="5F5F5F"/>
          <w:sz w:val="20"/>
          <w:szCs w:val="20"/>
          <w:lang w:val="en-US"/>
        </w:rPr>
        <w:t xml:space="preserve"> month on same month a year ago percent changes</w:t>
      </w:r>
      <w:r w:rsidRPr="0030291D">
        <w:rPr>
          <w:rFonts w:cs="Arial"/>
          <w:color w:val="5F5F5F"/>
          <w:sz w:val="20"/>
          <w:szCs w:val="20"/>
          <w:lang w:val="en-US"/>
        </w:rPr>
        <w:t xml:space="preserve"> (</w:t>
      </w:r>
      <w:r w:rsidRPr="00E32989">
        <w:rPr>
          <w:rFonts w:cs="Arial"/>
          <w:color w:val="5F5F5F"/>
          <w:sz w:val="20"/>
          <w:szCs w:val="20"/>
          <w:lang w:val="en-US"/>
        </w:rPr>
        <w:t>index, 2015=100</w:t>
      </w:r>
      <w:r w:rsidRPr="0030291D">
        <w:rPr>
          <w:rFonts w:cs="Arial"/>
          <w:color w:val="5F5F5F"/>
          <w:sz w:val="20"/>
          <w:szCs w:val="20"/>
          <w:lang w:val="en-US"/>
        </w:rPr>
        <w:t>)</w:t>
      </w:r>
    </w:p>
    <w:tbl>
      <w:tblPr>
        <w:tblW w:w="9981" w:type="dxa"/>
        <w:jc w:val="center"/>
        <w:tblBorders>
          <w:top w:val="single" w:sz="4" w:space="0" w:color="auto"/>
          <w:bottom w:val="single" w:sz="4" w:space="0" w:color="auto"/>
          <w:insideH w:val="single" w:sz="4" w:space="0" w:color="auto"/>
        </w:tblBorders>
        <w:tblLayout w:type="fixed"/>
        <w:tblCellMar>
          <w:left w:w="70" w:type="dxa"/>
          <w:right w:w="0" w:type="dxa"/>
        </w:tblCellMar>
        <w:tblLook w:val="0000" w:firstRow="0" w:lastRow="0" w:firstColumn="0" w:lastColumn="0" w:noHBand="0" w:noVBand="0"/>
      </w:tblPr>
      <w:tblGrid>
        <w:gridCol w:w="4343"/>
        <w:gridCol w:w="1097"/>
        <w:gridCol w:w="973"/>
        <w:gridCol w:w="923"/>
        <w:gridCol w:w="837"/>
        <w:gridCol w:w="49"/>
        <w:gridCol w:w="871"/>
        <w:gridCol w:w="882"/>
        <w:gridCol w:w="6"/>
      </w:tblGrid>
      <w:tr w:rsidR="00550724" w:rsidRPr="00C8186C" w:rsidTr="008E35B2">
        <w:trPr>
          <w:gridAfter w:val="1"/>
          <w:wAfter w:w="6" w:type="dxa"/>
          <w:trHeight w:val="135"/>
          <w:jc w:val="center"/>
        </w:trPr>
        <w:tc>
          <w:tcPr>
            <w:tcW w:w="4343" w:type="dxa"/>
            <w:vMerge w:val="restart"/>
            <w:vAlign w:val="center"/>
          </w:tcPr>
          <w:p w:rsidR="00550724" w:rsidRPr="00C312C6" w:rsidRDefault="00550724" w:rsidP="008E35B2">
            <w:pPr>
              <w:spacing w:before="40" w:after="20"/>
              <w:rPr>
                <w:rFonts w:ascii="Arial Narrow" w:hAnsi="Arial Narrow" w:cs="Arial"/>
                <w:b/>
                <w:bCs/>
                <w:szCs w:val="18"/>
                <w:lang w:val="en-GB"/>
              </w:rPr>
            </w:pPr>
            <w:r>
              <w:rPr>
                <w:rFonts w:ascii="Arial Narrow" w:hAnsi="Arial Narrow" w:cs="Arial"/>
                <w:b/>
                <w:sz w:val="18"/>
                <w:szCs w:val="16"/>
                <w:lang w:val="en-GB"/>
              </w:rPr>
              <w:t>SPECIAL AGGREGATES</w:t>
            </w:r>
          </w:p>
        </w:tc>
        <w:tc>
          <w:tcPr>
            <w:tcW w:w="1097" w:type="dxa"/>
            <w:vMerge w:val="restart"/>
            <w:shd w:val="clear" w:color="auto" w:fill="D9D9D9" w:themeFill="background1" w:themeFillShade="D9"/>
            <w:vAlign w:val="center"/>
          </w:tcPr>
          <w:p w:rsidR="00550724" w:rsidRPr="00C312C6" w:rsidRDefault="00550724" w:rsidP="008E35B2">
            <w:pPr>
              <w:spacing w:before="40" w:after="20"/>
              <w:ind w:right="57"/>
              <w:jc w:val="right"/>
              <w:rPr>
                <w:rFonts w:ascii="Arial Narrow" w:hAnsi="Arial Narrow" w:cs="Arial"/>
                <w:b/>
                <w:bCs/>
                <w:sz w:val="18"/>
                <w:szCs w:val="18"/>
                <w:highlight w:val="yellow"/>
                <w:lang w:val="en-GB"/>
              </w:rPr>
            </w:pPr>
            <w:r w:rsidRPr="00C178DE">
              <w:rPr>
                <w:rFonts w:ascii="Arial Narrow" w:hAnsi="Arial Narrow" w:cs="Arial"/>
                <w:b/>
                <w:bCs/>
                <w:sz w:val="18"/>
                <w:szCs w:val="18"/>
                <w:lang w:val="en-GB"/>
              </w:rPr>
              <w:t>Weights</w:t>
            </w:r>
          </w:p>
        </w:tc>
        <w:tc>
          <w:tcPr>
            <w:tcW w:w="973" w:type="dxa"/>
            <w:vMerge w:val="restart"/>
            <w:shd w:val="clear" w:color="auto" w:fill="FFFFFF"/>
            <w:vAlign w:val="center"/>
          </w:tcPr>
          <w:p w:rsidR="00550724" w:rsidRPr="00C312C6" w:rsidRDefault="00550724" w:rsidP="008E35B2">
            <w:pPr>
              <w:tabs>
                <w:tab w:val="left" w:pos="5093"/>
              </w:tabs>
              <w:spacing w:before="40" w:after="20"/>
              <w:ind w:right="57"/>
              <w:jc w:val="right"/>
              <w:rPr>
                <w:rFonts w:ascii="Arial Narrow" w:hAnsi="Arial Narrow" w:cs="Arial"/>
                <w:b/>
                <w:bCs/>
                <w:snapToGrid w:val="0"/>
                <w:sz w:val="18"/>
                <w:szCs w:val="18"/>
                <w:highlight w:val="yellow"/>
                <w:u w:val="single"/>
                <w:lang w:val="en-GB"/>
              </w:rPr>
            </w:pPr>
            <w:r w:rsidRPr="00C178DE">
              <w:rPr>
                <w:rFonts w:ascii="Arial Narrow" w:hAnsi="Arial Narrow" w:cs="Arial"/>
                <w:b/>
                <w:bCs/>
                <w:sz w:val="18"/>
                <w:szCs w:val="18"/>
                <w:lang w:val="en-GB"/>
              </w:rPr>
              <w:t>Indices</w:t>
            </w:r>
          </w:p>
        </w:tc>
        <w:tc>
          <w:tcPr>
            <w:tcW w:w="1809" w:type="dxa"/>
            <w:gridSpan w:val="3"/>
            <w:shd w:val="clear" w:color="auto" w:fill="D9D9D9"/>
            <w:tcMar>
              <w:right w:w="113" w:type="dxa"/>
            </w:tcMar>
            <w:vAlign w:val="center"/>
          </w:tcPr>
          <w:p w:rsidR="00550724" w:rsidRDefault="00550724" w:rsidP="008E35B2">
            <w:pPr>
              <w:tabs>
                <w:tab w:val="left" w:pos="0"/>
                <w:tab w:val="left" w:pos="5093"/>
              </w:tabs>
              <w:spacing w:before="40" w:after="20"/>
              <w:jc w:val="center"/>
              <w:rPr>
                <w:rFonts w:ascii="Arial Narrow" w:hAnsi="Arial Narrow" w:cs="Arial"/>
                <w:b/>
                <w:bCs/>
                <w:sz w:val="18"/>
                <w:szCs w:val="18"/>
                <w:lang w:val="en-US"/>
              </w:rPr>
            </w:pPr>
            <w:r w:rsidRPr="00B5282C">
              <w:rPr>
                <w:rFonts w:ascii="Arial Narrow" w:hAnsi="Arial Narrow" w:cs="Arial"/>
                <w:b/>
                <w:bCs/>
                <w:sz w:val="18"/>
                <w:szCs w:val="18"/>
                <w:lang w:val="en-US"/>
              </w:rPr>
              <w:t xml:space="preserve">Month on </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previous month</w:t>
            </w:r>
          </w:p>
        </w:tc>
        <w:tc>
          <w:tcPr>
            <w:tcW w:w="1753" w:type="dxa"/>
            <w:gridSpan w:val="2"/>
            <w:vAlign w:val="center"/>
          </w:tcPr>
          <w:p w:rsidR="00550724" w:rsidRDefault="00550724" w:rsidP="008E35B2">
            <w:pPr>
              <w:tabs>
                <w:tab w:val="left" w:pos="5093"/>
              </w:tabs>
              <w:spacing w:before="40" w:after="20"/>
              <w:jc w:val="center"/>
              <w:rPr>
                <w:rFonts w:ascii="Arial Narrow" w:hAnsi="Arial Narrow" w:cs="Arial"/>
                <w:b/>
                <w:bCs/>
                <w:sz w:val="18"/>
                <w:szCs w:val="18"/>
                <w:lang w:val="en-US"/>
              </w:rPr>
            </w:pPr>
            <w:r>
              <w:rPr>
                <w:rFonts w:ascii="Arial Narrow" w:hAnsi="Arial Narrow" w:cs="Arial"/>
                <w:b/>
                <w:bCs/>
                <w:sz w:val="18"/>
                <w:szCs w:val="18"/>
                <w:lang w:val="en-US"/>
              </w:rPr>
              <w:t>M</w:t>
            </w:r>
            <w:r w:rsidRPr="00B5282C">
              <w:rPr>
                <w:rFonts w:ascii="Arial Narrow" w:hAnsi="Arial Narrow" w:cs="Arial"/>
                <w:b/>
                <w:bCs/>
                <w:sz w:val="18"/>
                <w:szCs w:val="18"/>
                <w:lang w:val="en-US"/>
              </w:rPr>
              <w:t>onth on same month</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a year ago</w:t>
            </w:r>
          </w:p>
        </w:tc>
      </w:tr>
      <w:tr w:rsidR="00174211" w:rsidRPr="00C312C6" w:rsidTr="008E35B2">
        <w:trPr>
          <w:gridAfter w:val="1"/>
          <w:wAfter w:w="6" w:type="dxa"/>
          <w:trHeight w:val="135"/>
          <w:jc w:val="center"/>
        </w:trPr>
        <w:tc>
          <w:tcPr>
            <w:tcW w:w="4343" w:type="dxa"/>
            <w:vMerge/>
            <w:vAlign w:val="center"/>
          </w:tcPr>
          <w:p w:rsidR="00174211" w:rsidRDefault="00174211" w:rsidP="00174211">
            <w:pPr>
              <w:spacing w:before="40" w:after="20"/>
              <w:rPr>
                <w:rFonts w:ascii="Arial Narrow" w:hAnsi="Arial Narrow" w:cs="Arial"/>
                <w:b/>
                <w:sz w:val="18"/>
                <w:szCs w:val="16"/>
                <w:lang w:val="en-GB"/>
              </w:rPr>
            </w:pPr>
          </w:p>
        </w:tc>
        <w:tc>
          <w:tcPr>
            <w:tcW w:w="1097" w:type="dxa"/>
            <w:vMerge/>
            <w:shd w:val="clear" w:color="auto" w:fill="D9D9D9" w:themeFill="background1" w:themeFillShade="D9"/>
            <w:vAlign w:val="center"/>
          </w:tcPr>
          <w:p w:rsidR="00174211" w:rsidRPr="00C178DE" w:rsidRDefault="00174211" w:rsidP="00174211">
            <w:pPr>
              <w:spacing w:before="40" w:after="20"/>
              <w:ind w:right="57"/>
              <w:jc w:val="right"/>
              <w:rPr>
                <w:rFonts w:ascii="Arial Narrow" w:hAnsi="Arial Narrow" w:cs="Arial"/>
                <w:b/>
                <w:bCs/>
                <w:sz w:val="18"/>
                <w:szCs w:val="18"/>
                <w:lang w:val="en-GB"/>
              </w:rPr>
            </w:pPr>
          </w:p>
        </w:tc>
        <w:tc>
          <w:tcPr>
            <w:tcW w:w="973" w:type="dxa"/>
            <w:vMerge/>
            <w:shd w:val="clear" w:color="auto" w:fill="FFFFFF"/>
            <w:vAlign w:val="center"/>
          </w:tcPr>
          <w:p w:rsidR="00174211" w:rsidRPr="00C178DE" w:rsidRDefault="00174211" w:rsidP="00174211">
            <w:pPr>
              <w:tabs>
                <w:tab w:val="left" w:pos="5093"/>
              </w:tabs>
              <w:spacing w:before="40" w:after="20"/>
              <w:ind w:right="57"/>
              <w:jc w:val="right"/>
              <w:rPr>
                <w:rFonts w:ascii="Arial Narrow" w:hAnsi="Arial Narrow" w:cs="Arial"/>
                <w:b/>
                <w:bCs/>
                <w:sz w:val="18"/>
                <w:szCs w:val="18"/>
                <w:lang w:val="en-GB"/>
              </w:rPr>
            </w:pPr>
          </w:p>
        </w:tc>
        <w:tc>
          <w:tcPr>
            <w:tcW w:w="923" w:type="dxa"/>
            <w:shd w:val="clear" w:color="auto" w:fill="FFFFFF"/>
            <w:tcMar>
              <w:right w:w="113" w:type="dxa"/>
            </w:tcMar>
            <w:vAlign w:val="center"/>
          </w:tcPr>
          <w:p w:rsidR="00174211" w:rsidRPr="00E709A6" w:rsidRDefault="000B1D81" w:rsidP="00174211">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174211">
              <w:rPr>
                <w:rFonts w:ascii="Arial Narrow" w:hAnsi="Arial Narrow" w:cs="Arial"/>
                <w:bCs/>
                <w:snapToGrid w:val="0"/>
                <w:sz w:val="18"/>
                <w:szCs w:val="18"/>
                <w:u w:val="single"/>
                <w:lang w:val="en-US"/>
              </w:rPr>
              <w:t>-24</w:t>
            </w:r>
          </w:p>
          <w:p w:rsidR="00174211" w:rsidRPr="00E709A6" w:rsidRDefault="000B1D81" w:rsidP="00174211">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174211" w:rsidRPr="00E709A6">
              <w:rPr>
                <w:rFonts w:ascii="Arial Narrow" w:hAnsi="Arial Narrow" w:cs="Arial"/>
                <w:bCs/>
                <w:snapToGrid w:val="0"/>
                <w:sz w:val="18"/>
                <w:szCs w:val="18"/>
                <w:lang w:val="en-US"/>
              </w:rPr>
              <w:t>-</w:t>
            </w:r>
            <w:r w:rsidR="00174211">
              <w:rPr>
                <w:rFonts w:ascii="Arial Narrow" w:hAnsi="Arial Narrow" w:cs="Arial"/>
                <w:bCs/>
                <w:snapToGrid w:val="0"/>
                <w:sz w:val="18"/>
                <w:szCs w:val="18"/>
                <w:lang w:val="en-US"/>
              </w:rPr>
              <w:t>24</w:t>
            </w:r>
          </w:p>
        </w:tc>
        <w:tc>
          <w:tcPr>
            <w:tcW w:w="886" w:type="dxa"/>
            <w:gridSpan w:val="2"/>
            <w:vAlign w:val="center"/>
          </w:tcPr>
          <w:p w:rsidR="00174211" w:rsidRPr="00E709A6" w:rsidRDefault="000B1D81" w:rsidP="00174211">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174211">
              <w:rPr>
                <w:rFonts w:ascii="Arial Narrow" w:hAnsi="Arial Narrow" w:cs="Arial"/>
                <w:bCs/>
                <w:snapToGrid w:val="0"/>
                <w:sz w:val="18"/>
                <w:szCs w:val="18"/>
                <w:u w:val="single"/>
                <w:lang w:val="en-US"/>
              </w:rPr>
              <w:t>-23</w:t>
            </w:r>
          </w:p>
          <w:p w:rsidR="00174211" w:rsidRPr="00E709A6" w:rsidRDefault="000B1D81" w:rsidP="00174211">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174211" w:rsidRPr="00E709A6">
              <w:rPr>
                <w:rFonts w:ascii="Arial Narrow" w:hAnsi="Arial Narrow" w:cs="Arial"/>
                <w:bCs/>
                <w:snapToGrid w:val="0"/>
                <w:sz w:val="18"/>
                <w:szCs w:val="18"/>
                <w:lang w:val="en-US"/>
              </w:rPr>
              <w:t>-</w:t>
            </w:r>
            <w:r w:rsidR="00174211">
              <w:rPr>
                <w:rFonts w:ascii="Arial Narrow" w:hAnsi="Arial Narrow" w:cs="Arial"/>
                <w:bCs/>
                <w:snapToGrid w:val="0"/>
                <w:sz w:val="18"/>
                <w:szCs w:val="18"/>
                <w:lang w:val="en-US"/>
              </w:rPr>
              <w:t>23</w:t>
            </w:r>
          </w:p>
        </w:tc>
        <w:tc>
          <w:tcPr>
            <w:tcW w:w="871" w:type="dxa"/>
            <w:vAlign w:val="center"/>
          </w:tcPr>
          <w:p w:rsidR="00174211" w:rsidRPr="00E709A6" w:rsidRDefault="000B1D81" w:rsidP="00174211">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174211">
              <w:rPr>
                <w:rFonts w:ascii="Arial Narrow" w:hAnsi="Arial Narrow" w:cs="Arial"/>
                <w:bCs/>
                <w:snapToGrid w:val="0"/>
                <w:sz w:val="18"/>
                <w:szCs w:val="18"/>
                <w:u w:val="single"/>
                <w:lang w:val="en-US"/>
              </w:rPr>
              <w:t>-24</w:t>
            </w:r>
          </w:p>
          <w:p w:rsidR="00174211" w:rsidRPr="00E709A6" w:rsidRDefault="000B1D81" w:rsidP="00174211">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Jul</w:t>
            </w:r>
            <w:r w:rsidR="00174211">
              <w:rPr>
                <w:rFonts w:ascii="Arial Narrow" w:hAnsi="Arial Narrow" w:cs="Arial"/>
                <w:bCs/>
                <w:snapToGrid w:val="0"/>
                <w:sz w:val="18"/>
                <w:szCs w:val="18"/>
                <w:lang w:val="en-US"/>
              </w:rPr>
              <w:t>-23</w:t>
            </w:r>
          </w:p>
        </w:tc>
        <w:tc>
          <w:tcPr>
            <w:tcW w:w="882" w:type="dxa"/>
            <w:vAlign w:val="center"/>
          </w:tcPr>
          <w:p w:rsidR="00174211" w:rsidRPr="00E709A6" w:rsidRDefault="000B1D81" w:rsidP="00174211">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Jun</w:t>
            </w:r>
            <w:r w:rsidR="00174211">
              <w:rPr>
                <w:rFonts w:ascii="Arial Narrow" w:hAnsi="Arial Narrow" w:cs="Arial"/>
                <w:bCs/>
                <w:snapToGrid w:val="0"/>
                <w:sz w:val="18"/>
                <w:szCs w:val="18"/>
                <w:u w:val="single"/>
                <w:lang w:val="en-US"/>
              </w:rPr>
              <w:t>-24</w:t>
            </w:r>
          </w:p>
          <w:p w:rsidR="00174211" w:rsidRPr="00A31C16" w:rsidRDefault="000B1D81" w:rsidP="00174211">
            <w:pPr>
              <w:tabs>
                <w:tab w:val="left" w:pos="5093"/>
              </w:tabs>
              <w:spacing w:before="40" w:after="20"/>
              <w:ind w:left="57"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174211">
              <w:rPr>
                <w:rFonts w:ascii="Arial Narrow" w:hAnsi="Arial Narrow" w:cs="Arial"/>
                <w:bCs/>
                <w:snapToGrid w:val="0"/>
                <w:sz w:val="18"/>
                <w:szCs w:val="18"/>
                <w:lang w:val="en-US"/>
              </w:rPr>
              <w:t>-23</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Pr>
                <w:rFonts w:ascii="Arial Narrow" w:hAnsi="Arial Narrow" w:cs="Arial"/>
                <w:sz w:val="18"/>
                <w:szCs w:val="16"/>
                <w:lang w:val="en-GB"/>
              </w:rPr>
              <w:t xml:space="preserve">Food including </w:t>
            </w:r>
            <w:r w:rsidRPr="00AD5C56">
              <w:rPr>
                <w:rFonts w:ascii="Arial Narrow" w:hAnsi="Arial Narrow" w:cs="Arial"/>
                <w:sz w:val="18"/>
                <w:szCs w:val="16"/>
                <w:lang w:val="en-GB"/>
              </w:rPr>
              <w:t>alcohol:</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181,373</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128.7</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+0.1</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+0.9</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+1.3</w:t>
            </w:r>
          </w:p>
        </w:tc>
      </w:tr>
      <w:tr w:rsidR="00FE7669" w:rsidRPr="00791A56" w:rsidTr="002F151E">
        <w:trPr>
          <w:trHeight w:val="255"/>
          <w:jc w:val="center"/>
        </w:trPr>
        <w:tc>
          <w:tcPr>
            <w:tcW w:w="4343" w:type="dxa"/>
            <w:vAlign w:val="center"/>
          </w:tcPr>
          <w:p w:rsidR="00FE7669" w:rsidRPr="00AD5C56" w:rsidRDefault="00FE7669" w:rsidP="00FE7669">
            <w:pPr>
              <w:spacing w:before="40" w:after="20"/>
              <w:ind w:firstLineChars="100" w:firstLine="180"/>
              <w:rPr>
                <w:rFonts w:ascii="Arial Narrow" w:hAnsi="Arial Narrow" w:cs="Arial"/>
                <w:sz w:val="18"/>
                <w:szCs w:val="16"/>
                <w:lang w:val="en-GB"/>
              </w:rPr>
            </w:pPr>
            <w:r w:rsidRPr="00AD5C56">
              <w:rPr>
                <w:rFonts w:ascii="Arial Narrow" w:hAnsi="Arial Narrow" w:cs="Arial"/>
                <w:sz w:val="18"/>
                <w:szCs w:val="16"/>
                <w:lang w:val="en-GB"/>
              </w:rPr>
              <w:t>Processed food including alcohol</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113,744</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127.2</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+0.6</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+1.8</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+2.0</w:t>
            </w:r>
          </w:p>
        </w:tc>
      </w:tr>
      <w:tr w:rsidR="00FE7669" w:rsidRPr="00791A56" w:rsidTr="002F151E">
        <w:trPr>
          <w:trHeight w:val="255"/>
          <w:jc w:val="center"/>
        </w:trPr>
        <w:tc>
          <w:tcPr>
            <w:tcW w:w="4343" w:type="dxa"/>
            <w:vAlign w:val="center"/>
          </w:tcPr>
          <w:p w:rsidR="00FE7669" w:rsidRPr="00AD5C56" w:rsidRDefault="00FE7669" w:rsidP="00FE7669">
            <w:pPr>
              <w:spacing w:before="40" w:after="20"/>
              <w:ind w:firstLineChars="100" w:firstLine="180"/>
              <w:rPr>
                <w:rFonts w:ascii="Arial Narrow" w:hAnsi="Arial Narrow" w:cs="Arial"/>
                <w:sz w:val="18"/>
                <w:szCs w:val="16"/>
                <w:lang w:val="en-GB"/>
              </w:rPr>
            </w:pPr>
            <w:r w:rsidRPr="00AD5C56">
              <w:rPr>
                <w:rFonts w:ascii="Arial Narrow" w:hAnsi="Arial Narrow" w:cs="Arial"/>
                <w:sz w:val="18"/>
                <w:szCs w:val="16"/>
                <w:lang w:val="en-GB"/>
              </w:rPr>
              <w:t>Unprocessed food</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67,629</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130.6</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-1.4</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-0.8</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sidRPr="00AD5C56">
              <w:rPr>
                <w:rFonts w:ascii="Arial Narrow" w:hAnsi="Arial Narrow" w:cs="Arial"/>
                <w:sz w:val="18"/>
                <w:szCs w:val="16"/>
                <w:lang w:val="en-GB"/>
              </w:rPr>
              <w:t>Energy:</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103,568</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151.3</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+3.5</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-1.4</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-4.1</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-8.6</w:t>
            </w:r>
          </w:p>
        </w:tc>
      </w:tr>
      <w:tr w:rsidR="00FE7669" w:rsidRPr="00791A56" w:rsidTr="002F151E">
        <w:trPr>
          <w:trHeight w:val="255"/>
          <w:jc w:val="center"/>
        </w:trPr>
        <w:tc>
          <w:tcPr>
            <w:tcW w:w="4343" w:type="dxa"/>
            <w:vAlign w:val="center"/>
          </w:tcPr>
          <w:p w:rsidR="00FE7669" w:rsidRPr="00A45D05" w:rsidRDefault="00FE7669" w:rsidP="00FE7669">
            <w:pPr>
              <w:spacing w:before="40" w:after="20"/>
              <w:ind w:firstLineChars="100" w:firstLine="180"/>
              <w:rPr>
                <w:rFonts w:ascii="Arial Narrow" w:hAnsi="Arial Narrow" w:cs="Arial"/>
                <w:sz w:val="18"/>
                <w:szCs w:val="16"/>
                <w:lang w:val="en-GB"/>
              </w:rPr>
            </w:pPr>
            <w:r w:rsidRPr="00A45D05">
              <w:rPr>
                <w:rFonts w:ascii="Arial Narrow" w:hAnsi="Arial Narrow" w:cs="Arial"/>
                <w:sz w:val="18"/>
                <w:szCs w:val="16"/>
                <w:lang w:val="en-GB"/>
              </w:rPr>
              <w:t>Regulated energy products</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8,816</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129.5</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+5.5</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-1.8</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+11.3</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+3.5</w:t>
            </w:r>
          </w:p>
        </w:tc>
      </w:tr>
      <w:tr w:rsidR="00FE7669" w:rsidRPr="00791A56" w:rsidTr="002F151E">
        <w:trPr>
          <w:trHeight w:val="255"/>
          <w:jc w:val="center"/>
        </w:trPr>
        <w:tc>
          <w:tcPr>
            <w:tcW w:w="4343" w:type="dxa"/>
            <w:vAlign w:val="center"/>
          </w:tcPr>
          <w:p w:rsidR="00FE7669" w:rsidRPr="00A45D05" w:rsidRDefault="00FE7669" w:rsidP="00FE7669">
            <w:pPr>
              <w:spacing w:before="40" w:after="20"/>
              <w:ind w:firstLineChars="100" w:firstLine="180"/>
              <w:rPr>
                <w:rFonts w:ascii="Arial Narrow" w:hAnsi="Arial Narrow" w:cs="Arial"/>
                <w:sz w:val="18"/>
                <w:szCs w:val="16"/>
                <w:lang w:val="en-GB"/>
              </w:rPr>
            </w:pPr>
            <w:r w:rsidRPr="00A45D05">
              <w:rPr>
                <w:rFonts w:ascii="Arial Narrow" w:hAnsi="Arial Narrow" w:cs="Arial"/>
                <w:sz w:val="18"/>
                <w:szCs w:val="16"/>
                <w:lang w:val="en-GB"/>
              </w:rPr>
              <w:t xml:space="preserve">Non-regulated energy products </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94,752</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151.0</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+3.3</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-1.3</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-6.1</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-10.3</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sidRPr="00AD5C56">
              <w:rPr>
                <w:rFonts w:ascii="Arial Narrow" w:hAnsi="Arial Narrow" w:cs="Arial"/>
                <w:sz w:val="18"/>
                <w:szCs w:val="16"/>
                <w:lang w:val="en-GB"/>
              </w:rPr>
              <w:t>Tobacco</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19,605</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120.7</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0.0</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-0.6</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+4.1</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+3.4</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Pr>
                <w:rFonts w:ascii="Arial Narrow" w:hAnsi="Arial Narrow" w:cs="Arial"/>
                <w:sz w:val="18"/>
                <w:szCs w:val="16"/>
                <w:lang w:val="en-GB"/>
              </w:rPr>
              <w:t xml:space="preserve">Non energy industrial </w:t>
            </w:r>
            <w:r w:rsidRPr="00AD5C56">
              <w:rPr>
                <w:rFonts w:ascii="Arial Narrow" w:hAnsi="Arial Narrow" w:cs="Arial"/>
                <w:sz w:val="18"/>
                <w:szCs w:val="16"/>
                <w:lang w:val="en-GB"/>
              </w:rPr>
              <w:t>goods:</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261,476</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108.6</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-0.1</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0.0</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+0.4</w:t>
            </w:r>
          </w:p>
        </w:tc>
      </w:tr>
      <w:tr w:rsidR="00FE7669" w:rsidRPr="00791A56" w:rsidTr="002F151E">
        <w:trPr>
          <w:trHeight w:val="255"/>
          <w:jc w:val="center"/>
        </w:trPr>
        <w:tc>
          <w:tcPr>
            <w:tcW w:w="4343" w:type="dxa"/>
            <w:vAlign w:val="center"/>
          </w:tcPr>
          <w:p w:rsidR="00FE7669" w:rsidRPr="00AD5C56" w:rsidRDefault="00FE7669" w:rsidP="00FE7669">
            <w:pPr>
              <w:spacing w:before="40" w:after="20"/>
              <w:ind w:firstLineChars="100" w:firstLine="180"/>
              <w:rPr>
                <w:rFonts w:ascii="Arial Narrow" w:hAnsi="Arial Narrow" w:cs="Arial"/>
                <w:sz w:val="18"/>
                <w:szCs w:val="16"/>
                <w:lang w:val="en-GB"/>
              </w:rPr>
            </w:pPr>
            <w:r w:rsidRPr="00AD5C56">
              <w:rPr>
                <w:rFonts w:ascii="Arial Narrow" w:hAnsi="Arial Narrow" w:cs="Arial"/>
                <w:sz w:val="18"/>
                <w:szCs w:val="16"/>
                <w:lang w:val="en-GB"/>
              </w:rPr>
              <w:t>Durable goods</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93,983</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106.5</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-0.2</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0.0</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-1.0</w:t>
            </w:r>
          </w:p>
        </w:tc>
      </w:tr>
      <w:tr w:rsidR="00FE7669" w:rsidRPr="00791A56" w:rsidTr="002F151E">
        <w:trPr>
          <w:trHeight w:val="255"/>
          <w:jc w:val="center"/>
        </w:trPr>
        <w:tc>
          <w:tcPr>
            <w:tcW w:w="4343" w:type="dxa"/>
            <w:vAlign w:val="center"/>
          </w:tcPr>
          <w:p w:rsidR="00FE7669" w:rsidRPr="00AD5C56" w:rsidRDefault="00FE7669" w:rsidP="00FE7669">
            <w:pPr>
              <w:spacing w:before="40" w:after="20"/>
              <w:ind w:firstLineChars="100" w:firstLine="180"/>
              <w:rPr>
                <w:rFonts w:ascii="Arial Narrow" w:hAnsi="Arial Narrow" w:cs="Arial"/>
                <w:sz w:val="18"/>
                <w:szCs w:val="16"/>
                <w:lang w:val="en-GB"/>
              </w:rPr>
            </w:pPr>
            <w:r w:rsidRPr="00AD5C56">
              <w:rPr>
                <w:rFonts w:ascii="Arial Narrow" w:hAnsi="Arial Narrow" w:cs="Arial"/>
                <w:sz w:val="18"/>
                <w:szCs w:val="16"/>
                <w:lang w:val="en-GB"/>
              </w:rPr>
              <w:t>Non-durable goods</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68,770</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111.7</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0.0</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+1.0</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+1.3</w:t>
            </w:r>
          </w:p>
        </w:tc>
      </w:tr>
      <w:tr w:rsidR="00FE7669" w:rsidRPr="00791A56" w:rsidTr="002F151E">
        <w:trPr>
          <w:trHeight w:val="255"/>
          <w:jc w:val="center"/>
        </w:trPr>
        <w:tc>
          <w:tcPr>
            <w:tcW w:w="4343" w:type="dxa"/>
            <w:vAlign w:val="center"/>
          </w:tcPr>
          <w:p w:rsidR="00FE7669" w:rsidRPr="00AD5C56" w:rsidRDefault="00FE7669" w:rsidP="00FE7669">
            <w:pPr>
              <w:spacing w:before="40" w:after="20"/>
              <w:ind w:firstLineChars="100" w:firstLine="180"/>
              <w:rPr>
                <w:rFonts w:ascii="Arial Narrow" w:hAnsi="Arial Narrow" w:cs="Arial"/>
                <w:sz w:val="18"/>
                <w:szCs w:val="16"/>
                <w:lang w:val="en-GB"/>
              </w:rPr>
            </w:pPr>
            <w:r>
              <w:rPr>
                <w:rFonts w:ascii="Arial Narrow" w:hAnsi="Arial Narrow" w:cs="Arial"/>
                <w:sz w:val="18"/>
                <w:szCs w:val="16"/>
                <w:lang w:val="en-GB"/>
              </w:rPr>
              <w:t>Semi-durable</w:t>
            </w:r>
            <w:r w:rsidRPr="00AD5C56">
              <w:rPr>
                <w:rFonts w:ascii="Arial Narrow" w:hAnsi="Arial Narrow" w:cs="Arial"/>
                <w:sz w:val="18"/>
                <w:szCs w:val="16"/>
                <w:lang w:val="en-GB"/>
              </w:rPr>
              <w:t xml:space="preserve"> goods</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98,723</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108.1</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-0.1</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0.0</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w:t>
            </w:r>
          </w:p>
        </w:tc>
      </w:tr>
      <w:tr w:rsidR="00FE7669" w:rsidRPr="00DF359A" w:rsidTr="002F151E">
        <w:trPr>
          <w:trHeight w:val="255"/>
          <w:jc w:val="center"/>
        </w:trPr>
        <w:tc>
          <w:tcPr>
            <w:tcW w:w="4343" w:type="dxa"/>
            <w:shd w:val="clear" w:color="auto" w:fill="808080"/>
            <w:vAlign w:val="center"/>
          </w:tcPr>
          <w:p w:rsidR="00FE7669" w:rsidRPr="00D71B68" w:rsidRDefault="00FE7669" w:rsidP="00FE7669">
            <w:pPr>
              <w:spacing w:before="40" w:after="20"/>
              <w:rPr>
                <w:rFonts w:ascii="Arial Narrow" w:hAnsi="Arial Narrow" w:cs="Arial"/>
                <w:b/>
                <w:color w:val="FFFFFF"/>
                <w:sz w:val="18"/>
                <w:szCs w:val="16"/>
                <w:lang w:val="en-GB"/>
              </w:rPr>
            </w:pPr>
            <w:r>
              <w:rPr>
                <w:rFonts w:ascii="Arial Narrow" w:hAnsi="Arial Narrow" w:cs="Arial"/>
                <w:b/>
                <w:color w:val="FFFFFF"/>
                <w:sz w:val="18"/>
                <w:szCs w:val="16"/>
                <w:lang w:val="en-GB"/>
              </w:rPr>
              <w:t>G</w:t>
            </w:r>
            <w:r w:rsidRPr="00D71B68">
              <w:rPr>
                <w:rFonts w:ascii="Arial Narrow" w:hAnsi="Arial Narrow" w:cs="Arial"/>
                <w:b/>
                <w:color w:val="FFFFFF"/>
                <w:sz w:val="18"/>
                <w:szCs w:val="16"/>
                <w:lang w:val="en-GB"/>
              </w:rPr>
              <w:t>oods</w:t>
            </w:r>
          </w:p>
        </w:tc>
        <w:tc>
          <w:tcPr>
            <w:tcW w:w="1097" w:type="dxa"/>
            <w:shd w:val="clear" w:color="auto" w:fill="808080"/>
            <w:vAlign w:val="bottom"/>
          </w:tcPr>
          <w:p w:rsidR="00FE7669" w:rsidRPr="004238C8" w:rsidRDefault="00FE7669" w:rsidP="00FE7669">
            <w:pPr>
              <w:spacing w:before="40" w:after="20"/>
              <w:ind w:right="57"/>
              <w:jc w:val="right"/>
              <w:rPr>
                <w:rFonts w:ascii="Arial Narrow" w:hAnsi="Arial Narrow" w:cs="Arial"/>
                <w:b/>
                <w:color w:val="FFFFFF" w:themeColor="background1"/>
                <w:sz w:val="18"/>
                <w:szCs w:val="18"/>
                <w:lang w:val="en-GB"/>
              </w:rPr>
            </w:pPr>
            <w:r w:rsidRPr="004238C8">
              <w:rPr>
                <w:rFonts w:ascii="Arial Narrow" w:hAnsi="Arial Narrow" w:cs="Arial"/>
                <w:b/>
                <w:color w:val="FFFFFF" w:themeColor="background1"/>
                <w:sz w:val="18"/>
                <w:szCs w:val="18"/>
                <w:lang w:val="en-GB"/>
              </w:rPr>
              <w:t>566,022</w:t>
            </w:r>
          </w:p>
        </w:tc>
        <w:tc>
          <w:tcPr>
            <w:tcW w:w="973" w:type="dxa"/>
            <w:shd w:val="clear" w:color="auto" w:fill="808080"/>
            <w:vAlign w:val="bottom"/>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123.5</w:t>
            </w:r>
          </w:p>
        </w:tc>
        <w:tc>
          <w:tcPr>
            <w:tcW w:w="923" w:type="dxa"/>
            <w:shd w:val="clear" w:color="auto" w:fill="808080"/>
            <w:tcMar>
              <w:right w:w="113" w:type="dxa"/>
            </w:tcMar>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+0.5</w:t>
            </w:r>
          </w:p>
        </w:tc>
        <w:tc>
          <w:tcPr>
            <w:tcW w:w="837" w:type="dxa"/>
            <w:shd w:val="clear" w:color="auto" w:fill="80808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-0.2</w:t>
            </w:r>
          </w:p>
        </w:tc>
        <w:tc>
          <w:tcPr>
            <w:tcW w:w="920" w:type="dxa"/>
            <w:gridSpan w:val="2"/>
            <w:shd w:val="clear" w:color="auto" w:fill="80808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-0.1</w:t>
            </w:r>
          </w:p>
        </w:tc>
        <w:tc>
          <w:tcPr>
            <w:tcW w:w="888" w:type="dxa"/>
            <w:gridSpan w:val="2"/>
            <w:shd w:val="clear" w:color="auto" w:fill="80808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-0.7</w:t>
            </w:r>
          </w:p>
        </w:tc>
      </w:tr>
      <w:tr w:rsidR="00FE7669" w:rsidRPr="00791A56" w:rsidTr="002F151E">
        <w:trPr>
          <w:trHeight w:val="255"/>
          <w:jc w:val="center"/>
        </w:trPr>
        <w:tc>
          <w:tcPr>
            <w:tcW w:w="4343" w:type="dxa"/>
            <w:vAlign w:val="center"/>
          </w:tcPr>
          <w:p w:rsidR="00FE7669" w:rsidRPr="003873EF" w:rsidRDefault="00FE7669" w:rsidP="00FE7669">
            <w:pPr>
              <w:spacing w:before="40" w:after="20"/>
              <w:rPr>
                <w:rFonts w:ascii="Arial Narrow" w:hAnsi="Arial Narrow" w:cs="Arial"/>
                <w:sz w:val="18"/>
                <w:szCs w:val="16"/>
                <w:lang w:val="en-GB"/>
              </w:rPr>
            </w:pPr>
            <w:r w:rsidRPr="003873EF">
              <w:rPr>
                <w:rFonts w:ascii="Arial Narrow" w:hAnsi="Arial Narrow" w:cs="Arial"/>
                <w:sz w:val="18"/>
                <w:szCs w:val="16"/>
                <w:lang w:val="en-GB"/>
              </w:rPr>
              <w:t>Services related to housing</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66,067</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112.0</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+0.2</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+0.2</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+2.7</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+2.7</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sidRPr="00AD5C56">
              <w:rPr>
                <w:rFonts w:ascii="Arial Narrow" w:hAnsi="Arial Narrow" w:cs="Arial"/>
                <w:sz w:val="18"/>
                <w:szCs w:val="16"/>
                <w:lang w:val="en-GB"/>
              </w:rPr>
              <w:t>Services related to communication</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14,300</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92.7</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0.0</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-0.2</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+0.9</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+0.7</w:t>
            </w:r>
          </w:p>
        </w:tc>
      </w:tr>
      <w:tr w:rsidR="00FE7669" w:rsidRPr="00DF6A34"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sidRPr="00AD5C56">
              <w:rPr>
                <w:rFonts w:ascii="Arial Narrow" w:hAnsi="Arial Narrow" w:cs="Arial"/>
                <w:sz w:val="18"/>
                <w:szCs w:val="16"/>
                <w:lang w:val="en-GB"/>
              </w:rPr>
              <w:t>Services related to recreation</w:t>
            </w:r>
            <w:r>
              <w:rPr>
                <w:rFonts w:ascii="Arial Narrow" w:hAnsi="Arial Narrow" w:cs="Arial"/>
                <w:sz w:val="18"/>
                <w:szCs w:val="16"/>
                <w:lang w:val="en-GB"/>
              </w:rPr>
              <w:t>, including repair</w:t>
            </w:r>
            <w:r w:rsidRPr="00AD5C56">
              <w:rPr>
                <w:rFonts w:ascii="Arial Narrow" w:hAnsi="Arial Narrow" w:cs="Arial"/>
                <w:sz w:val="18"/>
                <w:szCs w:val="16"/>
                <w:lang w:val="en-GB"/>
              </w:rPr>
              <w:t xml:space="preserve"> and personal care</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166,292</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124.4</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+0.8</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+0.4</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+4.4</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+4.0</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sidRPr="00AD5C56">
              <w:rPr>
                <w:rFonts w:ascii="Arial Narrow" w:hAnsi="Arial Narrow" w:cs="Arial"/>
                <w:sz w:val="18"/>
                <w:szCs w:val="16"/>
                <w:lang w:val="en-GB"/>
              </w:rPr>
              <w:t>Services related to transport</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75,750</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123.3</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+0.4</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+0.4</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+2.2</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+2.2</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Pr>
                <w:rFonts w:ascii="Arial Narrow" w:hAnsi="Arial Narrow" w:cs="Arial"/>
                <w:sz w:val="18"/>
                <w:szCs w:val="16"/>
                <w:lang w:val="en-GB"/>
              </w:rPr>
              <w:t>Services - m</w:t>
            </w:r>
            <w:r w:rsidRPr="00AD5C56">
              <w:rPr>
                <w:rFonts w:ascii="Arial Narrow" w:hAnsi="Arial Narrow" w:cs="Arial"/>
                <w:sz w:val="18"/>
                <w:szCs w:val="16"/>
                <w:lang w:val="en-GB"/>
              </w:rPr>
              <w:t>iscellaneous</w:t>
            </w:r>
            <w:r>
              <w:rPr>
                <w:rFonts w:ascii="Arial Narrow" w:hAnsi="Arial Narrow" w:cs="Arial"/>
                <w:sz w:val="18"/>
                <w:szCs w:val="16"/>
                <w:lang w:val="en-GB"/>
              </w:rPr>
              <w:t xml:space="preserve"> </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111,569</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111.9</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0.0</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+1.5</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+1.8</w:t>
            </w:r>
          </w:p>
        </w:tc>
      </w:tr>
      <w:tr w:rsidR="00FE7669" w:rsidRPr="00D71B68" w:rsidTr="002F151E">
        <w:trPr>
          <w:trHeight w:val="255"/>
          <w:jc w:val="center"/>
        </w:trPr>
        <w:tc>
          <w:tcPr>
            <w:tcW w:w="4343" w:type="dxa"/>
            <w:shd w:val="clear" w:color="auto" w:fill="808080"/>
            <w:vAlign w:val="center"/>
          </w:tcPr>
          <w:p w:rsidR="00FE7669" w:rsidRPr="00D71B68" w:rsidRDefault="00FE7669" w:rsidP="00FE7669">
            <w:pPr>
              <w:spacing w:before="40" w:after="20"/>
              <w:rPr>
                <w:rFonts w:ascii="Arial Narrow" w:hAnsi="Arial Narrow" w:cs="Arial"/>
                <w:b/>
                <w:bCs/>
                <w:color w:val="FFFFFF"/>
                <w:sz w:val="18"/>
                <w:szCs w:val="16"/>
                <w:lang w:val="en-GB"/>
              </w:rPr>
            </w:pPr>
            <w:r>
              <w:rPr>
                <w:rFonts w:ascii="Arial Narrow" w:hAnsi="Arial Narrow" w:cs="Arial"/>
                <w:b/>
                <w:color w:val="FFFFFF"/>
                <w:sz w:val="18"/>
                <w:szCs w:val="16"/>
                <w:lang w:val="en-GB"/>
              </w:rPr>
              <w:t>S</w:t>
            </w:r>
            <w:r w:rsidRPr="00D71B68">
              <w:rPr>
                <w:rFonts w:ascii="Arial Narrow" w:hAnsi="Arial Narrow" w:cs="Arial"/>
                <w:b/>
                <w:color w:val="FFFFFF"/>
                <w:sz w:val="18"/>
                <w:szCs w:val="16"/>
                <w:lang w:val="en-GB"/>
              </w:rPr>
              <w:t>ervices</w:t>
            </w:r>
          </w:p>
        </w:tc>
        <w:tc>
          <w:tcPr>
            <w:tcW w:w="1097" w:type="dxa"/>
            <w:shd w:val="clear" w:color="auto" w:fill="808080"/>
            <w:vAlign w:val="bottom"/>
          </w:tcPr>
          <w:p w:rsidR="00FE7669" w:rsidRPr="004238C8" w:rsidRDefault="00FE7669" w:rsidP="00FE7669">
            <w:pPr>
              <w:spacing w:before="40" w:after="20"/>
              <w:ind w:right="57"/>
              <w:jc w:val="right"/>
              <w:rPr>
                <w:rFonts w:ascii="Arial Narrow" w:hAnsi="Arial Narrow" w:cs="Arial"/>
                <w:b/>
                <w:color w:val="FFFFFF" w:themeColor="background1"/>
                <w:sz w:val="18"/>
                <w:szCs w:val="18"/>
                <w:lang w:val="en-GB"/>
              </w:rPr>
            </w:pPr>
            <w:r w:rsidRPr="004238C8">
              <w:rPr>
                <w:rFonts w:ascii="Arial Narrow" w:hAnsi="Arial Narrow" w:cs="Arial"/>
                <w:b/>
                <w:color w:val="FFFFFF" w:themeColor="background1"/>
                <w:sz w:val="18"/>
                <w:szCs w:val="18"/>
                <w:lang w:val="en-GB"/>
              </w:rPr>
              <w:t>433,978</w:t>
            </w:r>
          </w:p>
        </w:tc>
        <w:tc>
          <w:tcPr>
            <w:tcW w:w="973" w:type="dxa"/>
            <w:shd w:val="clear" w:color="auto" w:fill="808080"/>
            <w:vAlign w:val="bottom"/>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117.2</w:t>
            </w:r>
          </w:p>
        </w:tc>
        <w:tc>
          <w:tcPr>
            <w:tcW w:w="923" w:type="dxa"/>
            <w:shd w:val="clear" w:color="auto" w:fill="808080"/>
            <w:tcMar>
              <w:right w:w="113" w:type="dxa"/>
            </w:tcMar>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+0.4</w:t>
            </w:r>
          </w:p>
        </w:tc>
        <w:tc>
          <w:tcPr>
            <w:tcW w:w="837" w:type="dxa"/>
            <w:shd w:val="clear" w:color="auto" w:fill="80808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+0.3</w:t>
            </w:r>
          </w:p>
        </w:tc>
        <w:tc>
          <w:tcPr>
            <w:tcW w:w="920" w:type="dxa"/>
            <w:gridSpan w:val="2"/>
            <w:shd w:val="clear" w:color="auto" w:fill="80808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+3.0</w:t>
            </w:r>
          </w:p>
        </w:tc>
        <w:tc>
          <w:tcPr>
            <w:tcW w:w="888" w:type="dxa"/>
            <w:gridSpan w:val="2"/>
            <w:shd w:val="clear" w:color="auto" w:fill="80808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+2.8</w:t>
            </w:r>
          </w:p>
        </w:tc>
      </w:tr>
      <w:tr w:rsidR="00FE7669" w:rsidRPr="00791A56" w:rsidTr="002F151E">
        <w:trPr>
          <w:trHeight w:val="255"/>
          <w:jc w:val="center"/>
        </w:trPr>
        <w:tc>
          <w:tcPr>
            <w:tcW w:w="4343" w:type="dxa"/>
            <w:shd w:val="clear" w:color="auto" w:fill="FF0000"/>
            <w:vAlign w:val="center"/>
          </w:tcPr>
          <w:p w:rsidR="00FE7669" w:rsidRPr="00D71B68" w:rsidRDefault="00FE7669" w:rsidP="00FE7669">
            <w:pPr>
              <w:spacing w:before="40" w:after="20"/>
              <w:rPr>
                <w:rFonts w:ascii="Arial Narrow" w:hAnsi="Arial Narrow" w:cs="Arial"/>
                <w:b/>
                <w:bCs/>
                <w:color w:val="FFFFFF"/>
                <w:sz w:val="18"/>
                <w:szCs w:val="16"/>
                <w:lang w:val="en-GB"/>
              </w:rPr>
            </w:pPr>
            <w:r w:rsidRPr="00D71B68">
              <w:rPr>
                <w:rFonts w:ascii="Arial Narrow" w:hAnsi="Arial Narrow" w:cs="Arial"/>
                <w:b/>
                <w:bCs/>
                <w:color w:val="FFFFFF"/>
                <w:sz w:val="18"/>
                <w:szCs w:val="16"/>
                <w:lang w:val="en-GB"/>
              </w:rPr>
              <w:t>ALL ITEMS</w:t>
            </w:r>
          </w:p>
        </w:tc>
        <w:tc>
          <w:tcPr>
            <w:tcW w:w="1097" w:type="dxa"/>
            <w:shd w:val="clear" w:color="auto" w:fill="FF0000"/>
            <w:vAlign w:val="bottom"/>
          </w:tcPr>
          <w:p w:rsidR="00FE7669" w:rsidRPr="004238C8" w:rsidRDefault="00FE7669" w:rsidP="00FE7669">
            <w:pPr>
              <w:spacing w:before="40" w:after="20"/>
              <w:ind w:right="57"/>
              <w:jc w:val="right"/>
              <w:rPr>
                <w:rFonts w:ascii="Arial Narrow" w:hAnsi="Arial Narrow" w:cs="Arial"/>
                <w:b/>
                <w:color w:val="FFFFFF" w:themeColor="background1"/>
                <w:sz w:val="18"/>
                <w:szCs w:val="18"/>
                <w:lang w:val="en-GB"/>
              </w:rPr>
            </w:pPr>
            <w:r w:rsidRPr="004238C8">
              <w:rPr>
                <w:rFonts w:ascii="Arial Narrow" w:hAnsi="Arial Narrow" w:cs="Arial"/>
                <w:b/>
                <w:color w:val="FFFFFF" w:themeColor="background1"/>
                <w:sz w:val="18"/>
                <w:szCs w:val="18"/>
                <w:lang w:val="en-GB"/>
              </w:rPr>
              <w:t>1,000,000</w:t>
            </w:r>
          </w:p>
        </w:tc>
        <w:tc>
          <w:tcPr>
            <w:tcW w:w="973" w:type="dxa"/>
            <w:shd w:val="clear" w:color="auto" w:fill="FF0000"/>
            <w:vAlign w:val="bottom"/>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121.3</w:t>
            </w:r>
          </w:p>
        </w:tc>
        <w:tc>
          <w:tcPr>
            <w:tcW w:w="923" w:type="dxa"/>
            <w:shd w:val="clear" w:color="auto" w:fill="FF0000"/>
            <w:tcMar>
              <w:right w:w="113" w:type="dxa"/>
            </w:tcMar>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+0.5</w:t>
            </w:r>
          </w:p>
        </w:tc>
        <w:tc>
          <w:tcPr>
            <w:tcW w:w="837" w:type="dxa"/>
            <w:shd w:val="clear" w:color="auto" w:fill="FF000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0.0</w:t>
            </w:r>
          </w:p>
        </w:tc>
        <w:tc>
          <w:tcPr>
            <w:tcW w:w="920" w:type="dxa"/>
            <w:gridSpan w:val="2"/>
            <w:shd w:val="clear" w:color="auto" w:fill="FF000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+1.3</w:t>
            </w:r>
          </w:p>
        </w:tc>
        <w:tc>
          <w:tcPr>
            <w:tcW w:w="888" w:type="dxa"/>
            <w:gridSpan w:val="2"/>
            <w:shd w:val="clear" w:color="auto" w:fill="FF0000"/>
            <w:vAlign w:val="center"/>
          </w:tcPr>
          <w:p w:rsidR="00FE7669" w:rsidRPr="00FE7669" w:rsidRDefault="00FE7669" w:rsidP="00FE7669">
            <w:pPr>
              <w:spacing w:before="40" w:after="20"/>
              <w:ind w:right="57"/>
              <w:jc w:val="right"/>
              <w:rPr>
                <w:rFonts w:ascii="Arial Narrow" w:hAnsi="Arial Narrow" w:cs="Arial"/>
                <w:b/>
                <w:color w:val="FFFFFF" w:themeColor="background1"/>
                <w:sz w:val="18"/>
                <w:szCs w:val="18"/>
                <w:lang w:val="en-GB"/>
              </w:rPr>
            </w:pPr>
            <w:r w:rsidRPr="00FE7669">
              <w:rPr>
                <w:rFonts w:ascii="Arial Narrow" w:hAnsi="Arial Narrow" w:cs="Arial"/>
                <w:b/>
                <w:color w:val="FFFFFF" w:themeColor="background1"/>
                <w:sz w:val="18"/>
                <w:szCs w:val="18"/>
                <w:lang w:val="en-GB"/>
              </w:rPr>
              <w:t>+0.8</w:t>
            </w:r>
          </w:p>
        </w:tc>
      </w:tr>
      <w:tr w:rsidR="00FE7669" w:rsidRPr="00DF6A34"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sidRPr="00AD5C56">
              <w:rPr>
                <w:rFonts w:ascii="Arial Narrow" w:hAnsi="Arial Narrow" w:cs="Arial"/>
                <w:sz w:val="18"/>
                <w:szCs w:val="16"/>
                <w:lang w:val="en-GB"/>
              </w:rPr>
              <w:t>All items excluding energy and unprocessed food (</w:t>
            </w:r>
            <w:r w:rsidRPr="0013629F">
              <w:rPr>
                <w:rFonts w:ascii="Arial Narrow" w:hAnsi="Arial Narrow" w:cs="Arial"/>
                <w:sz w:val="18"/>
                <w:szCs w:val="16"/>
                <w:lang w:val="en-GB"/>
              </w:rPr>
              <w:t>Core inflation</w:t>
            </w:r>
            <w:r w:rsidRPr="00AD5C56">
              <w:rPr>
                <w:rFonts w:ascii="Arial Narrow" w:hAnsi="Arial Narrow" w:cs="Arial"/>
                <w:sz w:val="18"/>
                <w:szCs w:val="16"/>
                <w:lang w:val="en-GB"/>
              </w:rPr>
              <w:t>)</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828,803</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116.0</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+1.9</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+1.9</w:t>
            </w:r>
          </w:p>
        </w:tc>
      </w:tr>
      <w:tr w:rsidR="00FE7669" w:rsidRPr="00DF6A34" w:rsidTr="002F151E">
        <w:trPr>
          <w:trHeight w:val="255"/>
          <w:jc w:val="center"/>
        </w:trPr>
        <w:tc>
          <w:tcPr>
            <w:tcW w:w="4343" w:type="dxa"/>
            <w:vAlign w:val="center"/>
          </w:tcPr>
          <w:p w:rsidR="00FE7669" w:rsidRPr="00D178C5" w:rsidRDefault="00FE7669" w:rsidP="00FE7669">
            <w:pPr>
              <w:spacing w:before="40" w:after="20"/>
              <w:rPr>
                <w:rFonts w:ascii="Arial Narrow" w:hAnsi="Arial Narrow" w:cs="Arial"/>
                <w:bCs/>
                <w:sz w:val="18"/>
                <w:szCs w:val="16"/>
                <w:lang w:val="en-GB"/>
              </w:rPr>
            </w:pPr>
            <w:r w:rsidRPr="00D178C5">
              <w:rPr>
                <w:rFonts w:ascii="Arial Narrow" w:hAnsi="Arial Narrow" w:cs="Arial"/>
                <w:bCs/>
                <w:sz w:val="18"/>
                <w:szCs w:val="16"/>
                <w:lang w:val="en-GB"/>
              </w:rPr>
              <w:t>All items excluding energy, food, alcohol and tobacco</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695,454</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114.0</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+0.2</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+2.0</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+1.9</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sidRPr="00AD5C56">
              <w:rPr>
                <w:rFonts w:ascii="Arial Narrow" w:hAnsi="Arial Narrow" w:cs="Arial"/>
                <w:sz w:val="18"/>
                <w:szCs w:val="16"/>
                <w:lang w:val="en-GB"/>
              </w:rPr>
              <w:t>All items excluding energy</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896,432</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117.1</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+0.1</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+0.2</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+1.8</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+1.9</w:t>
            </w:r>
          </w:p>
        </w:tc>
      </w:tr>
      <w:tr w:rsidR="00FE7669" w:rsidRPr="00791A56" w:rsidTr="002F151E">
        <w:trPr>
          <w:trHeight w:val="255"/>
          <w:jc w:val="center"/>
        </w:trPr>
        <w:tc>
          <w:tcPr>
            <w:tcW w:w="4343" w:type="dxa"/>
            <w:vAlign w:val="center"/>
          </w:tcPr>
          <w:p w:rsidR="00FE7669" w:rsidRPr="00AD5C56" w:rsidRDefault="00FE7669" w:rsidP="00FE7669">
            <w:pPr>
              <w:spacing w:before="40" w:after="20"/>
              <w:rPr>
                <w:rFonts w:ascii="Arial Narrow" w:hAnsi="Arial Narrow" w:cs="Arial"/>
                <w:sz w:val="18"/>
                <w:szCs w:val="16"/>
                <w:lang w:val="en-GB"/>
              </w:rPr>
            </w:pPr>
            <w:r>
              <w:rPr>
                <w:rFonts w:ascii="Arial Narrow" w:hAnsi="Arial Narrow" w:cs="Arial"/>
                <w:sz w:val="18"/>
                <w:szCs w:val="16"/>
                <w:lang w:val="en-GB"/>
              </w:rPr>
              <w:t>Grocery and unprocessed food</w:t>
            </w:r>
          </w:p>
        </w:tc>
        <w:tc>
          <w:tcPr>
            <w:tcW w:w="1097" w:type="dxa"/>
            <w:shd w:val="clear" w:color="auto" w:fill="D9D9D9"/>
            <w:vAlign w:val="bottom"/>
          </w:tcPr>
          <w:p w:rsidR="00FE7669" w:rsidRPr="004238C8" w:rsidRDefault="00FE7669" w:rsidP="00FE7669">
            <w:pPr>
              <w:spacing w:before="40" w:after="20"/>
              <w:ind w:right="57"/>
              <w:jc w:val="right"/>
              <w:rPr>
                <w:rFonts w:ascii="Arial Narrow" w:hAnsi="Arial Narrow" w:cs="Arial"/>
                <w:sz w:val="18"/>
                <w:szCs w:val="18"/>
                <w:lang w:val="en-GB"/>
              </w:rPr>
            </w:pPr>
            <w:r w:rsidRPr="004238C8">
              <w:rPr>
                <w:rFonts w:ascii="Arial Narrow" w:hAnsi="Arial Narrow" w:cs="Arial"/>
                <w:sz w:val="18"/>
                <w:szCs w:val="18"/>
                <w:lang w:val="en-GB"/>
              </w:rPr>
              <w:t>206,745</w:t>
            </w:r>
          </w:p>
        </w:tc>
        <w:tc>
          <w:tcPr>
            <w:tcW w:w="973" w:type="dxa"/>
            <w:shd w:val="clear" w:color="auto" w:fill="FFFFFF"/>
            <w:vAlign w:val="bottom"/>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126.6</w:t>
            </w:r>
          </w:p>
        </w:tc>
        <w:tc>
          <w:tcPr>
            <w:tcW w:w="923" w:type="dxa"/>
            <w:shd w:val="clear" w:color="auto" w:fill="D9D9D9"/>
            <w:tcMar>
              <w:right w:w="113" w:type="dxa"/>
            </w:tcMar>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-0.3</w:t>
            </w:r>
          </w:p>
        </w:tc>
        <w:tc>
          <w:tcPr>
            <w:tcW w:w="837" w:type="dxa"/>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+0.1</w:t>
            </w:r>
          </w:p>
        </w:tc>
        <w:tc>
          <w:tcPr>
            <w:tcW w:w="920" w:type="dxa"/>
            <w:gridSpan w:val="2"/>
            <w:shd w:val="clear" w:color="auto" w:fill="D9D9D9"/>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+0.8</w:t>
            </w:r>
          </w:p>
        </w:tc>
        <w:tc>
          <w:tcPr>
            <w:tcW w:w="888" w:type="dxa"/>
            <w:gridSpan w:val="2"/>
            <w:vAlign w:val="center"/>
          </w:tcPr>
          <w:p w:rsidR="00FE7669" w:rsidRPr="00FE7669" w:rsidRDefault="00FE7669" w:rsidP="00FE7669">
            <w:pPr>
              <w:spacing w:before="40" w:after="20"/>
              <w:ind w:right="57"/>
              <w:jc w:val="right"/>
              <w:rPr>
                <w:rFonts w:ascii="Arial Narrow" w:hAnsi="Arial Narrow" w:cs="Arial"/>
                <w:sz w:val="18"/>
                <w:szCs w:val="18"/>
                <w:lang w:val="en-GB"/>
              </w:rPr>
            </w:pPr>
            <w:r w:rsidRPr="00FE7669">
              <w:rPr>
                <w:rFonts w:ascii="Arial Narrow" w:hAnsi="Arial Narrow" w:cs="Arial"/>
                <w:sz w:val="18"/>
                <w:szCs w:val="18"/>
                <w:lang w:val="en-GB"/>
              </w:rPr>
              <w:t>+1.2</w:t>
            </w:r>
          </w:p>
        </w:tc>
      </w:tr>
    </w:tbl>
    <w:p w:rsidR="00571CB6" w:rsidRDefault="00571CB6" w:rsidP="00571CB6">
      <w:pPr>
        <w:spacing w:before="0" w:after="0"/>
        <w:jc w:val="both"/>
        <w:rPr>
          <w:rFonts w:ascii="Arial Narrow" w:hAnsi="Arial Narrow" w:cs="Arial"/>
          <w:b/>
          <w:color w:val="5F5F5F"/>
          <w:lang w:val="en-GB"/>
        </w:rPr>
      </w:pPr>
    </w:p>
    <w:p w:rsidR="00E83F68" w:rsidRDefault="00E83F68" w:rsidP="00E83F68">
      <w:pPr>
        <w:spacing w:before="0" w:after="0"/>
        <w:jc w:val="both"/>
        <w:rPr>
          <w:rFonts w:ascii="Arial Narrow" w:hAnsi="Arial Narrow" w:cs="Arial"/>
          <w:b/>
          <w:color w:val="5F5F5F"/>
          <w:lang w:val="en-GB"/>
        </w:rPr>
      </w:pPr>
    </w:p>
    <w:p w:rsidR="00E83F68" w:rsidRDefault="00E83F68" w:rsidP="00E83F68">
      <w:pPr>
        <w:spacing w:before="0" w:after="0"/>
        <w:jc w:val="both"/>
        <w:rPr>
          <w:rFonts w:ascii="Arial Narrow" w:hAnsi="Arial Narrow" w:cs="Arial"/>
          <w:b/>
          <w:bCs/>
          <w:color w:val="5F5F5F"/>
          <w:sz w:val="22"/>
          <w:szCs w:val="22"/>
          <w:lang w:val="en-US"/>
        </w:rPr>
      </w:pPr>
      <w:r>
        <w:rPr>
          <w:rFonts w:ascii="Arial Narrow" w:hAnsi="Arial Narrow" w:cs="Arial"/>
          <w:b/>
          <w:bCs/>
          <w:color w:val="E42618"/>
          <w:sz w:val="22"/>
          <w:szCs w:val="22"/>
          <w:lang w:val="en-US"/>
        </w:rPr>
        <w:t xml:space="preserve">CHART 3. </w:t>
      </w:r>
      <w:r w:rsidRPr="008D3000">
        <w:rPr>
          <w:rFonts w:ascii="Arial Narrow" w:hAnsi="Arial Narrow" w:cs="Arial"/>
          <w:b/>
          <w:bCs/>
          <w:color w:val="5F5F5F"/>
          <w:sz w:val="22"/>
          <w:szCs w:val="22"/>
          <w:lang w:val="en-US"/>
        </w:rPr>
        <w:t xml:space="preserve">ITALIAN </w:t>
      </w:r>
      <w:r>
        <w:rPr>
          <w:rFonts w:ascii="Arial Narrow" w:hAnsi="Arial Narrow" w:cs="Arial"/>
          <w:b/>
          <w:bCs/>
          <w:color w:val="5F5F5F"/>
          <w:sz w:val="22"/>
          <w:szCs w:val="22"/>
          <w:lang w:val="en-US"/>
        </w:rPr>
        <w:t>NATIONAL CONSUMER PRICE INDEX (NIC) BY TYPE OF PRODUCTS</w:t>
      </w:r>
    </w:p>
    <w:p w:rsidR="00E83F68" w:rsidRDefault="00E83F68" w:rsidP="00E83F68">
      <w:pPr>
        <w:spacing w:before="0" w:after="120"/>
        <w:jc w:val="both"/>
        <w:rPr>
          <w:rFonts w:ascii="Arial Narrow" w:hAnsi="Arial Narrow" w:cs="Arial"/>
          <w:color w:val="5F5F5F"/>
          <w:kern w:val="0"/>
          <w:lang w:val="en-US"/>
        </w:rPr>
      </w:pPr>
      <w:r w:rsidRPr="00CC2B26">
        <w:rPr>
          <w:rFonts w:ascii="Arial Narrow" w:hAnsi="Arial Narrow" w:cs="Arial"/>
          <w:color w:val="5F5F5F"/>
          <w:kern w:val="0"/>
          <w:lang w:val="en-US"/>
        </w:rPr>
        <w:t>January 201</w:t>
      </w:r>
      <w:r w:rsidR="008C3818">
        <w:rPr>
          <w:rFonts w:ascii="Arial Narrow" w:hAnsi="Arial Narrow" w:cs="Arial"/>
          <w:color w:val="5F5F5F"/>
          <w:kern w:val="0"/>
          <w:lang w:val="en-US"/>
        </w:rPr>
        <w:t>9</w:t>
      </w:r>
      <w:r w:rsidRPr="00CC2B26">
        <w:rPr>
          <w:rFonts w:ascii="Arial Narrow" w:hAnsi="Arial Narrow" w:cs="Arial"/>
          <w:color w:val="5F5F5F"/>
          <w:kern w:val="0"/>
          <w:lang w:val="en-US"/>
        </w:rPr>
        <w:t xml:space="preserve"> </w:t>
      </w:r>
      <w:r w:rsidR="00F66FAB">
        <w:rPr>
          <w:rFonts w:ascii="Arial Narrow" w:hAnsi="Arial Narrow" w:cs="Arial"/>
          <w:color w:val="5F5F5F"/>
          <w:kern w:val="0"/>
          <w:lang w:val="en-US"/>
        </w:rPr>
        <w:t>–</w:t>
      </w:r>
      <w:r w:rsidRPr="00CC2B26">
        <w:rPr>
          <w:rFonts w:ascii="Arial Narrow" w:hAnsi="Arial Narrow" w:cs="Arial"/>
          <w:color w:val="5F5F5F"/>
          <w:kern w:val="0"/>
          <w:lang w:val="en-US"/>
        </w:rPr>
        <w:t xml:space="preserve"> </w:t>
      </w:r>
      <w:r w:rsidR="008D5979">
        <w:rPr>
          <w:rFonts w:ascii="Arial Narrow" w:hAnsi="Arial Narrow" w:cs="Arial"/>
          <w:color w:val="5F5F5F"/>
          <w:kern w:val="0"/>
          <w:lang w:val="en-US"/>
        </w:rPr>
        <w:t>July</w:t>
      </w:r>
      <w:r w:rsidR="008C3818" w:rsidRPr="008C3818">
        <w:rPr>
          <w:rFonts w:ascii="Arial Narrow" w:hAnsi="Arial Narrow" w:cs="Arial"/>
          <w:color w:val="5F5F5F"/>
          <w:kern w:val="0"/>
          <w:lang w:val="en-US"/>
        </w:rPr>
        <w:t xml:space="preserve"> 2024</w:t>
      </w:r>
      <w:r w:rsidRPr="00CC2B26">
        <w:rPr>
          <w:rFonts w:ascii="Arial Narrow" w:hAnsi="Arial Narrow" w:cs="Arial"/>
          <w:color w:val="5F5F5F"/>
          <w:kern w:val="0"/>
          <w:lang w:val="en-US"/>
        </w:rPr>
        <w:t>, month on same month a year ago percent</w:t>
      </w:r>
      <w:r>
        <w:rPr>
          <w:rFonts w:ascii="Arial Narrow" w:hAnsi="Arial Narrow" w:cs="Arial"/>
          <w:color w:val="5F5F5F"/>
          <w:kern w:val="0"/>
          <w:lang w:val="en-US"/>
        </w:rPr>
        <w:t>age</w:t>
      </w:r>
      <w:r w:rsidRPr="00CC2B26">
        <w:rPr>
          <w:rFonts w:ascii="Arial Narrow" w:hAnsi="Arial Narrow" w:cs="Arial"/>
          <w:color w:val="5F5F5F"/>
          <w:kern w:val="0"/>
          <w:lang w:val="en-US"/>
        </w:rPr>
        <w:t xml:space="preserve"> changes (index</w:t>
      </w:r>
      <w:r>
        <w:rPr>
          <w:rFonts w:ascii="Arial Narrow" w:hAnsi="Arial Narrow" w:cs="Arial"/>
          <w:color w:val="5F5F5F"/>
          <w:kern w:val="0"/>
          <w:lang w:val="en-US"/>
        </w:rPr>
        <w:t>, 2015=100)</w:t>
      </w:r>
    </w:p>
    <w:p w:rsidR="00E83F68" w:rsidRDefault="00FF734D" w:rsidP="00E83F68">
      <w:pPr>
        <w:spacing w:before="0" w:after="120"/>
        <w:jc w:val="both"/>
        <w:rPr>
          <w:rFonts w:ascii="Arial Narrow" w:hAnsi="Arial Narrow" w:cs="Arial"/>
          <w:b/>
          <w:bCs/>
          <w:color w:val="5F5F5F"/>
          <w:sz w:val="22"/>
          <w:szCs w:val="22"/>
          <w:lang w:val="en-US"/>
        </w:rPr>
      </w:pPr>
      <w:r>
        <w:rPr>
          <w:rFonts w:ascii="Arial Narrow" w:hAnsi="Arial Narrow" w:cs="Arial"/>
          <w:b/>
          <w:bCs/>
          <w:noProof/>
          <w:color w:val="5F5F5F"/>
          <w:sz w:val="22"/>
          <w:szCs w:val="22"/>
        </w:rPr>
        <w:drawing>
          <wp:inline distT="0" distB="0" distL="0" distR="0" wp14:anchorId="70A5E2D0">
            <wp:extent cx="6663690" cy="2164080"/>
            <wp:effectExtent l="0" t="0" r="3810" b="762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63690" cy="2164080"/>
                    </a:xfrm>
                    <a:prstGeom prst="rect">
                      <a:avLst/>
                    </a:prstGeom>
                    <a:noFill/>
                  </pic:spPr>
                </pic:pic>
              </a:graphicData>
            </a:graphic>
          </wp:inline>
        </w:drawing>
      </w:r>
    </w:p>
    <w:p w:rsidR="00E83F68" w:rsidRDefault="00E83F68" w:rsidP="00E83F68">
      <w:pPr>
        <w:spacing w:after="120"/>
        <w:rPr>
          <w:rFonts w:ascii="Arial Narrow" w:hAnsi="Arial Narrow" w:cs="Arial"/>
          <w:b/>
          <w:bCs/>
          <w:color w:val="E42618"/>
          <w:sz w:val="22"/>
          <w:szCs w:val="22"/>
          <w:lang w:val="en-US"/>
        </w:rPr>
      </w:pPr>
      <w:r>
        <w:rPr>
          <w:rFonts w:ascii="Arial Narrow" w:hAnsi="Arial Narrow" w:cs="Arial"/>
          <w:b/>
          <w:bCs/>
          <w:color w:val="E42618"/>
          <w:sz w:val="22"/>
          <w:szCs w:val="22"/>
          <w:lang w:val="en-US"/>
        </w:rPr>
        <w:br w:type="page"/>
      </w:r>
    </w:p>
    <w:p w:rsidR="00571CB6" w:rsidRDefault="00571CB6" w:rsidP="00571CB6">
      <w:pPr>
        <w:spacing w:after="120"/>
        <w:rPr>
          <w:rFonts w:ascii="Arial Narrow" w:hAnsi="Arial Narrow" w:cs="Arial"/>
          <w:b/>
          <w:bCs/>
          <w:color w:val="E42618"/>
          <w:sz w:val="22"/>
          <w:szCs w:val="22"/>
          <w:lang w:val="en-US"/>
        </w:rPr>
      </w:pPr>
    </w:p>
    <w:p w:rsidR="00571CB6" w:rsidRDefault="00571CB6" w:rsidP="00571CB6">
      <w:pPr>
        <w:spacing w:after="120"/>
        <w:rPr>
          <w:rFonts w:ascii="Arial Narrow" w:hAnsi="Arial Narrow" w:cs="Arial"/>
          <w:color w:val="5F5F5F"/>
          <w:kern w:val="0"/>
          <w:lang w:val="en-US"/>
        </w:rPr>
      </w:pPr>
      <w:r w:rsidRPr="008D3000">
        <w:rPr>
          <w:rFonts w:ascii="Arial Narrow" w:hAnsi="Arial Narrow" w:cs="Arial"/>
          <w:b/>
          <w:bCs/>
          <w:color w:val="E42618"/>
          <w:sz w:val="22"/>
          <w:szCs w:val="22"/>
          <w:lang w:val="en-US"/>
        </w:rPr>
        <w:t xml:space="preserve">TABLE </w:t>
      </w:r>
      <w:r>
        <w:rPr>
          <w:rFonts w:ascii="Arial Narrow" w:hAnsi="Arial Narrow" w:cs="Arial"/>
          <w:b/>
          <w:bCs/>
          <w:color w:val="E42618"/>
          <w:sz w:val="22"/>
          <w:szCs w:val="22"/>
          <w:lang w:val="en-US"/>
        </w:rPr>
        <w:t>4</w:t>
      </w:r>
      <w:r w:rsidRPr="00F902AC">
        <w:rPr>
          <w:rFonts w:ascii="Arial Narrow" w:hAnsi="Arial Narrow" w:cs="Arial"/>
          <w:b/>
          <w:bCs/>
          <w:color w:val="5F5F5F"/>
          <w:lang w:val="en-US"/>
        </w:rPr>
        <w:t xml:space="preserve">. </w:t>
      </w:r>
      <w:r w:rsidRPr="008D3000">
        <w:rPr>
          <w:rFonts w:ascii="Arial Narrow" w:hAnsi="Arial Narrow" w:cs="Arial"/>
          <w:b/>
          <w:bCs/>
          <w:color w:val="5F5F5F"/>
          <w:sz w:val="22"/>
          <w:szCs w:val="22"/>
          <w:lang w:val="en-US"/>
        </w:rPr>
        <w:t>ITALIAN HARMONIZED CONSUMER PRICE INDEX (HICP), BY ECOICOP DIVISION</w:t>
      </w:r>
      <w:r>
        <w:rPr>
          <w:rFonts w:ascii="Arial Narrow" w:hAnsi="Arial Narrow" w:cs="Arial"/>
          <w:b/>
          <w:color w:val="5F5F5F"/>
          <w:lang w:val="en-GB"/>
        </w:rPr>
        <w:br/>
      </w:r>
      <w:r w:rsidR="008D5979">
        <w:rPr>
          <w:rFonts w:ascii="Arial Narrow" w:hAnsi="Arial Narrow" w:cs="Arial"/>
          <w:color w:val="5F5F5F"/>
          <w:kern w:val="0"/>
          <w:lang w:val="en-GB"/>
        </w:rPr>
        <w:t>July</w:t>
      </w:r>
      <w:r w:rsidR="008C3818" w:rsidRPr="008C3818">
        <w:rPr>
          <w:rFonts w:ascii="Arial Narrow" w:hAnsi="Arial Narrow" w:cs="Arial"/>
          <w:color w:val="5F5F5F"/>
          <w:kern w:val="0"/>
          <w:lang w:val="en-US"/>
        </w:rPr>
        <w:t xml:space="preserve"> 2024</w:t>
      </w:r>
      <w:r w:rsidRPr="008D3000">
        <w:rPr>
          <w:rFonts w:ascii="Arial Narrow" w:hAnsi="Arial Narrow" w:cs="Arial"/>
          <w:color w:val="5F5F5F"/>
          <w:kern w:val="0"/>
          <w:lang w:val="en-US"/>
        </w:rPr>
        <w:t>, weights, indices</w:t>
      </w:r>
      <w:r>
        <w:rPr>
          <w:rFonts w:ascii="Arial Narrow" w:hAnsi="Arial Narrow" w:cs="Arial"/>
          <w:color w:val="5F5F5F"/>
          <w:kern w:val="0"/>
          <w:lang w:val="en-US"/>
        </w:rPr>
        <w:t>,</w:t>
      </w:r>
      <w:r w:rsidRPr="008D3000">
        <w:rPr>
          <w:rFonts w:ascii="Arial Narrow" w:hAnsi="Arial Narrow" w:cs="Arial"/>
          <w:color w:val="5F5F5F"/>
          <w:kern w:val="0"/>
          <w:lang w:val="en-US"/>
        </w:rPr>
        <w:t xml:space="preserve"> </w:t>
      </w:r>
      <w:r w:rsidRPr="00B5282C">
        <w:rPr>
          <w:rFonts w:ascii="Arial Narrow" w:hAnsi="Arial Narrow" w:cs="Arial"/>
          <w:color w:val="5F5F5F"/>
          <w:kern w:val="0"/>
          <w:lang w:val="en-US"/>
        </w:rPr>
        <w:t xml:space="preserve">month on previous month </w:t>
      </w:r>
      <w:r>
        <w:rPr>
          <w:rFonts w:ascii="Arial Narrow" w:hAnsi="Arial Narrow" w:cs="Arial"/>
          <w:color w:val="5F5F5F"/>
          <w:kern w:val="0"/>
          <w:lang w:val="en-US"/>
        </w:rPr>
        <w:t xml:space="preserve">and </w:t>
      </w:r>
      <w:r w:rsidRPr="00B5282C">
        <w:rPr>
          <w:rFonts w:ascii="Arial Narrow" w:hAnsi="Arial Narrow" w:cs="Arial"/>
          <w:color w:val="5F5F5F"/>
          <w:kern w:val="0"/>
          <w:lang w:val="en-US"/>
        </w:rPr>
        <w:t>month on same month a year ago percent changes</w:t>
      </w:r>
      <w:r w:rsidRPr="0030291D">
        <w:rPr>
          <w:rFonts w:ascii="Arial Narrow" w:hAnsi="Arial Narrow" w:cs="Arial"/>
          <w:color w:val="5F5F5F"/>
          <w:kern w:val="0"/>
          <w:lang w:val="en-US"/>
        </w:rPr>
        <w:t xml:space="preserve"> </w:t>
      </w:r>
      <w:r w:rsidRPr="008D3000">
        <w:rPr>
          <w:rFonts w:ascii="Arial Narrow" w:hAnsi="Arial Narrow" w:cs="Arial"/>
          <w:color w:val="5F5F5F"/>
          <w:kern w:val="0"/>
          <w:lang w:val="en-US"/>
        </w:rPr>
        <w:t>(</w:t>
      </w:r>
      <w:r w:rsidRPr="00E32989">
        <w:rPr>
          <w:rFonts w:ascii="Arial Narrow" w:hAnsi="Arial Narrow" w:cs="Arial"/>
          <w:color w:val="5F5F5F"/>
          <w:kern w:val="0"/>
          <w:lang w:val="en-US"/>
        </w:rPr>
        <w:t>index, 2015=100</w:t>
      </w:r>
      <w:r w:rsidRPr="008D3000">
        <w:rPr>
          <w:rFonts w:ascii="Arial Narrow" w:hAnsi="Arial Narrow" w:cs="Arial"/>
          <w:color w:val="5F5F5F"/>
          <w:kern w:val="0"/>
          <w:lang w:val="en-US"/>
        </w:rPr>
        <w:t>)</w:t>
      </w:r>
      <w:r>
        <w:rPr>
          <w:rFonts w:ascii="Arial Narrow" w:hAnsi="Arial Narrow" w:cs="Arial"/>
          <w:color w:val="5F5F5F"/>
          <w:kern w:val="0"/>
          <w:lang w:val="en-US"/>
        </w:rPr>
        <w:t xml:space="preserve"> </w:t>
      </w:r>
    </w:p>
    <w:tbl>
      <w:tblPr>
        <w:tblW w:w="9989" w:type="dxa"/>
        <w:tblInd w:w="70" w:type="dxa"/>
        <w:tblBorders>
          <w:top w:val="single" w:sz="4" w:space="0" w:color="auto"/>
          <w:bottom w:val="single" w:sz="4" w:space="0" w:color="auto"/>
          <w:insideH w:val="single" w:sz="4" w:space="0" w:color="auto"/>
        </w:tblBorders>
        <w:tblLayout w:type="fixed"/>
        <w:tblCellMar>
          <w:left w:w="70" w:type="dxa"/>
          <w:right w:w="0" w:type="dxa"/>
        </w:tblCellMar>
        <w:tblLook w:val="0000" w:firstRow="0" w:lastRow="0" w:firstColumn="0" w:lastColumn="0" w:noHBand="0" w:noVBand="0"/>
      </w:tblPr>
      <w:tblGrid>
        <w:gridCol w:w="4746"/>
        <w:gridCol w:w="991"/>
        <w:gridCol w:w="851"/>
        <w:gridCol w:w="850"/>
        <w:gridCol w:w="857"/>
        <w:gridCol w:w="841"/>
        <w:gridCol w:w="844"/>
        <w:gridCol w:w="9"/>
      </w:tblGrid>
      <w:tr w:rsidR="00550724" w:rsidRPr="00C8186C" w:rsidTr="008E35B2">
        <w:trPr>
          <w:gridAfter w:val="1"/>
          <w:wAfter w:w="9" w:type="dxa"/>
          <w:trHeight w:val="135"/>
        </w:trPr>
        <w:tc>
          <w:tcPr>
            <w:tcW w:w="4746" w:type="dxa"/>
            <w:vMerge w:val="restart"/>
            <w:vAlign w:val="center"/>
          </w:tcPr>
          <w:p w:rsidR="00550724" w:rsidRPr="001855B7" w:rsidRDefault="00550724" w:rsidP="008E35B2">
            <w:pPr>
              <w:spacing w:before="40" w:after="20"/>
              <w:ind w:left="-57"/>
              <w:rPr>
                <w:rFonts w:ascii="Arial Narrow" w:hAnsi="Arial Narrow" w:cs="Arial"/>
                <w:bCs/>
                <w:sz w:val="18"/>
                <w:szCs w:val="18"/>
              </w:rPr>
            </w:pPr>
            <w:r>
              <w:rPr>
                <w:rFonts w:ascii="Arial Narrow" w:hAnsi="Arial Narrow" w:cs="Arial"/>
                <w:b/>
                <w:bCs/>
                <w:sz w:val="18"/>
                <w:szCs w:val="18"/>
              </w:rPr>
              <w:t>DIVISIONS</w:t>
            </w:r>
          </w:p>
        </w:tc>
        <w:tc>
          <w:tcPr>
            <w:tcW w:w="991" w:type="dxa"/>
            <w:vMerge w:val="restart"/>
            <w:shd w:val="clear" w:color="auto" w:fill="D9D9D9" w:themeFill="background1" w:themeFillShade="D9"/>
            <w:vAlign w:val="center"/>
          </w:tcPr>
          <w:p w:rsidR="00550724" w:rsidRPr="001855B7" w:rsidRDefault="00550724" w:rsidP="008E35B2">
            <w:pPr>
              <w:spacing w:before="40" w:after="20"/>
              <w:ind w:right="57" w:hanging="52"/>
              <w:jc w:val="right"/>
              <w:rPr>
                <w:rFonts w:ascii="Arial Narrow" w:hAnsi="Arial Narrow" w:cs="Arial"/>
                <w:b/>
                <w:bCs/>
                <w:sz w:val="18"/>
                <w:szCs w:val="18"/>
                <w:highlight w:val="yellow"/>
              </w:rPr>
            </w:pPr>
            <w:r w:rsidRPr="001855B7">
              <w:rPr>
                <w:rFonts w:ascii="Arial Narrow" w:hAnsi="Arial Narrow" w:cs="Arial"/>
                <w:b/>
                <w:bCs/>
                <w:sz w:val="18"/>
                <w:szCs w:val="18"/>
                <w:lang w:val="en-GB"/>
              </w:rPr>
              <w:t>Weights</w:t>
            </w:r>
          </w:p>
        </w:tc>
        <w:tc>
          <w:tcPr>
            <w:tcW w:w="851" w:type="dxa"/>
            <w:vMerge w:val="restart"/>
            <w:shd w:val="clear" w:color="auto" w:fill="FFFFFF"/>
            <w:vAlign w:val="center"/>
          </w:tcPr>
          <w:p w:rsidR="00550724" w:rsidRPr="001855B7" w:rsidRDefault="00550724" w:rsidP="008E35B2">
            <w:pPr>
              <w:tabs>
                <w:tab w:val="left" w:pos="5093"/>
              </w:tabs>
              <w:spacing w:before="40" w:after="20"/>
              <w:ind w:left="-70" w:right="57" w:firstLine="70"/>
              <w:jc w:val="right"/>
              <w:rPr>
                <w:rFonts w:ascii="Arial Narrow" w:hAnsi="Arial Narrow" w:cs="Arial"/>
                <w:b/>
                <w:bCs/>
                <w:sz w:val="18"/>
                <w:szCs w:val="18"/>
                <w:highlight w:val="yellow"/>
              </w:rPr>
            </w:pPr>
            <w:r w:rsidRPr="001855B7">
              <w:rPr>
                <w:rFonts w:ascii="Arial Narrow" w:hAnsi="Arial Narrow" w:cs="Arial"/>
                <w:b/>
                <w:bCs/>
                <w:sz w:val="18"/>
                <w:szCs w:val="18"/>
                <w:lang w:val="en-GB"/>
              </w:rPr>
              <w:t>Indices</w:t>
            </w:r>
          </w:p>
        </w:tc>
        <w:tc>
          <w:tcPr>
            <w:tcW w:w="1707" w:type="dxa"/>
            <w:gridSpan w:val="2"/>
            <w:shd w:val="clear" w:color="auto" w:fill="D9D9D9"/>
            <w:tcMar>
              <w:right w:w="113" w:type="dxa"/>
            </w:tcMar>
            <w:vAlign w:val="center"/>
          </w:tcPr>
          <w:p w:rsidR="00550724" w:rsidRDefault="00550724" w:rsidP="008E35B2">
            <w:pPr>
              <w:tabs>
                <w:tab w:val="left" w:pos="0"/>
                <w:tab w:val="left" w:pos="5093"/>
              </w:tabs>
              <w:spacing w:before="40" w:after="20"/>
              <w:jc w:val="center"/>
              <w:rPr>
                <w:rFonts w:ascii="Arial Narrow" w:hAnsi="Arial Narrow" w:cs="Arial"/>
                <w:b/>
                <w:bCs/>
                <w:sz w:val="18"/>
                <w:szCs w:val="18"/>
                <w:lang w:val="en-US"/>
              </w:rPr>
            </w:pPr>
            <w:r w:rsidRPr="00B5282C">
              <w:rPr>
                <w:rFonts w:ascii="Arial Narrow" w:hAnsi="Arial Narrow" w:cs="Arial"/>
                <w:b/>
                <w:bCs/>
                <w:sz w:val="18"/>
                <w:szCs w:val="18"/>
                <w:lang w:val="en-US"/>
              </w:rPr>
              <w:t xml:space="preserve">Month on </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previous month</w:t>
            </w:r>
          </w:p>
        </w:tc>
        <w:tc>
          <w:tcPr>
            <w:tcW w:w="1685" w:type="dxa"/>
            <w:gridSpan w:val="2"/>
            <w:vAlign w:val="center"/>
          </w:tcPr>
          <w:p w:rsidR="00550724" w:rsidRDefault="00550724" w:rsidP="008E35B2">
            <w:pPr>
              <w:tabs>
                <w:tab w:val="left" w:pos="5093"/>
              </w:tabs>
              <w:spacing w:before="40" w:after="20"/>
              <w:jc w:val="center"/>
              <w:rPr>
                <w:rFonts w:ascii="Arial Narrow" w:hAnsi="Arial Narrow" w:cs="Arial"/>
                <w:b/>
                <w:bCs/>
                <w:sz w:val="18"/>
                <w:szCs w:val="18"/>
                <w:lang w:val="en-US"/>
              </w:rPr>
            </w:pPr>
            <w:r>
              <w:rPr>
                <w:rFonts w:ascii="Arial Narrow" w:hAnsi="Arial Narrow" w:cs="Arial"/>
                <w:b/>
                <w:bCs/>
                <w:sz w:val="18"/>
                <w:szCs w:val="18"/>
                <w:lang w:val="en-US"/>
              </w:rPr>
              <w:t>M</w:t>
            </w:r>
            <w:r w:rsidRPr="00B5282C">
              <w:rPr>
                <w:rFonts w:ascii="Arial Narrow" w:hAnsi="Arial Narrow" w:cs="Arial"/>
                <w:b/>
                <w:bCs/>
                <w:sz w:val="18"/>
                <w:szCs w:val="18"/>
                <w:lang w:val="en-US"/>
              </w:rPr>
              <w:t>onth on same month</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a year ago</w:t>
            </w:r>
          </w:p>
        </w:tc>
      </w:tr>
      <w:tr w:rsidR="007A3705" w:rsidRPr="00814C2B" w:rsidTr="008E35B2">
        <w:trPr>
          <w:trHeight w:val="135"/>
        </w:trPr>
        <w:tc>
          <w:tcPr>
            <w:tcW w:w="4746" w:type="dxa"/>
            <w:vMerge/>
            <w:vAlign w:val="center"/>
          </w:tcPr>
          <w:p w:rsidR="007A3705" w:rsidRPr="00765292" w:rsidRDefault="007A3705" w:rsidP="007A3705">
            <w:pPr>
              <w:spacing w:before="40" w:after="20"/>
              <w:ind w:left="-57"/>
              <w:rPr>
                <w:rFonts w:ascii="Arial Narrow" w:hAnsi="Arial Narrow" w:cs="Arial"/>
                <w:b/>
                <w:bCs/>
                <w:sz w:val="18"/>
                <w:szCs w:val="18"/>
                <w:lang w:val="en-US"/>
              </w:rPr>
            </w:pPr>
          </w:p>
        </w:tc>
        <w:tc>
          <w:tcPr>
            <w:tcW w:w="991" w:type="dxa"/>
            <w:vMerge/>
            <w:shd w:val="clear" w:color="auto" w:fill="D9D9D9" w:themeFill="background1" w:themeFillShade="D9"/>
            <w:vAlign w:val="center"/>
          </w:tcPr>
          <w:p w:rsidR="007A3705" w:rsidRPr="001855B7" w:rsidRDefault="007A3705" w:rsidP="007A3705">
            <w:pPr>
              <w:spacing w:before="40" w:after="20"/>
              <w:ind w:right="57" w:hanging="52"/>
              <w:jc w:val="right"/>
              <w:rPr>
                <w:rFonts w:ascii="Arial Narrow" w:hAnsi="Arial Narrow" w:cs="Arial"/>
                <w:b/>
                <w:bCs/>
                <w:sz w:val="18"/>
                <w:szCs w:val="18"/>
                <w:lang w:val="en-GB"/>
              </w:rPr>
            </w:pPr>
          </w:p>
        </w:tc>
        <w:tc>
          <w:tcPr>
            <w:tcW w:w="851" w:type="dxa"/>
            <w:vMerge/>
            <w:shd w:val="clear" w:color="auto" w:fill="FFFFFF"/>
            <w:vAlign w:val="center"/>
          </w:tcPr>
          <w:p w:rsidR="007A3705" w:rsidRPr="001855B7" w:rsidRDefault="007A3705" w:rsidP="007A3705">
            <w:pPr>
              <w:tabs>
                <w:tab w:val="left" w:pos="5093"/>
              </w:tabs>
              <w:spacing w:before="40" w:after="20"/>
              <w:ind w:left="-70" w:right="57" w:firstLine="70"/>
              <w:jc w:val="right"/>
              <w:rPr>
                <w:rFonts w:ascii="Arial Narrow" w:hAnsi="Arial Narrow" w:cs="Arial"/>
                <w:b/>
                <w:bCs/>
                <w:sz w:val="18"/>
                <w:szCs w:val="18"/>
                <w:lang w:val="en-GB"/>
              </w:rPr>
            </w:pPr>
          </w:p>
        </w:tc>
        <w:tc>
          <w:tcPr>
            <w:tcW w:w="850" w:type="dxa"/>
            <w:tcMar>
              <w:right w:w="113" w:type="dxa"/>
            </w:tcMar>
            <w:vAlign w:val="center"/>
          </w:tcPr>
          <w:p w:rsidR="007A3705" w:rsidRPr="00E709A6" w:rsidRDefault="008D5979" w:rsidP="007A370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7A3705">
              <w:rPr>
                <w:rFonts w:ascii="Arial Narrow" w:hAnsi="Arial Narrow" w:cs="Arial"/>
                <w:bCs/>
                <w:snapToGrid w:val="0"/>
                <w:sz w:val="18"/>
                <w:szCs w:val="18"/>
                <w:u w:val="single"/>
                <w:lang w:val="en-US"/>
              </w:rPr>
              <w:t>-24</w:t>
            </w:r>
          </w:p>
          <w:p w:rsidR="007A3705" w:rsidRPr="00E709A6" w:rsidRDefault="008D5979" w:rsidP="007A370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7A3705" w:rsidRPr="00E709A6">
              <w:rPr>
                <w:rFonts w:ascii="Arial Narrow" w:hAnsi="Arial Narrow" w:cs="Arial"/>
                <w:bCs/>
                <w:snapToGrid w:val="0"/>
                <w:sz w:val="18"/>
                <w:szCs w:val="18"/>
                <w:lang w:val="en-US"/>
              </w:rPr>
              <w:t>-</w:t>
            </w:r>
            <w:r w:rsidR="007A3705">
              <w:rPr>
                <w:rFonts w:ascii="Arial Narrow" w:hAnsi="Arial Narrow" w:cs="Arial"/>
                <w:bCs/>
                <w:snapToGrid w:val="0"/>
                <w:sz w:val="18"/>
                <w:szCs w:val="18"/>
                <w:lang w:val="en-US"/>
              </w:rPr>
              <w:t>24</w:t>
            </w:r>
          </w:p>
        </w:tc>
        <w:tc>
          <w:tcPr>
            <w:tcW w:w="857" w:type="dxa"/>
            <w:vAlign w:val="center"/>
          </w:tcPr>
          <w:p w:rsidR="007A3705" w:rsidRPr="00E709A6" w:rsidRDefault="008D5979" w:rsidP="007A370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7A3705">
              <w:rPr>
                <w:rFonts w:ascii="Arial Narrow" w:hAnsi="Arial Narrow" w:cs="Arial"/>
                <w:bCs/>
                <w:snapToGrid w:val="0"/>
                <w:sz w:val="18"/>
                <w:szCs w:val="18"/>
                <w:u w:val="single"/>
                <w:lang w:val="en-US"/>
              </w:rPr>
              <w:t>-23</w:t>
            </w:r>
          </w:p>
          <w:p w:rsidR="007A3705" w:rsidRPr="00E709A6" w:rsidRDefault="008D5979" w:rsidP="007A370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7A3705" w:rsidRPr="00E709A6">
              <w:rPr>
                <w:rFonts w:ascii="Arial Narrow" w:hAnsi="Arial Narrow" w:cs="Arial"/>
                <w:bCs/>
                <w:snapToGrid w:val="0"/>
                <w:sz w:val="18"/>
                <w:szCs w:val="18"/>
                <w:lang w:val="en-US"/>
              </w:rPr>
              <w:t>-</w:t>
            </w:r>
            <w:r w:rsidR="007A3705">
              <w:rPr>
                <w:rFonts w:ascii="Arial Narrow" w:hAnsi="Arial Narrow" w:cs="Arial"/>
                <w:bCs/>
                <w:snapToGrid w:val="0"/>
                <w:sz w:val="18"/>
                <w:szCs w:val="18"/>
                <w:lang w:val="en-US"/>
              </w:rPr>
              <w:t>23</w:t>
            </w:r>
          </w:p>
        </w:tc>
        <w:tc>
          <w:tcPr>
            <w:tcW w:w="841" w:type="dxa"/>
            <w:vAlign w:val="center"/>
          </w:tcPr>
          <w:p w:rsidR="007A3705" w:rsidRPr="00E709A6" w:rsidRDefault="008D5979" w:rsidP="007A370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w:t>
            </w:r>
            <w:r w:rsidR="007A3705">
              <w:rPr>
                <w:rFonts w:ascii="Arial Narrow" w:hAnsi="Arial Narrow" w:cs="Arial"/>
                <w:bCs/>
                <w:snapToGrid w:val="0"/>
                <w:sz w:val="18"/>
                <w:szCs w:val="18"/>
                <w:u w:val="single"/>
                <w:lang w:val="en-US"/>
              </w:rPr>
              <w:t>-24</w:t>
            </w:r>
          </w:p>
          <w:p w:rsidR="007A3705" w:rsidRPr="00E709A6" w:rsidRDefault="008D5979" w:rsidP="007A370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Jul</w:t>
            </w:r>
            <w:r w:rsidR="007A3705">
              <w:rPr>
                <w:rFonts w:ascii="Arial Narrow" w:hAnsi="Arial Narrow" w:cs="Arial"/>
                <w:bCs/>
                <w:snapToGrid w:val="0"/>
                <w:sz w:val="18"/>
                <w:szCs w:val="18"/>
                <w:lang w:val="en-US"/>
              </w:rPr>
              <w:t>-23</w:t>
            </w:r>
          </w:p>
        </w:tc>
        <w:tc>
          <w:tcPr>
            <w:tcW w:w="853" w:type="dxa"/>
            <w:gridSpan w:val="2"/>
            <w:vAlign w:val="center"/>
          </w:tcPr>
          <w:p w:rsidR="007A3705" w:rsidRPr="00E709A6" w:rsidRDefault="008D5979" w:rsidP="007A370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Jun</w:t>
            </w:r>
            <w:r w:rsidR="007A3705">
              <w:rPr>
                <w:rFonts w:ascii="Arial Narrow" w:hAnsi="Arial Narrow" w:cs="Arial"/>
                <w:bCs/>
                <w:snapToGrid w:val="0"/>
                <w:sz w:val="18"/>
                <w:szCs w:val="18"/>
                <w:u w:val="single"/>
                <w:lang w:val="en-US"/>
              </w:rPr>
              <w:t>-24</w:t>
            </w:r>
          </w:p>
          <w:p w:rsidR="007A3705" w:rsidRPr="00A31C16" w:rsidRDefault="008D5979" w:rsidP="007A3705">
            <w:pPr>
              <w:tabs>
                <w:tab w:val="left" w:pos="5093"/>
              </w:tabs>
              <w:spacing w:before="40" w:after="20"/>
              <w:ind w:left="57"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007A3705">
              <w:rPr>
                <w:rFonts w:ascii="Arial Narrow" w:hAnsi="Arial Narrow" w:cs="Arial"/>
                <w:bCs/>
                <w:snapToGrid w:val="0"/>
                <w:sz w:val="18"/>
                <w:szCs w:val="18"/>
                <w:lang w:val="en-US"/>
              </w:rPr>
              <w:t>-23</w:t>
            </w:r>
          </w:p>
        </w:tc>
      </w:tr>
      <w:tr w:rsidR="00B47387" w:rsidRPr="00DF6A34"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Food and non-alcoholic beverages</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181,801</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130.4</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-0.3</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+0.1</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+1.2</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+1.6</w:t>
            </w:r>
          </w:p>
        </w:tc>
      </w:tr>
      <w:tr w:rsidR="00B47387" w:rsidRPr="003644F4"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Alcoholic beverages, tobacco</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30,710</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118.2</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0.0</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-0.3</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+2.5</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+2.2</w:t>
            </w:r>
          </w:p>
        </w:tc>
      </w:tr>
      <w:tr w:rsidR="00B47387" w:rsidRPr="003644F4"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Clothing and footwear</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68,113</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98.5</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-16.9</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-19.8</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+4.8</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+1.1</w:t>
            </w:r>
          </w:p>
        </w:tc>
      </w:tr>
      <w:tr w:rsidR="00B47387" w:rsidRPr="00DF6A34"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Housing, water, electricity, gas and other fuels</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119,033</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142.4</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+2.8</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-1.4</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-2.3</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-6.2</w:t>
            </w:r>
          </w:p>
        </w:tc>
      </w:tr>
      <w:tr w:rsidR="00B47387" w:rsidRPr="00DF6A34"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Furnishings, household equipment and routine household maintenance</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73,907</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113.9</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-0.5</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-0.3</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+0.4</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+0.6</w:t>
            </w:r>
          </w:p>
        </w:tc>
      </w:tr>
      <w:tr w:rsidR="00B47387" w:rsidRPr="00E92583"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Health</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41,976</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109.4</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0.0</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+0.1</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+2.1</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+2.2</w:t>
            </w:r>
          </w:p>
        </w:tc>
      </w:tr>
      <w:tr w:rsidR="00B47387" w:rsidRPr="00756405"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Transport</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155,471</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125.1</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+0.5</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+0.5</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+1.6</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+1.6</w:t>
            </w:r>
          </w:p>
        </w:tc>
      </w:tr>
      <w:tr w:rsidR="00B47387" w:rsidRPr="00756405"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Communication</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23,103</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73.3</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-0.8</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-0.8</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-5.5</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-5.5</w:t>
            </w:r>
          </w:p>
        </w:tc>
      </w:tr>
      <w:tr w:rsidR="00B47387" w:rsidRPr="00756405"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Recreation and culture</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68,446</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112.0</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+1.2</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+0.1</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+2.7</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+1.6</w:t>
            </w:r>
          </w:p>
        </w:tc>
      </w:tr>
      <w:tr w:rsidR="00B47387" w:rsidRPr="00756405"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Education</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9,450</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83.7</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0.0</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0.0</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+1.9</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+1.9</w:t>
            </w:r>
          </w:p>
        </w:tc>
      </w:tr>
      <w:tr w:rsidR="00B47387" w:rsidRPr="00756405"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Restaurants and hotels</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124,756</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129.8</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+0.5</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+0.4</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+4.3</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+4.3</w:t>
            </w:r>
          </w:p>
        </w:tc>
      </w:tr>
      <w:tr w:rsidR="00B47387" w:rsidRPr="00281181" w:rsidTr="00BE19BF">
        <w:trPr>
          <w:trHeight w:val="255"/>
        </w:trPr>
        <w:tc>
          <w:tcPr>
            <w:tcW w:w="4746" w:type="dxa"/>
            <w:vAlign w:val="center"/>
          </w:tcPr>
          <w:p w:rsidR="00B47387" w:rsidRPr="005169F8" w:rsidRDefault="00B47387" w:rsidP="00B47387">
            <w:pPr>
              <w:spacing w:before="40" w:after="20"/>
              <w:ind w:left="4"/>
              <w:rPr>
                <w:rFonts w:ascii="Arial Narrow" w:hAnsi="Arial Narrow" w:cs="Arial"/>
                <w:sz w:val="18"/>
                <w:szCs w:val="18"/>
                <w:lang w:val="en-GB"/>
              </w:rPr>
            </w:pPr>
            <w:r w:rsidRPr="005169F8">
              <w:rPr>
                <w:rFonts w:ascii="Arial Narrow" w:hAnsi="Arial Narrow" w:cs="Arial"/>
                <w:sz w:val="18"/>
                <w:szCs w:val="18"/>
                <w:lang w:val="en-GB"/>
              </w:rPr>
              <w:t>Miscellaneous goods and services</w:t>
            </w:r>
          </w:p>
        </w:tc>
        <w:tc>
          <w:tcPr>
            <w:tcW w:w="991" w:type="dxa"/>
            <w:shd w:val="clear" w:color="auto" w:fill="D9D9D9"/>
            <w:vAlign w:val="bottom"/>
          </w:tcPr>
          <w:p w:rsidR="00B47387" w:rsidRPr="0031000F" w:rsidRDefault="00B47387" w:rsidP="00B47387">
            <w:pPr>
              <w:spacing w:before="40" w:after="20"/>
              <w:ind w:right="57"/>
              <w:jc w:val="right"/>
              <w:rPr>
                <w:rFonts w:ascii="Arial Narrow" w:hAnsi="Arial Narrow" w:cs="Arial"/>
                <w:sz w:val="18"/>
                <w:szCs w:val="18"/>
                <w:lang w:val="en-GB"/>
              </w:rPr>
            </w:pPr>
            <w:r w:rsidRPr="0031000F">
              <w:rPr>
                <w:rFonts w:ascii="Arial Narrow" w:hAnsi="Arial Narrow" w:cs="Arial"/>
                <w:sz w:val="18"/>
                <w:szCs w:val="18"/>
                <w:lang w:val="en-GB"/>
              </w:rPr>
              <w:t>103,234</w:t>
            </w:r>
          </w:p>
        </w:tc>
        <w:tc>
          <w:tcPr>
            <w:tcW w:w="851" w:type="dxa"/>
            <w:shd w:val="clear" w:color="auto" w:fill="FFFFFF"/>
            <w:vAlign w:val="bottom"/>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117.6</w:t>
            </w:r>
          </w:p>
        </w:tc>
        <w:tc>
          <w:tcPr>
            <w:tcW w:w="850" w:type="dxa"/>
            <w:shd w:val="clear" w:color="auto" w:fill="D9D9D9"/>
            <w:tcMar>
              <w:right w:w="113"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-0.3</w:t>
            </w:r>
          </w:p>
        </w:tc>
        <w:tc>
          <w:tcPr>
            <w:tcW w:w="857" w:type="dxa"/>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-0.1</w:t>
            </w:r>
          </w:p>
        </w:tc>
        <w:tc>
          <w:tcPr>
            <w:tcW w:w="841" w:type="dxa"/>
            <w:shd w:val="clear" w:color="auto" w:fill="D9D9D9"/>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+2.3</w:t>
            </w:r>
          </w:p>
        </w:tc>
        <w:tc>
          <w:tcPr>
            <w:tcW w:w="853" w:type="dxa"/>
            <w:gridSpan w:val="2"/>
            <w:tcMar>
              <w:right w:w="68" w:type="dxa"/>
            </w:tcMar>
            <w:vAlign w:val="center"/>
          </w:tcPr>
          <w:p w:rsidR="00B47387" w:rsidRPr="00B47387" w:rsidRDefault="00B47387" w:rsidP="00B47387">
            <w:pPr>
              <w:spacing w:before="40" w:after="20"/>
              <w:ind w:right="57"/>
              <w:jc w:val="right"/>
              <w:rPr>
                <w:rFonts w:ascii="Arial Narrow" w:hAnsi="Arial Narrow" w:cs="Arial"/>
                <w:sz w:val="18"/>
                <w:szCs w:val="18"/>
                <w:lang w:val="en-GB"/>
              </w:rPr>
            </w:pPr>
            <w:r w:rsidRPr="00B47387">
              <w:rPr>
                <w:rFonts w:ascii="Arial Narrow" w:hAnsi="Arial Narrow" w:cs="Arial"/>
                <w:sz w:val="18"/>
                <w:szCs w:val="18"/>
                <w:lang w:val="en-GB"/>
              </w:rPr>
              <w:t>+2.6</w:t>
            </w:r>
          </w:p>
        </w:tc>
      </w:tr>
      <w:tr w:rsidR="00B47387" w:rsidRPr="006A2F44" w:rsidTr="00BE19BF">
        <w:trPr>
          <w:trHeight w:val="255"/>
        </w:trPr>
        <w:tc>
          <w:tcPr>
            <w:tcW w:w="4746" w:type="dxa"/>
            <w:shd w:val="clear" w:color="auto" w:fill="E42618"/>
            <w:vAlign w:val="center"/>
          </w:tcPr>
          <w:p w:rsidR="00B47387" w:rsidRPr="006A2F44" w:rsidRDefault="00B47387" w:rsidP="00B47387">
            <w:pPr>
              <w:spacing w:before="40" w:after="20"/>
              <w:ind w:hanging="70"/>
              <w:rPr>
                <w:rFonts w:ascii="Arial Narrow" w:hAnsi="Arial Narrow" w:cs="Arial"/>
                <w:b/>
                <w:bCs/>
                <w:color w:val="FFFFFF" w:themeColor="background1"/>
                <w:sz w:val="18"/>
                <w:szCs w:val="18"/>
                <w:lang w:val="en-US"/>
              </w:rPr>
            </w:pPr>
            <w:r w:rsidRPr="006A2F44">
              <w:rPr>
                <w:rFonts w:ascii="Arial Narrow" w:hAnsi="Arial Narrow" w:cs="Arial"/>
                <w:b/>
                <w:bCs/>
                <w:color w:val="FFFFFF" w:themeColor="background1"/>
                <w:sz w:val="18"/>
                <w:szCs w:val="18"/>
                <w:lang w:val="en-US"/>
              </w:rPr>
              <w:t>ALL ITEMS</w:t>
            </w:r>
          </w:p>
        </w:tc>
        <w:tc>
          <w:tcPr>
            <w:tcW w:w="991" w:type="dxa"/>
            <w:shd w:val="clear" w:color="auto" w:fill="E42618"/>
            <w:vAlign w:val="bottom"/>
          </w:tcPr>
          <w:p w:rsidR="00B47387" w:rsidRPr="0031000F" w:rsidRDefault="00B47387" w:rsidP="00B47387">
            <w:pPr>
              <w:spacing w:before="40" w:after="20"/>
              <w:ind w:right="57"/>
              <w:jc w:val="right"/>
              <w:rPr>
                <w:rFonts w:ascii="Arial Narrow" w:hAnsi="Arial Narrow" w:cs="Arial"/>
                <w:b/>
                <w:color w:val="FFFFFF" w:themeColor="background1"/>
                <w:sz w:val="18"/>
                <w:szCs w:val="18"/>
                <w:lang w:val="en-GB"/>
              </w:rPr>
            </w:pPr>
            <w:r w:rsidRPr="0031000F">
              <w:rPr>
                <w:rFonts w:ascii="Arial Narrow" w:hAnsi="Arial Narrow" w:cs="Arial"/>
                <w:b/>
                <w:color w:val="FFFFFF" w:themeColor="background1"/>
                <w:sz w:val="18"/>
                <w:szCs w:val="18"/>
                <w:lang w:val="en-GB"/>
              </w:rPr>
              <w:t>1,000,000</w:t>
            </w:r>
          </w:p>
        </w:tc>
        <w:tc>
          <w:tcPr>
            <w:tcW w:w="851" w:type="dxa"/>
            <w:shd w:val="clear" w:color="auto" w:fill="E42618"/>
            <w:vAlign w:val="bottom"/>
          </w:tcPr>
          <w:p w:rsidR="00B47387" w:rsidRPr="00B47387" w:rsidRDefault="00B47387" w:rsidP="00B47387">
            <w:pPr>
              <w:spacing w:before="40" w:after="20"/>
              <w:ind w:right="57"/>
              <w:jc w:val="right"/>
              <w:rPr>
                <w:rFonts w:ascii="Arial Narrow" w:hAnsi="Arial Narrow" w:cs="Arial"/>
                <w:b/>
                <w:color w:val="FFFFFF" w:themeColor="background1"/>
                <w:sz w:val="18"/>
                <w:szCs w:val="18"/>
                <w:lang w:val="en-GB"/>
              </w:rPr>
            </w:pPr>
            <w:r w:rsidRPr="00B47387">
              <w:rPr>
                <w:rFonts w:ascii="Arial Narrow" w:hAnsi="Arial Narrow" w:cs="Arial"/>
                <w:b/>
                <w:color w:val="FFFFFF" w:themeColor="background1"/>
                <w:sz w:val="18"/>
                <w:szCs w:val="18"/>
                <w:lang w:val="en-GB"/>
              </w:rPr>
              <w:t>121.9</w:t>
            </w:r>
          </w:p>
        </w:tc>
        <w:tc>
          <w:tcPr>
            <w:tcW w:w="850" w:type="dxa"/>
            <w:shd w:val="clear" w:color="auto" w:fill="E42618"/>
            <w:tcMar>
              <w:right w:w="113" w:type="dxa"/>
            </w:tcMar>
            <w:vAlign w:val="center"/>
          </w:tcPr>
          <w:p w:rsidR="00B47387" w:rsidRPr="00B47387" w:rsidRDefault="00B47387" w:rsidP="00B47387">
            <w:pPr>
              <w:spacing w:before="40" w:after="20"/>
              <w:ind w:right="57"/>
              <w:jc w:val="right"/>
              <w:rPr>
                <w:rFonts w:ascii="Arial Narrow" w:hAnsi="Arial Narrow" w:cs="Arial"/>
                <w:b/>
                <w:color w:val="FFFFFF" w:themeColor="background1"/>
                <w:sz w:val="18"/>
                <w:szCs w:val="18"/>
                <w:lang w:val="en-GB"/>
              </w:rPr>
            </w:pPr>
            <w:r w:rsidRPr="00B47387">
              <w:rPr>
                <w:rFonts w:ascii="Arial Narrow" w:hAnsi="Arial Narrow" w:cs="Arial"/>
                <w:b/>
                <w:color w:val="FFFFFF" w:themeColor="background1"/>
                <w:sz w:val="18"/>
                <w:szCs w:val="18"/>
                <w:lang w:val="en-GB"/>
              </w:rPr>
              <w:t>-0.8</w:t>
            </w:r>
          </w:p>
        </w:tc>
        <w:tc>
          <w:tcPr>
            <w:tcW w:w="857" w:type="dxa"/>
            <w:shd w:val="clear" w:color="auto" w:fill="E42618"/>
            <w:vAlign w:val="center"/>
          </w:tcPr>
          <w:p w:rsidR="00B47387" w:rsidRPr="00B47387" w:rsidRDefault="00B47387" w:rsidP="00B47387">
            <w:pPr>
              <w:spacing w:before="40" w:after="20"/>
              <w:ind w:right="57"/>
              <w:jc w:val="right"/>
              <w:rPr>
                <w:rFonts w:ascii="Arial Narrow" w:hAnsi="Arial Narrow" w:cs="Arial"/>
                <w:b/>
                <w:color w:val="FFFFFF" w:themeColor="background1"/>
                <w:sz w:val="18"/>
                <w:szCs w:val="18"/>
                <w:lang w:val="en-GB"/>
              </w:rPr>
            </w:pPr>
            <w:r w:rsidRPr="00B47387">
              <w:rPr>
                <w:rFonts w:ascii="Arial Narrow" w:hAnsi="Arial Narrow" w:cs="Arial"/>
                <w:b/>
                <w:color w:val="FFFFFF" w:themeColor="background1"/>
                <w:sz w:val="18"/>
                <w:szCs w:val="18"/>
                <w:lang w:val="en-GB"/>
              </w:rPr>
              <w:t>-1.6</w:t>
            </w:r>
          </w:p>
        </w:tc>
        <w:tc>
          <w:tcPr>
            <w:tcW w:w="841" w:type="dxa"/>
            <w:shd w:val="clear" w:color="auto" w:fill="E42618"/>
            <w:vAlign w:val="center"/>
          </w:tcPr>
          <w:p w:rsidR="00B47387" w:rsidRPr="00B47387" w:rsidRDefault="00B47387" w:rsidP="00B47387">
            <w:pPr>
              <w:spacing w:before="40" w:after="20"/>
              <w:ind w:right="57"/>
              <w:jc w:val="right"/>
              <w:rPr>
                <w:rFonts w:ascii="Arial Narrow" w:hAnsi="Arial Narrow" w:cs="Arial"/>
                <w:b/>
                <w:color w:val="FFFFFF" w:themeColor="background1"/>
                <w:sz w:val="18"/>
                <w:szCs w:val="18"/>
                <w:lang w:val="en-GB"/>
              </w:rPr>
            </w:pPr>
            <w:r w:rsidRPr="00B47387">
              <w:rPr>
                <w:rFonts w:ascii="Arial Narrow" w:hAnsi="Arial Narrow" w:cs="Arial"/>
                <w:b/>
                <w:color w:val="FFFFFF" w:themeColor="background1"/>
                <w:sz w:val="18"/>
                <w:szCs w:val="18"/>
                <w:lang w:val="en-GB"/>
              </w:rPr>
              <w:t>+1.7</w:t>
            </w:r>
          </w:p>
        </w:tc>
        <w:tc>
          <w:tcPr>
            <w:tcW w:w="853" w:type="dxa"/>
            <w:gridSpan w:val="2"/>
            <w:shd w:val="clear" w:color="auto" w:fill="E42618"/>
            <w:tcMar>
              <w:right w:w="68" w:type="dxa"/>
            </w:tcMar>
            <w:vAlign w:val="center"/>
          </w:tcPr>
          <w:p w:rsidR="00B47387" w:rsidRPr="00B47387" w:rsidRDefault="00B47387" w:rsidP="00B47387">
            <w:pPr>
              <w:spacing w:before="40" w:after="20"/>
              <w:ind w:right="57"/>
              <w:jc w:val="right"/>
              <w:rPr>
                <w:rFonts w:ascii="Arial Narrow" w:hAnsi="Arial Narrow" w:cs="Arial"/>
                <w:b/>
                <w:color w:val="FFFFFF" w:themeColor="background1"/>
                <w:sz w:val="18"/>
                <w:szCs w:val="18"/>
                <w:lang w:val="en-GB"/>
              </w:rPr>
            </w:pPr>
            <w:r w:rsidRPr="00B47387">
              <w:rPr>
                <w:rFonts w:ascii="Arial Narrow" w:hAnsi="Arial Narrow" w:cs="Arial"/>
                <w:b/>
                <w:color w:val="FFFFFF" w:themeColor="background1"/>
                <w:sz w:val="18"/>
                <w:szCs w:val="18"/>
                <w:lang w:val="en-GB"/>
              </w:rPr>
              <w:t>+0.9</w:t>
            </w:r>
          </w:p>
        </w:tc>
      </w:tr>
    </w:tbl>
    <w:p w:rsidR="00571CB6" w:rsidRPr="00617D27" w:rsidRDefault="00571CB6" w:rsidP="00571CB6">
      <w:pPr>
        <w:spacing w:after="120"/>
        <w:jc w:val="both"/>
        <w:rPr>
          <w:rFonts w:ascii="Arial Narrow" w:hAnsi="Arial Narrow" w:cs="Arial"/>
          <w:b/>
          <w:bCs/>
          <w:color w:val="FFFFFF" w:themeColor="background1"/>
          <w:sz w:val="4"/>
          <w:szCs w:val="22"/>
          <w:lang w:val="en-US"/>
        </w:rPr>
      </w:pPr>
    </w:p>
    <w:p w:rsidR="00571CB6" w:rsidRDefault="00571CB6" w:rsidP="00571CB6">
      <w:pPr>
        <w:spacing w:after="120"/>
        <w:jc w:val="both"/>
        <w:rPr>
          <w:rFonts w:ascii="Arial Narrow" w:hAnsi="Arial Narrow" w:cs="Arial"/>
          <w:b/>
          <w:bCs/>
          <w:color w:val="E42618"/>
          <w:sz w:val="22"/>
          <w:szCs w:val="22"/>
          <w:lang w:val="en-US"/>
        </w:rPr>
      </w:pPr>
    </w:p>
    <w:p w:rsidR="00571CB6" w:rsidRPr="008D3000" w:rsidRDefault="00571CB6" w:rsidP="00571CB6">
      <w:pPr>
        <w:spacing w:after="120"/>
        <w:jc w:val="both"/>
        <w:rPr>
          <w:rFonts w:ascii="Arial Narrow" w:hAnsi="Arial Narrow" w:cs="Arial"/>
          <w:color w:val="5F5F5F"/>
          <w:kern w:val="0"/>
          <w:lang w:val="en-US"/>
        </w:rPr>
      </w:pPr>
      <w:r w:rsidRPr="008D3000">
        <w:rPr>
          <w:rFonts w:ascii="Arial Narrow" w:hAnsi="Arial Narrow" w:cs="Arial"/>
          <w:b/>
          <w:bCs/>
          <w:color w:val="E42618"/>
          <w:sz w:val="22"/>
          <w:szCs w:val="22"/>
          <w:lang w:val="en-US"/>
        </w:rPr>
        <w:t xml:space="preserve">TABLE </w:t>
      </w:r>
      <w:r>
        <w:rPr>
          <w:rFonts w:ascii="Arial Narrow" w:hAnsi="Arial Narrow" w:cs="Arial"/>
          <w:b/>
          <w:bCs/>
          <w:color w:val="E42618"/>
          <w:sz w:val="22"/>
          <w:szCs w:val="22"/>
          <w:lang w:val="en-US"/>
        </w:rPr>
        <w:t>5</w:t>
      </w:r>
      <w:r w:rsidRPr="008E5152">
        <w:rPr>
          <w:rFonts w:ascii="Arial Narrow" w:hAnsi="Arial Narrow" w:cs="Arial"/>
          <w:b/>
          <w:bCs/>
          <w:color w:val="5F5F5F"/>
          <w:lang w:val="en-US"/>
        </w:rPr>
        <w:t xml:space="preserve">. </w:t>
      </w:r>
      <w:r w:rsidRPr="008D3000">
        <w:rPr>
          <w:rFonts w:ascii="Arial Narrow" w:hAnsi="Arial Narrow" w:cs="Arial"/>
          <w:b/>
          <w:bCs/>
          <w:color w:val="5F5F5F"/>
          <w:sz w:val="22"/>
          <w:szCs w:val="22"/>
          <w:lang w:val="en-US"/>
        </w:rPr>
        <w:t>ITALIAN HARMONIZED CONSUMER PRICE INDEX (HICP), BY SPECIAL AGGREGATES</w:t>
      </w:r>
      <w:r>
        <w:rPr>
          <w:rFonts w:ascii="Arial Narrow" w:hAnsi="Arial Narrow" w:cs="Arial"/>
          <w:b/>
          <w:bCs/>
          <w:color w:val="5F5F5F"/>
          <w:sz w:val="22"/>
          <w:szCs w:val="22"/>
          <w:lang w:val="en-US"/>
        </w:rPr>
        <w:br/>
      </w:r>
      <w:r w:rsidR="00F87555">
        <w:rPr>
          <w:rFonts w:ascii="Arial Narrow" w:hAnsi="Arial Narrow" w:cs="Arial"/>
          <w:color w:val="5F5F5F"/>
          <w:kern w:val="0"/>
          <w:lang w:val="en-US"/>
        </w:rPr>
        <w:t>July</w:t>
      </w:r>
      <w:r w:rsidR="008C3818" w:rsidRPr="008C3818">
        <w:rPr>
          <w:rFonts w:ascii="Arial Narrow" w:hAnsi="Arial Narrow" w:cs="Arial"/>
          <w:color w:val="5F5F5F"/>
          <w:kern w:val="0"/>
          <w:lang w:val="en-US"/>
        </w:rPr>
        <w:t xml:space="preserve"> 2024</w:t>
      </w:r>
      <w:r w:rsidRPr="008D3000">
        <w:rPr>
          <w:rFonts w:ascii="Arial Narrow" w:hAnsi="Arial Narrow" w:cs="Arial"/>
          <w:color w:val="5F5F5F"/>
          <w:kern w:val="0"/>
          <w:lang w:val="en-US"/>
        </w:rPr>
        <w:t>, weights, indices</w:t>
      </w:r>
      <w:r>
        <w:rPr>
          <w:rFonts w:ascii="Arial Narrow" w:hAnsi="Arial Narrow" w:cs="Arial"/>
          <w:color w:val="5F5F5F"/>
          <w:kern w:val="0"/>
          <w:lang w:val="en-US"/>
        </w:rPr>
        <w:t xml:space="preserve">, </w:t>
      </w:r>
      <w:r w:rsidRPr="00B5282C">
        <w:rPr>
          <w:rFonts w:ascii="Arial Narrow" w:hAnsi="Arial Narrow" w:cs="Arial"/>
          <w:color w:val="5F5F5F"/>
          <w:kern w:val="0"/>
          <w:lang w:val="en-US"/>
        </w:rPr>
        <w:t xml:space="preserve">month on previous month </w:t>
      </w:r>
      <w:r>
        <w:rPr>
          <w:rFonts w:ascii="Arial Narrow" w:hAnsi="Arial Narrow" w:cs="Arial"/>
          <w:color w:val="5F5F5F"/>
          <w:kern w:val="0"/>
          <w:lang w:val="en-US"/>
        </w:rPr>
        <w:t>and</w:t>
      </w:r>
      <w:r w:rsidRPr="00B5282C">
        <w:rPr>
          <w:rFonts w:ascii="Arial Narrow" w:hAnsi="Arial Narrow" w:cs="Arial"/>
          <w:color w:val="5F5F5F"/>
          <w:kern w:val="0"/>
          <w:lang w:val="en-US"/>
        </w:rPr>
        <w:t xml:space="preserve"> month on same month a year ago percent changes</w:t>
      </w:r>
      <w:r w:rsidRPr="008D3000">
        <w:rPr>
          <w:rFonts w:ascii="Arial Narrow" w:hAnsi="Arial Narrow" w:cs="Arial"/>
          <w:color w:val="5F5F5F"/>
          <w:kern w:val="0"/>
          <w:lang w:val="en-US"/>
        </w:rPr>
        <w:t xml:space="preserve"> (</w:t>
      </w:r>
      <w:r w:rsidRPr="00E32989">
        <w:rPr>
          <w:rFonts w:ascii="Arial Narrow" w:hAnsi="Arial Narrow" w:cs="Arial"/>
          <w:color w:val="5F5F5F"/>
          <w:kern w:val="0"/>
          <w:lang w:val="en-US"/>
        </w:rPr>
        <w:t>index, 2015=100</w:t>
      </w:r>
      <w:r w:rsidRPr="008D3000">
        <w:rPr>
          <w:rFonts w:ascii="Arial Narrow" w:hAnsi="Arial Narrow" w:cs="Arial"/>
          <w:color w:val="5F5F5F"/>
          <w:kern w:val="0"/>
          <w:lang w:val="en-US"/>
        </w:rPr>
        <w:t>)</w:t>
      </w:r>
    </w:p>
    <w:tbl>
      <w:tblPr>
        <w:tblW w:w="10093" w:type="dxa"/>
        <w:tblBorders>
          <w:top w:val="single" w:sz="4" w:space="0" w:color="auto"/>
          <w:bottom w:val="single" w:sz="4" w:space="0" w:color="auto"/>
          <w:insideH w:val="single" w:sz="4" w:space="0" w:color="auto"/>
        </w:tblBorders>
        <w:tblCellMar>
          <w:left w:w="70" w:type="dxa"/>
          <w:right w:w="0" w:type="dxa"/>
        </w:tblCellMar>
        <w:tblLook w:val="0000" w:firstRow="0" w:lastRow="0" w:firstColumn="0" w:lastColumn="0" w:noHBand="0" w:noVBand="0"/>
      </w:tblPr>
      <w:tblGrid>
        <w:gridCol w:w="4536"/>
        <w:gridCol w:w="1134"/>
        <w:gridCol w:w="851"/>
        <w:gridCol w:w="992"/>
        <w:gridCol w:w="879"/>
        <w:gridCol w:w="851"/>
        <w:gridCol w:w="850"/>
      </w:tblGrid>
      <w:tr w:rsidR="00550724" w:rsidRPr="00C8186C" w:rsidTr="008E35B2">
        <w:trPr>
          <w:trHeight w:val="135"/>
        </w:trPr>
        <w:tc>
          <w:tcPr>
            <w:tcW w:w="4536" w:type="dxa"/>
            <w:vMerge w:val="restart"/>
            <w:vAlign w:val="center"/>
          </w:tcPr>
          <w:p w:rsidR="00550724" w:rsidRPr="008D3000" w:rsidRDefault="00550724" w:rsidP="008E35B2">
            <w:pPr>
              <w:spacing w:before="40" w:after="20"/>
              <w:rPr>
                <w:rFonts w:ascii="Arial Narrow" w:hAnsi="Arial Narrow" w:cs="Arial"/>
                <w:b/>
                <w:bCs/>
                <w:sz w:val="18"/>
                <w:szCs w:val="18"/>
                <w:lang w:val="en-US"/>
              </w:rPr>
            </w:pPr>
            <w:r>
              <w:rPr>
                <w:rFonts w:ascii="Arial Narrow" w:hAnsi="Arial Narrow" w:cs="Arial"/>
                <w:b/>
                <w:sz w:val="18"/>
                <w:szCs w:val="18"/>
                <w:lang w:val="en-GB"/>
              </w:rPr>
              <w:t>SPECIAL AGGREGATES</w:t>
            </w:r>
          </w:p>
        </w:tc>
        <w:tc>
          <w:tcPr>
            <w:tcW w:w="1134" w:type="dxa"/>
            <w:vMerge w:val="restart"/>
            <w:shd w:val="clear" w:color="auto" w:fill="D9D9D9" w:themeFill="background1" w:themeFillShade="D9"/>
            <w:vAlign w:val="center"/>
          </w:tcPr>
          <w:p w:rsidR="00550724" w:rsidRPr="008D3000" w:rsidRDefault="00550724" w:rsidP="008E35B2">
            <w:pPr>
              <w:spacing w:before="40" w:after="20"/>
              <w:ind w:right="57"/>
              <w:jc w:val="right"/>
              <w:rPr>
                <w:rFonts w:ascii="Arial Narrow" w:hAnsi="Arial Narrow" w:cs="Arial"/>
                <w:b/>
                <w:bCs/>
                <w:sz w:val="18"/>
                <w:szCs w:val="18"/>
                <w:lang w:val="en-US"/>
              </w:rPr>
            </w:pPr>
            <w:r w:rsidRPr="008D3000">
              <w:rPr>
                <w:rFonts w:ascii="Arial Narrow" w:hAnsi="Arial Narrow" w:cs="Arial"/>
                <w:b/>
                <w:bCs/>
                <w:sz w:val="18"/>
                <w:szCs w:val="18"/>
                <w:lang w:val="en-US"/>
              </w:rPr>
              <w:t>Weights</w:t>
            </w:r>
          </w:p>
        </w:tc>
        <w:tc>
          <w:tcPr>
            <w:tcW w:w="851" w:type="dxa"/>
            <w:vMerge w:val="restart"/>
            <w:shd w:val="clear" w:color="auto" w:fill="FFFFFF"/>
            <w:vAlign w:val="center"/>
          </w:tcPr>
          <w:p w:rsidR="00550724" w:rsidRPr="008D3000" w:rsidRDefault="00550724" w:rsidP="008E35B2">
            <w:pPr>
              <w:tabs>
                <w:tab w:val="left" w:pos="5093"/>
              </w:tabs>
              <w:spacing w:before="40" w:after="20"/>
              <w:ind w:right="57"/>
              <w:jc w:val="right"/>
              <w:rPr>
                <w:rFonts w:ascii="Arial Narrow" w:hAnsi="Arial Narrow" w:cs="Arial"/>
                <w:b/>
                <w:bCs/>
                <w:snapToGrid w:val="0"/>
                <w:sz w:val="18"/>
                <w:szCs w:val="18"/>
                <w:u w:val="single"/>
                <w:lang w:val="en-US"/>
              </w:rPr>
            </w:pPr>
            <w:r w:rsidRPr="008D3000">
              <w:rPr>
                <w:rFonts w:ascii="Arial Narrow" w:hAnsi="Arial Narrow" w:cs="Arial"/>
                <w:b/>
                <w:bCs/>
                <w:sz w:val="18"/>
                <w:szCs w:val="18"/>
                <w:lang w:val="en-US"/>
              </w:rPr>
              <w:t>Indices</w:t>
            </w:r>
          </w:p>
        </w:tc>
        <w:tc>
          <w:tcPr>
            <w:tcW w:w="1871" w:type="dxa"/>
            <w:gridSpan w:val="2"/>
            <w:shd w:val="clear" w:color="auto" w:fill="D9D9D9"/>
            <w:tcMar>
              <w:right w:w="113" w:type="dxa"/>
            </w:tcMar>
            <w:vAlign w:val="center"/>
          </w:tcPr>
          <w:p w:rsidR="00550724" w:rsidRDefault="00550724" w:rsidP="008E35B2">
            <w:pPr>
              <w:tabs>
                <w:tab w:val="left" w:pos="0"/>
                <w:tab w:val="left" w:pos="5093"/>
              </w:tabs>
              <w:spacing w:before="40" w:after="20"/>
              <w:jc w:val="center"/>
              <w:rPr>
                <w:rFonts w:ascii="Arial Narrow" w:hAnsi="Arial Narrow" w:cs="Arial"/>
                <w:b/>
                <w:bCs/>
                <w:sz w:val="18"/>
                <w:szCs w:val="18"/>
                <w:lang w:val="en-US"/>
              </w:rPr>
            </w:pPr>
            <w:r w:rsidRPr="00B5282C">
              <w:rPr>
                <w:rFonts w:ascii="Arial Narrow" w:hAnsi="Arial Narrow" w:cs="Arial"/>
                <w:b/>
                <w:bCs/>
                <w:sz w:val="18"/>
                <w:szCs w:val="18"/>
                <w:lang w:val="en-US"/>
              </w:rPr>
              <w:t xml:space="preserve">Month on </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previous month</w:t>
            </w:r>
          </w:p>
        </w:tc>
        <w:tc>
          <w:tcPr>
            <w:tcW w:w="1701" w:type="dxa"/>
            <w:gridSpan w:val="2"/>
            <w:vAlign w:val="center"/>
          </w:tcPr>
          <w:p w:rsidR="00550724" w:rsidRDefault="00550724" w:rsidP="008E35B2">
            <w:pPr>
              <w:tabs>
                <w:tab w:val="left" w:pos="5093"/>
              </w:tabs>
              <w:spacing w:before="40" w:after="20"/>
              <w:jc w:val="center"/>
              <w:rPr>
                <w:rFonts w:ascii="Arial Narrow" w:hAnsi="Arial Narrow" w:cs="Arial"/>
                <w:b/>
                <w:bCs/>
                <w:sz w:val="18"/>
                <w:szCs w:val="18"/>
                <w:lang w:val="en-US"/>
              </w:rPr>
            </w:pPr>
            <w:r>
              <w:rPr>
                <w:rFonts w:ascii="Arial Narrow" w:hAnsi="Arial Narrow" w:cs="Arial"/>
                <w:b/>
                <w:bCs/>
                <w:sz w:val="18"/>
                <w:szCs w:val="18"/>
                <w:lang w:val="en-US"/>
              </w:rPr>
              <w:t>M</w:t>
            </w:r>
            <w:r w:rsidRPr="00B5282C">
              <w:rPr>
                <w:rFonts w:ascii="Arial Narrow" w:hAnsi="Arial Narrow" w:cs="Arial"/>
                <w:b/>
                <w:bCs/>
                <w:sz w:val="18"/>
                <w:szCs w:val="18"/>
                <w:lang w:val="en-US"/>
              </w:rPr>
              <w:t>onth on same month</w:t>
            </w:r>
          </w:p>
          <w:p w:rsidR="00550724" w:rsidRPr="001855B7" w:rsidRDefault="00550724" w:rsidP="008E35B2">
            <w:pPr>
              <w:tabs>
                <w:tab w:val="left" w:pos="5093"/>
              </w:tabs>
              <w:spacing w:before="40" w:after="20"/>
              <w:jc w:val="center"/>
              <w:rPr>
                <w:rFonts w:ascii="Arial Narrow" w:hAnsi="Arial Narrow" w:cs="Arial"/>
                <w:b/>
                <w:bCs/>
                <w:sz w:val="18"/>
                <w:szCs w:val="18"/>
                <w:u w:val="single"/>
                <w:lang w:val="en-US"/>
              </w:rPr>
            </w:pPr>
            <w:r w:rsidRPr="00B5282C">
              <w:rPr>
                <w:rFonts w:ascii="Arial Narrow" w:hAnsi="Arial Narrow" w:cs="Arial"/>
                <w:b/>
                <w:bCs/>
                <w:sz w:val="18"/>
                <w:szCs w:val="18"/>
                <w:lang w:val="en-US"/>
              </w:rPr>
              <w:t xml:space="preserve"> a year ago</w:t>
            </w:r>
          </w:p>
        </w:tc>
      </w:tr>
      <w:tr w:rsidR="00F87555" w:rsidRPr="008D3000" w:rsidTr="008E35B2">
        <w:trPr>
          <w:trHeight w:val="135"/>
        </w:trPr>
        <w:tc>
          <w:tcPr>
            <w:tcW w:w="4536" w:type="dxa"/>
            <w:vMerge/>
            <w:vAlign w:val="center"/>
          </w:tcPr>
          <w:p w:rsidR="00F87555" w:rsidRDefault="00F87555" w:rsidP="00F87555">
            <w:pPr>
              <w:spacing w:before="40" w:after="20"/>
              <w:rPr>
                <w:rFonts w:ascii="Arial Narrow" w:hAnsi="Arial Narrow" w:cs="Arial"/>
                <w:b/>
                <w:sz w:val="18"/>
                <w:szCs w:val="18"/>
                <w:lang w:val="en-GB"/>
              </w:rPr>
            </w:pPr>
          </w:p>
        </w:tc>
        <w:tc>
          <w:tcPr>
            <w:tcW w:w="1134" w:type="dxa"/>
            <w:vMerge/>
            <w:shd w:val="clear" w:color="auto" w:fill="D9D9D9" w:themeFill="background1" w:themeFillShade="D9"/>
            <w:vAlign w:val="center"/>
          </w:tcPr>
          <w:p w:rsidR="00F87555" w:rsidRPr="008D3000" w:rsidRDefault="00F87555" w:rsidP="00F87555">
            <w:pPr>
              <w:spacing w:before="40" w:after="20"/>
              <w:ind w:right="57"/>
              <w:jc w:val="center"/>
              <w:rPr>
                <w:rFonts w:ascii="Arial Narrow" w:hAnsi="Arial Narrow" w:cs="Arial"/>
                <w:b/>
                <w:bCs/>
                <w:sz w:val="18"/>
                <w:szCs w:val="18"/>
                <w:lang w:val="en-US"/>
              </w:rPr>
            </w:pPr>
          </w:p>
        </w:tc>
        <w:tc>
          <w:tcPr>
            <w:tcW w:w="851" w:type="dxa"/>
            <w:vMerge/>
            <w:shd w:val="clear" w:color="auto" w:fill="FFFFFF"/>
            <w:vAlign w:val="center"/>
          </w:tcPr>
          <w:p w:rsidR="00F87555" w:rsidRPr="008D3000" w:rsidRDefault="00F87555" w:rsidP="00F87555">
            <w:pPr>
              <w:tabs>
                <w:tab w:val="left" w:pos="5093"/>
              </w:tabs>
              <w:spacing w:before="40" w:after="20"/>
              <w:ind w:right="57"/>
              <w:jc w:val="right"/>
              <w:rPr>
                <w:rFonts w:ascii="Arial Narrow" w:hAnsi="Arial Narrow" w:cs="Arial"/>
                <w:b/>
                <w:bCs/>
                <w:sz w:val="18"/>
                <w:szCs w:val="18"/>
                <w:lang w:val="en-US"/>
              </w:rPr>
            </w:pPr>
          </w:p>
        </w:tc>
        <w:tc>
          <w:tcPr>
            <w:tcW w:w="992" w:type="dxa"/>
            <w:tcMar>
              <w:right w:w="113" w:type="dxa"/>
            </w:tcMar>
            <w:vAlign w:val="center"/>
          </w:tcPr>
          <w:p w:rsidR="00F87555" w:rsidRPr="00E709A6" w:rsidRDefault="00F87555" w:rsidP="00F8755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Jul-24</w:t>
            </w:r>
          </w:p>
          <w:p w:rsidR="00F87555" w:rsidRPr="00E709A6" w:rsidRDefault="00F87555" w:rsidP="00F8755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Pr="00E709A6">
              <w:rPr>
                <w:rFonts w:ascii="Arial Narrow" w:hAnsi="Arial Narrow" w:cs="Arial"/>
                <w:bCs/>
                <w:snapToGrid w:val="0"/>
                <w:sz w:val="18"/>
                <w:szCs w:val="18"/>
                <w:lang w:val="en-US"/>
              </w:rPr>
              <w:t>-</w:t>
            </w:r>
            <w:r>
              <w:rPr>
                <w:rFonts w:ascii="Arial Narrow" w:hAnsi="Arial Narrow" w:cs="Arial"/>
                <w:bCs/>
                <w:snapToGrid w:val="0"/>
                <w:sz w:val="18"/>
                <w:szCs w:val="18"/>
                <w:lang w:val="en-US"/>
              </w:rPr>
              <w:t>24</w:t>
            </w:r>
          </w:p>
        </w:tc>
        <w:tc>
          <w:tcPr>
            <w:tcW w:w="879" w:type="dxa"/>
            <w:vAlign w:val="center"/>
          </w:tcPr>
          <w:p w:rsidR="00F87555" w:rsidRPr="00E709A6" w:rsidRDefault="00F87555" w:rsidP="00F8755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Jul-23</w:t>
            </w:r>
          </w:p>
          <w:p w:rsidR="00F87555" w:rsidRPr="00E709A6" w:rsidRDefault="00F87555" w:rsidP="00F8755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w:t>
            </w:r>
            <w:r w:rsidRPr="00E709A6">
              <w:rPr>
                <w:rFonts w:ascii="Arial Narrow" w:hAnsi="Arial Narrow" w:cs="Arial"/>
                <w:bCs/>
                <w:snapToGrid w:val="0"/>
                <w:sz w:val="18"/>
                <w:szCs w:val="18"/>
                <w:lang w:val="en-US"/>
              </w:rPr>
              <w:t>-</w:t>
            </w:r>
            <w:r>
              <w:rPr>
                <w:rFonts w:ascii="Arial Narrow" w:hAnsi="Arial Narrow" w:cs="Arial"/>
                <w:bCs/>
                <w:snapToGrid w:val="0"/>
                <w:sz w:val="18"/>
                <w:szCs w:val="18"/>
                <w:lang w:val="en-US"/>
              </w:rPr>
              <w:t>23</w:t>
            </w:r>
          </w:p>
        </w:tc>
        <w:tc>
          <w:tcPr>
            <w:tcW w:w="851" w:type="dxa"/>
            <w:vAlign w:val="center"/>
          </w:tcPr>
          <w:p w:rsidR="00F87555" w:rsidRPr="00E709A6" w:rsidRDefault="00F87555" w:rsidP="00F8755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Jul-24</w:t>
            </w:r>
          </w:p>
          <w:p w:rsidR="00F87555" w:rsidRPr="00E709A6" w:rsidRDefault="00F87555" w:rsidP="00F8755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Jul-23</w:t>
            </w:r>
          </w:p>
        </w:tc>
        <w:tc>
          <w:tcPr>
            <w:tcW w:w="850" w:type="dxa"/>
            <w:vAlign w:val="center"/>
          </w:tcPr>
          <w:p w:rsidR="00F87555" w:rsidRPr="00E709A6" w:rsidRDefault="00F87555" w:rsidP="00F87555">
            <w:pPr>
              <w:tabs>
                <w:tab w:val="left" w:pos="0"/>
                <w:tab w:val="left" w:pos="5093"/>
              </w:tabs>
              <w:spacing w:before="40" w:after="20"/>
              <w:ind w:right="57"/>
              <w:jc w:val="right"/>
              <w:rPr>
                <w:rFonts w:ascii="Arial Narrow" w:hAnsi="Arial Narrow" w:cs="Arial"/>
                <w:bCs/>
                <w:sz w:val="18"/>
                <w:szCs w:val="18"/>
                <w:u w:val="single"/>
                <w:lang w:val="en-US"/>
              </w:rPr>
            </w:pPr>
            <w:r>
              <w:rPr>
                <w:rFonts w:ascii="Arial Narrow" w:hAnsi="Arial Narrow" w:cs="Arial"/>
                <w:bCs/>
                <w:snapToGrid w:val="0"/>
                <w:sz w:val="18"/>
                <w:szCs w:val="18"/>
                <w:u w:val="single"/>
                <w:lang w:val="en-US"/>
              </w:rPr>
              <w:t>Jun-24</w:t>
            </w:r>
          </w:p>
          <w:p w:rsidR="00F87555" w:rsidRPr="00A31C16" w:rsidRDefault="00F87555" w:rsidP="00F87555">
            <w:pPr>
              <w:tabs>
                <w:tab w:val="left" w:pos="5093"/>
              </w:tabs>
              <w:spacing w:before="40" w:after="20"/>
              <w:ind w:left="57" w:right="57"/>
              <w:jc w:val="right"/>
              <w:rPr>
                <w:rFonts w:ascii="Arial Narrow" w:hAnsi="Arial Narrow" w:cs="Arial"/>
                <w:bCs/>
                <w:sz w:val="18"/>
                <w:szCs w:val="18"/>
                <w:u w:val="single"/>
                <w:lang w:val="en-US"/>
              </w:rPr>
            </w:pPr>
            <w:r>
              <w:rPr>
                <w:rFonts w:ascii="Arial Narrow" w:hAnsi="Arial Narrow" w:cs="Arial"/>
                <w:bCs/>
                <w:snapToGrid w:val="0"/>
                <w:sz w:val="18"/>
                <w:szCs w:val="18"/>
                <w:lang w:val="en-US"/>
              </w:rPr>
              <w:t>Jun-23</w:t>
            </w:r>
          </w:p>
        </w:tc>
      </w:tr>
      <w:tr w:rsidR="002E212B" w:rsidRPr="00DF1C9C" w:rsidTr="00C72DA4">
        <w:trPr>
          <w:trHeight w:val="255"/>
        </w:trPr>
        <w:tc>
          <w:tcPr>
            <w:tcW w:w="4536" w:type="dxa"/>
            <w:vAlign w:val="center"/>
          </w:tcPr>
          <w:p w:rsidR="002E212B" w:rsidRPr="005169F8" w:rsidRDefault="002E212B" w:rsidP="002E212B">
            <w:pPr>
              <w:spacing w:before="40" w:after="20"/>
              <w:rPr>
                <w:rFonts w:ascii="Arial Narrow" w:hAnsi="Arial Narrow" w:cs="Arial"/>
                <w:sz w:val="18"/>
                <w:szCs w:val="18"/>
                <w:lang w:val="en-GB"/>
              </w:rPr>
            </w:pPr>
            <w:r w:rsidRPr="005169F8">
              <w:rPr>
                <w:rFonts w:ascii="Arial Narrow" w:hAnsi="Arial Narrow" w:cs="Arial"/>
                <w:sz w:val="18"/>
                <w:szCs w:val="18"/>
                <w:lang w:val="en-GB"/>
              </w:rPr>
              <w:t>Food, alcohol and tobacco:</w:t>
            </w:r>
          </w:p>
        </w:tc>
        <w:tc>
          <w:tcPr>
            <w:tcW w:w="1134" w:type="dxa"/>
            <w:shd w:val="clear" w:color="auto" w:fill="D9D9D9"/>
            <w:vAlign w:val="bottom"/>
          </w:tcPr>
          <w:p w:rsidR="002E212B" w:rsidRPr="00E7347A"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212,511</w:t>
            </w:r>
          </w:p>
        </w:tc>
        <w:tc>
          <w:tcPr>
            <w:tcW w:w="851" w:type="dxa"/>
            <w:shd w:val="clear" w:color="auto" w:fill="FFFFFF"/>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128.5</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-0.3</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0.0</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+1.3</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+1.7</w:t>
            </w:r>
          </w:p>
        </w:tc>
      </w:tr>
      <w:tr w:rsidR="002E212B" w:rsidRPr="00DF6A34" w:rsidTr="00C72DA4">
        <w:trPr>
          <w:trHeight w:val="255"/>
        </w:trPr>
        <w:tc>
          <w:tcPr>
            <w:tcW w:w="4536" w:type="dxa"/>
            <w:vAlign w:val="center"/>
          </w:tcPr>
          <w:p w:rsidR="002E212B" w:rsidRPr="005169F8" w:rsidRDefault="002E212B" w:rsidP="002E212B">
            <w:pPr>
              <w:spacing w:before="40" w:after="20"/>
              <w:ind w:firstLineChars="100" w:firstLine="180"/>
              <w:rPr>
                <w:rFonts w:ascii="Arial Narrow" w:hAnsi="Arial Narrow" w:cs="Arial"/>
                <w:sz w:val="18"/>
                <w:szCs w:val="18"/>
                <w:lang w:val="en-GB"/>
              </w:rPr>
            </w:pPr>
            <w:r w:rsidRPr="005169F8">
              <w:rPr>
                <w:rFonts w:ascii="Arial Narrow" w:hAnsi="Arial Narrow" w:cs="Arial"/>
                <w:sz w:val="18"/>
                <w:szCs w:val="18"/>
                <w:lang w:val="en-GB"/>
              </w:rPr>
              <w:t>Processed food (including alcohol and tobacco)</w:t>
            </w:r>
          </w:p>
        </w:tc>
        <w:tc>
          <w:tcPr>
            <w:tcW w:w="1134" w:type="dxa"/>
            <w:shd w:val="clear" w:color="auto" w:fill="D9D9D9"/>
            <w:vAlign w:val="bottom"/>
          </w:tcPr>
          <w:p w:rsidR="002E212B" w:rsidRPr="00E7347A"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148,769</w:t>
            </w:r>
          </w:p>
        </w:tc>
        <w:tc>
          <w:tcPr>
            <w:tcW w:w="851" w:type="dxa"/>
            <w:shd w:val="clear" w:color="auto" w:fill="FFFFFF"/>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126.5</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+0.2</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+0.4</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+1.9</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+2.1</w:t>
            </w:r>
          </w:p>
        </w:tc>
      </w:tr>
      <w:tr w:rsidR="002E212B" w:rsidRPr="00DF1C9C" w:rsidTr="00C72DA4">
        <w:trPr>
          <w:trHeight w:val="255"/>
        </w:trPr>
        <w:tc>
          <w:tcPr>
            <w:tcW w:w="4536" w:type="dxa"/>
            <w:vAlign w:val="center"/>
          </w:tcPr>
          <w:p w:rsidR="002E212B" w:rsidRPr="005169F8" w:rsidRDefault="002E212B" w:rsidP="002E212B">
            <w:pPr>
              <w:spacing w:before="40" w:after="20"/>
              <w:ind w:firstLineChars="100" w:firstLine="180"/>
              <w:rPr>
                <w:rFonts w:ascii="Arial Narrow" w:hAnsi="Arial Narrow" w:cs="Arial"/>
                <w:sz w:val="18"/>
                <w:szCs w:val="18"/>
                <w:lang w:val="en-GB"/>
              </w:rPr>
            </w:pPr>
            <w:r w:rsidRPr="005169F8">
              <w:rPr>
                <w:rFonts w:ascii="Arial Narrow" w:hAnsi="Arial Narrow" w:cs="Arial"/>
                <w:sz w:val="18"/>
                <w:szCs w:val="18"/>
                <w:lang w:val="en-GB"/>
              </w:rPr>
              <w:t>Unprocessed food</w:t>
            </w:r>
          </w:p>
        </w:tc>
        <w:tc>
          <w:tcPr>
            <w:tcW w:w="1134" w:type="dxa"/>
            <w:shd w:val="clear" w:color="auto" w:fill="D9D9D9"/>
            <w:vAlign w:val="bottom"/>
          </w:tcPr>
          <w:p w:rsidR="002E212B" w:rsidRPr="00E7347A"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63,742</w:t>
            </w:r>
          </w:p>
        </w:tc>
        <w:tc>
          <w:tcPr>
            <w:tcW w:w="851" w:type="dxa"/>
            <w:shd w:val="clear" w:color="auto" w:fill="FFFFFF"/>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132.0</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-1.6</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-0.8</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-0.2</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+0.6</w:t>
            </w:r>
          </w:p>
        </w:tc>
      </w:tr>
      <w:tr w:rsidR="002E212B" w:rsidRPr="00DF1C9C" w:rsidTr="00C72DA4">
        <w:trPr>
          <w:trHeight w:val="255"/>
        </w:trPr>
        <w:tc>
          <w:tcPr>
            <w:tcW w:w="4536" w:type="dxa"/>
            <w:vAlign w:val="center"/>
          </w:tcPr>
          <w:p w:rsidR="002E212B" w:rsidRPr="005169F8" w:rsidRDefault="002E212B" w:rsidP="002E212B">
            <w:pPr>
              <w:spacing w:before="40" w:after="20"/>
              <w:rPr>
                <w:rFonts w:ascii="Arial Narrow" w:hAnsi="Arial Narrow" w:cs="Arial"/>
                <w:sz w:val="18"/>
                <w:szCs w:val="18"/>
                <w:lang w:val="en-GB"/>
              </w:rPr>
            </w:pPr>
            <w:r w:rsidRPr="005169F8">
              <w:rPr>
                <w:rFonts w:ascii="Arial Narrow" w:hAnsi="Arial Narrow" w:cs="Arial"/>
                <w:sz w:val="18"/>
                <w:szCs w:val="18"/>
                <w:lang w:val="en-GB"/>
              </w:rPr>
              <w:t>Energy</w:t>
            </w:r>
          </w:p>
        </w:tc>
        <w:tc>
          <w:tcPr>
            <w:tcW w:w="1134" w:type="dxa"/>
            <w:shd w:val="clear" w:color="auto" w:fill="D9D9D9"/>
          </w:tcPr>
          <w:p w:rsidR="002E212B" w:rsidRPr="008C26B3"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108,922</w:t>
            </w:r>
          </w:p>
        </w:tc>
        <w:tc>
          <w:tcPr>
            <w:tcW w:w="851" w:type="dxa"/>
            <w:shd w:val="clear" w:color="auto" w:fill="FFFFFF"/>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151.8</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+3.5</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-1.4</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-4.0</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-8.6</w:t>
            </w:r>
          </w:p>
        </w:tc>
      </w:tr>
      <w:tr w:rsidR="002E212B" w:rsidRPr="00DF1C9C" w:rsidTr="00C72DA4">
        <w:trPr>
          <w:trHeight w:val="255"/>
        </w:trPr>
        <w:tc>
          <w:tcPr>
            <w:tcW w:w="4536" w:type="dxa"/>
            <w:vAlign w:val="center"/>
          </w:tcPr>
          <w:p w:rsidR="002E212B" w:rsidRPr="005169F8" w:rsidRDefault="002E212B" w:rsidP="002E212B">
            <w:pPr>
              <w:spacing w:before="40" w:after="20"/>
              <w:rPr>
                <w:rFonts w:ascii="Arial Narrow" w:hAnsi="Arial Narrow" w:cs="Arial"/>
                <w:sz w:val="18"/>
                <w:szCs w:val="18"/>
                <w:lang w:val="en-GB"/>
              </w:rPr>
            </w:pPr>
            <w:r w:rsidRPr="00B002D4">
              <w:rPr>
                <w:rFonts w:ascii="Arial Narrow" w:hAnsi="Arial Narrow" w:cs="Arial"/>
                <w:sz w:val="18"/>
                <w:szCs w:val="18"/>
                <w:lang w:val="en-GB"/>
              </w:rPr>
              <w:t>Non-energy industrial goods</w:t>
            </w:r>
          </w:p>
        </w:tc>
        <w:tc>
          <w:tcPr>
            <w:tcW w:w="1134" w:type="dxa"/>
            <w:shd w:val="clear" w:color="auto" w:fill="D9D9D9"/>
          </w:tcPr>
          <w:p w:rsidR="002E212B" w:rsidRPr="008C26B3"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274,811</w:t>
            </w:r>
          </w:p>
        </w:tc>
        <w:tc>
          <w:tcPr>
            <w:tcW w:w="851" w:type="dxa"/>
            <w:shd w:val="clear" w:color="auto" w:fill="FFFFFF"/>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107.9</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-4.6</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-5.2</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+1.2</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+0.5</w:t>
            </w:r>
          </w:p>
        </w:tc>
      </w:tr>
      <w:tr w:rsidR="002E212B" w:rsidRPr="00DF1C9C" w:rsidTr="00C72DA4">
        <w:trPr>
          <w:trHeight w:val="123"/>
        </w:trPr>
        <w:tc>
          <w:tcPr>
            <w:tcW w:w="4536" w:type="dxa"/>
            <w:shd w:val="clear" w:color="auto" w:fill="auto"/>
            <w:vAlign w:val="center"/>
          </w:tcPr>
          <w:p w:rsidR="002E212B" w:rsidRPr="005169F8" w:rsidRDefault="002E212B" w:rsidP="002E212B">
            <w:pPr>
              <w:spacing w:before="40" w:after="20"/>
              <w:rPr>
                <w:rFonts w:ascii="Arial Narrow" w:hAnsi="Arial Narrow" w:cs="Arial"/>
                <w:sz w:val="18"/>
                <w:szCs w:val="18"/>
                <w:lang w:val="en-GB"/>
              </w:rPr>
            </w:pPr>
            <w:r w:rsidRPr="005169F8">
              <w:rPr>
                <w:rFonts w:ascii="Arial Narrow" w:hAnsi="Arial Narrow" w:cs="Arial"/>
                <w:sz w:val="18"/>
                <w:szCs w:val="18"/>
                <w:lang w:val="en-GB"/>
              </w:rPr>
              <w:t>Services</w:t>
            </w:r>
          </w:p>
        </w:tc>
        <w:tc>
          <w:tcPr>
            <w:tcW w:w="1134" w:type="dxa"/>
            <w:shd w:val="clear" w:color="auto" w:fill="D9D9D9" w:themeFill="background1" w:themeFillShade="D9"/>
          </w:tcPr>
          <w:p w:rsidR="002E212B" w:rsidRPr="008C26B3" w:rsidRDefault="002E212B" w:rsidP="002E212B">
            <w:pPr>
              <w:spacing w:before="40" w:after="20"/>
              <w:ind w:right="57"/>
              <w:jc w:val="right"/>
              <w:rPr>
                <w:rFonts w:ascii="Arial Narrow" w:hAnsi="Arial Narrow" w:cs="Arial"/>
                <w:sz w:val="18"/>
                <w:szCs w:val="18"/>
                <w:lang w:val="en-GB"/>
              </w:rPr>
            </w:pPr>
            <w:r w:rsidRPr="00FA3C05">
              <w:rPr>
                <w:rFonts w:ascii="Arial Narrow" w:hAnsi="Arial Narrow" w:cs="Arial"/>
                <w:sz w:val="18"/>
                <w:szCs w:val="18"/>
                <w:lang w:val="en-GB"/>
              </w:rPr>
              <w:t>403,756</w:t>
            </w:r>
          </w:p>
        </w:tc>
        <w:tc>
          <w:tcPr>
            <w:tcW w:w="851" w:type="dxa"/>
            <w:shd w:val="clear" w:color="auto" w:fill="auto"/>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118.5</w:t>
            </w:r>
          </w:p>
        </w:tc>
        <w:tc>
          <w:tcPr>
            <w:tcW w:w="992" w:type="dxa"/>
            <w:shd w:val="clear" w:color="auto" w:fill="D9D9D9" w:themeFill="background1" w:themeFillShade="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+0.5</w:t>
            </w:r>
          </w:p>
        </w:tc>
        <w:tc>
          <w:tcPr>
            <w:tcW w:w="879" w:type="dxa"/>
            <w:shd w:val="clear" w:color="auto" w:fill="auto"/>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+0.3</w:t>
            </w:r>
          </w:p>
        </w:tc>
        <w:tc>
          <w:tcPr>
            <w:tcW w:w="851" w:type="dxa"/>
            <w:shd w:val="clear" w:color="auto" w:fill="D9D9D9" w:themeFill="background1" w:themeFillShade="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+3.2</w:t>
            </w:r>
          </w:p>
        </w:tc>
        <w:tc>
          <w:tcPr>
            <w:tcW w:w="850" w:type="dxa"/>
            <w:shd w:val="clear" w:color="auto" w:fill="auto"/>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+3.1</w:t>
            </w:r>
          </w:p>
        </w:tc>
      </w:tr>
      <w:tr w:rsidR="002E212B" w:rsidRPr="00E73A08" w:rsidTr="00C72DA4">
        <w:trPr>
          <w:trHeight w:val="255"/>
        </w:trPr>
        <w:tc>
          <w:tcPr>
            <w:tcW w:w="4536" w:type="dxa"/>
            <w:shd w:val="clear" w:color="auto" w:fill="E42618"/>
            <w:vAlign w:val="center"/>
          </w:tcPr>
          <w:p w:rsidR="002E212B" w:rsidRPr="005169F8" w:rsidRDefault="002E212B" w:rsidP="002E212B">
            <w:pPr>
              <w:spacing w:before="40" w:after="20"/>
              <w:rPr>
                <w:rFonts w:ascii="Arial Narrow" w:hAnsi="Arial Narrow" w:cs="Arial"/>
                <w:b/>
                <w:bCs/>
                <w:color w:val="FFFFFF"/>
                <w:sz w:val="18"/>
                <w:szCs w:val="18"/>
                <w:lang w:val="en-GB"/>
              </w:rPr>
            </w:pPr>
            <w:r w:rsidRPr="005169F8">
              <w:rPr>
                <w:rFonts w:ascii="Arial Narrow" w:hAnsi="Arial Narrow" w:cs="Arial"/>
                <w:b/>
                <w:bCs/>
                <w:color w:val="FFFFFF"/>
                <w:sz w:val="18"/>
                <w:szCs w:val="18"/>
                <w:lang w:val="en-GB"/>
              </w:rPr>
              <w:t>ALL ITEMS</w:t>
            </w:r>
          </w:p>
        </w:tc>
        <w:tc>
          <w:tcPr>
            <w:tcW w:w="1134" w:type="dxa"/>
            <w:shd w:val="clear" w:color="auto" w:fill="E42618"/>
          </w:tcPr>
          <w:p w:rsidR="002E212B" w:rsidRPr="008C26B3" w:rsidRDefault="002E212B" w:rsidP="002E212B">
            <w:pPr>
              <w:spacing w:before="40" w:after="20"/>
              <w:ind w:right="57"/>
              <w:jc w:val="right"/>
              <w:rPr>
                <w:rFonts w:ascii="Arial Narrow" w:hAnsi="Arial Narrow" w:cs="Arial"/>
                <w:b/>
                <w:color w:val="FFFFFF" w:themeColor="background1"/>
                <w:sz w:val="18"/>
                <w:szCs w:val="18"/>
                <w:lang w:val="en-GB"/>
              </w:rPr>
            </w:pPr>
            <w:r w:rsidRPr="008C26B3">
              <w:rPr>
                <w:rFonts w:ascii="Arial Narrow" w:hAnsi="Arial Narrow" w:cs="Arial"/>
                <w:b/>
                <w:color w:val="FFFFFF" w:themeColor="background1"/>
                <w:sz w:val="18"/>
                <w:szCs w:val="18"/>
                <w:lang w:val="en-GB"/>
              </w:rPr>
              <w:t>1,000,000</w:t>
            </w:r>
          </w:p>
        </w:tc>
        <w:tc>
          <w:tcPr>
            <w:tcW w:w="851" w:type="dxa"/>
            <w:shd w:val="clear" w:color="auto" w:fill="E42618"/>
            <w:vAlign w:val="bottom"/>
          </w:tcPr>
          <w:p w:rsidR="002E212B" w:rsidRPr="00E867BB" w:rsidRDefault="002E212B" w:rsidP="00E867BB">
            <w:pPr>
              <w:spacing w:before="40" w:after="20"/>
              <w:ind w:right="57"/>
              <w:jc w:val="right"/>
              <w:rPr>
                <w:rFonts w:ascii="Arial Narrow" w:hAnsi="Arial Narrow" w:cs="Arial"/>
                <w:b/>
                <w:color w:val="FFFFFF" w:themeColor="background1"/>
                <w:sz w:val="18"/>
                <w:szCs w:val="18"/>
                <w:lang w:val="en-GB"/>
              </w:rPr>
            </w:pPr>
            <w:r w:rsidRPr="00E867BB">
              <w:rPr>
                <w:rFonts w:ascii="Arial Narrow" w:hAnsi="Arial Narrow" w:cs="Arial"/>
                <w:b/>
                <w:color w:val="FFFFFF" w:themeColor="background1"/>
                <w:sz w:val="18"/>
                <w:szCs w:val="18"/>
                <w:lang w:val="en-GB"/>
              </w:rPr>
              <w:t>121.9</w:t>
            </w:r>
          </w:p>
        </w:tc>
        <w:tc>
          <w:tcPr>
            <w:tcW w:w="992" w:type="dxa"/>
            <w:shd w:val="clear" w:color="auto" w:fill="E42618"/>
            <w:tcMar>
              <w:right w:w="113" w:type="dxa"/>
            </w:tcMar>
            <w:vAlign w:val="center"/>
          </w:tcPr>
          <w:p w:rsidR="002E212B" w:rsidRPr="00E867BB" w:rsidRDefault="002E212B" w:rsidP="00E867BB">
            <w:pPr>
              <w:spacing w:before="40" w:after="20"/>
              <w:ind w:right="57"/>
              <w:jc w:val="right"/>
              <w:rPr>
                <w:rFonts w:ascii="Arial Narrow" w:hAnsi="Arial Narrow" w:cs="Arial"/>
                <w:b/>
                <w:color w:val="FFFFFF" w:themeColor="background1"/>
                <w:sz w:val="18"/>
                <w:szCs w:val="18"/>
                <w:lang w:val="en-GB"/>
              </w:rPr>
            </w:pPr>
            <w:r w:rsidRPr="00E867BB">
              <w:rPr>
                <w:rFonts w:ascii="Arial Narrow" w:hAnsi="Arial Narrow" w:cs="Arial"/>
                <w:b/>
                <w:color w:val="FFFFFF" w:themeColor="background1"/>
                <w:sz w:val="18"/>
                <w:szCs w:val="18"/>
                <w:lang w:val="en-GB"/>
              </w:rPr>
              <w:t>-0.8</w:t>
            </w:r>
          </w:p>
        </w:tc>
        <w:tc>
          <w:tcPr>
            <w:tcW w:w="879" w:type="dxa"/>
            <w:shd w:val="clear" w:color="auto" w:fill="E42618"/>
            <w:vAlign w:val="center"/>
          </w:tcPr>
          <w:p w:rsidR="002E212B" w:rsidRPr="00E867BB" w:rsidRDefault="002E212B" w:rsidP="00E867BB">
            <w:pPr>
              <w:spacing w:before="40" w:after="20"/>
              <w:ind w:right="57"/>
              <w:jc w:val="right"/>
              <w:rPr>
                <w:rFonts w:ascii="Arial Narrow" w:hAnsi="Arial Narrow" w:cs="Arial"/>
                <w:b/>
                <w:color w:val="FFFFFF" w:themeColor="background1"/>
                <w:sz w:val="18"/>
                <w:szCs w:val="18"/>
                <w:lang w:val="en-GB"/>
              </w:rPr>
            </w:pPr>
            <w:r w:rsidRPr="00E867BB">
              <w:rPr>
                <w:rFonts w:ascii="Arial Narrow" w:hAnsi="Arial Narrow" w:cs="Arial"/>
                <w:b/>
                <w:color w:val="FFFFFF" w:themeColor="background1"/>
                <w:sz w:val="18"/>
                <w:szCs w:val="18"/>
                <w:lang w:val="en-GB"/>
              </w:rPr>
              <w:t>-1.6</w:t>
            </w:r>
          </w:p>
        </w:tc>
        <w:tc>
          <w:tcPr>
            <w:tcW w:w="851" w:type="dxa"/>
            <w:shd w:val="clear" w:color="auto" w:fill="E42618"/>
            <w:vAlign w:val="center"/>
          </w:tcPr>
          <w:p w:rsidR="002E212B" w:rsidRPr="00E867BB" w:rsidRDefault="002E212B" w:rsidP="00E867BB">
            <w:pPr>
              <w:spacing w:before="40" w:after="20"/>
              <w:ind w:right="57"/>
              <w:jc w:val="right"/>
              <w:rPr>
                <w:rFonts w:ascii="Arial Narrow" w:hAnsi="Arial Narrow" w:cs="Arial"/>
                <w:b/>
                <w:color w:val="FFFFFF" w:themeColor="background1"/>
                <w:sz w:val="18"/>
                <w:szCs w:val="18"/>
                <w:lang w:val="en-GB"/>
              </w:rPr>
            </w:pPr>
            <w:r w:rsidRPr="00E867BB">
              <w:rPr>
                <w:rFonts w:ascii="Arial Narrow" w:hAnsi="Arial Narrow" w:cs="Arial"/>
                <w:b/>
                <w:color w:val="FFFFFF" w:themeColor="background1"/>
                <w:sz w:val="18"/>
                <w:szCs w:val="18"/>
                <w:lang w:val="en-GB"/>
              </w:rPr>
              <w:t>+1.7</w:t>
            </w:r>
          </w:p>
        </w:tc>
        <w:tc>
          <w:tcPr>
            <w:tcW w:w="850" w:type="dxa"/>
            <w:shd w:val="clear" w:color="auto" w:fill="E42618"/>
            <w:vAlign w:val="center"/>
          </w:tcPr>
          <w:p w:rsidR="002E212B" w:rsidRPr="00E867BB" w:rsidRDefault="002E212B" w:rsidP="00E867BB">
            <w:pPr>
              <w:spacing w:before="40" w:after="20"/>
              <w:ind w:right="57"/>
              <w:jc w:val="right"/>
              <w:rPr>
                <w:rFonts w:ascii="Arial Narrow" w:hAnsi="Arial Narrow" w:cs="Arial"/>
                <w:b/>
                <w:color w:val="FFFFFF" w:themeColor="background1"/>
                <w:sz w:val="18"/>
                <w:szCs w:val="18"/>
                <w:lang w:val="en-GB"/>
              </w:rPr>
            </w:pPr>
            <w:r w:rsidRPr="00E867BB">
              <w:rPr>
                <w:rFonts w:ascii="Arial Narrow" w:hAnsi="Arial Narrow" w:cs="Arial"/>
                <w:b/>
                <w:color w:val="FFFFFF" w:themeColor="background1"/>
                <w:sz w:val="18"/>
                <w:szCs w:val="18"/>
                <w:lang w:val="en-GB"/>
              </w:rPr>
              <w:t>+0.9</w:t>
            </w:r>
          </w:p>
        </w:tc>
      </w:tr>
      <w:tr w:rsidR="002E212B" w:rsidRPr="00DF6A34" w:rsidTr="00C72DA4">
        <w:trPr>
          <w:trHeight w:val="255"/>
        </w:trPr>
        <w:tc>
          <w:tcPr>
            <w:tcW w:w="4536" w:type="dxa"/>
            <w:vAlign w:val="center"/>
          </w:tcPr>
          <w:p w:rsidR="002E212B" w:rsidRPr="005169F8" w:rsidRDefault="002E212B" w:rsidP="002E212B">
            <w:pPr>
              <w:spacing w:before="40" w:after="20"/>
              <w:rPr>
                <w:rFonts w:ascii="Arial Narrow" w:hAnsi="Arial Narrow" w:cs="Arial"/>
                <w:sz w:val="18"/>
                <w:szCs w:val="18"/>
                <w:lang w:val="en-GB"/>
              </w:rPr>
            </w:pPr>
            <w:r w:rsidRPr="005169F8">
              <w:rPr>
                <w:rFonts w:ascii="Arial Narrow" w:hAnsi="Arial Narrow" w:cs="Arial"/>
                <w:sz w:val="18"/>
                <w:szCs w:val="18"/>
                <w:lang w:val="en-GB"/>
              </w:rPr>
              <w:t>All items excluding energy and unprocessed food (Core inflation)</w:t>
            </w:r>
          </w:p>
        </w:tc>
        <w:tc>
          <w:tcPr>
            <w:tcW w:w="1134" w:type="dxa"/>
            <w:shd w:val="clear" w:color="auto" w:fill="D9D9D9"/>
            <w:vAlign w:val="bottom"/>
          </w:tcPr>
          <w:p w:rsidR="002E212B" w:rsidRPr="00E7347A"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827,336</w:t>
            </w:r>
          </w:p>
        </w:tc>
        <w:tc>
          <w:tcPr>
            <w:tcW w:w="851" w:type="dxa"/>
            <w:shd w:val="clear" w:color="auto" w:fill="FFFFFF"/>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116.4</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-1.3</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-1.6</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+2.5</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+2.1</w:t>
            </w:r>
          </w:p>
        </w:tc>
      </w:tr>
      <w:tr w:rsidR="002E212B" w:rsidRPr="00DF6A34" w:rsidTr="00C72DA4">
        <w:trPr>
          <w:trHeight w:val="209"/>
        </w:trPr>
        <w:tc>
          <w:tcPr>
            <w:tcW w:w="4536" w:type="dxa"/>
            <w:vAlign w:val="center"/>
          </w:tcPr>
          <w:p w:rsidR="002E212B" w:rsidRPr="005169F8" w:rsidRDefault="002E212B" w:rsidP="002E212B">
            <w:pPr>
              <w:spacing w:before="40" w:after="20"/>
              <w:rPr>
                <w:rFonts w:ascii="Arial Narrow" w:hAnsi="Arial Narrow" w:cs="Arial"/>
                <w:bCs/>
                <w:sz w:val="18"/>
                <w:szCs w:val="18"/>
                <w:lang w:val="en-GB"/>
              </w:rPr>
            </w:pPr>
            <w:r w:rsidRPr="005169F8">
              <w:rPr>
                <w:rFonts w:ascii="Arial Narrow" w:hAnsi="Arial Narrow" w:cs="Arial"/>
                <w:bCs/>
                <w:sz w:val="18"/>
                <w:szCs w:val="18"/>
                <w:lang w:val="en-GB"/>
              </w:rPr>
              <w:t>All items excluding energy, food, alcohol and tobacco</w:t>
            </w:r>
          </w:p>
        </w:tc>
        <w:tc>
          <w:tcPr>
            <w:tcW w:w="1134" w:type="dxa"/>
            <w:shd w:val="clear" w:color="auto" w:fill="D9D9D9"/>
            <w:vAlign w:val="bottom"/>
          </w:tcPr>
          <w:p w:rsidR="002E212B" w:rsidRPr="00E7347A"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678,567</w:t>
            </w:r>
          </w:p>
        </w:tc>
        <w:tc>
          <w:tcPr>
            <w:tcW w:w="851" w:type="dxa"/>
            <w:shd w:val="clear" w:color="auto" w:fill="FFFFFF"/>
            <w:vAlign w:val="bottom"/>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114.1</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-1.6</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-2.0</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+2.6</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+2.1</w:t>
            </w:r>
          </w:p>
        </w:tc>
      </w:tr>
      <w:tr w:rsidR="002E212B" w:rsidRPr="00791A56" w:rsidTr="00C72DA4">
        <w:trPr>
          <w:trHeight w:val="255"/>
        </w:trPr>
        <w:tc>
          <w:tcPr>
            <w:tcW w:w="4536" w:type="dxa"/>
            <w:vAlign w:val="center"/>
          </w:tcPr>
          <w:p w:rsidR="002E212B" w:rsidRPr="005169F8" w:rsidRDefault="002E212B" w:rsidP="002E212B">
            <w:pPr>
              <w:spacing w:before="40" w:after="20"/>
              <w:rPr>
                <w:rFonts w:ascii="Arial Narrow" w:hAnsi="Arial Narrow" w:cs="Arial"/>
                <w:sz w:val="18"/>
                <w:szCs w:val="18"/>
                <w:lang w:val="en-GB"/>
              </w:rPr>
            </w:pPr>
            <w:r w:rsidRPr="005169F8">
              <w:rPr>
                <w:rFonts w:ascii="Arial Narrow" w:hAnsi="Arial Narrow" w:cs="Arial"/>
                <w:sz w:val="18"/>
                <w:szCs w:val="18"/>
                <w:lang w:val="en-GB"/>
              </w:rPr>
              <w:t>All items excluding energy</w:t>
            </w:r>
          </w:p>
        </w:tc>
        <w:tc>
          <w:tcPr>
            <w:tcW w:w="1134" w:type="dxa"/>
            <w:shd w:val="clear" w:color="auto" w:fill="D9D9D9"/>
            <w:vAlign w:val="center"/>
          </w:tcPr>
          <w:p w:rsidR="002E212B" w:rsidRPr="00E7347A" w:rsidRDefault="002E212B" w:rsidP="002E212B">
            <w:pPr>
              <w:spacing w:before="40" w:after="20"/>
              <w:ind w:right="57"/>
              <w:jc w:val="right"/>
              <w:rPr>
                <w:rFonts w:ascii="Arial Narrow" w:hAnsi="Arial Narrow" w:cs="Arial"/>
                <w:sz w:val="18"/>
                <w:szCs w:val="18"/>
                <w:lang w:val="en-GB"/>
              </w:rPr>
            </w:pPr>
            <w:r w:rsidRPr="00E7347A">
              <w:rPr>
                <w:rFonts w:ascii="Arial Narrow" w:hAnsi="Arial Narrow" w:cs="Arial"/>
                <w:sz w:val="18"/>
                <w:szCs w:val="18"/>
                <w:lang w:val="en-GB"/>
              </w:rPr>
              <w:t>891,078</w:t>
            </w:r>
          </w:p>
        </w:tc>
        <w:tc>
          <w:tcPr>
            <w:tcW w:w="851" w:type="dxa"/>
            <w:shd w:val="clear" w:color="auto" w:fill="FFFFFF"/>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117.6</w:t>
            </w:r>
          </w:p>
        </w:tc>
        <w:tc>
          <w:tcPr>
            <w:tcW w:w="992" w:type="dxa"/>
            <w:shd w:val="clear" w:color="auto" w:fill="D9D9D9"/>
            <w:tcMar>
              <w:right w:w="113" w:type="dxa"/>
            </w:tcMar>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-1.3</w:t>
            </w:r>
          </w:p>
        </w:tc>
        <w:tc>
          <w:tcPr>
            <w:tcW w:w="879"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-1.5</w:t>
            </w:r>
          </w:p>
        </w:tc>
        <w:tc>
          <w:tcPr>
            <w:tcW w:w="851" w:type="dxa"/>
            <w:shd w:val="clear" w:color="auto" w:fill="D9D9D9"/>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+2.3</w:t>
            </w:r>
          </w:p>
        </w:tc>
        <w:tc>
          <w:tcPr>
            <w:tcW w:w="850" w:type="dxa"/>
            <w:vAlign w:val="center"/>
          </w:tcPr>
          <w:p w:rsidR="002E212B" w:rsidRPr="00E867BB" w:rsidRDefault="002E212B" w:rsidP="00E867BB">
            <w:pPr>
              <w:spacing w:before="40" w:after="20"/>
              <w:ind w:right="57"/>
              <w:jc w:val="right"/>
              <w:rPr>
                <w:rFonts w:ascii="Arial Narrow" w:hAnsi="Arial Narrow" w:cs="Arial"/>
                <w:sz w:val="18"/>
                <w:szCs w:val="18"/>
                <w:lang w:val="en-GB"/>
              </w:rPr>
            </w:pPr>
            <w:r w:rsidRPr="00E867BB">
              <w:rPr>
                <w:rFonts w:ascii="Arial Narrow" w:hAnsi="Arial Narrow" w:cs="Arial"/>
                <w:sz w:val="18"/>
                <w:szCs w:val="18"/>
                <w:lang w:val="en-GB"/>
              </w:rPr>
              <w:t>+2.1</w:t>
            </w:r>
          </w:p>
        </w:tc>
      </w:tr>
    </w:tbl>
    <w:p w:rsidR="00617D27" w:rsidRPr="000068DB" w:rsidRDefault="00617D27" w:rsidP="00171C5C">
      <w:pPr>
        <w:spacing w:after="120"/>
        <w:rPr>
          <w:lang w:val="en-US"/>
        </w:rPr>
        <w:sectPr w:rsidR="00617D27" w:rsidRPr="000068DB" w:rsidSect="00171C5C">
          <w:headerReference w:type="default" r:id="rId19"/>
          <w:pgSz w:w="11907" w:h="16840" w:code="9"/>
          <w:pgMar w:top="1534" w:right="851" w:bottom="680" w:left="851" w:header="567" w:footer="567" w:gutter="0"/>
          <w:cols w:space="720"/>
          <w:noEndnote/>
          <w:docGrid w:linePitch="272"/>
        </w:sectPr>
      </w:pPr>
    </w:p>
    <w:p w:rsidR="002D2CAD" w:rsidRDefault="002D2CAD" w:rsidP="002D2CAD">
      <w:pPr>
        <w:spacing w:after="50"/>
        <w:jc w:val="both"/>
        <w:rPr>
          <w:rFonts w:ascii="Arial" w:hAnsi="Arial" w:cs="Arial"/>
          <w:bCs/>
          <w:lang w:val="en-US"/>
        </w:rPr>
      </w:pPr>
      <w:r w:rsidRPr="00D83650">
        <w:rPr>
          <w:rFonts w:ascii="Arial" w:hAnsi="Arial" w:cs="Arial"/>
          <w:b/>
          <w:bCs/>
          <w:lang w:val="en-US"/>
        </w:rPr>
        <w:lastRenderedPageBreak/>
        <w:t>COICOP</w:t>
      </w:r>
      <w:r w:rsidRPr="00D83650">
        <w:rPr>
          <w:rFonts w:ascii="Arial" w:hAnsi="Arial" w:cs="Arial"/>
          <w:bCs/>
          <w:lang w:val="en-US"/>
        </w:rPr>
        <w:t xml:space="preserve">: classification of individual consumption by purpose. </w:t>
      </w:r>
    </w:p>
    <w:p w:rsidR="002D2CAD" w:rsidRDefault="002D2CAD" w:rsidP="002D2CAD">
      <w:pPr>
        <w:spacing w:after="50"/>
        <w:jc w:val="both"/>
        <w:rPr>
          <w:rFonts w:ascii="Arial" w:hAnsi="Arial" w:cs="Arial"/>
          <w:lang w:val="en-US"/>
        </w:rPr>
      </w:pPr>
      <w:r w:rsidRPr="00D83650">
        <w:rPr>
          <w:rFonts w:ascii="Arial" w:hAnsi="Arial" w:cs="Arial"/>
          <w:b/>
          <w:lang w:val="en-US"/>
        </w:rPr>
        <w:t>Core inflation</w:t>
      </w:r>
      <w:r w:rsidRPr="00D83650">
        <w:rPr>
          <w:rFonts w:ascii="Arial" w:hAnsi="Arial" w:cs="Arial"/>
          <w:lang w:val="en-US"/>
        </w:rPr>
        <w:t>:</w:t>
      </w:r>
      <w:r w:rsidRPr="00D83650">
        <w:rPr>
          <w:lang w:val="en-US"/>
        </w:rPr>
        <w:t xml:space="preserve"> </w:t>
      </w:r>
      <w:r w:rsidRPr="00D83650">
        <w:rPr>
          <w:rFonts w:ascii="Arial" w:hAnsi="Arial" w:cs="Arial"/>
          <w:lang w:val="en-US"/>
        </w:rPr>
        <w:t xml:space="preserve">it is calculated by excluding </w:t>
      </w:r>
      <w:r>
        <w:rPr>
          <w:rFonts w:ascii="Arial" w:hAnsi="Arial" w:cs="Arial"/>
          <w:lang w:val="en-US"/>
        </w:rPr>
        <w:t>unprocessed</w:t>
      </w:r>
      <w:r w:rsidRPr="00D83650">
        <w:rPr>
          <w:rFonts w:ascii="Arial" w:hAnsi="Arial" w:cs="Arial"/>
          <w:lang w:val="en-US"/>
        </w:rPr>
        <w:t xml:space="preserve"> food and energy.</w:t>
      </w:r>
    </w:p>
    <w:p w:rsidR="002D2CAD" w:rsidRDefault="002D2CAD" w:rsidP="002D2CAD">
      <w:pPr>
        <w:spacing w:after="50"/>
        <w:jc w:val="both"/>
        <w:rPr>
          <w:rFonts w:ascii="Arial" w:hAnsi="Arial" w:cs="Arial"/>
          <w:bCs/>
          <w:lang w:val="en-US"/>
        </w:rPr>
      </w:pPr>
      <w:r w:rsidRPr="00D83650">
        <w:rPr>
          <w:rFonts w:ascii="Arial" w:hAnsi="Arial" w:cs="Arial"/>
          <w:b/>
          <w:bCs/>
          <w:lang w:val="en-US"/>
        </w:rPr>
        <w:t>Durable goods</w:t>
      </w:r>
      <w:r w:rsidRPr="00D83650">
        <w:rPr>
          <w:rFonts w:ascii="Arial" w:hAnsi="Arial" w:cs="Arial"/>
          <w:bCs/>
          <w:lang w:val="en-US"/>
        </w:rPr>
        <w:t xml:space="preserve">: </w:t>
      </w:r>
      <w:r>
        <w:rPr>
          <w:rFonts w:ascii="Arial" w:hAnsi="Arial" w:cs="Arial"/>
          <w:bCs/>
          <w:lang w:val="en-US"/>
        </w:rPr>
        <w:t xml:space="preserve">they </w:t>
      </w:r>
      <w:r w:rsidRPr="00D83650">
        <w:rPr>
          <w:rFonts w:ascii="Arial" w:hAnsi="Arial" w:cs="Arial"/>
          <w:bCs/>
          <w:lang w:val="en-US"/>
        </w:rPr>
        <w:t xml:space="preserve">include </w:t>
      </w:r>
      <w:r>
        <w:rPr>
          <w:rFonts w:ascii="Arial" w:hAnsi="Arial" w:cs="Arial"/>
          <w:bCs/>
          <w:lang w:val="en-US"/>
        </w:rPr>
        <w:t>personal transport equipments</w:t>
      </w:r>
      <w:r w:rsidRPr="00D83650">
        <w:rPr>
          <w:rFonts w:ascii="Arial" w:hAnsi="Arial" w:cs="Arial"/>
          <w:bCs/>
          <w:lang w:val="en-US"/>
        </w:rPr>
        <w:t>, furniture</w:t>
      </w:r>
      <w:r>
        <w:rPr>
          <w:rFonts w:ascii="Arial" w:hAnsi="Arial" w:cs="Arial"/>
          <w:bCs/>
          <w:lang w:val="en-US"/>
        </w:rPr>
        <w:t>s and</w:t>
      </w:r>
      <w:r w:rsidRPr="00D83650">
        <w:rPr>
          <w:rFonts w:ascii="Arial" w:hAnsi="Arial" w:cs="Arial"/>
          <w:bCs/>
          <w:lang w:val="en-US"/>
        </w:rPr>
        <w:t xml:space="preserve"> appliances</w:t>
      </w:r>
      <w:r>
        <w:rPr>
          <w:rFonts w:ascii="Arial" w:hAnsi="Arial" w:cs="Arial"/>
          <w:bCs/>
          <w:lang w:val="en-US"/>
        </w:rPr>
        <w:t>, medical appliances and equipments, telephone equipments, equipments related to recreation, jewellery, clocks and watches.</w:t>
      </w:r>
    </w:p>
    <w:p w:rsidR="002D2CAD" w:rsidRPr="00E57C3A" w:rsidRDefault="00C8186C" w:rsidP="002D2CAD">
      <w:pPr>
        <w:spacing w:after="50"/>
        <w:jc w:val="both"/>
        <w:rPr>
          <w:rFonts w:ascii="Arial" w:hAnsi="Arial" w:cs="Arial"/>
          <w:b/>
          <w:bCs/>
          <w:highlight w:val="yellow"/>
          <w:lang w:val="en-US"/>
        </w:rPr>
      </w:pPr>
      <w:hyperlink r:id="rId20" w:history="1">
        <w:r w:rsidR="002D2CAD" w:rsidRPr="00586D29">
          <w:rPr>
            <w:rStyle w:val="Collegamentoipertestuale"/>
            <w:rFonts w:ascii="Arial" w:hAnsi="Arial" w:cs="Arial"/>
            <w:b/>
            <w:bCs/>
            <w:lang w:val="en-US"/>
          </w:rPr>
          <w:t>ECOICOP</w:t>
        </w:r>
      </w:hyperlink>
      <w:r w:rsidR="002D2CAD" w:rsidRPr="00D83650">
        <w:rPr>
          <w:rFonts w:ascii="Arial" w:hAnsi="Arial" w:cs="Arial"/>
          <w:bCs/>
          <w:lang w:val="en-US"/>
        </w:rPr>
        <w:t xml:space="preserve">: European classification of individual consumption by purpose, which provides a level of detail (the sub-classes) greater than the COICOP. </w:t>
      </w:r>
    </w:p>
    <w:p w:rsidR="002D2CAD" w:rsidRPr="00E57C3A" w:rsidRDefault="002D2CAD" w:rsidP="002D2CAD">
      <w:pPr>
        <w:spacing w:after="50"/>
        <w:jc w:val="both"/>
        <w:rPr>
          <w:rFonts w:ascii="Arial" w:hAnsi="Arial" w:cs="Arial"/>
          <w:bCs/>
          <w:highlight w:val="yellow"/>
          <w:lang w:val="en-US"/>
        </w:rPr>
      </w:pPr>
      <w:r w:rsidRPr="00D83650">
        <w:rPr>
          <w:rFonts w:ascii="Arial" w:hAnsi="Arial" w:cs="Arial"/>
          <w:b/>
          <w:bCs/>
          <w:lang w:val="en-US"/>
        </w:rPr>
        <w:t>Food</w:t>
      </w:r>
      <w:r w:rsidRPr="00D83650">
        <w:rPr>
          <w:rFonts w:ascii="Arial" w:hAnsi="Arial" w:cs="Arial"/>
          <w:bCs/>
          <w:lang w:val="en-US"/>
        </w:rPr>
        <w:t>:</w:t>
      </w:r>
      <w:r w:rsidRPr="00D83650">
        <w:rPr>
          <w:lang w:val="en-US"/>
        </w:rPr>
        <w:t xml:space="preserve"> </w:t>
      </w:r>
      <w:r w:rsidRPr="00D83650">
        <w:rPr>
          <w:rFonts w:ascii="Arial" w:hAnsi="Arial" w:cs="Arial"/>
          <w:bCs/>
          <w:lang w:val="en-US"/>
        </w:rPr>
        <w:t xml:space="preserve">in addition to </w:t>
      </w:r>
      <w:r>
        <w:rPr>
          <w:rFonts w:ascii="Arial" w:hAnsi="Arial" w:cs="Arial"/>
          <w:bCs/>
          <w:lang w:val="en-US"/>
        </w:rPr>
        <w:t xml:space="preserve">products </w:t>
      </w:r>
      <w:r w:rsidRPr="00D83650">
        <w:rPr>
          <w:rFonts w:ascii="Arial" w:hAnsi="Arial" w:cs="Arial"/>
          <w:bCs/>
          <w:lang w:val="en-US"/>
        </w:rPr>
        <w:t>such as bread, meat, cheese,</w:t>
      </w:r>
      <w:r>
        <w:rPr>
          <w:rFonts w:ascii="Arial" w:hAnsi="Arial" w:cs="Arial"/>
          <w:bCs/>
          <w:lang w:val="en-US"/>
        </w:rPr>
        <w:t xml:space="preserve"> it includes</w:t>
      </w:r>
      <w:r w:rsidRPr="00D83650">
        <w:rPr>
          <w:rFonts w:ascii="Arial" w:hAnsi="Arial" w:cs="Arial"/>
          <w:bCs/>
          <w:lang w:val="en-US"/>
        </w:rPr>
        <w:t xml:space="preserve"> non-alcoholic and alcoholic beverages.</w:t>
      </w:r>
      <w:r w:rsidRPr="00D83650">
        <w:rPr>
          <w:lang w:val="en-US"/>
        </w:rPr>
        <w:t xml:space="preserve"> </w:t>
      </w:r>
      <w:r w:rsidRPr="00D83650">
        <w:rPr>
          <w:rFonts w:ascii="Arial" w:hAnsi="Arial" w:cs="Arial"/>
          <w:bCs/>
          <w:lang w:val="en-US"/>
        </w:rPr>
        <w:t xml:space="preserve">The </w:t>
      </w:r>
      <w:r w:rsidRPr="00D83650">
        <w:rPr>
          <w:rFonts w:ascii="Arial" w:hAnsi="Arial" w:cs="Arial"/>
          <w:bCs/>
          <w:i/>
          <w:lang w:val="en-US"/>
        </w:rPr>
        <w:t>Processed food</w:t>
      </w:r>
      <w:r w:rsidRPr="00D83650">
        <w:rPr>
          <w:rFonts w:ascii="Arial" w:hAnsi="Arial" w:cs="Arial"/>
          <w:bCs/>
          <w:lang w:val="en-US"/>
        </w:rPr>
        <w:t xml:space="preserve"> destined for final consumption are defined as the result of a process of industrial transformation (such as fruit juices, sausages, frozen products). </w:t>
      </w:r>
      <w:r w:rsidRPr="00D83650">
        <w:rPr>
          <w:rFonts w:ascii="Arial" w:hAnsi="Arial" w:cs="Arial"/>
          <w:bCs/>
          <w:i/>
          <w:lang w:val="en-US"/>
        </w:rPr>
        <w:t>Unprocessed food</w:t>
      </w:r>
      <w:r w:rsidRPr="00D83650">
        <w:rPr>
          <w:rFonts w:ascii="Arial" w:hAnsi="Arial" w:cs="Arial"/>
          <w:bCs/>
          <w:lang w:val="en-US"/>
        </w:rPr>
        <w:t xml:space="preserve"> </w:t>
      </w:r>
      <w:r>
        <w:rPr>
          <w:rFonts w:ascii="Arial" w:hAnsi="Arial" w:cs="Arial"/>
          <w:bCs/>
          <w:lang w:val="en-US"/>
        </w:rPr>
        <w:t>are fresh food (</w:t>
      </w:r>
      <w:r w:rsidRPr="00D83650">
        <w:rPr>
          <w:rFonts w:ascii="Arial" w:hAnsi="Arial" w:cs="Arial"/>
          <w:bCs/>
          <w:lang w:val="en-US"/>
        </w:rPr>
        <w:t>such as fresh meat, fresh fish, fruit and fresh vegetables</w:t>
      </w:r>
      <w:r>
        <w:rPr>
          <w:rFonts w:ascii="Arial" w:hAnsi="Arial" w:cs="Arial"/>
          <w:bCs/>
          <w:lang w:val="en-US"/>
        </w:rPr>
        <w:t>)</w:t>
      </w:r>
      <w:r w:rsidRPr="00D83650">
        <w:rPr>
          <w:rFonts w:ascii="Arial" w:hAnsi="Arial" w:cs="Arial"/>
          <w:bCs/>
          <w:lang w:val="en-US"/>
        </w:rPr>
        <w:t>.</w:t>
      </w:r>
    </w:p>
    <w:p w:rsidR="002D2CAD" w:rsidRPr="00E57C3A" w:rsidRDefault="002D2CAD" w:rsidP="002D2CAD">
      <w:pPr>
        <w:spacing w:after="50"/>
        <w:jc w:val="both"/>
        <w:rPr>
          <w:rFonts w:ascii="Arial" w:hAnsi="Arial" w:cs="Arial"/>
          <w:bCs/>
          <w:lang w:val="en-US"/>
        </w:rPr>
      </w:pPr>
      <w:r w:rsidRPr="00E57C3A">
        <w:rPr>
          <w:rFonts w:ascii="Arial" w:hAnsi="Arial" w:cs="Arial"/>
          <w:b/>
          <w:bCs/>
          <w:lang w:val="en-US"/>
        </w:rPr>
        <w:t>Grocery and unprocessed food</w:t>
      </w:r>
      <w:r w:rsidRPr="00E57C3A">
        <w:rPr>
          <w:rFonts w:ascii="Arial" w:hAnsi="Arial" w:cs="Arial"/>
          <w:bCs/>
          <w:lang w:val="en-US"/>
        </w:rPr>
        <w:t>: it includes, in addition to food, the goods for cleaning and ordinary maintenance of the house and personal hygiene and beauty products.</w:t>
      </w:r>
    </w:p>
    <w:p w:rsidR="002D2CAD" w:rsidRPr="00E57C3A" w:rsidRDefault="002D2CAD" w:rsidP="002D2CAD">
      <w:pPr>
        <w:spacing w:after="50"/>
        <w:jc w:val="both"/>
        <w:rPr>
          <w:rFonts w:ascii="Arial" w:hAnsi="Arial" w:cs="Arial"/>
          <w:bCs/>
          <w:highlight w:val="yellow"/>
          <w:lang w:val="en-US"/>
        </w:rPr>
      </w:pPr>
      <w:r w:rsidRPr="00D83650">
        <w:rPr>
          <w:rFonts w:ascii="Arial" w:hAnsi="Arial" w:cs="Arial"/>
          <w:b/>
          <w:bCs/>
          <w:lang w:val="en-US"/>
        </w:rPr>
        <w:t>HICP</w:t>
      </w:r>
      <w:r w:rsidRPr="00D83650">
        <w:rPr>
          <w:rFonts w:ascii="Arial" w:hAnsi="Arial" w:cs="Arial"/>
          <w:bCs/>
          <w:lang w:val="en-US"/>
        </w:rPr>
        <w:t>:</w:t>
      </w:r>
      <w:r w:rsidRPr="00D83650">
        <w:rPr>
          <w:lang w:val="en-US"/>
        </w:rPr>
        <w:t xml:space="preserve"> </w:t>
      </w:r>
      <w:r w:rsidRPr="00D83650">
        <w:rPr>
          <w:rFonts w:ascii="Arial" w:hAnsi="Arial" w:cs="Arial"/>
          <w:bCs/>
          <w:lang w:val="en-US"/>
        </w:rPr>
        <w:t>harmonized index of consumer prices for the countries of the European Union.</w:t>
      </w:r>
    </w:p>
    <w:p w:rsidR="002D2CAD" w:rsidRPr="00E57C3A" w:rsidRDefault="002D2CAD" w:rsidP="002D2CAD">
      <w:pPr>
        <w:spacing w:after="50"/>
        <w:jc w:val="both"/>
        <w:rPr>
          <w:rFonts w:ascii="Arial" w:hAnsi="Arial" w:cs="Arial"/>
          <w:bCs/>
          <w:highlight w:val="yellow"/>
          <w:lang w:val="en-US"/>
        </w:rPr>
      </w:pPr>
      <w:r w:rsidRPr="00D83650">
        <w:rPr>
          <w:rFonts w:ascii="Arial" w:hAnsi="Arial" w:cs="Arial"/>
          <w:b/>
          <w:bCs/>
          <w:lang w:val="en-US"/>
        </w:rPr>
        <w:t>HICP-SA</w:t>
      </w:r>
      <w:r w:rsidRPr="00D83650">
        <w:rPr>
          <w:rFonts w:ascii="Arial" w:hAnsi="Arial" w:cs="Arial"/>
          <w:bCs/>
          <w:lang w:val="en-US"/>
        </w:rPr>
        <w:t xml:space="preserve">: Harmonized indices of consumer prices for special aggregates. They are indicators </w:t>
      </w:r>
      <w:r>
        <w:rPr>
          <w:rFonts w:ascii="Arial" w:hAnsi="Arial" w:cs="Arial"/>
          <w:bCs/>
          <w:lang w:val="en-US"/>
        </w:rPr>
        <w:t>compile</w:t>
      </w:r>
      <w:r w:rsidRPr="00D83650">
        <w:rPr>
          <w:rFonts w:ascii="Arial" w:hAnsi="Arial" w:cs="Arial"/>
          <w:bCs/>
          <w:lang w:val="en-US"/>
        </w:rPr>
        <w:t xml:space="preserve">d according to a </w:t>
      </w:r>
      <w:r>
        <w:rPr>
          <w:rFonts w:ascii="Arial" w:hAnsi="Arial" w:cs="Arial"/>
          <w:bCs/>
          <w:lang w:val="en-US"/>
        </w:rPr>
        <w:t xml:space="preserve">different </w:t>
      </w:r>
      <w:r w:rsidRPr="00D83650">
        <w:rPr>
          <w:rFonts w:ascii="Arial" w:hAnsi="Arial" w:cs="Arial"/>
          <w:bCs/>
          <w:lang w:val="en-US"/>
        </w:rPr>
        <w:t xml:space="preserve">classification scheme </w:t>
      </w:r>
      <w:r>
        <w:rPr>
          <w:rFonts w:ascii="Arial" w:hAnsi="Arial" w:cs="Arial"/>
          <w:bCs/>
          <w:lang w:val="en-US"/>
        </w:rPr>
        <w:t xml:space="preserve">from </w:t>
      </w:r>
      <w:r w:rsidRPr="00D83650">
        <w:rPr>
          <w:rFonts w:ascii="Arial" w:hAnsi="Arial" w:cs="Arial"/>
          <w:bCs/>
          <w:lang w:val="en-US"/>
        </w:rPr>
        <w:t>the ECOICOP-HICP and from that used for the NIC indices by product type. The classification scheme and calculation method are common to those used by Eurostat.</w:t>
      </w:r>
      <w:r>
        <w:rPr>
          <w:rFonts w:ascii="Arial" w:hAnsi="Arial" w:cs="Arial"/>
          <w:bCs/>
          <w:lang w:val="en-US"/>
        </w:rPr>
        <w:t xml:space="preserve"> F</w:t>
      </w:r>
      <w:r w:rsidRPr="00443B8F">
        <w:rPr>
          <w:rFonts w:ascii="Arial" w:hAnsi="Arial" w:cs="Arial"/>
          <w:bCs/>
          <w:lang w:val="en-US"/>
        </w:rPr>
        <w:t>rom the dissemination of January 2019 definitive data, coherently with Eurostat strategy, the method of calculation of the special aggregates of the Italian HICP has changed and they are obtained by aggregating the indices of the ECOICOP subclasses (previously, for the calculation of these indicators the class indices were used). Series of the new SA indices were recalculated from January 2017, replacing the old ones and they are available on http://dati.istat.it/.</w:t>
      </w:r>
    </w:p>
    <w:p w:rsidR="002D2CAD" w:rsidRDefault="002D2CAD" w:rsidP="002D2CAD">
      <w:pPr>
        <w:spacing w:after="50"/>
        <w:jc w:val="both"/>
        <w:rPr>
          <w:rFonts w:ascii="Arial" w:hAnsi="Arial" w:cs="Arial"/>
          <w:bCs/>
          <w:lang w:val="en-US"/>
        </w:rPr>
      </w:pPr>
      <w:r w:rsidRPr="00D83650">
        <w:rPr>
          <w:rFonts w:ascii="Arial" w:hAnsi="Arial" w:cs="Arial"/>
          <w:b/>
          <w:bCs/>
          <w:lang w:val="en-US"/>
        </w:rPr>
        <w:t>HICP-CT</w:t>
      </w:r>
      <w:r w:rsidRPr="00D83650">
        <w:rPr>
          <w:rFonts w:ascii="Arial" w:hAnsi="Arial" w:cs="Arial"/>
          <w:bCs/>
          <w:lang w:val="en-US"/>
        </w:rPr>
        <w:t xml:space="preserve"> harmonized index of consumer prices with constant taxation for the countries of the European Union.</w:t>
      </w:r>
    </w:p>
    <w:p w:rsidR="002D2CAD" w:rsidRPr="00E57C3A" w:rsidRDefault="002D2CAD" w:rsidP="002D2CAD">
      <w:pPr>
        <w:spacing w:after="50"/>
        <w:jc w:val="both"/>
        <w:rPr>
          <w:rFonts w:ascii="Arial" w:hAnsi="Arial" w:cs="Arial"/>
          <w:bCs/>
          <w:highlight w:val="yellow"/>
          <w:lang w:val="en-US"/>
        </w:rPr>
      </w:pPr>
      <w:r w:rsidRPr="0044306E">
        <w:rPr>
          <w:rFonts w:ascii="Arial" w:hAnsi="Arial" w:cs="Arial"/>
          <w:b/>
          <w:bCs/>
          <w:lang w:val="en-US"/>
        </w:rPr>
        <w:t>Inflation:</w:t>
      </w:r>
      <w:r w:rsidRPr="00B22B61">
        <w:rPr>
          <w:rFonts w:ascii="Arial" w:hAnsi="Arial" w:cs="Arial"/>
          <w:bCs/>
          <w:lang w:val="en-US"/>
        </w:rPr>
        <w:t xml:space="preserve"> </w:t>
      </w:r>
      <w:r>
        <w:rPr>
          <w:rFonts w:ascii="Arial" w:hAnsi="Arial" w:cs="Arial"/>
          <w:bCs/>
          <w:lang w:val="en-US"/>
        </w:rPr>
        <w:t>it measures the temporal changes of prices of a basket of products that represents all the goods and services intended for the final consumption of households and purchasable</w:t>
      </w:r>
      <w:r w:rsidRPr="00B22B61">
        <w:rPr>
          <w:rFonts w:ascii="Arial" w:hAnsi="Arial" w:cs="Arial"/>
          <w:bCs/>
          <w:lang w:val="en-US"/>
        </w:rPr>
        <w:t xml:space="preserve"> on the market through monetary transactions</w:t>
      </w:r>
      <w:r>
        <w:rPr>
          <w:rFonts w:ascii="Arial" w:hAnsi="Arial" w:cs="Arial"/>
          <w:bCs/>
          <w:lang w:val="en-US"/>
        </w:rPr>
        <w:t>.</w:t>
      </w:r>
    </w:p>
    <w:p w:rsidR="002D2CAD" w:rsidRPr="00E57C3A" w:rsidRDefault="002D2CAD" w:rsidP="002D2CAD">
      <w:pPr>
        <w:spacing w:after="50"/>
        <w:jc w:val="both"/>
        <w:rPr>
          <w:rFonts w:ascii="Arial" w:hAnsi="Arial" w:cs="Arial"/>
          <w:b/>
          <w:bCs/>
          <w:highlight w:val="yellow"/>
          <w:lang w:val="en-US"/>
        </w:rPr>
      </w:pPr>
      <w:r w:rsidRPr="00D83650">
        <w:rPr>
          <w:rFonts w:ascii="Arial" w:hAnsi="Arial" w:cs="Arial"/>
          <w:b/>
          <w:bCs/>
          <w:lang w:val="en-US"/>
        </w:rPr>
        <w:t>Non energy industrial goods</w:t>
      </w:r>
      <w:r w:rsidRPr="00D83650">
        <w:rPr>
          <w:rFonts w:ascii="Arial" w:hAnsi="Arial" w:cs="Arial"/>
          <w:bCs/>
          <w:lang w:val="en-US"/>
        </w:rPr>
        <w:t xml:space="preserve">: </w:t>
      </w:r>
      <w:r>
        <w:rPr>
          <w:rFonts w:ascii="Arial" w:hAnsi="Arial" w:cs="Arial"/>
          <w:bCs/>
          <w:lang w:val="en-US"/>
        </w:rPr>
        <w:t xml:space="preserve">they </w:t>
      </w:r>
      <w:r w:rsidRPr="00D83650">
        <w:rPr>
          <w:rFonts w:ascii="Arial" w:hAnsi="Arial" w:cs="Arial"/>
          <w:bCs/>
          <w:lang w:val="en-US"/>
        </w:rPr>
        <w:t xml:space="preserve">include consumer goods excluding food, energy and tobacco products. </w:t>
      </w:r>
    </w:p>
    <w:p w:rsidR="002D2CAD" w:rsidRDefault="002D2CAD" w:rsidP="002D2CAD">
      <w:pPr>
        <w:spacing w:after="50"/>
        <w:jc w:val="both"/>
        <w:rPr>
          <w:rFonts w:ascii="Arial" w:hAnsi="Arial" w:cs="Arial"/>
          <w:bCs/>
          <w:lang w:val="en-US"/>
        </w:rPr>
      </w:pPr>
      <w:r w:rsidRPr="00D83650">
        <w:rPr>
          <w:rFonts w:ascii="Arial" w:hAnsi="Arial" w:cs="Arial"/>
          <w:b/>
          <w:bCs/>
          <w:lang w:val="en-US"/>
        </w:rPr>
        <w:t>Non-durable goods</w:t>
      </w:r>
      <w:r w:rsidRPr="00D83650">
        <w:rPr>
          <w:rFonts w:ascii="Arial" w:hAnsi="Arial" w:cs="Arial"/>
          <w:bCs/>
          <w:lang w:val="en-US"/>
        </w:rPr>
        <w:t xml:space="preserve">: </w:t>
      </w:r>
      <w:r>
        <w:rPr>
          <w:rFonts w:ascii="Arial" w:hAnsi="Arial" w:cs="Arial"/>
          <w:bCs/>
          <w:lang w:val="en-US"/>
        </w:rPr>
        <w:t xml:space="preserve">they </w:t>
      </w:r>
      <w:r w:rsidRPr="00D83650">
        <w:rPr>
          <w:rFonts w:ascii="Arial" w:hAnsi="Arial" w:cs="Arial"/>
          <w:bCs/>
          <w:lang w:val="en-US"/>
        </w:rPr>
        <w:t>include housecleaning detergents, personal care products</w:t>
      </w:r>
      <w:r>
        <w:rPr>
          <w:rFonts w:ascii="Arial" w:hAnsi="Arial" w:cs="Arial"/>
          <w:bCs/>
          <w:lang w:val="en-US"/>
        </w:rPr>
        <w:t>, medicines, household repair and maintenance products, garden products, newspapers and periodicals, stationery materials.</w:t>
      </w:r>
    </w:p>
    <w:p w:rsidR="002D2CAD" w:rsidRDefault="002D2CAD" w:rsidP="002D2CAD">
      <w:pPr>
        <w:spacing w:after="50"/>
        <w:jc w:val="both"/>
        <w:rPr>
          <w:rFonts w:ascii="Arial" w:hAnsi="Arial" w:cs="Arial"/>
          <w:bCs/>
          <w:lang w:val="en-US"/>
        </w:rPr>
      </w:pPr>
      <w:r w:rsidRPr="00D83650">
        <w:rPr>
          <w:rFonts w:ascii="Arial" w:hAnsi="Arial" w:cs="Arial"/>
          <w:b/>
          <w:bCs/>
          <w:lang w:val="en-US"/>
        </w:rPr>
        <w:t>Regulated energy products</w:t>
      </w:r>
      <w:r w:rsidRPr="00D83650">
        <w:rPr>
          <w:rFonts w:ascii="Arial" w:hAnsi="Arial" w:cs="Arial"/>
          <w:bCs/>
          <w:lang w:val="en-US"/>
        </w:rPr>
        <w:t>:</w:t>
      </w:r>
      <w:r>
        <w:rPr>
          <w:rFonts w:ascii="Arial" w:hAnsi="Arial" w:cs="Arial"/>
          <w:bCs/>
          <w:lang w:val="en-US"/>
        </w:rPr>
        <w:t xml:space="preserve"> they</w:t>
      </w:r>
      <w:r w:rsidRPr="00D83650">
        <w:rPr>
          <w:rFonts w:ascii="Arial" w:hAnsi="Arial" w:cs="Arial"/>
          <w:bCs/>
          <w:lang w:val="en-US"/>
        </w:rPr>
        <w:t xml:space="preserve"> include the tariffs for electricity </w:t>
      </w:r>
      <w:r w:rsidRPr="00822C47">
        <w:rPr>
          <w:rFonts w:ascii="Arial" w:hAnsi="Arial" w:cs="Arial"/>
          <w:bCs/>
          <w:lang w:val="en-US"/>
        </w:rPr>
        <w:t xml:space="preserve">- regulated market </w:t>
      </w:r>
      <w:r w:rsidRPr="00D83650">
        <w:rPr>
          <w:rFonts w:ascii="Arial" w:hAnsi="Arial" w:cs="Arial"/>
          <w:bCs/>
          <w:lang w:val="en-US"/>
        </w:rPr>
        <w:t>and gas for domestic use</w:t>
      </w:r>
      <w:r>
        <w:rPr>
          <w:rFonts w:ascii="Arial" w:hAnsi="Arial" w:cs="Arial"/>
          <w:bCs/>
          <w:lang w:val="en-US"/>
        </w:rPr>
        <w:t xml:space="preserve"> – regulated market</w:t>
      </w:r>
      <w:r w:rsidRPr="00D83650">
        <w:rPr>
          <w:rFonts w:ascii="Arial" w:hAnsi="Arial" w:cs="Arial"/>
          <w:bCs/>
          <w:lang w:val="en-US"/>
        </w:rPr>
        <w:t>.</w:t>
      </w:r>
    </w:p>
    <w:p w:rsidR="002D2CAD" w:rsidRPr="00E57C3A" w:rsidRDefault="002D2CAD" w:rsidP="002D2CAD">
      <w:pPr>
        <w:spacing w:after="50"/>
        <w:jc w:val="both"/>
        <w:rPr>
          <w:rFonts w:ascii="Arial" w:hAnsi="Arial" w:cs="Arial"/>
          <w:bCs/>
          <w:highlight w:val="yellow"/>
          <w:lang w:val="en-US"/>
        </w:rPr>
      </w:pPr>
      <w:r w:rsidRPr="00D83650">
        <w:rPr>
          <w:rFonts w:ascii="Arial" w:hAnsi="Arial" w:cs="Arial"/>
          <w:b/>
          <w:bCs/>
          <w:lang w:val="en-US"/>
        </w:rPr>
        <w:t>Regulated products</w:t>
      </w:r>
      <w:r w:rsidRPr="00D83650">
        <w:rPr>
          <w:rFonts w:ascii="Arial" w:hAnsi="Arial" w:cs="Arial"/>
          <w:bCs/>
          <w:lang w:val="en-US"/>
        </w:rPr>
        <w:t xml:space="preserve">: </w:t>
      </w:r>
      <w:r>
        <w:rPr>
          <w:rFonts w:ascii="Arial" w:hAnsi="Arial" w:cs="Arial"/>
          <w:bCs/>
          <w:lang w:val="en-US"/>
        </w:rPr>
        <w:t xml:space="preserve">they </w:t>
      </w:r>
      <w:r w:rsidRPr="00D83650">
        <w:rPr>
          <w:rFonts w:ascii="Arial" w:hAnsi="Arial" w:cs="Arial"/>
          <w:bCs/>
          <w:lang w:val="en-US"/>
        </w:rPr>
        <w:t>include regulated energy products and other regulated products.</w:t>
      </w:r>
    </w:p>
    <w:p w:rsidR="002D2CAD" w:rsidRDefault="002D2CAD" w:rsidP="002D2CAD">
      <w:pPr>
        <w:spacing w:after="50"/>
        <w:jc w:val="both"/>
        <w:rPr>
          <w:rFonts w:ascii="Arial" w:hAnsi="Arial" w:cs="Arial"/>
          <w:bCs/>
          <w:lang w:val="en-US"/>
        </w:rPr>
      </w:pPr>
      <w:r w:rsidRPr="00D83650">
        <w:rPr>
          <w:rFonts w:ascii="Arial" w:hAnsi="Arial" w:cs="Arial"/>
          <w:b/>
          <w:bCs/>
          <w:lang w:val="en-US"/>
        </w:rPr>
        <w:t>Semi-durable goods</w:t>
      </w:r>
      <w:r w:rsidRPr="00D83650">
        <w:rPr>
          <w:rFonts w:ascii="Arial" w:hAnsi="Arial" w:cs="Arial"/>
          <w:bCs/>
          <w:lang w:val="en-US"/>
        </w:rPr>
        <w:t>:</w:t>
      </w:r>
      <w:r>
        <w:rPr>
          <w:rFonts w:ascii="Arial" w:hAnsi="Arial" w:cs="Arial"/>
          <w:bCs/>
          <w:lang w:val="en-US"/>
        </w:rPr>
        <w:t xml:space="preserve"> they</w:t>
      </w:r>
      <w:r w:rsidRPr="00D83650">
        <w:rPr>
          <w:rFonts w:ascii="Arial" w:hAnsi="Arial" w:cs="Arial"/>
          <w:bCs/>
          <w:lang w:val="en-US"/>
        </w:rPr>
        <w:t xml:space="preserve"> include clothing, footwear, </w:t>
      </w:r>
      <w:r>
        <w:rPr>
          <w:rFonts w:ascii="Arial" w:hAnsi="Arial" w:cs="Arial"/>
          <w:bCs/>
          <w:lang w:val="en-US"/>
        </w:rPr>
        <w:t xml:space="preserve">household textiles, household appliances, spare parts and accessories for personal transport equipment, miscellaneous accessories related to recreation, games, toys and hobby, products related to personal effects, </w:t>
      </w:r>
      <w:r w:rsidRPr="00D83650">
        <w:rPr>
          <w:rFonts w:ascii="Arial" w:hAnsi="Arial" w:cs="Arial"/>
          <w:bCs/>
          <w:lang w:val="en-US"/>
        </w:rPr>
        <w:t xml:space="preserve">books. </w:t>
      </w:r>
    </w:p>
    <w:p w:rsidR="002D2CAD" w:rsidRDefault="002D2CAD" w:rsidP="002D2CAD">
      <w:pPr>
        <w:spacing w:after="50"/>
        <w:jc w:val="both"/>
        <w:rPr>
          <w:rFonts w:ascii="Arial" w:hAnsi="Arial" w:cs="Arial"/>
          <w:bCs/>
          <w:lang w:val="en-US"/>
        </w:rPr>
      </w:pPr>
      <w:r w:rsidRPr="0009012F">
        <w:rPr>
          <w:rFonts w:ascii="Arial" w:hAnsi="Arial" w:cs="Arial"/>
          <w:b/>
          <w:bCs/>
          <w:lang w:val="en-US"/>
        </w:rPr>
        <w:t>Non-regulated energy products</w:t>
      </w:r>
      <w:r w:rsidRPr="00D83650">
        <w:rPr>
          <w:rFonts w:ascii="Arial" w:hAnsi="Arial" w:cs="Arial"/>
          <w:bCs/>
          <w:lang w:val="en-US"/>
        </w:rPr>
        <w:t xml:space="preserve">: </w:t>
      </w:r>
      <w:r>
        <w:rPr>
          <w:rFonts w:ascii="Arial" w:hAnsi="Arial" w:cs="Arial"/>
          <w:bCs/>
          <w:lang w:val="en-US"/>
        </w:rPr>
        <w:t xml:space="preserve">they </w:t>
      </w:r>
      <w:r w:rsidRPr="00D83650">
        <w:rPr>
          <w:rFonts w:ascii="Arial" w:hAnsi="Arial" w:cs="Arial"/>
          <w:bCs/>
          <w:lang w:val="en-US"/>
        </w:rPr>
        <w:t>include fuels for motor vehicles</w:t>
      </w:r>
      <w:r>
        <w:rPr>
          <w:rFonts w:ascii="Arial" w:hAnsi="Arial" w:cs="Arial"/>
          <w:bCs/>
          <w:lang w:val="en-US"/>
        </w:rPr>
        <w:t>,</w:t>
      </w:r>
      <w:r w:rsidRPr="00D83650">
        <w:rPr>
          <w:rFonts w:ascii="Arial" w:hAnsi="Arial" w:cs="Arial"/>
          <w:bCs/>
          <w:lang w:val="en-US"/>
        </w:rPr>
        <w:t xml:space="preserve"> lubricants</w:t>
      </w:r>
      <w:r>
        <w:rPr>
          <w:rFonts w:ascii="Arial" w:hAnsi="Arial" w:cs="Arial"/>
          <w:bCs/>
          <w:lang w:val="en-US"/>
        </w:rPr>
        <w:t>,</w:t>
      </w:r>
      <w:r w:rsidRPr="00D83650">
        <w:rPr>
          <w:rFonts w:ascii="Arial" w:hAnsi="Arial" w:cs="Arial"/>
          <w:bCs/>
          <w:lang w:val="en-US"/>
        </w:rPr>
        <w:t xml:space="preserve"> </w:t>
      </w:r>
      <w:r>
        <w:rPr>
          <w:rFonts w:ascii="Arial" w:hAnsi="Arial" w:cs="Arial"/>
          <w:bCs/>
          <w:lang w:val="en-US"/>
        </w:rPr>
        <w:t xml:space="preserve">electric charging for car, non regulated </w:t>
      </w:r>
      <w:r w:rsidRPr="00D83650">
        <w:rPr>
          <w:rFonts w:ascii="Arial" w:hAnsi="Arial" w:cs="Arial"/>
          <w:bCs/>
          <w:lang w:val="en-US"/>
        </w:rPr>
        <w:t>fuels for domestic use</w:t>
      </w:r>
      <w:r>
        <w:rPr>
          <w:rFonts w:ascii="Arial" w:hAnsi="Arial" w:cs="Arial"/>
          <w:bCs/>
          <w:lang w:val="en-US"/>
        </w:rPr>
        <w:t>, gas for domestic use – liberalized market, e</w:t>
      </w:r>
      <w:r w:rsidRPr="00822C47">
        <w:rPr>
          <w:rFonts w:ascii="Arial" w:hAnsi="Arial" w:cs="Arial"/>
          <w:bCs/>
          <w:lang w:val="en-US"/>
        </w:rPr>
        <w:t>lectricity - liberalized market</w:t>
      </w:r>
      <w:r>
        <w:rPr>
          <w:rFonts w:ascii="Arial" w:hAnsi="Arial" w:cs="Arial"/>
          <w:bCs/>
          <w:lang w:val="en-US"/>
        </w:rPr>
        <w:t>.</w:t>
      </w:r>
    </w:p>
    <w:p w:rsidR="002D2CAD" w:rsidRPr="00E57C3A" w:rsidRDefault="002D2CAD" w:rsidP="002D2CAD">
      <w:pPr>
        <w:spacing w:after="50"/>
        <w:jc w:val="both"/>
        <w:rPr>
          <w:rFonts w:ascii="Arial" w:hAnsi="Arial" w:cs="Arial"/>
          <w:lang w:val="en-US"/>
        </w:rPr>
      </w:pPr>
      <w:r w:rsidRPr="00E57C3A">
        <w:rPr>
          <w:rFonts w:ascii="Arial" w:hAnsi="Arial" w:cs="Arial"/>
          <w:b/>
          <w:lang w:val="en-US"/>
        </w:rPr>
        <w:t>NIC</w:t>
      </w:r>
      <w:r w:rsidRPr="00E57C3A">
        <w:rPr>
          <w:rFonts w:ascii="Arial" w:hAnsi="Arial" w:cs="Arial"/>
          <w:lang w:val="en-US"/>
        </w:rPr>
        <w:t>: italian consumer prices index for the whole nation.</w:t>
      </w:r>
    </w:p>
    <w:p w:rsidR="002D2CAD" w:rsidRDefault="002D2CAD" w:rsidP="002D2CAD">
      <w:pPr>
        <w:spacing w:after="50"/>
        <w:jc w:val="both"/>
        <w:rPr>
          <w:rFonts w:ascii="Arial" w:hAnsi="Arial" w:cs="Arial"/>
          <w:lang w:val="en-US"/>
        </w:rPr>
      </w:pPr>
      <w:r w:rsidRPr="00D83650">
        <w:rPr>
          <w:rFonts w:ascii="Arial" w:hAnsi="Arial" w:cs="Arial"/>
          <w:b/>
          <w:lang w:val="en-US"/>
        </w:rPr>
        <w:t>Services related to housing</w:t>
      </w:r>
      <w:r w:rsidRPr="00D83650">
        <w:rPr>
          <w:rFonts w:ascii="Arial" w:hAnsi="Arial" w:cs="Arial"/>
          <w:lang w:val="en-US"/>
        </w:rPr>
        <w:t xml:space="preserve">: </w:t>
      </w:r>
      <w:r>
        <w:rPr>
          <w:rFonts w:ascii="Arial" w:hAnsi="Arial" w:cs="Arial"/>
          <w:lang w:val="en-US"/>
        </w:rPr>
        <w:t xml:space="preserve">they </w:t>
      </w:r>
      <w:r w:rsidRPr="00D83650">
        <w:rPr>
          <w:rFonts w:ascii="Arial" w:hAnsi="Arial" w:cs="Arial"/>
          <w:lang w:val="en-US"/>
        </w:rPr>
        <w:t>include services</w:t>
      </w:r>
      <w:r>
        <w:rPr>
          <w:rFonts w:ascii="Arial" w:hAnsi="Arial" w:cs="Arial"/>
          <w:lang w:val="en-US"/>
        </w:rPr>
        <w:t xml:space="preserve"> for repair</w:t>
      </w:r>
      <w:r w:rsidRPr="00D83650">
        <w:rPr>
          <w:rFonts w:ascii="Arial" w:hAnsi="Arial" w:cs="Arial"/>
          <w:lang w:val="en-US"/>
        </w:rPr>
        <w:t xml:space="preserve">, </w:t>
      </w:r>
      <w:r>
        <w:rPr>
          <w:rFonts w:ascii="Arial" w:hAnsi="Arial" w:cs="Arial"/>
          <w:lang w:val="en-US"/>
        </w:rPr>
        <w:t>repair and security of the dwelling</w:t>
      </w:r>
      <w:r w:rsidRPr="00D83650">
        <w:rPr>
          <w:rFonts w:ascii="Arial" w:hAnsi="Arial" w:cs="Arial"/>
          <w:lang w:val="en-US"/>
        </w:rPr>
        <w:t>, refuse collection,</w:t>
      </w:r>
      <w:r>
        <w:rPr>
          <w:rFonts w:ascii="Arial" w:hAnsi="Arial" w:cs="Arial"/>
          <w:lang w:val="en-US"/>
        </w:rPr>
        <w:t xml:space="preserve"> sewage collection, actual rental for housing, actual rental for housing, </w:t>
      </w:r>
      <w:r w:rsidRPr="00D83650">
        <w:rPr>
          <w:rFonts w:ascii="Arial" w:hAnsi="Arial" w:cs="Arial"/>
          <w:lang w:val="en-US"/>
        </w:rPr>
        <w:t>maintenance charges in multi-occupied buildings, water supply</w:t>
      </w:r>
      <w:r>
        <w:rPr>
          <w:rFonts w:ascii="Arial" w:hAnsi="Arial" w:cs="Arial"/>
          <w:lang w:val="en-US"/>
        </w:rPr>
        <w:t>, insurance with the dwelling.</w:t>
      </w:r>
    </w:p>
    <w:p w:rsidR="002D2CAD" w:rsidRPr="00E57C3A" w:rsidRDefault="002D2CAD" w:rsidP="002D2CAD">
      <w:pPr>
        <w:spacing w:after="50"/>
        <w:jc w:val="both"/>
        <w:rPr>
          <w:rFonts w:ascii="Arial" w:hAnsi="Arial" w:cs="Arial"/>
          <w:highlight w:val="yellow"/>
          <w:lang w:val="en-US"/>
        </w:rPr>
      </w:pPr>
      <w:r w:rsidRPr="00E57C3A">
        <w:rPr>
          <w:rFonts w:ascii="Arial" w:hAnsi="Arial" w:cs="Arial"/>
          <w:b/>
          <w:lang w:val="en-US"/>
        </w:rPr>
        <w:t>Services related to communication</w:t>
      </w:r>
      <w:r w:rsidRPr="00E57C3A">
        <w:rPr>
          <w:rFonts w:ascii="Arial" w:hAnsi="Arial" w:cs="Arial"/>
          <w:lang w:val="en-US"/>
        </w:rPr>
        <w:t>: they include telephone services and postal services.</w:t>
      </w:r>
    </w:p>
    <w:p w:rsidR="002D2CAD" w:rsidRDefault="002D2CAD" w:rsidP="002D2CAD">
      <w:pPr>
        <w:spacing w:after="50"/>
        <w:jc w:val="both"/>
        <w:rPr>
          <w:rFonts w:ascii="Arial" w:hAnsi="Arial" w:cs="Arial"/>
          <w:b/>
          <w:lang w:val="en-US"/>
        </w:rPr>
      </w:pPr>
      <w:r w:rsidRPr="00D83650">
        <w:rPr>
          <w:rFonts w:ascii="Arial" w:hAnsi="Arial" w:cs="Arial"/>
          <w:b/>
          <w:lang w:val="en-US"/>
        </w:rPr>
        <w:t>Services related to recreational, including repair and personal care</w:t>
      </w:r>
      <w:r w:rsidRPr="00D83650">
        <w:rPr>
          <w:rFonts w:ascii="Arial" w:hAnsi="Arial" w:cs="Arial"/>
          <w:lang w:val="en-US"/>
        </w:rPr>
        <w:t xml:space="preserve">: </w:t>
      </w:r>
      <w:r>
        <w:rPr>
          <w:rFonts w:ascii="Arial" w:hAnsi="Arial" w:cs="Arial"/>
          <w:lang w:val="en-US"/>
        </w:rPr>
        <w:t xml:space="preserve">they </w:t>
      </w:r>
      <w:r w:rsidRPr="00D83650">
        <w:rPr>
          <w:rFonts w:ascii="Arial" w:hAnsi="Arial" w:cs="Arial"/>
          <w:lang w:val="en-US"/>
        </w:rPr>
        <w:t xml:space="preserve">include </w:t>
      </w:r>
      <w:r>
        <w:rPr>
          <w:rFonts w:ascii="Arial" w:hAnsi="Arial" w:cs="Arial"/>
          <w:lang w:val="en-US"/>
        </w:rPr>
        <w:t xml:space="preserve">package </w:t>
      </w:r>
      <w:r w:rsidRPr="00D83650">
        <w:rPr>
          <w:rFonts w:ascii="Arial" w:hAnsi="Arial" w:cs="Arial"/>
          <w:lang w:val="en-US"/>
        </w:rPr>
        <w:t>holiday</w:t>
      </w:r>
      <w:r>
        <w:rPr>
          <w:rFonts w:ascii="Arial" w:hAnsi="Arial" w:cs="Arial"/>
          <w:lang w:val="en-US"/>
        </w:rPr>
        <w:t>s</w:t>
      </w:r>
      <w:r w:rsidRPr="00D83650">
        <w:rPr>
          <w:rFonts w:ascii="Arial" w:hAnsi="Arial" w:cs="Arial"/>
          <w:lang w:val="en-US"/>
        </w:rPr>
        <w:t xml:space="preserve">, accommodation services, restaurants, </w:t>
      </w:r>
      <w:r>
        <w:rPr>
          <w:rFonts w:ascii="Arial" w:hAnsi="Arial" w:cs="Arial"/>
          <w:lang w:val="en-US"/>
        </w:rPr>
        <w:t>cafés</w:t>
      </w:r>
      <w:r w:rsidRPr="00D83650">
        <w:rPr>
          <w:rFonts w:ascii="Arial" w:hAnsi="Arial" w:cs="Arial"/>
          <w:lang w:val="en-US"/>
        </w:rPr>
        <w:t xml:space="preserve"> and the like, canteens, repair of audiovisual, photographic and IT equipment, clothing services, services for personal hygiene, rec</w:t>
      </w:r>
      <w:r>
        <w:rPr>
          <w:rFonts w:ascii="Arial" w:hAnsi="Arial" w:cs="Arial"/>
          <w:lang w:val="en-US"/>
        </w:rPr>
        <w:t>reational and cultural services, games of chance</w:t>
      </w:r>
      <w:r w:rsidRPr="00D83650">
        <w:rPr>
          <w:rFonts w:ascii="Arial" w:hAnsi="Arial" w:cs="Arial"/>
          <w:lang w:val="en-US"/>
        </w:rPr>
        <w:t>.</w:t>
      </w:r>
      <w:r w:rsidRPr="00D83650">
        <w:rPr>
          <w:rFonts w:ascii="Arial" w:hAnsi="Arial" w:cs="Arial"/>
          <w:b/>
          <w:lang w:val="en-US"/>
        </w:rPr>
        <w:t xml:space="preserve"> </w:t>
      </w:r>
    </w:p>
    <w:p w:rsidR="002D2CAD" w:rsidRPr="00E57C3A" w:rsidRDefault="002D2CAD" w:rsidP="002D2CAD">
      <w:pPr>
        <w:spacing w:after="50"/>
        <w:jc w:val="both"/>
        <w:rPr>
          <w:rFonts w:ascii="Arial" w:hAnsi="Arial" w:cs="Arial"/>
          <w:highlight w:val="yellow"/>
          <w:lang w:val="en-US"/>
        </w:rPr>
      </w:pPr>
      <w:r w:rsidRPr="00E57C3A">
        <w:rPr>
          <w:rFonts w:ascii="Arial" w:hAnsi="Arial" w:cs="Arial"/>
          <w:b/>
          <w:lang w:val="en-US"/>
        </w:rPr>
        <w:t>Services related to transport</w:t>
      </w:r>
      <w:r w:rsidRPr="00E57C3A">
        <w:rPr>
          <w:rFonts w:ascii="Arial" w:hAnsi="Arial" w:cs="Arial"/>
          <w:lang w:val="en-US"/>
        </w:rPr>
        <w:t>: include air, sea, rail and road transports, maintenance and repair of personal transport equipment, insurance connected with transport.</w:t>
      </w:r>
    </w:p>
    <w:p w:rsidR="002D2CAD" w:rsidRDefault="002D2CAD" w:rsidP="002D2CAD">
      <w:pPr>
        <w:spacing w:after="50"/>
        <w:jc w:val="both"/>
        <w:rPr>
          <w:rFonts w:ascii="Arial" w:hAnsi="Arial" w:cs="Arial"/>
          <w:lang w:val="en-US"/>
        </w:rPr>
      </w:pPr>
      <w:r w:rsidRPr="00E57C3A">
        <w:rPr>
          <w:rFonts w:ascii="Arial" w:hAnsi="Arial" w:cs="Arial"/>
          <w:b/>
          <w:lang w:val="en-US"/>
        </w:rPr>
        <w:t>Services - miscellaneous</w:t>
      </w:r>
      <w:r w:rsidRPr="00E57C3A">
        <w:rPr>
          <w:rFonts w:ascii="Arial" w:hAnsi="Arial" w:cs="Arial"/>
          <w:lang w:val="en-US"/>
        </w:rPr>
        <w:t xml:space="preserve">: they include education, </w:t>
      </w:r>
      <w:r>
        <w:rPr>
          <w:rFonts w:ascii="Arial" w:hAnsi="Arial" w:cs="Arial"/>
          <w:lang w:val="en-US"/>
        </w:rPr>
        <w:t>care and health</w:t>
      </w:r>
      <w:r w:rsidRPr="00E57C3A">
        <w:rPr>
          <w:rFonts w:ascii="Arial" w:hAnsi="Arial" w:cs="Arial"/>
          <w:lang w:val="en-US"/>
        </w:rPr>
        <w:t xml:space="preserve"> services, </w:t>
      </w:r>
      <w:r>
        <w:rPr>
          <w:rFonts w:ascii="Arial" w:hAnsi="Arial" w:cs="Arial"/>
          <w:lang w:val="en-US"/>
        </w:rPr>
        <w:t>financial services, l</w:t>
      </w:r>
      <w:r w:rsidRPr="00E57C3A">
        <w:rPr>
          <w:rFonts w:ascii="Arial" w:hAnsi="Arial" w:cs="Arial"/>
          <w:lang w:val="en-US"/>
        </w:rPr>
        <w:t>egal services and accountancy</w:t>
      </w:r>
      <w:r>
        <w:rPr>
          <w:rFonts w:ascii="Arial" w:hAnsi="Arial" w:cs="Arial"/>
          <w:lang w:val="en-US"/>
        </w:rPr>
        <w:t>,</w:t>
      </w:r>
      <w:r w:rsidRPr="00E57C3A">
        <w:rPr>
          <w:rFonts w:ascii="Arial" w:hAnsi="Arial" w:cs="Arial"/>
          <w:lang w:val="en-US"/>
        </w:rPr>
        <w:t xml:space="preserve"> funeral services, </w:t>
      </w:r>
      <w:r>
        <w:rPr>
          <w:rFonts w:ascii="Arial" w:hAnsi="Arial" w:cs="Arial"/>
          <w:lang w:val="en-US"/>
        </w:rPr>
        <w:t xml:space="preserve">veterinary services, </w:t>
      </w:r>
      <w:r w:rsidRPr="00E57C3A">
        <w:rPr>
          <w:rFonts w:ascii="Arial" w:hAnsi="Arial" w:cs="Arial"/>
          <w:lang w:val="en-US"/>
        </w:rPr>
        <w:t xml:space="preserve">insurance connected with health. </w:t>
      </w:r>
    </w:p>
    <w:p w:rsidR="002D2CAD" w:rsidRPr="00E57C3A" w:rsidRDefault="002D2CAD" w:rsidP="002D2CAD">
      <w:pPr>
        <w:spacing w:after="50"/>
        <w:jc w:val="both"/>
        <w:rPr>
          <w:rFonts w:ascii="Arial" w:hAnsi="Arial" w:cs="Arial"/>
          <w:bCs/>
          <w:highlight w:val="yellow"/>
          <w:lang w:val="en-US"/>
        </w:rPr>
      </w:pPr>
      <w:r w:rsidRPr="00E57C3A">
        <w:rPr>
          <w:rFonts w:ascii="Arial" w:hAnsi="Arial" w:cs="Arial"/>
          <w:b/>
          <w:bCs/>
          <w:lang w:val="en-US"/>
        </w:rPr>
        <w:t>Short-term percentage change</w:t>
      </w:r>
      <w:r w:rsidRPr="00E57C3A">
        <w:rPr>
          <w:rFonts w:ascii="Arial" w:hAnsi="Arial" w:cs="Arial"/>
          <w:bCs/>
          <w:lang w:val="en-US"/>
        </w:rPr>
        <w:t>: change compared to the previous period.</w:t>
      </w:r>
    </w:p>
    <w:p w:rsidR="002D2CAD" w:rsidRDefault="002D2CAD" w:rsidP="002D2CAD">
      <w:pPr>
        <w:pStyle w:val="Corpotesto"/>
        <w:spacing w:after="50" w:line="240" w:lineRule="auto"/>
        <w:jc w:val="both"/>
        <w:rPr>
          <w:rFonts w:ascii="Arial" w:hAnsi="Arial" w:cs="Arial"/>
          <w:bCs/>
          <w:lang w:val="en-US"/>
        </w:rPr>
      </w:pPr>
      <w:r w:rsidRPr="00E57C3A">
        <w:rPr>
          <w:rFonts w:ascii="Arial" w:hAnsi="Arial" w:cs="Arial"/>
          <w:b/>
          <w:bCs/>
          <w:lang w:val="en-US"/>
        </w:rPr>
        <w:t>Trend percentage change</w:t>
      </w:r>
      <w:r w:rsidRPr="00E57C3A">
        <w:rPr>
          <w:rFonts w:ascii="Arial" w:hAnsi="Arial" w:cs="Arial"/>
          <w:bCs/>
          <w:lang w:val="en-US"/>
        </w:rPr>
        <w:t>: change compared to the sa</w:t>
      </w:r>
      <w:r>
        <w:rPr>
          <w:rFonts w:ascii="Arial" w:hAnsi="Arial" w:cs="Arial"/>
          <w:bCs/>
          <w:lang w:val="en-US"/>
        </w:rPr>
        <w:t>me period of the previous year</w:t>
      </w:r>
      <w:r w:rsidRPr="00E57C3A">
        <w:rPr>
          <w:rFonts w:ascii="Arial" w:hAnsi="Arial" w:cs="Arial"/>
          <w:bCs/>
          <w:lang w:val="en-US"/>
        </w:rPr>
        <w:t>.</w:t>
      </w:r>
    </w:p>
    <w:p w:rsidR="002D2CAD" w:rsidRDefault="002D2CAD" w:rsidP="002D2CAD">
      <w:pPr>
        <w:pStyle w:val="Corpotesto"/>
        <w:spacing w:after="120" w:line="240" w:lineRule="auto"/>
        <w:jc w:val="both"/>
        <w:rPr>
          <w:rFonts w:ascii="Arial" w:hAnsi="Arial" w:cs="Arial"/>
          <w:bCs/>
          <w:lang w:val="en-US"/>
        </w:rPr>
      </w:pPr>
    </w:p>
    <w:p w:rsidR="002D2CAD" w:rsidRDefault="002D2CAD" w:rsidP="002D2CAD">
      <w:pPr>
        <w:spacing w:after="120"/>
        <w:jc w:val="both"/>
        <w:rPr>
          <w:rFonts w:ascii="Arial" w:hAnsi="Arial"/>
          <w:lang w:val="en-US"/>
        </w:rPr>
        <w:sectPr w:rsidR="002D2CAD" w:rsidSect="00171C5C">
          <w:headerReference w:type="default" r:id="rId21"/>
          <w:pgSz w:w="11907" w:h="16840" w:code="9"/>
          <w:pgMar w:top="1534" w:right="851" w:bottom="680" w:left="851" w:header="567" w:footer="567" w:gutter="0"/>
          <w:cols w:space="720"/>
          <w:noEndnote/>
          <w:docGrid w:linePitch="272"/>
        </w:sectPr>
      </w:pPr>
    </w:p>
    <w:p w:rsidR="004E4021" w:rsidRPr="00312065" w:rsidRDefault="004E4021" w:rsidP="004E4021">
      <w:pPr>
        <w:spacing w:after="120"/>
        <w:ind w:left="68"/>
        <w:jc w:val="both"/>
        <w:rPr>
          <w:rFonts w:ascii="Arial" w:hAnsi="Arial" w:cs="Arial"/>
          <w:sz w:val="8"/>
          <w:lang w:val="en-US"/>
        </w:rPr>
      </w:pPr>
    </w:p>
    <w:p w:rsidR="004E4021" w:rsidRPr="00CD2E29" w:rsidRDefault="004E4021" w:rsidP="004E4021">
      <w:pPr>
        <w:spacing w:after="120"/>
        <w:ind w:right="-1"/>
        <w:jc w:val="both"/>
        <w:rPr>
          <w:rFonts w:ascii="Arial" w:hAnsi="Arial"/>
          <w:b/>
          <w:sz w:val="22"/>
          <w:szCs w:val="22"/>
          <w:lang w:val="en-US"/>
        </w:rPr>
      </w:pPr>
      <w:r w:rsidRPr="00CD2E29">
        <w:rPr>
          <w:rFonts w:ascii="Arial" w:hAnsi="Arial"/>
          <w:b/>
          <w:sz w:val="22"/>
          <w:szCs w:val="22"/>
          <w:lang w:val="en-US"/>
        </w:rPr>
        <w:t>Introduction and regulatory framework</w:t>
      </w:r>
    </w:p>
    <w:p w:rsidR="004E4021" w:rsidRPr="00CD2E29" w:rsidRDefault="004E4021" w:rsidP="004E4021">
      <w:pPr>
        <w:pStyle w:val="Rientrocorpodeltesto"/>
        <w:ind w:left="0" w:right="-1"/>
        <w:jc w:val="both"/>
        <w:rPr>
          <w:rFonts w:ascii="Arial" w:hAnsi="Arial" w:cs="Arial"/>
          <w:lang w:val="en-US"/>
        </w:rPr>
      </w:pPr>
      <w:r w:rsidRPr="00CD2E29">
        <w:rPr>
          <w:rFonts w:ascii="Arial" w:hAnsi="Arial" w:cs="Arial"/>
          <w:lang w:val="en-US"/>
        </w:rPr>
        <w:t xml:space="preserve">The consumer price indices measure the variations over time of the prices of a collection of products (basket) that represents all the goods and services intended for the final household consumption, obtainable on the market through monetary transactions (free transactions, own-consumptions, </w:t>
      </w:r>
      <w:r>
        <w:rPr>
          <w:rFonts w:ascii="Arial" w:hAnsi="Arial" w:cs="Arial"/>
          <w:lang w:val="en-US"/>
        </w:rPr>
        <w:t xml:space="preserve">imputed </w:t>
      </w:r>
      <w:r w:rsidRPr="00CD2E29">
        <w:rPr>
          <w:rFonts w:ascii="Arial" w:hAnsi="Arial" w:cs="Arial"/>
          <w:lang w:val="en-US"/>
        </w:rPr>
        <w:t>rent</w:t>
      </w:r>
      <w:r>
        <w:rPr>
          <w:rFonts w:ascii="Arial" w:hAnsi="Arial" w:cs="Arial"/>
          <w:lang w:val="en-US"/>
        </w:rPr>
        <w:t>al</w:t>
      </w:r>
      <w:r w:rsidRPr="00CD2E29">
        <w:rPr>
          <w:rFonts w:ascii="Arial" w:hAnsi="Arial" w:cs="Arial"/>
          <w:lang w:val="en-US"/>
        </w:rPr>
        <w:t>s</w:t>
      </w:r>
      <w:r>
        <w:rPr>
          <w:rFonts w:ascii="Arial" w:hAnsi="Arial" w:cs="Arial"/>
          <w:lang w:val="en-US"/>
        </w:rPr>
        <w:t xml:space="preserve"> for housing</w:t>
      </w:r>
      <w:r w:rsidRPr="00CD2E29">
        <w:rPr>
          <w:rFonts w:ascii="Arial" w:hAnsi="Arial" w:cs="Arial"/>
          <w:lang w:val="en-US"/>
        </w:rPr>
        <w:t>, etc. are excluded).</w:t>
      </w:r>
    </w:p>
    <w:p w:rsidR="004E4021" w:rsidRPr="00CD2E29" w:rsidRDefault="004E4021" w:rsidP="004E4021">
      <w:pPr>
        <w:tabs>
          <w:tab w:val="left" w:pos="1843"/>
        </w:tabs>
        <w:spacing w:after="120"/>
        <w:ind w:right="-1"/>
        <w:jc w:val="both"/>
        <w:rPr>
          <w:rFonts w:ascii="Arial" w:hAnsi="Arial" w:cs="Arial"/>
          <w:lang w:val="en-US"/>
        </w:rPr>
      </w:pPr>
      <w:r w:rsidRPr="00CD2E29">
        <w:rPr>
          <w:rFonts w:ascii="Arial" w:hAnsi="Arial" w:cs="Arial"/>
          <w:lang w:val="en-US"/>
        </w:rPr>
        <w:t>The system of consumer price indices consists of two different indicators</w:t>
      </w:r>
      <w:r w:rsidRPr="00CD2E29">
        <w:rPr>
          <w:rStyle w:val="Rimandonotaapidipagina"/>
          <w:rFonts w:ascii="Arial" w:hAnsi="Arial" w:cs="Arial"/>
        </w:rPr>
        <w:footnoteReference w:id="1"/>
      </w:r>
      <w:r w:rsidRPr="00CD2E29">
        <w:rPr>
          <w:rFonts w:ascii="Arial" w:hAnsi="Arial" w:cs="Arial"/>
          <w:lang w:val="en-US"/>
        </w:rPr>
        <w:t xml:space="preserve">: </w:t>
      </w:r>
    </w:p>
    <w:p w:rsidR="004E4021" w:rsidRPr="00CD2E29" w:rsidRDefault="004E4021" w:rsidP="004E4021">
      <w:pPr>
        <w:numPr>
          <w:ilvl w:val="0"/>
          <w:numId w:val="1"/>
        </w:numPr>
        <w:tabs>
          <w:tab w:val="left" w:pos="284"/>
          <w:tab w:val="left" w:pos="851"/>
          <w:tab w:val="left" w:pos="1843"/>
          <w:tab w:val="left" w:pos="2127"/>
          <w:tab w:val="left" w:pos="2410"/>
        </w:tabs>
        <w:spacing w:before="0" w:after="120"/>
        <w:ind w:left="0" w:right="-1" w:firstLine="0"/>
        <w:jc w:val="both"/>
        <w:rPr>
          <w:rFonts w:ascii="Arial" w:hAnsi="Arial" w:cs="Arial"/>
          <w:lang w:val="en-US"/>
        </w:rPr>
      </w:pPr>
      <w:r w:rsidRPr="00CD2E29">
        <w:rPr>
          <w:rFonts w:ascii="Arial" w:hAnsi="Arial" w:cs="Arial"/>
          <w:b/>
          <w:lang w:val="en-US"/>
        </w:rPr>
        <w:t>the Consumer Price Index for the whole nation (NIC)</w:t>
      </w:r>
      <w:r w:rsidRPr="00CD2E29">
        <w:rPr>
          <w:rFonts w:ascii="Arial" w:hAnsi="Arial" w:cs="Arial"/>
          <w:lang w:val="en-US"/>
        </w:rPr>
        <w:t xml:space="preserve"> is used as a measure of headline inflation; </w:t>
      </w:r>
    </w:p>
    <w:p w:rsidR="004E4021" w:rsidRDefault="004E4021" w:rsidP="004E4021">
      <w:pPr>
        <w:numPr>
          <w:ilvl w:val="0"/>
          <w:numId w:val="2"/>
        </w:numPr>
        <w:tabs>
          <w:tab w:val="left" w:pos="284"/>
          <w:tab w:val="left" w:pos="1843"/>
          <w:tab w:val="left" w:pos="2127"/>
          <w:tab w:val="left" w:pos="2410"/>
        </w:tabs>
        <w:spacing w:before="0" w:after="120"/>
        <w:ind w:left="0" w:right="-1" w:firstLine="0"/>
        <w:jc w:val="both"/>
        <w:rPr>
          <w:rFonts w:ascii="Arial" w:hAnsi="Arial" w:cs="Arial"/>
          <w:i/>
          <w:iCs/>
          <w:lang w:val="en-US"/>
        </w:rPr>
      </w:pPr>
      <w:r w:rsidRPr="00CD2E29">
        <w:rPr>
          <w:rFonts w:ascii="Arial" w:hAnsi="Arial" w:cs="Arial"/>
          <w:b/>
          <w:lang w:val="en-US"/>
        </w:rPr>
        <w:t xml:space="preserve">the Harmonized index </w:t>
      </w:r>
      <w:r w:rsidRPr="00CD2E29">
        <w:rPr>
          <w:rFonts w:ascii="Arial" w:hAnsi="Arial" w:cs="Arial"/>
          <w:lang w:val="en-US"/>
        </w:rPr>
        <w:t xml:space="preserve">of Consumer Prices (HICP), calculated according to the EU regulations in force, is </w:t>
      </w:r>
      <w:r w:rsidRPr="00CD2E29">
        <w:rPr>
          <w:rFonts w:ascii="Arial" w:hAnsi="Arial" w:cs="Arial"/>
          <w:color w:val="000000"/>
          <w:lang w:val="en-US"/>
        </w:rPr>
        <w:t xml:space="preserve">used for the comparison of inflation between Member States and as a key indicator for the monetary policy of the European Central Bank. </w:t>
      </w:r>
      <w:r w:rsidRPr="00CD2E29">
        <w:rPr>
          <w:rFonts w:ascii="Arial" w:hAnsi="Arial" w:cs="Arial"/>
          <w:lang w:val="en-US"/>
        </w:rPr>
        <w:t>In compliance with the European legislation, and consistently with the standards provided by the regulations, the HICP index is also processed in the “constant taxation” version (HICP-CT).</w:t>
      </w:r>
    </w:p>
    <w:p w:rsidR="004E4021" w:rsidRPr="006F1503" w:rsidRDefault="004E4021" w:rsidP="004E4021">
      <w:pPr>
        <w:numPr>
          <w:ilvl w:val="0"/>
          <w:numId w:val="2"/>
        </w:numPr>
        <w:tabs>
          <w:tab w:val="left" w:pos="284"/>
          <w:tab w:val="left" w:pos="1843"/>
          <w:tab w:val="left" w:pos="2127"/>
          <w:tab w:val="left" w:pos="2410"/>
        </w:tabs>
        <w:spacing w:before="0" w:after="120"/>
        <w:ind w:left="0" w:right="-1" w:firstLine="0"/>
        <w:jc w:val="both"/>
        <w:rPr>
          <w:rFonts w:ascii="Arial" w:hAnsi="Arial" w:cs="Arial"/>
          <w:i/>
          <w:iCs/>
          <w:lang w:val="en-US"/>
        </w:rPr>
      </w:pPr>
      <w:r w:rsidRPr="006F1503">
        <w:rPr>
          <w:rFonts w:ascii="Arial" w:hAnsi="Arial" w:cs="Arial"/>
          <w:lang w:val="en-US"/>
        </w:rPr>
        <w:t>The HICP index is calculated and issued on the reference base of 2015=100 (</w:t>
      </w:r>
      <w:hyperlink r:id="rId22" w:history="1">
        <w:r w:rsidRPr="006F1503">
          <w:rPr>
            <w:rStyle w:val="Collegamentoipertestuale"/>
            <w:rFonts w:ascii="Arial" w:hAnsi="Arial" w:cs="Arial"/>
            <w:lang w:val="en-US"/>
          </w:rPr>
          <w:t>Regulation (EU) 2016/792 of the European Parliament and of the Council</w:t>
        </w:r>
      </w:hyperlink>
      <w:r w:rsidRPr="006F1503">
        <w:rPr>
          <w:rStyle w:val="Collegamentoipertestuale"/>
          <w:rFonts w:ascii="Arial" w:hAnsi="Arial" w:cs="Arial"/>
          <w:lang w:val="en-US"/>
        </w:rPr>
        <w:t>)</w:t>
      </w:r>
      <w:r w:rsidRPr="006F1503">
        <w:rPr>
          <w:rFonts w:ascii="Arial" w:hAnsi="Arial" w:cs="Arial"/>
          <w:lang w:val="en-US"/>
        </w:rPr>
        <w:t>. The same reference year is also used for the NIC index.</w:t>
      </w:r>
    </w:p>
    <w:p w:rsidR="004E4021" w:rsidRPr="00CD2E29" w:rsidRDefault="004E4021" w:rsidP="004E4021">
      <w:pPr>
        <w:spacing w:after="120"/>
        <w:ind w:right="-1"/>
        <w:jc w:val="both"/>
        <w:rPr>
          <w:rFonts w:ascii="Arial" w:hAnsi="Arial" w:cs="Arial"/>
          <w:lang w:val="en-US"/>
        </w:rPr>
      </w:pPr>
      <w:r w:rsidRPr="00CD2E29">
        <w:rPr>
          <w:rFonts w:ascii="Arial" w:hAnsi="Arial" w:cs="Arial"/>
          <w:lang w:val="en-US"/>
        </w:rPr>
        <w:t>The survey of consumer prices indices is governed by different laws and regulations that define the actors involved (Italian National Institute of Statistcs - Istat and Municipalities) and their relative functions:</w:t>
      </w:r>
    </w:p>
    <w:p w:rsidR="004E4021" w:rsidRDefault="004E4021" w:rsidP="004E4021">
      <w:pPr>
        <w:pStyle w:val="Paragrafoelenco"/>
        <w:widowControl w:val="0"/>
        <w:numPr>
          <w:ilvl w:val="0"/>
          <w:numId w:val="6"/>
        </w:numPr>
        <w:overflowPunct w:val="0"/>
        <w:autoSpaceDE w:val="0"/>
        <w:autoSpaceDN w:val="0"/>
        <w:adjustRightInd w:val="0"/>
        <w:spacing w:after="120"/>
        <w:ind w:left="426" w:right="-1"/>
        <w:jc w:val="both"/>
        <w:rPr>
          <w:rFonts w:ascii="Arial" w:hAnsi="Arial" w:cs="Arial"/>
          <w:sz w:val="20"/>
          <w:szCs w:val="20"/>
          <w:lang w:val="en-US"/>
        </w:rPr>
      </w:pPr>
      <w:r w:rsidRPr="00CD2E29">
        <w:rPr>
          <w:rFonts w:ascii="Arial" w:hAnsi="Arial" w:cs="Arial"/>
          <w:sz w:val="20"/>
          <w:szCs w:val="20"/>
          <w:lang w:val="en-US"/>
        </w:rPr>
        <w:t>the Regio Decreto Legge n. 222/1927, that gives Istat the task, of promoting the formation of price indices in all municipalities with more than 100,000 inhabitants and in others municipalities chosen among the provincial capitals or  those with more than 50,000 inhabitants that have adequate statistics offices;</w:t>
      </w:r>
    </w:p>
    <w:p w:rsidR="004E4021" w:rsidRPr="00DC3102" w:rsidRDefault="004E4021" w:rsidP="004E4021">
      <w:pPr>
        <w:pStyle w:val="Paragrafoelenco"/>
        <w:widowControl w:val="0"/>
        <w:numPr>
          <w:ilvl w:val="0"/>
          <w:numId w:val="6"/>
        </w:numPr>
        <w:overflowPunct w:val="0"/>
        <w:autoSpaceDE w:val="0"/>
        <w:autoSpaceDN w:val="0"/>
        <w:adjustRightInd w:val="0"/>
        <w:spacing w:after="120"/>
        <w:ind w:left="426" w:right="-1"/>
        <w:jc w:val="both"/>
        <w:rPr>
          <w:rFonts w:ascii="Arial" w:hAnsi="Arial" w:cs="Arial"/>
          <w:sz w:val="20"/>
          <w:szCs w:val="20"/>
          <w:lang w:val="en-US"/>
        </w:rPr>
      </w:pPr>
      <w:r w:rsidRPr="00DC3102">
        <w:rPr>
          <w:rFonts w:ascii="Arial" w:hAnsi="Arial" w:cs="Arial"/>
          <w:sz w:val="20"/>
          <w:lang w:val="en-US"/>
        </w:rPr>
        <w:t>the Law n. 621/1975 amends the Regio Decreto Legge n. 222/1927 with regard to the municipalities which are responsible for conducting the consumer price survey, as follows: "among the municipalities referred to in art. 1… must be understood to include all the provincial capital municipalities and those with over 30,000 inhabitants who have a suitable statistical office”;</w:t>
      </w:r>
    </w:p>
    <w:p w:rsidR="004E4021" w:rsidRDefault="00C8186C" w:rsidP="004E4021">
      <w:pPr>
        <w:pStyle w:val="Paragrafoelenco"/>
        <w:widowControl w:val="0"/>
        <w:numPr>
          <w:ilvl w:val="0"/>
          <w:numId w:val="6"/>
        </w:numPr>
        <w:overflowPunct w:val="0"/>
        <w:autoSpaceDE w:val="0"/>
        <w:autoSpaceDN w:val="0"/>
        <w:adjustRightInd w:val="0"/>
        <w:spacing w:after="120"/>
        <w:ind w:left="426" w:right="-1"/>
        <w:jc w:val="both"/>
        <w:rPr>
          <w:rFonts w:ascii="Arial" w:hAnsi="Arial" w:cs="Arial"/>
          <w:sz w:val="20"/>
          <w:szCs w:val="20"/>
          <w:lang w:val="en-US"/>
        </w:rPr>
      </w:pPr>
      <w:hyperlink r:id="rId23" w:history="1">
        <w:r w:rsidR="004E4021" w:rsidRPr="00DC3102">
          <w:rPr>
            <w:rStyle w:val="Collegamentoipertestuale"/>
            <w:rFonts w:ascii="Arial" w:hAnsi="Arial" w:cs="Arial"/>
            <w:sz w:val="20"/>
            <w:szCs w:val="20"/>
            <w:lang w:val="en-US"/>
          </w:rPr>
          <w:t>D.Igs n. 322/1989</w:t>
        </w:r>
      </w:hyperlink>
      <w:r w:rsidR="004E4021" w:rsidRPr="00CD2E29">
        <w:rPr>
          <w:rFonts w:ascii="Arial" w:hAnsi="Arial" w:cs="Arial"/>
          <w:sz w:val="20"/>
          <w:szCs w:val="20"/>
          <w:lang w:val="en-US"/>
        </w:rPr>
        <w:t>,</w:t>
      </w:r>
      <w:r w:rsidR="004E4021" w:rsidRPr="00CD2E29">
        <w:rPr>
          <w:rFonts w:ascii="Arial" w:hAnsi="Arial" w:cs="Arial"/>
          <w:i/>
          <w:iCs/>
          <w:sz w:val="20"/>
          <w:szCs w:val="20"/>
          <w:lang w:val="en-US"/>
        </w:rPr>
        <w:t xml:space="preserve"> </w:t>
      </w:r>
      <w:r w:rsidR="004E4021" w:rsidRPr="00CD2E29">
        <w:rPr>
          <w:rFonts w:ascii="Arial" w:hAnsi="Arial" w:cs="Arial"/>
          <w:sz w:val="20"/>
          <w:szCs w:val="20"/>
          <w:lang w:val="en-US"/>
        </w:rPr>
        <w:t>that governs the survey, processing, analysis and dissemination activities, and archiving  statistical data performed by public authorities and bodies of statistical information, for the purpose of creating the single direction, organizational consistency and the streamlining of flows at a central and local level;</w:t>
      </w:r>
    </w:p>
    <w:p w:rsidR="004E4021" w:rsidRPr="00802661" w:rsidRDefault="004E4021" w:rsidP="004E4021">
      <w:pPr>
        <w:pStyle w:val="Paragrafoelenco"/>
        <w:widowControl w:val="0"/>
        <w:numPr>
          <w:ilvl w:val="0"/>
          <w:numId w:val="6"/>
        </w:numPr>
        <w:overflowPunct w:val="0"/>
        <w:autoSpaceDE w:val="0"/>
        <w:autoSpaceDN w:val="0"/>
        <w:adjustRightInd w:val="0"/>
        <w:spacing w:after="120"/>
        <w:ind w:left="425" w:hanging="357"/>
        <w:jc w:val="both"/>
        <w:rPr>
          <w:rStyle w:val="Collegamentoipertestuale"/>
          <w:rFonts w:ascii="Arial" w:hAnsi="Arial" w:cs="Arial"/>
          <w:color w:val="auto"/>
          <w:sz w:val="20"/>
          <w:szCs w:val="20"/>
          <w:u w:val="none"/>
          <w:lang w:val="en-US"/>
        </w:rPr>
      </w:pPr>
      <w:r w:rsidRPr="00CD2E29">
        <w:rPr>
          <w:rFonts w:ascii="Arial" w:hAnsi="Arial" w:cs="Arial"/>
          <w:sz w:val="20"/>
          <w:szCs w:val="20"/>
          <w:lang w:val="en-US"/>
        </w:rPr>
        <w:t xml:space="preserve">the </w:t>
      </w:r>
      <w:hyperlink r:id="rId24" w:history="1">
        <w:r w:rsidRPr="00CD2E29">
          <w:rPr>
            <w:rStyle w:val="Collegamentoipertestuale"/>
            <w:rFonts w:ascii="Arial" w:hAnsi="Arial" w:cs="Arial"/>
            <w:sz w:val="20"/>
            <w:szCs w:val="20"/>
            <w:lang w:val="en-US"/>
          </w:rPr>
          <w:t>Regulation (EU) 2016/792</w:t>
        </w:r>
      </w:hyperlink>
      <w:r w:rsidRPr="00CD2E29">
        <w:rPr>
          <w:rFonts w:ascii="Arial" w:hAnsi="Arial" w:cs="Arial"/>
          <w:sz w:val="20"/>
          <w:szCs w:val="20"/>
          <w:lang w:val="en-US"/>
        </w:rPr>
        <w:t>,</w:t>
      </w:r>
      <w:r w:rsidRPr="00CD2E29">
        <w:rPr>
          <w:rFonts w:ascii="Arial" w:hAnsi="Arial" w:cs="Arial"/>
          <w:iCs/>
          <w:sz w:val="20"/>
          <w:szCs w:val="20"/>
          <w:lang w:val="en-US"/>
        </w:rPr>
        <w:t xml:space="preserve"> </w:t>
      </w:r>
      <w:r w:rsidRPr="00CD2E29">
        <w:rPr>
          <w:rFonts w:ascii="Arial" w:hAnsi="Arial" w:cs="Arial"/>
          <w:sz w:val="20"/>
          <w:szCs w:val="20"/>
          <w:lang w:val="en-US"/>
        </w:rPr>
        <w:t>concerning the harmonized index of Consumer Prices and the House Pice index (HPI)</w:t>
      </w:r>
      <w:r>
        <w:rPr>
          <w:rFonts w:ascii="Arial" w:hAnsi="Arial" w:cs="Arial"/>
          <w:sz w:val="20"/>
          <w:szCs w:val="20"/>
          <w:lang w:val="en-US"/>
        </w:rPr>
        <w:t xml:space="preserve">, </w:t>
      </w:r>
      <w:r w:rsidRPr="00B16C63">
        <w:rPr>
          <w:rFonts w:ascii="Arial" w:hAnsi="Arial" w:cs="Arial"/>
          <w:sz w:val="20"/>
          <w:szCs w:val="20"/>
          <w:lang w:val="en-US"/>
        </w:rPr>
        <w:t xml:space="preserve">and the Commission Implementing </w:t>
      </w:r>
      <w:hyperlink r:id="rId25" w:history="1">
        <w:r w:rsidRPr="00B16C63">
          <w:rPr>
            <w:rStyle w:val="Collegamentoipertestuale"/>
            <w:rFonts w:ascii="Arial" w:hAnsi="Arial" w:cs="Arial"/>
            <w:sz w:val="20"/>
            <w:szCs w:val="20"/>
            <w:lang w:val="en-US"/>
          </w:rPr>
          <w:t>Regulation (EU) 2020/1148 of 31 July 2020.</w:t>
        </w:r>
      </w:hyperlink>
    </w:p>
    <w:p w:rsidR="004E4021" w:rsidRPr="006D4BE2" w:rsidRDefault="004E4021" w:rsidP="004E4021">
      <w:pPr>
        <w:spacing w:after="120"/>
        <w:ind w:left="68"/>
        <w:jc w:val="both"/>
        <w:rPr>
          <w:rFonts w:ascii="Arial" w:hAnsi="Arial" w:cs="Arial"/>
          <w:sz w:val="8"/>
          <w:lang w:val="en-US"/>
        </w:rPr>
      </w:pPr>
    </w:p>
    <w:p w:rsidR="004E4021" w:rsidRPr="00870560" w:rsidRDefault="004E4021" w:rsidP="004E4021">
      <w:pPr>
        <w:spacing w:after="120"/>
        <w:ind w:right="-1"/>
        <w:jc w:val="both"/>
        <w:rPr>
          <w:rFonts w:ascii="Arial" w:hAnsi="Arial"/>
          <w:b/>
          <w:sz w:val="22"/>
          <w:szCs w:val="22"/>
          <w:lang w:val="en-US"/>
        </w:rPr>
      </w:pPr>
      <w:r w:rsidRPr="00870560">
        <w:rPr>
          <w:rFonts w:ascii="Arial" w:hAnsi="Arial"/>
          <w:b/>
          <w:sz w:val="22"/>
          <w:szCs w:val="22"/>
          <w:lang w:val="en-US"/>
        </w:rPr>
        <w:t>Survey coverage and organization</w:t>
      </w:r>
    </w:p>
    <w:p w:rsidR="004E4021" w:rsidRPr="0016414E" w:rsidRDefault="004E4021" w:rsidP="004E4021">
      <w:pPr>
        <w:spacing w:after="120"/>
        <w:ind w:right="-1"/>
        <w:jc w:val="both"/>
        <w:rPr>
          <w:rFonts w:ascii="Arial" w:hAnsi="Arial" w:cs="Arial"/>
          <w:lang w:val="en-US"/>
        </w:rPr>
      </w:pPr>
      <w:r w:rsidRPr="0016414E">
        <w:rPr>
          <w:rFonts w:ascii="Arial" w:hAnsi="Arial" w:cs="Arial"/>
          <w:lang w:val="en-US"/>
        </w:rPr>
        <w:t xml:space="preserve">Data contributing to the calculation of monthly consumer price indices are collected using different sources: the </w:t>
      </w:r>
      <w:r w:rsidRPr="0016414E">
        <w:rPr>
          <w:rFonts w:ascii="Arial" w:hAnsi="Arial" w:cs="Arial"/>
          <w:i/>
          <w:lang w:val="en-US"/>
        </w:rPr>
        <w:t>local survey</w:t>
      </w:r>
      <w:r w:rsidRPr="0016414E">
        <w:rPr>
          <w:rFonts w:ascii="Arial" w:hAnsi="Arial" w:cs="Arial"/>
          <w:lang w:val="en-US"/>
        </w:rPr>
        <w:t xml:space="preserve">, carried out by municipal statistics offices, under Istat supervision and coordination; the </w:t>
      </w:r>
      <w:r w:rsidRPr="0016414E">
        <w:rPr>
          <w:rFonts w:ascii="Arial" w:hAnsi="Arial" w:cs="Arial"/>
          <w:i/>
          <w:lang w:val="en-US"/>
        </w:rPr>
        <w:t>central survey</w:t>
      </w:r>
      <w:r w:rsidRPr="0016414E">
        <w:rPr>
          <w:rFonts w:ascii="Arial" w:hAnsi="Arial" w:cs="Arial"/>
          <w:lang w:val="en-US"/>
        </w:rPr>
        <w:t xml:space="preserve"> carried out directly by Istat or through different data providers; the </w:t>
      </w:r>
      <w:r w:rsidRPr="0016414E">
        <w:rPr>
          <w:rFonts w:ascii="Arial" w:hAnsi="Arial" w:cs="Arial"/>
          <w:i/>
          <w:lang w:val="en-US"/>
        </w:rPr>
        <w:t>scanner data</w:t>
      </w:r>
      <w:r w:rsidRPr="0016414E">
        <w:rPr>
          <w:rFonts w:ascii="Arial" w:hAnsi="Arial" w:cs="Arial"/>
          <w:lang w:val="en-US"/>
        </w:rPr>
        <w:t xml:space="preserve">; the </w:t>
      </w:r>
      <w:r w:rsidRPr="0016414E">
        <w:rPr>
          <w:rFonts w:ascii="Arial" w:hAnsi="Arial" w:cs="Arial"/>
          <w:i/>
          <w:lang w:val="en-US"/>
        </w:rPr>
        <w:t>administrative sources</w:t>
      </w:r>
      <w:r w:rsidRPr="0016414E">
        <w:rPr>
          <w:rFonts w:ascii="Arial" w:hAnsi="Arial" w:cs="Arial"/>
          <w:lang w:val="en-US"/>
        </w:rPr>
        <w:t>.</w:t>
      </w:r>
    </w:p>
    <w:p w:rsidR="004E4021" w:rsidRDefault="004E4021" w:rsidP="004E4021">
      <w:pPr>
        <w:spacing w:after="120"/>
        <w:ind w:right="-1"/>
        <w:jc w:val="both"/>
        <w:rPr>
          <w:rFonts w:ascii="Arial" w:hAnsi="Arial" w:cs="Arial"/>
          <w:lang w:val="en-GB"/>
        </w:rPr>
      </w:pPr>
      <w:r w:rsidRPr="0016414E">
        <w:rPr>
          <w:rFonts w:ascii="Arial" w:hAnsi="Arial" w:cs="Arial"/>
          <w:lang w:val="en-GB"/>
        </w:rPr>
        <w:t>In 202</w:t>
      </w:r>
      <w:r>
        <w:rPr>
          <w:rFonts w:ascii="Arial" w:hAnsi="Arial" w:cs="Arial"/>
          <w:lang w:val="en-GB"/>
        </w:rPr>
        <w:t>4</w:t>
      </w:r>
      <w:r w:rsidRPr="0016414E">
        <w:rPr>
          <w:rFonts w:ascii="Arial" w:hAnsi="Arial" w:cs="Arial"/>
          <w:lang w:val="en-GB"/>
        </w:rPr>
        <w:t>, the weight of the products exclusively collected through the local survey is equal to 5</w:t>
      </w:r>
      <w:r>
        <w:rPr>
          <w:rFonts w:ascii="Arial" w:hAnsi="Arial" w:cs="Arial"/>
          <w:lang w:val="en-GB"/>
        </w:rPr>
        <w:t>0</w:t>
      </w:r>
      <w:r w:rsidRPr="0016414E">
        <w:rPr>
          <w:rFonts w:ascii="Arial" w:hAnsi="Arial" w:cs="Arial"/>
          <w:lang w:val="en-GB"/>
        </w:rPr>
        <w:t>.</w:t>
      </w:r>
      <w:r>
        <w:rPr>
          <w:rFonts w:ascii="Arial" w:hAnsi="Arial" w:cs="Arial"/>
          <w:lang w:val="en-GB"/>
        </w:rPr>
        <w:t>3</w:t>
      </w:r>
      <w:r w:rsidRPr="0016414E">
        <w:rPr>
          <w:rFonts w:ascii="Arial" w:hAnsi="Arial" w:cs="Arial"/>
          <w:lang w:val="en-GB"/>
        </w:rPr>
        <w:t>% and that of products collected th</w:t>
      </w:r>
      <w:r>
        <w:rPr>
          <w:rFonts w:ascii="Arial" w:hAnsi="Arial" w:cs="Arial"/>
          <w:lang w:val="en-GB"/>
        </w:rPr>
        <w:t>rough the central survey is 25.6</w:t>
      </w:r>
      <w:r w:rsidRPr="0016414E">
        <w:rPr>
          <w:rFonts w:ascii="Arial" w:hAnsi="Arial" w:cs="Arial"/>
          <w:lang w:val="en-GB"/>
        </w:rPr>
        <w:t>%. In addition to these two ways, the acquisition of elementary prices (for grocery products) is carried out through scanner data with regard to the large scale retail trade distribution channels that are hypermarkets, supermarkets, discounts, small sales are</w:t>
      </w:r>
      <w:r>
        <w:rPr>
          <w:rFonts w:ascii="Arial" w:hAnsi="Arial" w:cs="Arial"/>
          <w:lang w:val="en-GB"/>
        </w:rPr>
        <w:t>as and specialist drug (for 13.6</w:t>
      </w:r>
      <w:r w:rsidRPr="0016414E">
        <w:rPr>
          <w:rFonts w:ascii="Arial" w:hAnsi="Arial" w:cs="Arial"/>
          <w:lang w:val="en-GB"/>
        </w:rPr>
        <w:t xml:space="preserve">% in terms of weight), where traditional data collection is no longer carried out. Finally, administrative sources are used: the database of fuel prices of Ministry of Economic Development whose weight is equal to </w:t>
      </w:r>
      <w:r>
        <w:rPr>
          <w:rFonts w:ascii="Arial" w:hAnsi="Arial" w:cs="Arial"/>
          <w:lang w:val="en-GB"/>
        </w:rPr>
        <w:t>6.2</w:t>
      </w:r>
      <w:r w:rsidRPr="0016414E">
        <w:rPr>
          <w:rFonts w:ascii="Arial" w:hAnsi="Arial" w:cs="Arial"/>
          <w:lang w:val="en-GB"/>
        </w:rPr>
        <w:t>%; the data provided by the Real Estate Market Observatory of the Tax Office for the survey of the prices of real rentals for pr</w:t>
      </w:r>
      <w:r>
        <w:rPr>
          <w:rFonts w:ascii="Arial" w:hAnsi="Arial" w:cs="Arial"/>
          <w:lang w:val="en-GB"/>
        </w:rPr>
        <w:t>ivate dwellings which weighs 2.3</w:t>
      </w:r>
      <w:r w:rsidRPr="0016414E">
        <w:rPr>
          <w:rFonts w:ascii="Arial" w:hAnsi="Arial" w:cs="Arial"/>
          <w:lang w:val="en-GB"/>
        </w:rPr>
        <w:t xml:space="preserve">% and the Excise, Customs and Monopolies Agency for the survey on tobacco </w:t>
      </w:r>
      <w:r>
        <w:rPr>
          <w:rFonts w:ascii="Arial" w:hAnsi="Arial" w:cs="Arial"/>
          <w:lang w:val="en-GB"/>
        </w:rPr>
        <w:t>products, which accounts for 2.0</w:t>
      </w:r>
      <w:r w:rsidRPr="0016414E">
        <w:rPr>
          <w:rFonts w:ascii="Arial" w:hAnsi="Arial" w:cs="Arial"/>
          <w:lang w:val="en-GB"/>
        </w:rPr>
        <w:t xml:space="preserve">% of the basket. </w:t>
      </w:r>
    </w:p>
    <w:p w:rsidR="004E4021" w:rsidRDefault="004E4021" w:rsidP="004E4021">
      <w:pPr>
        <w:spacing w:after="120"/>
        <w:ind w:right="-1"/>
        <w:jc w:val="both"/>
        <w:rPr>
          <w:rFonts w:ascii="Arial" w:hAnsi="Arial" w:cs="Arial"/>
          <w:lang w:val="en-US"/>
        </w:rPr>
      </w:pPr>
      <w:r w:rsidRPr="0016414E">
        <w:rPr>
          <w:rFonts w:ascii="Arial" w:hAnsi="Arial" w:cs="Arial"/>
          <w:lang w:val="en-US"/>
        </w:rPr>
        <w:t>In 202</w:t>
      </w:r>
      <w:r>
        <w:rPr>
          <w:rFonts w:ascii="Arial" w:hAnsi="Arial" w:cs="Arial"/>
          <w:lang w:val="en-US"/>
        </w:rPr>
        <w:t>4</w:t>
      </w:r>
      <w:r w:rsidRPr="0016414E">
        <w:rPr>
          <w:rFonts w:ascii="Arial" w:hAnsi="Arial" w:cs="Arial"/>
          <w:lang w:val="en-US"/>
        </w:rPr>
        <w:t>, the geographical basis of the survey is made up of 79 municipalities, which contribute to the indices calculation of all the product aggregates included in the basket. Other 12 municipalities  participate in the survey for a subset of products which includes local tariffs (water supply, solid waste, sewerage collection, urban transport, taxi, car transfer ownership, canteens in schools, public day nursery, etc.) and some local services (sport events, cinemas, theatre shows, secondary school education, canteens in universities, etc</w:t>
      </w:r>
      <w:r>
        <w:rPr>
          <w:rFonts w:ascii="Arial" w:hAnsi="Arial" w:cs="Arial"/>
          <w:lang w:val="en-US"/>
        </w:rPr>
        <w:t>.</w:t>
      </w:r>
      <w:r w:rsidRPr="0016414E">
        <w:rPr>
          <w:rFonts w:ascii="Arial" w:hAnsi="Arial" w:cs="Arial"/>
          <w:lang w:val="en-US"/>
        </w:rPr>
        <w:t>). In the 91 municipalities taking part in the 202</w:t>
      </w:r>
      <w:r>
        <w:rPr>
          <w:rFonts w:ascii="Arial" w:hAnsi="Arial" w:cs="Arial"/>
          <w:lang w:val="en-US"/>
        </w:rPr>
        <w:t>4</w:t>
      </w:r>
      <w:r w:rsidRPr="0016414E">
        <w:rPr>
          <w:rFonts w:ascii="Arial" w:hAnsi="Arial" w:cs="Arial"/>
          <w:lang w:val="en-US"/>
        </w:rPr>
        <w:t xml:space="preserve"> survey, prices are collected in about 44,000 statistical units (including outlets, enterprises and institutions) and r</w:t>
      </w:r>
      <w:r>
        <w:rPr>
          <w:rFonts w:ascii="Arial" w:hAnsi="Arial" w:cs="Arial"/>
          <w:lang w:val="en-US"/>
        </w:rPr>
        <w:t>ents are collected for about 2,8</w:t>
      </w:r>
      <w:r w:rsidRPr="0016414E">
        <w:rPr>
          <w:rFonts w:ascii="Arial" w:hAnsi="Arial" w:cs="Arial"/>
          <w:lang w:val="en-US"/>
        </w:rPr>
        <w:t xml:space="preserve">00 dwellings for social housing. </w:t>
      </w:r>
      <w:r>
        <w:rPr>
          <w:rFonts w:ascii="Arial" w:hAnsi="Arial" w:cs="Arial"/>
          <w:lang w:val="en-US"/>
        </w:rPr>
        <w:t xml:space="preserve">About </w:t>
      </w:r>
      <w:r w:rsidRPr="0016414E">
        <w:rPr>
          <w:rFonts w:ascii="Arial" w:hAnsi="Arial" w:cs="Arial"/>
          <w:lang w:val="en-US"/>
        </w:rPr>
        <w:t>3</w:t>
      </w:r>
      <w:r>
        <w:rPr>
          <w:rFonts w:ascii="Arial" w:hAnsi="Arial" w:cs="Arial"/>
          <w:lang w:val="en-US"/>
        </w:rPr>
        <w:t>85</w:t>
      </w:r>
      <w:r w:rsidRPr="0016414E">
        <w:rPr>
          <w:rFonts w:ascii="Arial" w:hAnsi="Arial" w:cs="Arial"/>
          <w:lang w:val="en-US"/>
        </w:rPr>
        <w:t>,000 price quotes are sent by Municipal Offices of Statistics to Istat each month (39</w:t>
      </w:r>
      <w:r>
        <w:rPr>
          <w:rFonts w:ascii="Arial" w:hAnsi="Arial" w:cs="Arial"/>
          <w:lang w:val="en-US"/>
        </w:rPr>
        <w:t>8</w:t>
      </w:r>
      <w:r w:rsidRPr="0016414E">
        <w:rPr>
          <w:rFonts w:ascii="Arial" w:hAnsi="Arial" w:cs="Arial"/>
          <w:lang w:val="en-US"/>
        </w:rPr>
        <w:t>,000 in 202</w:t>
      </w:r>
      <w:r>
        <w:rPr>
          <w:rFonts w:ascii="Arial" w:hAnsi="Arial" w:cs="Arial"/>
          <w:lang w:val="en-US"/>
        </w:rPr>
        <w:t>3</w:t>
      </w:r>
      <w:r w:rsidRPr="0016414E">
        <w:rPr>
          <w:rFonts w:ascii="Arial" w:hAnsi="Arial" w:cs="Arial"/>
          <w:lang w:val="en-US"/>
        </w:rPr>
        <w:t>).</w:t>
      </w:r>
      <w:r>
        <w:rPr>
          <w:rFonts w:ascii="Arial" w:hAnsi="Arial" w:cs="Arial"/>
          <w:lang w:val="en-US"/>
        </w:rPr>
        <w:t xml:space="preserve"> </w:t>
      </w:r>
      <w:r w:rsidRPr="0016414E">
        <w:rPr>
          <w:rFonts w:ascii="Arial" w:hAnsi="Arial" w:cs="Arial"/>
          <w:lang w:val="en-US"/>
        </w:rPr>
        <w:t xml:space="preserve">Following the annual update of the municipal survey plans, </w:t>
      </w:r>
      <w:r>
        <w:rPr>
          <w:rFonts w:ascii="Arial" w:hAnsi="Arial" w:cs="Arial"/>
          <w:lang w:val="en-US"/>
        </w:rPr>
        <w:t>5.6</w:t>
      </w:r>
      <w:r w:rsidRPr="0016414E">
        <w:rPr>
          <w:rFonts w:ascii="Arial" w:hAnsi="Arial" w:cs="Arial"/>
          <w:lang w:val="en-US"/>
        </w:rPr>
        <w:t>% of the current price quotes are new (</w:t>
      </w:r>
      <w:r>
        <w:rPr>
          <w:rFonts w:ascii="Arial" w:hAnsi="Arial" w:cs="Arial"/>
          <w:lang w:val="en-US"/>
        </w:rPr>
        <w:t>10.2</w:t>
      </w:r>
      <w:r w:rsidRPr="0016414E">
        <w:rPr>
          <w:rFonts w:ascii="Arial" w:hAnsi="Arial" w:cs="Arial"/>
          <w:lang w:val="en-US"/>
        </w:rPr>
        <w:t>% in 202</w:t>
      </w:r>
      <w:r>
        <w:rPr>
          <w:rFonts w:ascii="Arial" w:hAnsi="Arial" w:cs="Arial"/>
          <w:lang w:val="en-US"/>
        </w:rPr>
        <w:t>3</w:t>
      </w:r>
      <w:r w:rsidRPr="0016414E">
        <w:rPr>
          <w:rFonts w:ascii="Arial" w:hAnsi="Arial" w:cs="Arial"/>
          <w:lang w:val="en-US"/>
        </w:rPr>
        <w:t xml:space="preserve">): of these, </w:t>
      </w:r>
      <w:r>
        <w:rPr>
          <w:rFonts w:ascii="Arial" w:hAnsi="Arial" w:cs="Arial"/>
          <w:lang w:val="en-US"/>
        </w:rPr>
        <w:t>1.7</w:t>
      </w:r>
      <w:r w:rsidRPr="0016414E">
        <w:rPr>
          <w:rFonts w:ascii="Arial" w:hAnsi="Arial" w:cs="Arial"/>
          <w:lang w:val="en-US"/>
        </w:rPr>
        <w:t xml:space="preserve">% are price quotes of new products, while the remaining </w:t>
      </w:r>
      <w:r>
        <w:rPr>
          <w:rFonts w:ascii="Arial" w:hAnsi="Arial" w:cs="Arial"/>
          <w:lang w:val="en-US"/>
        </w:rPr>
        <w:t>3.9</w:t>
      </w:r>
      <w:r w:rsidRPr="0016414E">
        <w:rPr>
          <w:rFonts w:ascii="Arial" w:hAnsi="Arial" w:cs="Arial"/>
          <w:lang w:val="en-US"/>
        </w:rPr>
        <w:t>% refers to products already in 202</w:t>
      </w:r>
      <w:r>
        <w:rPr>
          <w:rFonts w:ascii="Arial" w:hAnsi="Arial" w:cs="Arial"/>
          <w:lang w:val="en-US"/>
        </w:rPr>
        <w:t>3</w:t>
      </w:r>
      <w:r w:rsidRPr="0016414E">
        <w:rPr>
          <w:rFonts w:ascii="Arial" w:hAnsi="Arial" w:cs="Arial"/>
          <w:lang w:val="en-US"/>
        </w:rPr>
        <w:t xml:space="preserve"> basket.</w:t>
      </w:r>
    </w:p>
    <w:p w:rsidR="004E4021" w:rsidRDefault="004E4021" w:rsidP="004E4021">
      <w:pPr>
        <w:tabs>
          <w:tab w:val="left" w:pos="284"/>
        </w:tabs>
        <w:spacing w:after="120"/>
        <w:ind w:right="-1"/>
        <w:jc w:val="both"/>
        <w:rPr>
          <w:rFonts w:ascii="Arial" w:hAnsi="Arial" w:cs="Arial"/>
          <w:lang w:val="en-US"/>
        </w:rPr>
      </w:pPr>
    </w:p>
    <w:p w:rsidR="004E4021" w:rsidRDefault="004E4021" w:rsidP="004E4021">
      <w:pPr>
        <w:tabs>
          <w:tab w:val="left" w:pos="284"/>
        </w:tabs>
        <w:spacing w:after="120"/>
        <w:ind w:right="-1"/>
        <w:jc w:val="both"/>
        <w:rPr>
          <w:rFonts w:ascii="Arial" w:hAnsi="Arial" w:cs="Arial"/>
          <w:lang w:val="en-US"/>
        </w:rPr>
      </w:pPr>
      <w:r>
        <w:rPr>
          <w:rFonts w:ascii="Arial" w:hAnsi="Arial" w:cs="Arial"/>
          <w:lang w:val="en-US"/>
        </w:rPr>
        <w:lastRenderedPageBreak/>
        <w:t>Over 233</w:t>
      </w:r>
      <w:r w:rsidRPr="00573ED1">
        <w:rPr>
          <w:rFonts w:ascii="Arial" w:hAnsi="Arial" w:cs="Arial"/>
          <w:lang w:val="en-US"/>
        </w:rPr>
        <w:t xml:space="preserve">,000 price quotations are collected each month centrally by Istat, to which are added, since 2023, </w:t>
      </w:r>
      <w:r>
        <w:rPr>
          <w:rFonts w:ascii="Arial" w:hAnsi="Arial" w:cs="Arial"/>
          <w:lang w:val="en-US"/>
        </w:rPr>
        <w:t>80</w:t>
      </w:r>
      <w:r w:rsidRPr="00573ED1">
        <w:rPr>
          <w:rFonts w:ascii="Arial" w:hAnsi="Arial" w:cs="Arial"/>
          <w:lang w:val="en-US"/>
        </w:rPr>
        <w:t xml:space="preserve"> million data collected through scraping techniques for passenger transport by air. As regards the first group approximately 192 thousand are obtained through web, also with the use of procedures of web scraping or acquiring information from external subjects; about 400 quotes directly provided by insurance companies which refer to protection against most risks connected to property, such as fire, theft and other damages and are used for the Housing insurance services price index compilation; more than </w:t>
      </w:r>
      <w:r>
        <w:rPr>
          <w:rFonts w:ascii="Arial" w:hAnsi="Arial" w:cs="Arial"/>
          <w:lang w:val="en-US"/>
        </w:rPr>
        <w:t>1,500</w:t>
      </w:r>
      <w:r w:rsidRPr="00573ED1">
        <w:rPr>
          <w:rFonts w:ascii="Arial" w:hAnsi="Arial" w:cs="Arial"/>
          <w:lang w:val="en-US"/>
        </w:rPr>
        <w:t xml:space="preserve"> collected using internal sources.</w:t>
      </w:r>
    </w:p>
    <w:p w:rsidR="004E4021" w:rsidRPr="005559B4" w:rsidRDefault="004E4021" w:rsidP="004E4021">
      <w:pPr>
        <w:tabs>
          <w:tab w:val="left" w:pos="10206"/>
        </w:tabs>
        <w:spacing w:after="120"/>
        <w:ind w:right="-1"/>
        <w:jc w:val="both"/>
        <w:rPr>
          <w:rFonts w:ascii="Arial" w:hAnsi="Arial" w:cs="Arial"/>
          <w:highlight w:val="yellow"/>
          <w:lang w:val="en-GB"/>
        </w:rPr>
      </w:pPr>
      <w:r w:rsidRPr="00C3714B">
        <w:rPr>
          <w:rFonts w:ascii="Arial" w:hAnsi="Arial" w:cs="Arial"/>
          <w:lang w:val="en-US"/>
        </w:rPr>
        <w:t>Since 2018, Istat has been using scanner data of grocery products (excluding fresh food) in the production process of the consumer price indices. A probabilistic sampling is used for the selection of outlets and the dynamic approach has been implemented to the selection of the elementary items. At present, scanner data feed the calculation of 103 sub-indices (“aggregate of products”) belonging to six ECOICOP Divisions (Food and non-alcoholic beverages; Alcoholic beverages, tobacco; Furnishings, household equipment and routine household maintenance; Health; Recreation and culture; Miscellaneous goods and services).</w:t>
      </w:r>
      <w:r w:rsidRPr="00C3714B">
        <w:rPr>
          <w:lang w:val="en-US"/>
        </w:rPr>
        <w:t xml:space="preserve"> </w:t>
      </w:r>
      <w:r w:rsidRPr="00C3714B">
        <w:rPr>
          <w:rFonts w:ascii="Arial" w:hAnsi="Arial" w:cs="Arial"/>
          <w:lang w:val="en-US"/>
        </w:rPr>
        <w:t xml:space="preserve">In agreement with large scale retail trade chains (RTCs) and with the fruitful collaboration of the Association of Modern Distribution and Nielsen, Istat receives scanner data for 4,311 outlets, including 478 hypermarkets, 1,621 supermarkets, 588 discounts, </w:t>
      </w:r>
      <w:r w:rsidRPr="009405D5">
        <w:rPr>
          <w:rFonts w:ascii="Arial" w:hAnsi="Arial" w:cs="Arial"/>
          <w:lang w:val="en-US"/>
        </w:rPr>
        <w:t xml:space="preserve">1,088 outlets with surface between 100 and 400 s.m. and 536 specialist drug. These outlets belong to the main 19 RTCs and they cover the entire national territory. Istat receives scanner data on a weekly basis at item code level. The sample of outlets is stratified by provinces (107) and retail trade channels (5). More than </w:t>
      </w:r>
      <w:r>
        <w:rPr>
          <w:rFonts w:ascii="Arial" w:hAnsi="Arial" w:cs="Arial"/>
          <w:lang w:val="en-US"/>
        </w:rPr>
        <w:t>20</w:t>
      </w:r>
      <w:r w:rsidRPr="009405D5">
        <w:rPr>
          <w:rFonts w:ascii="Arial" w:hAnsi="Arial" w:cs="Arial"/>
          <w:lang w:val="en-US"/>
        </w:rPr>
        <w:t xml:space="preserve"> million price quotes are collected each week to estimate inflation. For each barcode (GTIN), prices are calculated taking into account turnover and quantities (weekly price=weekly </w:t>
      </w:r>
      <w:r w:rsidRPr="0080278A">
        <w:rPr>
          <w:rFonts w:ascii="Arial" w:hAnsi="Arial" w:cs="Arial"/>
          <w:lang w:val="en-US"/>
        </w:rPr>
        <w:t xml:space="preserve">turnover/weekly quantities). Monthly prices are calculated as the arithmetic mean of weekly prices weighted with quantities. </w:t>
      </w:r>
      <w:r w:rsidRPr="0080278A">
        <w:rPr>
          <w:rFonts w:ascii="Arial" w:hAnsi="Arial" w:cs="Arial"/>
          <w:lang w:val="en-GB"/>
        </w:rPr>
        <w:t>Concerning the selection of the sample of items, a dynamic approach has been adopted. Specifically, in each month a sample of GTINs is selected within each outlet and ECR</w:t>
      </w:r>
      <w:r w:rsidRPr="0080278A">
        <w:rPr>
          <w:rStyle w:val="Rimandonotaapidipagina"/>
          <w:rFonts w:ascii="Arial" w:hAnsi="Arial" w:cs="Arial"/>
          <w:lang w:val="en-GB"/>
        </w:rPr>
        <w:footnoteReference w:id="2"/>
      </w:r>
      <w:r w:rsidRPr="0080278A">
        <w:rPr>
          <w:rFonts w:ascii="Arial" w:hAnsi="Arial" w:cs="Arial"/>
          <w:lang w:val="en-GB"/>
        </w:rPr>
        <w:t xml:space="preserve"> market (representative of elementary aggregates). A set of filters have been implemented to select the matched sample each month comparing the current month with the preceding month. In January, the sample includes more than 12 million references thereof about 33 million elementary prices enter the indices compilation. Scanner data indices of ECR market are calculated at outlet level as unweighted Jevons index (geometric mean) of GTINs elementary indices. The ECR market indices are then linked to the base period (December of the previous year). In turn, provincial indices of ECR market are calculated as the weighted arithmetic means using sampling weights of outlets and turnover by retail trade channel. Finally, provincial indices of aggregate of products are calculated as the weighted arithmetic mean of ECR markets using expenditure shares (referred to one year before) for the weights.</w:t>
      </w:r>
    </w:p>
    <w:p w:rsidR="004E4021" w:rsidRPr="001066F6" w:rsidRDefault="004E4021" w:rsidP="004E4021">
      <w:pPr>
        <w:spacing w:after="120"/>
        <w:ind w:right="-1"/>
        <w:jc w:val="both"/>
        <w:rPr>
          <w:rFonts w:ascii="Arial" w:hAnsi="Arial" w:cs="Arial"/>
          <w:lang w:val="en-US"/>
        </w:rPr>
      </w:pPr>
      <w:r w:rsidRPr="001066F6">
        <w:rPr>
          <w:rFonts w:ascii="Arial" w:hAnsi="Arial" w:cs="Arial"/>
          <w:lang w:val="en-US"/>
        </w:rPr>
        <w:t>The administrative data sources for the calculation of consumer prices are several. Among these are those relating to tobacco whose data are provided by the Excise, Customs and Monopolies Agency (ADM). The indices calculated relate to three products: Cigarettes, Cigars and cigarillos and Other tobacco (shredded for cigarettes, snuff and chewing tobacco, other smoking tobacco, inhalation tobacco). The sample and the weighting system are obtained on the basis of the annual sales value of the main manufactured tobacco products on the market.</w:t>
      </w:r>
    </w:p>
    <w:p w:rsidR="004E4021" w:rsidRPr="005559B4" w:rsidRDefault="004E4021" w:rsidP="004E4021">
      <w:pPr>
        <w:spacing w:after="120"/>
        <w:ind w:right="-1"/>
        <w:jc w:val="both"/>
        <w:rPr>
          <w:rFonts w:ascii="Arial" w:hAnsi="Arial" w:cs="Arial"/>
          <w:highlight w:val="yellow"/>
          <w:lang w:val="en-US"/>
        </w:rPr>
      </w:pPr>
      <w:r w:rsidRPr="001066F6">
        <w:rPr>
          <w:rFonts w:ascii="Arial" w:hAnsi="Arial" w:cs="Arial"/>
          <w:lang w:val="en-US"/>
        </w:rPr>
        <w:t xml:space="preserve">Starting from 2017 also the automotive fuels price indices are calculated from administrative data using the database supplied by the Ministry of Economic Development that collects prices for these products. In 2024, around 157,000 price quotes are monthly used to estimate inflation and </w:t>
      </w:r>
      <w:r w:rsidRPr="00E30712">
        <w:rPr>
          <w:rFonts w:ascii="Arial" w:hAnsi="Arial" w:cs="Arial"/>
          <w:lang w:val="en-US"/>
        </w:rPr>
        <w:t>they come from almost 15,300 fuel stations on the territory that is 68.7% of the ones present in Ministry database. The sample of fuel stations covers the geographical areas of country. Specifically: about 3,600 are located in the North-West; almost 3,200 in the North-East, 3,400 in the Centre; about 3,500 in the South and around 1,650 in the Islands.</w:t>
      </w:r>
    </w:p>
    <w:p w:rsidR="004E4021" w:rsidRDefault="004E4021" w:rsidP="004E4021">
      <w:pPr>
        <w:spacing w:after="120"/>
        <w:ind w:right="-1"/>
        <w:jc w:val="both"/>
        <w:rPr>
          <w:rFonts w:ascii="Arial" w:hAnsi="Arial" w:cs="Arial"/>
          <w:lang w:val="en-US"/>
        </w:rPr>
      </w:pPr>
      <w:r w:rsidRPr="009E68CE">
        <w:rPr>
          <w:rFonts w:ascii="Arial" w:hAnsi="Arial" w:cs="Arial"/>
          <w:lang w:val="en-US"/>
        </w:rPr>
        <w:t>Starting from 2022 the estimation of private housing rents index is based on administrative data in particular rents contracts database provided by the Real Estate Market Observatory of the Tax Office. The production of the indices benefits from the collaboration of the Central Directorate for Real Estate Market Observatory and Estimating Services (OMISE) of the Tax Office. The new data source contains information about rents contracts registered in the reference quarter. Only contracts where the property owner is a person and referring to some cadastral categories (civil properties, economic properties and popular properties) are used for inflation estimation. Stratification has been carried out for index calculation. In particular, dwellings have been stratified according to the position in terms of OMI zones distinguishing between urban macro area if existing or, alternatively, to groups of zones; the type of the contract (free or agreed fee contract) and the duration (long or short term contract); the surface classes. After data cleaning and integration more than one and a half million rents are available for monthly estimation; part of them refers to contracts to be updated according to the consumer prices for blue and white-collar worker households index (FOI).</w:t>
      </w:r>
    </w:p>
    <w:p w:rsidR="004E4021" w:rsidRDefault="004E4021" w:rsidP="004E4021">
      <w:pPr>
        <w:spacing w:after="120"/>
        <w:ind w:right="-1"/>
        <w:jc w:val="both"/>
        <w:rPr>
          <w:rFonts w:ascii="Arial" w:hAnsi="Arial" w:cs="Arial"/>
          <w:lang w:val="en-US"/>
        </w:rPr>
      </w:pPr>
    </w:p>
    <w:p w:rsidR="0095101E" w:rsidRDefault="0095101E" w:rsidP="004E4021">
      <w:pPr>
        <w:spacing w:after="120"/>
        <w:ind w:right="-1"/>
        <w:jc w:val="both"/>
        <w:rPr>
          <w:rFonts w:ascii="Arial" w:hAnsi="Arial" w:cs="Arial"/>
          <w:lang w:val="en-US"/>
        </w:rPr>
      </w:pPr>
    </w:p>
    <w:p w:rsidR="0095101E" w:rsidRDefault="0095101E" w:rsidP="004E4021">
      <w:pPr>
        <w:spacing w:after="120"/>
        <w:ind w:right="-1"/>
        <w:jc w:val="both"/>
        <w:rPr>
          <w:rFonts w:ascii="Arial" w:hAnsi="Arial" w:cs="Arial"/>
          <w:lang w:val="en-US"/>
        </w:rPr>
      </w:pPr>
    </w:p>
    <w:p w:rsidR="0095101E" w:rsidRPr="00DD584B" w:rsidRDefault="0095101E" w:rsidP="004E4021">
      <w:pPr>
        <w:spacing w:after="120"/>
        <w:ind w:right="-1"/>
        <w:jc w:val="both"/>
        <w:rPr>
          <w:rFonts w:ascii="Arial" w:hAnsi="Arial" w:cs="Arial"/>
          <w:lang w:val="en-US"/>
        </w:rPr>
      </w:pPr>
    </w:p>
    <w:p w:rsidR="004E4021" w:rsidRPr="001B221C" w:rsidRDefault="004E4021" w:rsidP="004E4021">
      <w:pPr>
        <w:spacing w:after="120"/>
        <w:ind w:right="-1"/>
        <w:jc w:val="both"/>
        <w:rPr>
          <w:rFonts w:ascii="Arial" w:hAnsi="Arial"/>
          <w:b/>
          <w:sz w:val="22"/>
          <w:szCs w:val="22"/>
          <w:lang w:val="en-US"/>
        </w:rPr>
      </w:pPr>
      <w:r w:rsidRPr="001B221C">
        <w:rPr>
          <w:rFonts w:ascii="Arial" w:hAnsi="Arial"/>
          <w:b/>
          <w:sz w:val="22"/>
          <w:szCs w:val="22"/>
          <w:lang w:val="en-US"/>
        </w:rPr>
        <w:t>Calculation of indices</w:t>
      </w:r>
    </w:p>
    <w:p w:rsidR="004E4021" w:rsidRPr="001B221C" w:rsidRDefault="004E4021" w:rsidP="004E4021">
      <w:pPr>
        <w:spacing w:after="120"/>
        <w:ind w:right="-1"/>
        <w:jc w:val="both"/>
        <w:rPr>
          <w:rFonts w:ascii="Arial" w:hAnsi="Arial"/>
          <w:b/>
          <w:lang w:val="en-US"/>
        </w:rPr>
      </w:pPr>
      <w:r w:rsidRPr="001B221C">
        <w:rPr>
          <w:rFonts w:ascii="Arial" w:hAnsi="Arial"/>
          <w:b/>
          <w:lang w:val="en-US"/>
        </w:rPr>
        <w:t xml:space="preserve">Weighting structure </w:t>
      </w:r>
    </w:p>
    <w:p w:rsidR="004E4021" w:rsidRPr="00F63741" w:rsidRDefault="004E4021" w:rsidP="004E4021">
      <w:pPr>
        <w:tabs>
          <w:tab w:val="left" w:pos="10206"/>
        </w:tabs>
        <w:spacing w:after="120"/>
        <w:ind w:right="-1"/>
        <w:jc w:val="both"/>
        <w:rPr>
          <w:rFonts w:ascii="Arial" w:hAnsi="Arial" w:cs="Arial"/>
          <w:lang w:val="en-US"/>
        </w:rPr>
      </w:pPr>
      <w:r w:rsidRPr="00F63741">
        <w:rPr>
          <w:rFonts w:ascii="Arial" w:hAnsi="Arial" w:cs="Arial"/>
          <w:lang w:val="en-US"/>
        </w:rPr>
        <w:t>Not all goods and services included in the basket have the same importance in households’ budget. Consequently, for the compilation of the consumer price index, weights are used that reflect the expenditure shares of different products on final consumption expenditure.</w:t>
      </w:r>
    </w:p>
    <w:p w:rsidR="004E4021" w:rsidRPr="00F63741" w:rsidRDefault="004E4021" w:rsidP="004E4021">
      <w:pPr>
        <w:tabs>
          <w:tab w:val="left" w:pos="10206"/>
        </w:tabs>
        <w:spacing w:after="120"/>
        <w:ind w:right="-1"/>
        <w:jc w:val="both"/>
        <w:rPr>
          <w:rFonts w:ascii="Arial" w:hAnsi="Arial" w:cs="Arial"/>
          <w:lang w:val="en-US"/>
        </w:rPr>
      </w:pPr>
      <w:r w:rsidRPr="00F63741">
        <w:rPr>
          <w:rFonts w:ascii="Arial" w:hAnsi="Arial" w:cs="Arial"/>
          <w:lang w:val="en-US"/>
        </w:rPr>
        <w:t>The weighting coefficients of indices are determined on the basis of the values of the household final consumption expenditure and of the household final monetary consumption expenditure (for HICP), as derived from National Accounts. Additional information used to define weights is originated from the Household Budget Survey, from other Istat surveys and from external sources, which have an auxiliary function, such as Ac Nielsen and GfK Italia S.r.l.</w:t>
      </w:r>
      <w:r>
        <w:rPr>
          <w:rFonts w:ascii="Arial" w:hAnsi="Arial" w:cs="Arial"/>
          <w:lang w:val="en-US"/>
        </w:rPr>
        <w:t>.</w:t>
      </w:r>
      <w:r w:rsidRPr="00F63741">
        <w:rPr>
          <w:rFonts w:ascii="Arial" w:hAnsi="Arial" w:cs="Arial"/>
          <w:lang w:val="en-US"/>
        </w:rPr>
        <w:t xml:space="preserve"> </w:t>
      </w:r>
    </w:p>
    <w:p w:rsidR="004E4021" w:rsidRPr="00F63741" w:rsidRDefault="004E4021" w:rsidP="004E4021">
      <w:pPr>
        <w:tabs>
          <w:tab w:val="left" w:pos="10206"/>
        </w:tabs>
        <w:spacing w:after="120"/>
        <w:ind w:right="-1"/>
        <w:jc w:val="both"/>
        <w:rPr>
          <w:rFonts w:ascii="Arial" w:hAnsi="Arial" w:cs="Arial"/>
          <w:lang w:val="en-US"/>
        </w:rPr>
      </w:pPr>
      <w:r w:rsidRPr="00F63741">
        <w:rPr>
          <w:rFonts w:ascii="Arial" w:hAnsi="Arial" w:cs="Arial"/>
          <w:lang w:val="en-US"/>
        </w:rPr>
        <w:t>The COVID-19 pandemic had a significant impact on the consumption expenditure of households who are adjusting their consumption habits to the new circumstances. Therefore, for the estimation of the weighting coefficients, it was decided, also in accordance with the guidelines drawn up by Eurostat, to use the most recent National Accounts data available, i.e. the data relating to year 202</w:t>
      </w:r>
      <w:r>
        <w:rPr>
          <w:rFonts w:ascii="Arial" w:hAnsi="Arial" w:cs="Arial"/>
          <w:lang w:val="en-US"/>
        </w:rPr>
        <w:t>3</w:t>
      </w:r>
      <w:r w:rsidRPr="00F63741">
        <w:rPr>
          <w:rFonts w:ascii="Arial" w:hAnsi="Arial" w:cs="Arial"/>
          <w:lang w:val="en-US"/>
        </w:rPr>
        <w:t>.</w:t>
      </w:r>
    </w:p>
    <w:p w:rsidR="004E4021" w:rsidRDefault="004E4021" w:rsidP="004E4021">
      <w:pPr>
        <w:tabs>
          <w:tab w:val="left" w:pos="10206"/>
        </w:tabs>
        <w:spacing w:after="120"/>
        <w:ind w:right="-1"/>
        <w:jc w:val="both"/>
        <w:rPr>
          <w:rFonts w:ascii="Arial" w:hAnsi="Arial" w:cs="Arial"/>
          <w:lang w:val="en-US"/>
        </w:rPr>
      </w:pPr>
      <w:r w:rsidRPr="00F63741">
        <w:rPr>
          <w:rFonts w:ascii="Arial" w:hAnsi="Arial" w:cs="Arial"/>
          <w:lang w:val="en-US"/>
        </w:rPr>
        <w:t>Price changes of goods and services included in the basket contribute to the calculation of the All-item index with their own weight in terms of the expenditure share sustained by households to purchase them. However, in order to measure the expenditure shares with reference to the value of the computation base period of indices (December 202</w:t>
      </w:r>
      <w:r>
        <w:rPr>
          <w:rFonts w:ascii="Arial" w:hAnsi="Arial" w:cs="Arial"/>
          <w:lang w:val="en-US"/>
        </w:rPr>
        <w:t>3</w:t>
      </w:r>
      <w:r w:rsidRPr="00F63741">
        <w:rPr>
          <w:rFonts w:ascii="Arial" w:hAnsi="Arial" w:cs="Arial"/>
          <w:lang w:val="en-US"/>
        </w:rPr>
        <w:t>), household final consumption data, are price-updated using the price changes measured between the average of year 202</w:t>
      </w:r>
      <w:r>
        <w:rPr>
          <w:rFonts w:ascii="Arial" w:hAnsi="Arial" w:cs="Arial"/>
          <w:lang w:val="en-US"/>
        </w:rPr>
        <w:t>3</w:t>
      </w:r>
      <w:r w:rsidRPr="00F63741">
        <w:rPr>
          <w:rFonts w:ascii="Arial" w:hAnsi="Arial" w:cs="Arial"/>
          <w:lang w:val="en-US"/>
        </w:rPr>
        <w:t xml:space="preserve"> and December 202</w:t>
      </w:r>
      <w:r>
        <w:rPr>
          <w:rFonts w:ascii="Arial" w:hAnsi="Arial" w:cs="Arial"/>
          <w:lang w:val="en-US"/>
        </w:rPr>
        <w:t>3</w:t>
      </w:r>
      <w:r w:rsidRPr="00F63741">
        <w:rPr>
          <w:rFonts w:ascii="Arial" w:hAnsi="Arial" w:cs="Arial"/>
          <w:lang w:val="en-US"/>
        </w:rPr>
        <w:t>.</w:t>
      </w:r>
    </w:p>
    <w:p w:rsidR="004E4021" w:rsidRPr="00802661" w:rsidRDefault="004E4021" w:rsidP="004E4021">
      <w:pPr>
        <w:tabs>
          <w:tab w:val="left" w:pos="10206"/>
        </w:tabs>
        <w:spacing w:after="120"/>
        <w:ind w:right="-1"/>
        <w:jc w:val="both"/>
        <w:rPr>
          <w:rFonts w:ascii="Arial" w:hAnsi="Arial" w:cs="Arial"/>
          <w:lang w:val="en-US"/>
        </w:rPr>
      </w:pPr>
      <w:r>
        <w:rPr>
          <w:rFonts w:ascii="Arial" w:hAnsi="Arial" w:cs="Arial"/>
          <w:lang w:val="en-US"/>
        </w:rPr>
        <w:t>Table 1 shows the 2024</w:t>
      </w:r>
      <w:r w:rsidRPr="00802661">
        <w:rPr>
          <w:rFonts w:ascii="Arial" w:hAnsi="Arial" w:cs="Arial"/>
          <w:lang w:val="en-US"/>
        </w:rPr>
        <w:t xml:space="preserve"> weighting structures by expenditure division of NIC and HICP used to calculate the estima</w:t>
      </w:r>
      <w:r>
        <w:rPr>
          <w:rFonts w:ascii="Arial" w:hAnsi="Arial" w:cs="Arial"/>
          <w:lang w:val="en-US"/>
        </w:rPr>
        <w:t>tes of inflation of January 2024</w:t>
      </w:r>
      <w:r w:rsidRPr="00802661">
        <w:rPr>
          <w:rFonts w:ascii="Arial" w:hAnsi="Arial" w:cs="Arial"/>
          <w:lang w:val="en-US"/>
        </w:rPr>
        <w:t>.</w:t>
      </w:r>
    </w:p>
    <w:p w:rsidR="004E4021" w:rsidRDefault="004E4021" w:rsidP="004E4021">
      <w:pPr>
        <w:tabs>
          <w:tab w:val="left" w:pos="10206"/>
        </w:tabs>
        <w:spacing w:after="120"/>
        <w:ind w:right="-1"/>
        <w:jc w:val="both"/>
        <w:rPr>
          <w:rFonts w:ascii="Arial" w:hAnsi="Arial" w:cs="Arial"/>
          <w:lang w:val="en-US"/>
        </w:rPr>
      </w:pPr>
    </w:p>
    <w:p w:rsidR="004E4021" w:rsidRPr="001B221C" w:rsidRDefault="004E4021" w:rsidP="004E4021">
      <w:pPr>
        <w:pStyle w:val="001TitoGra"/>
        <w:spacing w:line="240" w:lineRule="auto"/>
        <w:jc w:val="both"/>
        <w:rPr>
          <w:lang w:val="en-US"/>
        </w:rPr>
      </w:pPr>
      <w:r w:rsidRPr="001B221C">
        <w:rPr>
          <w:rStyle w:val="001TitoGraRed"/>
          <w:lang w:val="en-US"/>
        </w:rPr>
        <w:t>TABLE 1.</w:t>
      </w:r>
      <w:r w:rsidRPr="001B221C">
        <w:rPr>
          <w:lang w:val="en-US"/>
        </w:rPr>
        <w:t xml:space="preserve"> </w:t>
      </w:r>
      <w:r w:rsidRPr="001B221C">
        <w:rPr>
          <w:caps/>
          <w:kern w:val="0"/>
          <w:lang w:val="en-US"/>
        </w:rPr>
        <w:t>WEIGHTS USED TO CALCULATE CONSUMER PRICE INDICES</w:t>
      </w:r>
      <w:r>
        <w:rPr>
          <w:caps/>
          <w:kern w:val="0"/>
          <w:lang w:val="en-US"/>
        </w:rPr>
        <w:t xml:space="preserve"> </w:t>
      </w:r>
      <w:r w:rsidRPr="001B221C">
        <w:rPr>
          <w:caps/>
          <w:kern w:val="0"/>
          <w:lang w:val="en-US"/>
        </w:rPr>
        <w:t>BY EXPENDITURE DIVISION.</w:t>
      </w:r>
      <w:r w:rsidRPr="001B221C">
        <w:rPr>
          <w:lang w:val="en-US"/>
        </w:rPr>
        <w:t xml:space="preserve"> </w:t>
      </w:r>
    </w:p>
    <w:p w:rsidR="004E4021" w:rsidRPr="001B221C" w:rsidRDefault="004E4021" w:rsidP="004E4021">
      <w:pPr>
        <w:pStyle w:val="001TitoGra"/>
        <w:spacing w:after="120" w:line="240" w:lineRule="auto"/>
        <w:ind w:right="-1"/>
        <w:jc w:val="both"/>
        <w:rPr>
          <w:b w:val="0"/>
          <w:kern w:val="0"/>
          <w:sz w:val="20"/>
          <w:szCs w:val="20"/>
          <w:lang w:val="en-US"/>
        </w:rPr>
      </w:pPr>
      <w:r w:rsidRPr="001B221C">
        <w:rPr>
          <w:b w:val="0"/>
          <w:kern w:val="0"/>
          <w:sz w:val="20"/>
          <w:szCs w:val="20"/>
          <w:lang w:val="en-US"/>
        </w:rPr>
        <w:t xml:space="preserve">Year </w:t>
      </w:r>
      <w:r>
        <w:rPr>
          <w:b w:val="0"/>
          <w:kern w:val="0"/>
          <w:sz w:val="20"/>
          <w:szCs w:val="20"/>
          <w:lang w:val="en-US"/>
        </w:rPr>
        <w:t>2024</w:t>
      </w:r>
      <w:r w:rsidRPr="001B221C">
        <w:rPr>
          <w:b w:val="0"/>
          <w:kern w:val="0"/>
          <w:sz w:val="20"/>
          <w:szCs w:val="20"/>
          <w:lang w:val="en-US"/>
        </w:rPr>
        <w:t xml:space="preserve">, percentage values </w:t>
      </w:r>
    </w:p>
    <w:tbl>
      <w:tblPr>
        <w:tblW w:w="10206"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5346"/>
        <w:gridCol w:w="2430"/>
        <w:gridCol w:w="2430"/>
      </w:tblGrid>
      <w:tr w:rsidR="004E4021" w:rsidRPr="006274D9" w:rsidTr="00CF7E67">
        <w:trPr>
          <w:trHeight w:val="255"/>
        </w:trPr>
        <w:tc>
          <w:tcPr>
            <w:tcW w:w="5346" w:type="dxa"/>
            <w:shd w:val="clear" w:color="auto" w:fill="auto"/>
            <w:vAlign w:val="center"/>
          </w:tcPr>
          <w:p w:rsidR="004E4021" w:rsidRPr="001B221C" w:rsidRDefault="004E4021" w:rsidP="00CF7E67">
            <w:pPr>
              <w:spacing w:before="40" w:after="20"/>
              <w:rPr>
                <w:rFonts w:ascii="Arial Narrow" w:hAnsi="Arial Narrow" w:cs="Arial"/>
                <w:b/>
                <w:bCs/>
                <w:color w:val="000000"/>
                <w:sz w:val="18"/>
                <w:szCs w:val="18"/>
              </w:rPr>
            </w:pPr>
            <w:r w:rsidRPr="001B221C">
              <w:rPr>
                <w:rFonts w:ascii="Arial Narrow" w:hAnsi="Arial Narrow" w:cs="Arial"/>
                <w:b/>
                <w:sz w:val="18"/>
                <w:szCs w:val="18"/>
              </w:rPr>
              <w:t>EXPENDITURE</w:t>
            </w:r>
            <w:r w:rsidRPr="001B221C">
              <w:rPr>
                <w:rFonts w:ascii="Arial Narrow" w:hAnsi="Arial Narrow" w:cs="Arial"/>
                <w:b/>
                <w:bCs/>
                <w:color w:val="000000"/>
                <w:sz w:val="18"/>
                <w:szCs w:val="18"/>
              </w:rPr>
              <w:t xml:space="preserve"> DIVISIONS </w:t>
            </w:r>
          </w:p>
        </w:tc>
        <w:tc>
          <w:tcPr>
            <w:tcW w:w="2430" w:type="dxa"/>
            <w:shd w:val="clear" w:color="auto" w:fill="auto"/>
            <w:vAlign w:val="center"/>
          </w:tcPr>
          <w:p w:rsidR="004E4021" w:rsidRPr="001B221C" w:rsidRDefault="004E4021" w:rsidP="00CF7E67">
            <w:pPr>
              <w:spacing w:before="40" w:after="20"/>
              <w:ind w:right="95"/>
              <w:jc w:val="center"/>
              <w:rPr>
                <w:rFonts w:ascii="Arial Narrow" w:hAnsi="Arial Narrow" w:cs="Arial"/>
                <w:b/>
                <w:bCs/>
                <w:color w:val="000000"/>
                <w:sz w:val="18"/>
                <w:szCs w:val="18"/>
              </w:rPr>
            </w:pPr>
            <w:r w:rsidRPr="001B221C">
              <w:rPr>
                <w:rFonts w:ascii="Arial Narrow" w:hAnsi="Arial Narrow" w:cs="Arial"/>
                <w:b/>
                <w:bCs/>
                <w:color w:val="000000"/>
                <w:sz w:val="18"/>
                <w:szCs w:val="18"/>
              </w:rPr>
              <w:t>NIC</w:t>
            </w:r>
          </w:p>
        </w:tc>
        <w:tc>
          <w:tcPr>
            <w:tcW w:w="2430" w:type="dxa"/>
            <w:shd w:val="clear" w:color="auto" w:fill="auto"/>
            <w:vAlign w:val="center"/>
          </w:tcPr>
          <w:p w:rsidR="004E4021" w:rsidRPr="001B221C" w:rsidRDefault="004E4021" w:rsidP="00CF7E67">
            <w:pPr>
              <w:spacing w:before="40" w:after="20"/>
              <w:ind w:right="95"/>
              <w:jc w:val="center"/>
              <w:rPr>
                <w:rFonts w:ascii="Arial Narrow" w:hAnsi="Arial Narrow" w:cs="Arial"/>
                <w:b/>
                <w:bCs/>
                <w:color w:val="000000"/>
                <w:sz w:val="18"/>
                <w:szCs w:val="18"/>
              </w:rPr>
            </w:pPr>
            <w:r w:rsidRPr="001B221C">
              <w:rPr>
                <w:rFonts w:ascii="Arial Narrow" w:hAnsi="Arial Narrow" w:cs="Arial"/>
                <w:b/>
                <w:bCs/>
                <w:color w:val="000000"/>
                <w:sz w:val="18"/>
                <w:szCs w:val="18"/>
              </w:rPr>
              <w:t>HICP</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Food and non-alcoholic beverages</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17.1945</w:t>
            </w:r>
          </w:p>
        </w:tc>
        <w:tc>
          <w:tcPr>
            <w:tcW w:w="2430" w:type="dxa"/>
            <w:shd w:val="clear" w:color="auto" w:fill="auto"/>
            <w:vAlign w:val="center"/>
          </w:tcPr>
          <w:p w:rsidR="004E4021" w:rsidRPr="00CD39FC" w:rsidRDefault="004E4021" w:rsidP="00CF7E67">
            <w:pPr>
              <w:spacing w:before="40" w:after="20"/>
              <w:jc w:val="center"/>
              <w:rPr>
                <w:rFonts w:ascii="Arial Narrow" w:hAnsi="Arial Narrow" w:cs="Calibri"/>
                <w:b/>
                <w:bCs/>
                <w:color w:val="000000"/>
                <w:sz w:val="18"/>
                <w:szCs w:val="18"/>
              </w:rPr>
            </w:pPr>
            <w:r w:rsidRPr="00CD39FC">
              <w:rPr>
                <w:rFonts w:ascii="Arial Narrow" w:hAnsi="Arial Narrow" w:cs="Calibri"/>
                <w:b/>
                <w:bCs/>
                <w:color w:val="000000"/>
                <w:sz w:val="18"/>
                <w:szCs w:val="18"/>
              </w:rPr>
              <w:t>HICP</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Alcoholic beverages, tobacco</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2.9033</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18.1801</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Clothing and footwear</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5.9553</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3.071</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Housing, water, electricity, gas and other fuels</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11.255</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6.8113</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Furnishings, household equipment and routine household maintenance</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6.9621</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11.9033</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Health</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8.2746</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7.3907</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Transport</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14.7401</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4.1976</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Communication</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2.1835</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15.5471</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Recreation and culture</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8.1071</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2.3103</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Education</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0.8932</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6.8446</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Restaurants and hotels</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11.795</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0.945</w:t>
            </w:r>
          </w:p>
        </w:tc>
      </w:tr>
      <w:tr w:rsidR="004E4021" w:rsidRPr="006274D9" w:rsidTr="00CF7E67">
        <w:trPr>
          <w:trHeight w:val="255"/>
        </w:trPr>
        <w:tc>
          <w:tcPr>
            <w:tcW w:w="5346" w:type="dxa"/>
            <w:shd w:val="clear" w:color="auto" w:fill="auto"/>
            <w:vAlign w:val="center"/>
          </w:tcPr>
          <w:p w:rsidR="004E4021" w:rsidRPr="005169F8" w:rsidRDefault="004E4021" w:rsidP="00CF7E67">
            <w:pPr>
              <w:spacing w:before="40" w:after="20"/>
              <w:rPr>
                <w:rFonts w:ascii="Arial Narrow" w:hAnsi="Arial Narrow" w:cs="Arial"/>
                <w:sz w:val="18"/>
                <w:szCs w:val="18"/>
                <w:lang w:val="en-GB"/>
              </w:rPr>
            </w:pPr>
            <w:r w:rsidRPr="005169F8">
              <w:rPr>
                <w:rFonts w:ascii="Arial Narrow" w:hAnsi="Arial Narrow" w:cs="Arial"/>
                <w:sz w:val="18"/>
                <w:szCs w:val="18"/>
                <w:lang w:val="en-GB"/>
              </w:rPr>
              <w:t>Miscellaneous goods and services</w:t>
            </w:r>
          </w:p>
        </w:tc>
        <w:tc>
          <w:tcPr>
            <w:tcW w:w="2430" w:type="dxa"/>
            <w:shd w:val="clear" w:color="auto" w:fill="D9D9D9"/>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9.7363</w:t>
            </w:r>
          </w:p>
        </w:tc>
        <w:tc>
          <w:tcPr>
            <w:tcW w:w="2430" w:type="dxa"/>
            <w:shd w:val="clear" w:color="auto" w:fill="auto"/>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12.4756</w:t>
            </w:r>
          </w:p>
        </w:tc>
      </w:tr>
      <w:tr w:rsidR="004E4021" w:rsidRPr="006274D9" w:rsidTr="00CF7E67">
        <w:trPr>
          <w:trHeight w:val="255"/>
        </w:trPr>
        <w:tc>
          <w:tcPr>
            <w:tcW w:w="5346" w:type="dxa"/>
            <w:shd w:val="clear" w:color="auto" w:fill="E4241C"/>
            <w:vAlign w:val="center"/>
          </w:tcPr>
          <w:p w:rsidR="004E4021" w:rsidRPr="001B221C" w:rsidRDefault="004E4021" w:rsidP="00CF7E67">
            <w:pPr>
              <w:spacing w:before="40" w:after="20"/>
              <w:rPr>
                <w:rFonts w:ascii="Arial Narrow" w:hAnsi="Arial Narrow" w:cs="Arial"/>
                <w:b/>
                <w:bCs/>
                <w:color w:val="FFFFFF"/>
                <w:sz w:val="18"/>
                <w:szCs w:val="18"/>
              </w:rPr>
            </w:pPr>
            <w:r w:rsidRPr="00FE2068">
              <w:rPr>
                <w:rFonts w:ascii="Arial Narrow" w:hAnsi="Arial Narrow" w:cs="Arial"/>
                <w:b/>
                <w:bCs/>
                <w:color w:val="FFFFFF"/>
                <w:sz w:val="18"/>
                <w:szCs w:val="18"/>
              </w:rPr>
              <w:t>ALL ITEMS</w:t>
            </w:r>
          </w:p>
        </w:tc>
        <w:tc>
          <w:tcPr>
            <w:tcW w:w="2430" w:type="dxa"/>
            <w:shd w:val="clear" w:color="auto" w:fill="E4241C"/>
            <w:vAlign w:val="center"/>
          </w:tcPr>
          <w:p w:rsidR="004E4021" w:rsidRDefault="004E4021" w:rsidP="00CF7E67">
            <w:pPr>
              <w:spacing w:before="40" w:after="20"/>
              <w:ind w:right="567"/>
              <w:jc w:val="right"/>
              <w:rPr>
                <w:rFonts w:ascii="Arial Narrow" w:hAnsi="Arial Narrow"/>
                <w:b/>
                <w:bCs/>
                <w:color w:val="FFFFFF"/>
                <w:sz w:val="18"/>
                <w:szCs w:val="18"/>
              </w:rPr>
            </w:pPr>
            <w:r w:rsidRPr="009A0D34">
              <w:rPr>
                <w:rFonts w:ascii="Arial Narrow" w:hAnsi="Arial Narrow" w:cs="Calibri"/>
                <w:b/>
                <w:bCs/>
                <w:color w:val="FFFFFF"/>
                <w:sz w:val="18"/>
                <w:szCs w:val="18"/>
              </w:rPr>
              <w:t>100</w:t>
            </w:r>
            <w:r>
              <w:rPr>
                <w:rFonts w:ascii="Arial Narrow" w:hAnsi="Arial Narrow" w:cs="Calibri"/>
                <w:b/>
                <w:bCs/>
                <w:color w:val="FFFFFF"/>
                <w:sz w:val="18"/>
                <w:szCs w:val="18"/>
              </w:rPr>
              <w:t>.</w:t>
            </w:r>
            <w:r w:rsidRPr="009A0D34">
              <w:rPr>
                <w:rFonts w:ascii="Arial Narrow" w:hAnsi="Arial Narrow" w:cs="Calibri"/>
                <w:b/>
                <w:bCs/>
                <w:color w:val="FFFFFF"/>
                <w:sz w:val="18"/>
                <w:szCs w:val="18"/>
              </w:rPr>
              <w:t>0000</w:t>
            </w:r>
          </w:p>
        </w:tc>
        <w:tc>
          <w:tcPr>
            <w:tcW w:w="2430" w:type="dxa"/>
            <w:shd w:val="clear" w:color="auto" w:fill="E4241C"/>
            <w:vAlign w:val="center"/>
          </w:tcPr>
          <w:p w:rsidR="004E4021" w:rsidRDefault="004E4021" w:rsidP="00CF7E67">
            <w:pPr>
              <w:spacing w:before="40" w:after="20"/>
              <w:jc w:val="center"/>
              <w:rPr>
                <w:rFonts w:ascii="Arial Narrow" w:hAnsi="Arial Narrow" w:cs="Calibri"/>
                <w:color w:val="000000"/>
                <w:sz w:val="18"/>
                <w:szCs w:val="18"/>
              </w:rPr>
            </w:pPr>
            <w:r>
              <w:rPr>
                <w:rFonts w:ascii="Arial Narrow" w:hAnsi="Arial Narrow" w:cs="Calibri"/>
                <w:color w:val="000000"/>
                <w:sz w:val="18"/>
                <w:szCs w:val="18"/>
              </w:rPr>
              <w:t>10.3234</w:t>
            </w:r>
          </w:p>
        </w:tc>
      </w:tr>
    </w:tbl>
    <w:p w:rsidR="004E4021" w:rsidRPr="001B221C" w:rsidRDefault="004E4021" w:rsidP="004E4021">
      <w:pPr>
        <w:spacing w:after="120"/>
        <w:ind w:right="-1"/>
        <w:jc w:val="both"/>
        <w:rPr>
          <w:rFonts w:ascii="Arial" w:hAnsi="Arial"/>
          <w:b/>
          <w:szCs w:val="22"/>
          <w:lang w:val="en-US"/>
        </w:rPr>
      </w:pPr>
    </w:p>
    <w:p w:rsidR="004E4021" w:rsidRPr="001B221C" w:rsidRDefault="004E4021" w:rsidP="004E4021">
      <w:pPr>
        <w:spacing w:after="120"/>
        <w:ind w:right="-1"/>
        <w:jc w:val="both"/>
        <w:rPr>
          <w:rFonts w:ascii="Arial" w:hAnsi="Arial"/>
          <w:b/>
          <w:szCs w:val="22"/>
          <w:lang w:val="en-US"/>
        </w:rPr>
      </w:pPr>
      <w:r w:rsidRPr="001B221C">
        <w:rPr>
          <w:rFonts w:ascii="Arial" w:hAnsi="Arial"/>
          <w:b/>
          <w:szCs w:val="22"/>
          <w:lang w:val="en-US"/>
        </w:rPr>
        <w:t>Aggregation of national and territorial indices</w:t>
      </w:r>
    </w:p>
    <w:p w:rsidR="004E4021" w:rsidRPr="00802661" w:rsidRDefault="004E4021" w:rsidP="004E4021">
      <w:pPr>
        <w:spacing w:after="120"/>
        <w:ind w:right="-1"/>
        <w:jc w:val="both"/>
        <w:rPr>
          <w:rFonts w:ascii="Arial" w:hAnsi="Arial" w:cs="Arial"/>
          <w:lang w:val="en-US"/>
        </w:rPr>
      </w:pPr>
      <w:r w:rsidRPr="00802661">
        <w:rPr>
          <w:rFonts w:ascii="Arial" w:hAnsi="Arial" w:cs="Arial"/>
          <w:lang w:val="en-US"/>
        </w:rPr>
        <w:t xml:space="preserve">The consumer price indices are calculated through subsequent aggregations of the indices of product aggregates compiled at provincial level. </w:t>
      </w:r>
    </w:p>
    <w:p w:rsidR="004E4021" w:rsidRDefault="004E4021" w:rsidP="004E4021">
      <w:pPr>
        <w:spacing w:after="120"/>
        <w:jc w:val="both"/>
        <w:rPr>
          <w:rFonts w:ascii="Arial" w:hAnsi="Arial" w:cs="Arial"/>
          <w:lang w:val="en-US"/>
        </w:rPr>
      </w:pPr>
      <w:r w:rsidRPr="00802661">
        <w:rPr>
          <w:rFonts w:ascii="Arial" w:hAnsi="Arial" w:cs="Arial"/>
          <w:lang w:val="en-US"/>
        </w:rPr>
        <w:t xml:space="preserve">In detail, the </w:t>
      </w:r>
      <w:r w:rsidRPr="00802661">
        <w:rPr>
          <w:rFonts w:ascii="Arial" w:hAnsi="Arial" w:cs="Arial"/>
          <w:i/>
          <w:lang w:val="en-US"/>
        </w:rPr>
        <w:t>national All-items index</w:t>
      </w:r>
      <w:r w:rsidRPr="00802661">
        <w:rPr>
          <w:rFonts w:ascii="Arial" w:hAnsi="Arial" w:cs="Arial"/>
          <w:lang w:val="en-US"/>
        </w:rPr>
        <w:t xml:space="preserve"> is compiled as follows: </w:t>
      </w:r>
    </w:p>
    <w:p w:rsidR="004E4021" w:rsidRPr="00802661" w:rsidRDefault="004E4021" w:rsidP="004E4021">
      <w:pPr>
        <w:numPr>
          <w:ilvl w:val="0"/>
          <w:numId w:val="4"/>
        </w:numPr>
        <w:tabs>
          <w:tab w:val="left" w:pos="567"/>
        </w:tabs>
        <w:spacing w:after="120"/>
        <w:ind w:left="284" w:right="-1" w:firstLine="0"/>
        <w:jc w:val="both"/>
        <w:rPr>
          <w:rFonts w:ascii="Arial" w:hAnsi="Arial" w:cs="Arial"/>
          <w:lang w:val="en-US"/>
        </w:rPr>
      </w:pPr>
      <w:r w:rsidRPr="00802661">
        <w:rPr>
          <w:rFonts w:ascii="Arial" w:hAnsi="Arial" w:cs="Arial"/>
          <w:lang w:val="en-US"/>
        </w:rPr>
        <w:t xml:space="preserve">the provincial indices of product aggregates are aggregated to build the corresponding regional indices. The weighting coefficients used are based on the weight of each provincial capital in terms of resident population;  </w:t>
      </w:r>
    </w:p>
    <w:p w:rsidR="004E4021" w:rsidRPr="00802661" w:rsidRDefault="004E4021" w:rsidP="004E4021">
      <w:pPr>
        <w:numPr>
          <w:ilvl w:val="0"/>
          <w:numId w:val="4"/>
        </w:numPr>
        <w:tabs>
          <w:tab w:val="left" w:pos="567"/>
        </w:tabs>
        <w:spacing w:after="120"/>
        <w:ind w:left="284" w:right="-1" w:firstLine="0"/>
        <w:jc w:val="both"/>
        <w:rPr>
          <w:rFonts w:ascii="Arial" w:hAnsi="Arial" w:cs="Arial"/>
          <w:lang w:val="en-US"/>
        </w:rPr>
      </w:pPr>
      <w:r w:rsidRPr="00802661">
        <w:rPr>
          <w:rFonts w:ascii="Arial" w:hAnsi="Arial" w:cs="Arial"/>
          <w:lang w:val="en-US"/>
        </w:rPr>
        <w:t xml:space="preserve">the regional indices of product aggregate are aggregated to build the corresponding national indices. The weighting coefficients used are based on the weight of each region in terms of household consumption; </w:t>
      </w:r>
    </w:p>
    <w:p w:rsidR="004E4021" w:rsidRDefault="004E4021" w:rsidP="004E4021">
      <w:pPr>
        <w:numPr>
          <w:ilvl w:val="0"/>
          <w:numId w:val="4"/>
        </w:numPr>
        <w:tabs>
          <w:tab w:val="left" w:pos="567"/>
        </w:tabs>
        <w:spacing w:after="120"/>
        <w:ind w:left="284" w:firstLine="0"/>
        <w:jc w:val="both"/>
        <w:rPr>
          <w:rFonts w:ascii="Arial" w:hAnsi="Arial" w:cs="Arial"/>
          <w:color w:val="000000"/>
          <w:kern w:val="0"/>
          <w:lang w:val="en-US" w:eastAsia="zh-CN"/>
        </w:rPr>
      </w:pPr>
      <w:r w:rsidRPr="00802661">
        <w:rPr>
          <w:rFonts w:ascii="Arial" w:hAnsi="Arial" w:cs="Arial"/>
          <w:color w:val="000000"/>
          <w:kern w:val="0"/>
          <w:lang w:val="en-US" w:eastAsia="zh-CN"/>
        </w:rPr>
        <w:t xml:space="preserve">the All-items index is obtained as the weighted average of the national indices of product aggregates. The weighting coefficients used are based on expenditure shares of each product aggregate. </w:t>
      </w:r>
    </w:p>
    <w:p w:rsidR="003A7F63" w:rsidRDefault="003A7F63" w:rsidP="00BC1B9F">
      <w:pPr>
        <w:tabs>
          <w:tab w:val="left" w:pos="567"/>
        </w:tabs>
        <w:spacing w:after="120"/>
        <w:jc w:val="both"/>
        <w:rPr>
          <w:rFonts w:ascii="Arial" w:hAnsi="Arial" w:cs="Arial"/>
          <w:color w:val="000000"/>
          <w:kern w:val="0"/>
          <w:lang w:val="en-US" w:eastAsia="zh-CN"/>
        </w:rPr>
      </w:pPr>
    </w:p>
    <w:p w:rsidR="003A7F63" w:rsidRPr="00802661" w:rsidRDefault="003A7F63" w:rsidP="00BC1B9F">
      <w:pPr>
        <w:tabs>
          <w:tab w:val="left" w:pos="567"/>
        </w:tabs>
        <w:spacing w:after="120"/>
        <w:jc w:val="both"/>
        <w:rPr>
          <w:rFonts w:ascii="Arial" w:hAnsi="Arial" w:cs="Arial"/>
          <w:color w:val="000000"/>
          <w:kern w:val="0"/>
          <w:lang w:val="en-US" w:eastAsia="zh-CN"/>
        </w:rPr>
      </w:pPr>
    </w:p>
    <w:p w:rsidR="004E4021" w:rsidRPr="00802661" w:rsidRDefault="004E4021" w:rsidP="004E4021">
      <w:pPr>
        <w:tabs>
          <w:tab w:val="left" w:pos="284"/>
          <w:tab w:val="left" w:pos="2127"/>
        </w:tabs>
        <w:spacing w:after="120"/>
        <w:jc w:val="both"/>
        <w:rPr>
          <w:rFonts w:ascii="Arial" w:hAnsi="Arial" w:cs="Arial"/>
          <w:color w:val="000000"/>
          <w:kern w:val="0"/>
          <w:lang w:val="en-US" w:eastAsia="zh-CN"/>
        </w:rPr>
      </w:pPr>
      <w:r w:rsidRPr="00802661">
        <w:rPr>
          <w:rFonts w:ascii="Arial" w:hAnsi="Arial" w:cs="Arial"/>
          <w:lang w:val="en-US"/>
        </w:rPr>
        <w:t xml:space="preserve">The </w:t>
      </w:r>
      <w:r w:rsidRPr="00802661">
        <w:rPr>
          <w:rFonts w:ascii="Arial" w:hAnsi="Arial" w:cs="Arial"/>
          <w:i/>
          <w:lang w:val="en-US"/>
        </w:rPr>
        <w:t>All-items index at provincial, regional and macro-regional level:</w:t>
      </w:r>
      <w:r w:rsidRPr="00802661">
        <w:rPr>
          <w:rFonts w:ascii="Arial" w:hAnsi="Arial" w:cs="Arial"/>
          <w:lang w:val="en-US"/>
        </w:rPr>
        <w:t xml:space="preserve"> </w:t>
      </w:r>
    </w:p>
    <w:p w:rsidR="004E4021" w:rsidRPr="00802661" w:rsidRDefault="004E4021" w:rsidP="004E4021">
      <w:pPr>
        <w:numPr>
          <w:ilvl w:val="0"/>
          <w:numId w:val="4"/>
        </w:numPr>
        <w:tabs>
          <w:tab w:val="left" w:pos="567"/>
        </w:tabs>
        <w:spacing w:after="120"/>
        <w:ind w:left="284" w:right="-1" w:firstLine="0"/>
        <w:jc w:val="both"/>
        <w:rPr>
          <w:rFonts w:ascii="Arial" w:hAnsi="Arial" w:cs="Arial"/>
          <w:lang w:val="en-US"/>
        </w:rPr>
      </w:pPr>
      <w:r w:rsidRPr="00802661">
        <w:rPr>
          <w:rFonts w:ascii="Arial" w:hAnsi="Arial" w:cs="Arial"/>
          <w:lang w:val="en-US"/>
        </w:rPr>
        <w:t xml:space="preserve">the All-items indices </w:t>
      </w:r>
      <w:r w:rsidRPr="00802661">
        <w:rPr>
          <w:rFonts w:ascii="Arial" w:hAnsi="Arial" w:cs="Arial"/>
          <w:i/>
          <w:lang w:val="en-US"/>
        </w:rPr>
        <w:t>by regions and macro-regions</w:t>
      </w:r>
      <w:r w:rsidRPr="00802661">
        <w:rPr>
          <w:rFonts w:ascii="Arial" w:hAnsi="Arial" w:cs="Arial"/>
          <w:lang w:val="en-US"/>
        </w:rPr>
        <w:t xml:space="preserve"> are obtained as the weighted average of the regional indices of product aggregates. The weighting coefficients used are based on the weight of each component in terms of household consumption, defined at regional and macro-regional level.</w:t>
      </w:r>
    </w:p>
    <w:p w:rsidR="004E4021" w:rsidRPr="00802661" w:rsidRDefault="004E4021" w:rsidP="004E4021">
      <w:pPr>
        <w:numPr>
          <w:ilvl w:val="0"/>
          <w:numId w:val="3"/>
        </w:numPr>
        <w:tabs>
          <w:tab w:val="left" w:pos="567"/>
          <w:tab w:val="left" w:pos="2098"/>
        </w:tabs>
        <w:spacing w:after="120"/>
        <w:ind w:left="284" w:right="-1" w:firstLine="0"/>
        <w:jc w:val="both"/>
        <w:rPr>
          <w:rFonts w:ascii="Arial" w:hAnsi="Arial" w:cs="Arial"/>
          <w:lang w:val="en-US"/>
        </w:rPr>
      </w:pPr>
      <w:r w:rsidRPr="00802661">
        <w:rPr>
          <w:rFonts w:ascii="Arial" w:hAnsi="Arial" w:cs="Arial"/>
          <w:lang w:val="en-US"/>
        </w:rPr>
        <w:t xml:space="preserve">The All-items indices </w:t>
      </w:r>
      <w:r w:rsidRPr="00802661">
        <w:rPr>
          <w:rFonts w:ascii="Arial" w:hAnsi="Arial" w:cs="Arial"/>
          <w:i/>
          <w:lang w:val="en-US"/>
        </w:rPr>
        <w:t>by provinces</w:t>
      </w:r>
      <w:r w:rsidRPr="00802661">
        <w:rPr>
          <w:rFonts w:ascii="Arial" w:hAnsi="Arial" w:cs="Arial"/>
          <w:lang w:val="en-US"/>
        </w:rPr>
        <w:t xml:space="preserve"> are compiled as the weighted average of provincial indices of product aggregates. The weighting coefficients used are based on the weight of each aggregate of product in terms of household consumption, defined at a regional level. </w:t>
      </w:r>
    </w:p>
    <w:p w:rsidR="004E4021" w:rsidRPr="00E372CA" w:rsidRDefault="004E4021" w:rsidP="004E4021">
      <w:pPr>
        <w:tabs>
          <w:tab w:val="left" w:pos="567"/>
        </w:tabs>
        <w:spacing w:after="120"/>
        <w:ind w:right="-1"/>
        <w:jc w:val="both"/>
        <w:rPr>
          <w:rFonts w:ascii="Arial" w:hAnsi="Arial" w:cs="Arial"/>
          <w:lang w:val="en-US"/>
        </w:rPr>
      </w:pPr>
    </w:p>
    <w:p w:rsidR="004E4021" w:rsidRPr="001B221C" w:rsidRDefault="004E4021" w:rsidP="004E4021">
      <w:pPr>
        <w:spacing w:after="120"/>
        <w:ind w:right="-1"/>
        <w:jc w:val="both"/>
        <w:rPr>
          <w:rFonts w:ascii="Arial" w:hAnsi="Arial" w:cs="Arial"/>
          <w:b/>
          <w:szCs w:val="22"/>
          <w:lang w:val="en-US"/>
        </w:rPr>
      </w:pPr>
      <w:r w:rsidRPr="001B221C">
        <w:rPr>
          <w:rFonts w:ascii="Arial" w:hAnsi="Arial"/>
          <w:b/>
          <w:szCs w:val="22"/>
          <w:lang w:val="en-US"/>
        </w:rPr>
        <w:t>Classification of consumer prices indices</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Classification of consumption so far used for HICP and NIC is the international classification ECOICOP (European Classification of Individual Consumption by Purpose), whose hierarchical structure has 4 levels of disaggregation: Divisions, Groups, Classes and Subclasses of product.</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The classification ECOICOP was adopted in 2016, in compliance with the new European framework regulation on harmonized indices of consumer prices and the house price index (2016/792).</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 xml:space="preserve">For the calculation of Italian consumer price indices, subclasses of product are further broken down in Consumption segments and Product aggregates. </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 xml:space="preserve">Consumption segments are the most disaggregated level for which NIC indices referring to the entire national territory are disseminated. Concerning HICP indices, the level of detail of the dissemination is that of the classes of product (the dissemination of HICP subclass indices is expected to start in 2020). At local level (geographical area, region, province), NIC indices are published up to the product groups. </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HICP indices by special aggregates (</w:t>
      </w:r>
      <w:r w:rsidRPr="00802661">
        <w:rPr>
          <w:rFonts w:ascii="Arial" w:hAnsi="Arial" w:cs="Arial"/>
          <w:b/>
          <w:color w:val="000000"/>
          <w:lang w:val="en-US"/>
        </w:rPr>
        <w:t>HICP-SA</w:t>
      </w:r>
      <w:r w:rsidRPr="00802661">
        <w:rPr>
          <w:rFonts w:ascii="Arial" w:hAnsi="Arial" w:cs="Arial"/>
          <w:color w:val="000000"/>
          <w:lang w:val="en-US"/>
        </w:rPr>
        <w:t>) are released too. HICP-SA indices are calculated using the same classification scheme and method adopted by Eurostat (therefore different from the method used for the calculation of NIC indices by types of product), in order to guarantee comparability among the Italian HICPs and the HICP of the other EU countries and the HICPs for the EU and the euro area produced by Eurostat</w:t>
      </w:r>
      <w:r w:rsidRPr="00802661">
        <w:rPr>
          <w:rFonts w:ascii="Arial" w:hAnsi="Arial" w:cs="Arial"/>
          <w:color w:val="000000"/>
          <w:vertAlign w:val="superscript"/>
          <w:lang w:val="en-US"/>
        </w:rPr>
        <w:footnoteReference w:id="3"/>
      </w:r>
      <w:r w:rsidRPr="00802661">
        <w:rPr>
          <w:rFonts w:ascii="Arial" w:hAnsi="Arial" w:cs="Arial"/>
          <w:color w:val="000000"/>
          <w:lang w:val="en-US"/>
        </w:rPr>
        <w:t>. From the dissemination of January 2019 definitive data, coherently with Eurostat strategy, the method of calculation of the special aggregates of the Italian HICP has changed and they are obtained by aggregating the indices of the ECOICOP subclasses (previously, for the calculation of these indicators the class indices were used). Series of the new SA indices were recalculated from January 2017, replacing the old ones.</w:t>
      </w:r>
    </w:p>
    <w:p w:rsidR="004E4021" w:rsidRDefault="004E4021" w:rsidP="004E4021">
      <w:pPr>
        <w:tabs>
          <w:tab w:val="left" w:pos="567"/>
        </w:tabs>
        <w:spacing w:after="120"/>
        <w:ind w:left="284" w:right="-1"/>
        <w:jc w:val="both"/>
        <w:rPr>
          <w:rFonts w:ascii="Arial" w:hAnsi="Arial" w:cs="Arial"/>
          <w:lang w:val="en-US"/>
        </w:rPr>
      </w:pPr>
    </w:p>
    <w:p w:rsidR="004E4021" w:rsidRPr="001B221C" w:rsidRDefault="004E4021" w:rsidP="004E4021">
      <w:pPr>
        <w:pStyle w:val="Rientrocorpodeltesto"/>
        <w:ind w:left="0" w:right="-1" w:hanging="1"/>
        <w:rPr>
          <w:rFonts w:ascii="Arial" w:hAnsi="Arial" w:cs="Arial"/>
          <w:b/>
          <w:bCs/>
          <w:szCs w:val="22"/>
          <w:lang w:val="en-US"/>
        </w:rPr>
      </w:pPr>
      <w:r w:rsidRPr="001B221C">
        <w:rPr>
          <w:rFonts w:ascii="Arial" w:hAnsi="Arial"/>
          <w:b/>
          <w:bCs/>
          <w:szCs w:val="22"/>
          <w:lang w:val="en-US"/>
        </w:rPr>
        <w:t>Survey and calculation of prices indices of seasonal products</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 xml:space="preserve">From January 2011, the prices of </w:t>
      </w:r>
      <w:r w:rsidRPr="00802661">
        <w:rPr>
          <w:rFonts w:ascii="Arial" w:hAnsi="Arial" w:cs="Arial"/>
          <w:i/>
          <w:color w:val="000000"/>
          <w:lang w:val="en-US"/>
        </w:rPr>
        <w:t>Fruit</w:t>
      </w:r>
      <w:r w:rsidRPr="00802661">
        <w:rPr>
          <w:rFonts w:ascii="Arial" w:hAnsi="Arial" w:cs="Arial"/>
          <w:color w:val="000000"/>
          <w:lang w:val="en-US"/>
        </w:rPr>
        <w:t xml:space="preserve">, </w:t>
      </w:r>
      <w:r w:rsidRPr="00802661">
        <w:rPr>
          <w:rFonts w:ascii="Arial" w:hAnsi="Arial" w:cs="Arial"/>
          <w:i/>
          <w:color w:val="000000"/>
          <w:lang w:val="en-US"/>
        </w:rPr>
        <w:t>Vegetables</w:t>
      </w:r>
      <w:r w:rsidRPr="00802661">
        <w:rPr>
          <w:rFonts w:ascii="Arial" w:hAnsi="Arial" w:cs="Arial"/>
          <w:color w:val="000000"/>
          <w:lang w:val="en-US"/>
        </w:rPr>
        <w:t xml:space="preserve">, </w:t>
      </w:r>
      <w:r w:rsidRPr="00802661">
        <w:rPr>
          <w:rFonts w:ascii="Arial" w:hAnsi="Arial" w:cs="Arial"/>
          <w:i/>
          <w:color w:val="000000"/>
          <w:lang w:val="en-US"/>
        </w:rPr>
        <w:t xml:space="preserve">Clothing </w:t>
      </w:r>
      <w:r w:rsidRPr="00802661">
        <w:rPr>
          <w:rFonts w:ascii="Arial" w:hAnsi="Arial" w:cs="Arial"/>
          <w:color w:val="000000"/>
          <w:lang w:val="en-US"/>
        </w:rPr>
        <w:t xml:space="preserve">and </w:t>
      </w:r>
      <w:r w:rsidRPr="00802661">
        <w:rPr>
          <w:rFonts w:ascii="Arial" w:hAnsi="Arial" w:cs="Arial"/>
          <w:i/>
          <w:color w:val="000000"/>
          <w:lang w:val="en-US"/>
        </w:rPr>
        <w:t>Footwear</w:t>
      </w:r>
      <w:r w:rsidRPr="00802661">
        <w:rPr>
          <w:rFonts w:ascii="Arial" w:hAnsi="Arial" w:cs="Arial"/>
          <w:color w:val="000000"/>
          <w:lang w:val="en-US"/>
        </w:rPr>
        <w:t xml:space="preserve"> are collected and processed in accordance before with</w:t>
      </w:r>
      <w:r w:rsidRPr="00802661">
        <w:rPr>
          <w:rFonts w:ascii="Arial" w:hAnsi="Arial" w:cs="Arial"/>
          <w:lang w:val="en-US"/>
        </w:rPr>
        <w:t xml:space="preserve"> </w:t>
      </w:r>
      <w:hyperlink r:id="rId26" w:history="1">
        <w:r w:rsidRPr="00802661">
          <w:rPr>
            <w:rStyle w:val="Collegamentoipertestuale"/>
            <w:rFonts w:ascii="Arial" w:hAnsi="Arial" w:cs="Arial"/>
            <w:lang w:val="en-US"/>
          </w:rPr>
          <w:t>Regulation (EC) no 330/2009 of 22 april 2009</w:t>
        </w:r>
      </w:hyperlink>
      <w:r w:rsidRPr="00802661">
        <w:rPr>
          <w:color w:val="000000"/>
          <w:lang w:val="en-US"/>
        </w:rPr>
        <w:t xml:space="preserve"> </w:t>
      </w:r>
      <w:r w:rsidRPr="00802661">
        <w:rPr>
          <w:rFonts w:ascii="Arial" w:hAnsi="Arial" w:cs="Arial"/>
          <w:color w:val="000000"/>
          <w:lang w:val="en-US"/>
        </w:rPr>
        <w:t>and</w:t>
      </w:r>
      <w:r w:rsidRPr="00802661">
        <w:rPr>
          <w:rFonts w:ascii="Arial" w:hAnsi="Arial" w:cs="Arial"/>
          <w:color w:val="000000"/>
          <w:sz w:val="18"/>
          <w:szCs w:val="18"/>
          <w:lang w:val="en-US"/>
        </w:rPr>
        <w:t xml:space="preserve"> </w:t>
      </w:r>
      <w:r w:rsidRPr="00802661">
        <w:rPr>
          <w:rFonts w:ascii="Arial" w:hAnsi="Arial" w:cs="Arial"/>
          <w:color w:val="000000"/>
          <w:lang w:val="en-US"/>
        </w:rPr>
        <w:t xml:space="preserve">then with </w:t>
      </w:r>
      <w:hyperlink r:id="rId27" w:history="1">
        <w:r w:rsidRPr="00802661">
          <w:rPr>
            <w:rStyle w:val="Collegamentoipertestuale"/>
            <w:rFonts w:ascii="Arial" w:hAnsi="Arial" w:cs="Arial"/>
            <w:lang w:val="en-US"/>
          </w:rPr>
          <w:t>Regulation (EU) 2020/1148 of 31 July 2020</w:t>
        </w:r>
      </w:hyperlink>
      <w:r w:rsidRPr="00802661">
        <w:rPr>
          <w:rFonts w:ascii="Arial" w:hAnsi="Arial" w:cs="Arial"/>
          <w:lang w:val="en-US"/>
        </w:rPr>
        <w:t xml:space="preserve"> (that repealed the Regulation 330/2009), </w:t>
      </w:r>
      <w:r w:rsidRPr="00802661">
        <w:rPr>
          <w:rFonts w:ascii="Arial" w:hAnsi="Arial" w:cs="Arial"/>
          <w:color w:val="000000"/>
          <w:lang w:val="en-US"/>
        </w:rPr>
        <w:t>where minimum standards are established to deal with seasonal products in the HICP</w:t>
      </w:r>
      <w:r w:rsidRPr="00802661">
        <w:rPr>
          <w:rFonts w:ascii="Arial" w:hAnsi="Arial" w:cs="Arial"/>
          <w:color w:val="000000"/>
          <w:vertAlign w:val="superscript"/>
        </w:rPr>
        <w:footnoteReference w:id="4"/>
      </w:r>
      <w:r w:rsidRPr="00802661">
        <w:rPr>
          <w:rFonts w:ascii="Arial" w:hAnsi="Arial" w:cs="Arial"/>
          <w:color w:val="000000"/>
          <w:lang w:val="en-US"/>
        </w:rPr>
        <w:t>. The same method is also used for the NIC</w:t>
      </w:r>
      <w:r w:rsidRPr="00802661">
        <w:rPr>
          <w:rFonts w:ascii="Arial" w:hAnsi="Arial" w:cs="Arial"/>
          <w:color w:val="000000"/>
          <w:vertAlign w:val="superscript"/>
        </w:rPr>
        <w:footnoteReference w:id="5"/>
      </w:r>
      <w:r w:rsidRPr="00802661">
        <w:rPr>
          <w:rFonts w:ascii="Arial" w:hAnsi="Arial" w:cs="Arial"/>
          <w:color w:val="000000"/>
          <w:lang w:val="en-US"/>
        </w:rPr>
        <w:t xml:space="preserve">. In particular, the European Regulation defines as </w:t>
      </w:r>
      <w:r w:rsidRPr="00802661">
        <w:rPr>
          <w:rFonts w:ascii="Arial" w:hAnsi="Arial" w:cs="Arial"/>
          <w:i/>
          <w:color w:val="000000"/>
          <w:lang w:val="en-US"/>
        </w:rPr>
        <w:t>seasonal product</w:t>
      </w:r>
      <w:r w:rsidRPr="00802661">
        <w:rPr>
          <w:rFonts w:ascii="Arial" w:hAnsi="Arial" w:cs="Arial"/>
          <w:color w:val="000000"/>
          <w:lang w:val="en-US"/>
        </w:rPr>
        <w:t xml:space="preserve"> an individual product that is available for purchase or purchased in significant amounts only part of a year in a recurring pattern. It also establishes that in a given month seasonal products are considered </w:t>
      </w:r>
      <w:r w:rsidRPr="00802661">
        <w:rPr>
          <w:rFonts w:ascii="Arial" w:hAnsi="Arial" w:cs="Arial"/>
          <w:i/>
          <w:color w:val="000000"/>
          <w:lang w:val="en-US"/>
        </w:rPr>
        <w:t>in season</w:t>
      </w:r>
      <w:r w:rsidRPr="00802661">
        <w:rPr>
          <w:rFonts w:ascii="Arial" w:hAnsi="Arial" w:cs="Arial"/>
          <w:color w:val="000000"/>
          <w:lang w:val="en-US"/>
        </w:rPr>
        <w:t xml:space="preserve"> (at least one month) or </w:t>
      </w:r>
      <w:r w:rsidRPr="00802661">
        <w:rPr>
          <w:rFonts w:ascii="Arial" w:hAnsi="Arial" w:cs="Arial"/>
          <w:i/>
          <w:color w:val="000000"/>
          <w:lang w:val="en-US"/>
        </w:rPr>
        <w:t>out of season</w:t>
      </w:r>
      <w:r w:rsidRPr="00802661">
        <w:rPr>
          <w:rFonts w:ascii="Arial" w:hAnsi="Arial" w:cs="Arial"/>
          <w:color w:val="000000"/>
          <w:lang w:val="en-US"/>
        </w:rPr>
        <w:t xml:space="preserve">. </w:t>
      </w:r>
    </w:p>
    <w:p w:rsidR="004E402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 xml:space="preserve">On the basis of this standard, Istat defines a monthly calendar for the whole year, which establishes, in a given month, when each specific product belonging to the above mentioned product groups or classes must be considered </w:t>
      </w:r>
      <w:r w:rsidRPr="00802661">
        <w:rPr>
          <w:rFonts w:ascii="Arial" w:hAnsi="Arial" w:cs="Arial"/>
          <w:i/>
          <w:color w:val="000000"/>
          <w:lang w:val="en-US"/>
        </w:rPr>
        <w:t>in season</w:t>
      </w:r>
      <w:r w:rsidRPr="00802661">
        <w:rPr>
          <w:rFonts w:ascii="Arial" w:hAnsi="Arial" w:cs="Arial"/>
          <w:color w:val="000000"/>
          <w:lang w:val="en-US"/>
        </w:rPr>
        <w:t xml:space="preserve"> or </w:t>
      </w:r>
      <w:r w:rsidRPr="00802661">
        <w:rPr>
          <w:rFonts w:ascii="Arial" w:hAnsi="Arial" w:cs="Arial"/>
          <w:i/>
          <w:color w:val="000000"/>
          <w:lang w:val="en-US"/>
        </w:rPr>
        <w:t>out of season</w:t>
      </w:r>
      <w:r w:rsidRPr="00802661">
        <w:rPr>
          <w:rFonts w:ascii="Arial" w:hAnsi="Arial" w:cs="Arial"/>
          <w:color w:val="000000"/>
          <w:lang w:val="en-US"/>
        </w:rPr>
        <w:t xml:space="preserve">. The adoption of a seasonality calendar entails that the local consumer price survey is carried out only in months when the product in question is defined as </w:t>
      </w:r>
      <w:r w:rsidRPr="00802661">
        <w:rPr>
          <w:rFonts w:ascii="Arial" w:hAnsi="Arial" w:cs="Arial"/>
          <w:i/>
          <w:color w:val="000000"/>
          <w:lang w:val="en-US"/>
        </w:rPr>
        <w:t>in season</w:t>
      </w:r>
      <w:r w:rsidRPr="00802661">
        <w:rPr>
          <w:rFonts w:ascii="Arial" w:hAnsi="Arial" w:cs="Arial"/>
          <w:color w:val="000000"/>
          <w:lang w:val="en-US"/>
        </w:rPr>
        <w:t xml:space="preserve">, while prices of </w:t>
      </w:r>
      <w:r w:rsidRPr="00802661">
        <w:rPr>
          <w:rFonts w:ascii="Arial" w:hAnsi="Arial" w:cs="Arial"/>
          <w:i/>
          <w:color w:val="000000"/>
          <w:lang w:val="en-US"/>
        </w:rPr>
        <w:t>out of season</w:t>
      </w:r>
      <w:r w:rsidRPr="00802661">
        <w:rPr>
          <w:rFonts w:ascii="Arial" w:hAnsi="Arial" w:cs="Arial"/>
          <w:color w:val="000000"/>
          <w:lang w:val="en-US"/>
        </w:rPr>
        <w:t xml:space="preserve"> products will be estimated on the basis of a method that is consistent with standards contained in the aforementioned European Regulation.</w:t>
      </w:r>
    </w:p>
    <w:p w:rsidR="0095101E" w:rsidRDefault="0095101E" w:rsidP="004E4021">
      <w:pPr>
        <w:spacing w:after="120"/>
        <w:ind w:right="-1"/>
        <w:jc w:val="both"/>
        <w:rPr>
          <w:rFonts w:ascii="Arial" w:hAnsi="Arial" w:cs="Arial"/>
          <w:color w:val="000000"/>
          <w:lang w:val="en-US"/>
        </w:rPr>
      </w:pPr>
    </w:p>
    <w:p w:rsidR="0095101E" w:rsidRDefault="0095101E" w:rsidP="004E4021">
      <w:pPr>
        <w:spacing w:after="120"/>
        <w:ind w:right="-1"/>
        <w:jc w:val="both"/>
        <w:rPr>
          <w:rFonts w:ascii="Arial" w:hAnsi="Arial" w:cs="Arial"/>
          <w:color w:val="000000"/>
          <w:lang w:val="en-US"/>
        </w:rPr>
      </w:pPr>
    </w:p>
    <w:p w:rsidR="004E4021" w:rsidRPr="000D67BF" w:rsidRDefault="004E4021" w:rsidP="004E4021">
      <w:pPr>
        <w:pStyle w:val="Rientrocorpodeltesto"/>
        <w:ind w:left="0" w:right="-1"/>
        <w:rPr>
          <w:rFonts w:ascii="Arial" w:hAnsi="Arial"/>
          <w:b/>
          <w:bCs/>
          <w:szCs w:val="22"/>
          <w:lang w:val="en-US"/>
        </w:rPr>
      </w:pPr>
      <w:r w:rsidRPr="000D67BF">
        <w:rPr>
          <w:rFonts w:ascii="Arial" w:hAnsi="Arial"/>
          <w:b/>
          <w:bCs/>
          <w:szCs w:val="22"/>
          <w:lang w:val="en-US"/>
        </w:rPr>
        <w:t xml:space="preserve">Methods for </w:t>
      </w:r>
      <w:r>
        <w:rPr>
          <w:rFonts w:ascii="Arial" w:hAnsi="Arial"/>
          <w:b/>
          <w:bCs/>
          <w:szCs w:val="22"/>
          <w:lang w:val="en-US"/>
        </w:rPr>
        <w:t>the imputation of</w:t>
      </w:r>
      <w:r w:rsidRPr="000D67BF">
        <w:rPr>
          <w:rFonts w:ascii="Arial" w:hAnsi="Arial"/>
          <w:b/>
          <w:bCs/>
          <w:szCs w:val="22"/>
          <w:lang w:val="en-US"/>
        </w:rPr>
        <w:t xml:space="preserve"> missing prices</w:t>
      </w:r>
    </w:p>
    <w:p w:rsidR="004E4021" w:rsidRPr="00802661" w:rsidRDefault="004E4021" w:rsidP="004E4021">
      <w:pPr>
        <w:pStyle w:val="Default"/>
        <w:spacing w:after="120"/>
        <w:jc w:val="both"/>
        <w:rPr>
          <w:rFonts w:ascii="Arial" w:hAnsi="Arial" w:cs="Arial"/>
          <w:sz w:val="20"/>
          <w:szCs w:val="20"/>
          <w:lang w:val="en-US"/>
        </w:rPr>
      </w:pPr>
      <w:r w:rsidRPr="00802661">
        <w:rPr>
          <w:rFonts w:ascii="Arial" w:hAnsi="Arial" w:cs="Arial"/>
          <w:sz w:val="20"/>
          <w:szCs w:val="20"/>
          <w:lang w:val="en-US"/>
        </w:rPr>
        <w:t>For the inflation estimates, the imputation of missing prices is accomplished by specific procedures in compliance with the European regulations and recommendations</w:t>
      </w:r>
      <w:r w:rsidRPr="00802661">
        <w:rPr>
          <w:rStyle w:val="Rimandonotaapidipagina"/>
          <w:rFonts w:ascii="Arial" w:hAnsi="Arial"/>
          <w:sz w:val="20"/>
          <w:szCs w:val="20"/>
        </w:rPr>
        <w:footnoteReference w:id="6"/>
      </w:r>
      <w:r w:rsidRPr="00802661">
        <w:rPr>
          <w:rFonts w:ascii="Arial" w:hAnsi="Arial" w:cs="Arial"/>
          <w:sz w:val="20"/>
          <w:szCs w:val="20"/>
          <w:lang w:val="en-US"/>
        </w:rPr>
        <w:t>. These procedures, which apply to all the three indices (NIC, FOI and HICP), are founded on three principles:</w:t>
      </w:r>
    </w:p>
    <w:p w:rsidR="004E4021" w:rsidRPr="00802661" w:rsidRDefault="004E4021" w:rsidP="004E4021">
      <w:pPr>
        <w:pStyle w:val="Default"/>
        <w:numPr>
          <w:ilvl w:val="0"/>
          <w:numId w:val="9"/>
        </w:numPr>
        <w:spacing w:after="100"/>
        <w:ind w:left="709" w:hanging="357"/>
        <w:jc w:val="both"/>
        <w:rPr>
          <w:rFonts w:ascii="Arial" w:hAnsi="Arial" w:cs="Arial"/>
          <w:sz w:val="20"/>
          <w:szCs w:val="20"/>
          <w:lang w:val="en-US"/>
        </w:rPr>
      </w:pPr>
      <w:r w:rsidRPr="00802661">
        <w:rPr>
          <w:rFonts w:ascii="Arial" w:hAnsi="Arial" w:cs="Arial"/>
          <w:sz w:val="20"/>
          <w:szCs w:val="20"/>
          <w:lang w:val="en-GB"/>
        </w:rPr>
        <w:t>fixed weight approach for the elementary aggregates in the basket</w:t>
      </w:r>
      <w:r w:rsidRPr="00802661">
        <w:rPr>
          <w:rFonts w:ascii="Arial" w:hAnsi="Arial" w:cs="Arial"/>
          <w:sz w:val="20"/>
          <w:szCs w:val="20"/>
          <w:lang w:val="en-US"/>
        </w:rPr>
        <w:t>,</w:t>
      </w:r>
    </w:p>
    <w:p w:rsidR="004E4021" w:rsidRPr="00802661" w:rsidRDefault="004E4021" w:rsidP="004E4021">
      <w:pPr>
        <w:pStyle w:val="Default"/>
        <w:numPr>
          <w:ilvl w:val="0"/>
          <w:numId w:val="9"/>
        </w:numPr>
        <w:spacing w:after="100"/>
        <w:ind w:left="709" w:hanging="357"/>
        <w:jc w:val="both"/>
        <w:rPr>
          <w:rFonts w:ascii="Arial" w:hAnsi="Arial" w:cs="Arial"/>
          <w:sz w:val="20"/>
          <w:szCs w:val="20"/>
          <w:lang w:val="en-US"/>
        </w:rPr>
      </w:pPr>
      <w:r w:rsidRPr="00802661">
        <w:rPr>
          <w:rFonts w:ascii="Arial" w:hAnsi="Arial" w:cs="Arial"/>
          <w:sz w:val="20"/>
          <w:szCs w:val="20"/>
          <w:lang w:val="en-GB"/>
        </w:rPr>
        <w:t>compilation of all the indices of the ECOICOP and the further sub-levels indices laid down by the national classification</w:t>
      </w:r>
      <w:r w:rsidRPr="00802661">
        <w:rPr>
          <w:rFonts w:ascii="Arial" w:hAnsi="Arial" w:cs="Arial"/>
          <w:sz w:val="20"/>
          <w:szCs w:val="20"/>
          <w:lang w:val="en-US"/>
        </w:rPr>
        <w:t>,</w:t>
      </w:r>
    </w:p>
    <w:p w:rsidR="004E4021" w:rsidRPr="00802661" w:rsidRDefault="004E4021" w:rsidP="004E4021">
      <w:pPr>
        <w:pStyle w:val="Default"/>
        <w:numPr>
          <w:ilvl w:val="0"/>
          <w:numId w:val="9"/>
        </w:numPr>
        <w:spacing w:after="100"/>
        <w:ind w:left="709" w:hanging="357"/>
        <w:jc w:val="both"/>
        <w:rPr>
          <w:rFonts w:ascii="Arial" w:hAnsi="Arial" w:cs="Arial"/>
          <w:sz w:val="20"/>
          <w:szCs w:val="20"/>
          <w:lang w:val="en-US"/>
        </w:rPr>
      </w:pPr>
      <w:r w:rsidRPr="00802661">
        <w:rPr>
          <w:rFonts w:ascii="Arial" w:hAnsi="Arial" w:cs="Arial"/>
          <w:sz w:val="20"/>
          <w:szCs w:val="20"/>
          <w:lang w:val="en-US"/>
        </w:rPr>
        <w:t>minimizing the number of imputed prices</w:t>
      </w:r>
      <w:r w:rsidRPr="00802661">
        <w:rPr>
          <w:rStyle w:val="Rimandonotaapidipagina"/>
          <w:rFonts w:ascii="Arial" w:hAnsi="Arial"/>
          <w:sz w:val="20"/>
          <w:szCs w:val="20"/>
        </w:rPr>
        <w:footnoteReference w:id="7"/>
      </w:r>
      <w:r w:rsidRPr="00802661">
        <w:rPr>
          <w:rFonts w:ascii="Arial" w:hAnsi="Arial" w:cs="Arial"/>
          <w:sz w:val="20"/>
          <w:szCs w:val="20"/>
          <w:lang w:val="en-US"/>
        </w:rPr>
        <w:t>.</w:t>
      </w:r>
    </w:p>
    <w:p w:rsidR="004E4021" w:rsidRPr="00802661" w:rsidRDefault="004E4021" w:rsidP="004E4021">
      <w:pPr>
        <w:pStyle w:val="Default"/>
        <w:spacing w:after="120"/>
        <w:jc w:val="both"/>
        <w:rPr>
          <w:rFonts w:ascii="Arial" w:hAnsi="Arial" w:cs="Arial"/>
          <w:sz w:val="20"/>
          <w:szCs w:val="20"/>
          <w:lang w:val="en-US"/>
        </w:rPr>
      </w:pPr>
      <w:r w:rsidRPr="00802661">
        <w:rPr>
          <w:rFonts w:ascii="Arial" w:hAnsi="Arial" w:cs="Arial"/>
          <w:sz w:val="20"/>
          <w:szCs w:val="20"/>
          <w:lang w:val="en-US"/>
        </w:rPr>
        <w:t>The imputation procedures apply whenever prices are missing, in which case the missing prices are generally estimated basing on the monthly rate of change or, in specif cases, on the annual rate of change of the collected price information. In practice, the way in which imputations are carried out depends on various factors (including the degree of monthly volatility of the prices or its seasonal dynamics). Broadly speaking, the procedures used for imputing prices follow three criteria:</w:t>
      </w:r>
    </w:p>
    <w:p w:rsidR="004E4021" w:rsidRPr="00802661" w:rsidRDefault="004E4021" w:rsidP="004E4021">
      <w:pPr>
        <w:pStyle w:val="Default"/>
        <w:numPr>
          <w:ilvl w:val="0"/>
          <w:numId w:val="7"/>
        </w:numPr>
        <w:spacing w:after="100"/>
        <w:jc w:val="both"/>
        <w:rPr>
          <w:rFonts w:ascii="Arial" w:hAnsi="Arial" w:cs="Arial"/>
          <w:sz w:val="20"/>
          <w:szCs w:val="20"/>
          <w:lang w:val="en-GB"/>
        </w:rPr>
      </w:pPr>
      <w:r w:rsidRPr="00802661">
        <w:rPr>
          <w:rFonts w:ascii="Arial" w:hAnsi="Arial" w:cs="Arial"/>
          <w:sz w:val="20"/>
          <w:szCs w:val="20"/>
          <w:lang w:val="en-GB"/>
        </w:rPr>
        <w:t>whenever it is possible, the imputation is based on the monthly rate of change of the same aggregate of products in another geographic area, or the most similar aggregate of product in the same classification level, or the monthly change of the index of the higher aggregation level in the classification structure;</w:t>
      </w:r>
    </w:p>
    <w:p w:rsidR="004E4021" w:rsidRPr="00802661" w:rsidRDefault="004E4021" w:rsidP="004E4021">
      <w:pPr>
        <w:pStyle w:val="Default"/>
        <w:numPr>
          <w:ilvl w:val="0"/>
          <w:numId w:val="7"/>
        </w:numPr>
        <w:spacing w:after="100"/>
        <w:jc w:val="both"/>
        <w:rPr>
          <w:rFonts w:ascii="Arial" w:hAnsi="Arial" w:cs="Arial"/>
          <w:sz w:val="20"/>
          <w:szCs w:val="20"/>
          <w:lang w:val="en-GB"/>
        </w:rPr>
      </w:pPr>
      <w:r w:rsidRPr="00802661">
        <w:rPr>
          <w:rFonts w:ascii="Arial" w:hAnsi="Arial" w:cs="Arial"/>
          <w:sz w:val="20"/>
          <w:szCs w:val="20"/>
          <w:lang w:val="en-GB"/>
        </w:rPr>
        <w:t>when appropriate, missing prices can be estimated by carrying forward the last available price;</w:t>
      </w:r>
    </w:p>
    <w:p w:rsidR="004E4021" w:rsidRPr="00802661" w:rsidRDefault="004E4021" w:rsidP="004E4021">
      <w:pPr>
        <w:pStyle w:val="Default"/>
        <w:numPr>
          <w:ilvl w:val="0"/>
          <w:numId w:val="7"/>
        </w:numPr>
        <w:spacing w:after="100"/>
        <w:jc w:val="both"/>
        <w:rPr>
          <w:rFonts w:ascii="Arial" w:hAnsi="Arial" w:cs="Arial"/>
          <w:sz w:val="20"/>
          <w:szCs w:val="20"/>
          <w:lang w:val="en-GB"/>
        </w:rPr>
      </w:pPr>
      <w:r w:rsidRPr="00802661">
        <w:rPr>
          <w:rFonts w:ascii="Arial" w:hAnsi="Arial" w:cs="Arial"/>
          <w:sz w:val="20"/>
          <w:szCs w:val="20"/>
          <w:lang w:val="en-GB"/>
        </w:rPr>
        <w:t>alternatively, for the products that are not available at all in the market and that show a clear seasonal profile, the imputation is carried out considering the average rate of change of all items index calculated excluding these products.</w:t>
      </w:r>
    </w:p>
    <w:p w:rsidR="004E4021" w:rsidRPr="00802661" w:rsidRDefault="004E4021" w:rsidP="004E4021">
      <w:pPr>
        <w:pStyle w:val="Default"/>
        <w:spacing w:after="120"/>
        <w:jc w:val="both"/>
        <w:rPr>
          <w:rFonts w:ascii="Arial" w:hAnsi="Arial" w:cs="Arial"/>
          <w:sz w:val="20"/>
          <w:szCs w:val="20"/>
          <w:lang w:val="en-US"/>
        </w:rPr>
      </w:pPr>
      <w:r w:rsidRPr="00802661">
        <w:rPr>
          <w:rFonts w:ascii="Arial" w:hAnsi="Arial" w:cs="Arial"/>
          <w:sz w:val="20"/>
          <w:szCs w:val="20"/>
          <w:lang w:val="en-US"/>
        </w:rPr>
        <w:t>With reference to specific groups of products, the imputations rules are the following:</w:t>
      </w:r>
    </w:p>
    <w:p w:rsidR="004E4021" w:rsidRPr="00802661" w:rsidRDefault="004E4021" w:rsidP="004E4021">
      <w:pPr>
        <w:pStyle w:val="Default"/>
        <w:numPr>
          <w:ilvl w:val="0"/>
          <w:numId w:val="8"/>
        </w:numPr>
        <w:spacing w:after="100"/>
        <w:ind w:left="284" w:hanging="284"/>
        <w:jc w:val="both"/>
        <w:rPr>
          <w:rFonts w:ascii="Arial" w:hAnsi="Arial" w:cs="Arial"/>
          <w:sz w:val="20"/>
          <w:szCs w:val="20"/>
          <w:lang w:val="en-US"/>
        </w:rPr>
      </w:pPr>
      <w:r w:rsidRPr="00802661">
        <w:rPr>
          <w:rFonts w:ascii="Arial" w:hAnsi="Arial" w:cs="Arial"/>
          <w:sz w:val="20"/>
          <w:szCs w:val="20"/>
          <w:lang w:val="en-US"/>
        </w:rPr>
        <w:t>For grocery products collected by data scanner, coherently with the dynamic approach used to calculate the indices and in accordance with Eurostat guidelines, the prices of temporarily missing references (due to seasonal or accidental reasons) are imputated for a maximum 14 consecutive months. In particular, missing prices are estimated using the monthly growth rate of the others references in the same stratum or of the higher level index according to the aggregation rules</w:t>
      </w:r>
      <w:r w:rsidRPr="00802661">
        <w:rPr>
          <w:rFonts w:cs="Arial"/>
          <w:vertAlign w:val="superscript"/>
          <w:lang w:val="en-US"/>
        </w:rPr>
        <w:footnoteReference w:id="8"/>
      </w:r>
      <w:r w:rsidRPr="00802661">
        <w:rPr>
          <w:rFonts w:ascii="Arial" w:hAnsi="Arial" w:cs="Arial"/>
          <w:sz w:val="20"/>
          <w:szCs w:val="20"/>
          <w:lang w:val="en-US"/>
        </w:rPr>
        <w:t xml:space="preserve">. </w:t>
      </w:r>
    </w:p>
    <w:p w:rsidR="004E4021" w:rsidRPr="00802661" w:rsidRDefault="004E4021" w:rsidP="004E4021">
      <w:pPr>
        <w:pStyle w:val="Default"/>
        <w:numPr>
          <w:ilvl w:val="0"/>
          <w:numId w:val="8"/>
        </w:numPr>
        <w:spacing w:after="100"/>
        <w:ind w:left="284" w:hanging="284"/>
        <w:jc w:val="both"/>
        <w:rPr>
          <w:rFonts w:ascii="Arial" w:hAnsi="Arial" w:cs="Arial"/>
          <w:sz w:val="20"/>
          <w:szCs w:val="20"/>
          <w:lang w:val="en-US"/>
        </w:rPr>
      </w:pPr>
      <w:r w:rsidRPr="00802661">
        <w:rPr>
          <w:rFonts w:ascii="Arial" w:hAnsi="Arial" w:cs="Arial"/>
          <w:sz w:val="20"/>
          <w:szCs w:val="20"/>
          <w:lang w:val="en-US"/>
        </w:rPr>
        <w:t>For clothing and footwear and for fresh food products such as fresh fruit and vegetables collected bi-monthly, if the prices are missing, they are imputated basing on the monthly rate of the prices of the references that have been collected for the same product in the provincial capital, or in the region or at national level, applying the usual procedures for imputing the prices of seasonal products.</w:t>
      </w:r>
    </w:p>
    <w:p w:rsidR="004E4021" w:rsidRDefault="004E4021" w:rsidP="004E4021">
      <w:pPr>
        <w:pStyle w:val="Default"/>
        <w:numPr>
          <w:ilvl w:val="0"/>
          <w:numId w:val="8"/>
        </w:numPr>
        <w:spacing w:after="100"/>
        <w:ind w:left="284" w:hanging="284"/>
        <w:jc w:val="both"/>
        <w:rPr>
          <w:rFonts w:ascii="Arial" w:hAnsi="Arial" w:cs="Arial"/>
          <w:sz w:val="20"/>
          <w:szCs w:val="20"/>
          <w:lang w:val="en-US"/>
        </w:rPr>
      </w:pPr>
      <w:r w:rsidRPr="00802661">
        <w:rPr>
          <w:rFonts w:ascii="Arial" w:hAnsi="Arial" w:cs="Arial"/>
          <w:sz w:val="20"/>
          <w:szCs w:val="20"/>
          <w:lang w:val="en-US"/>
        </w:rPr>
        <w:t>For fresh food products (collected monthly), fresh fish products (collected bi-mo</w:t>
      </w:r>
      <w:r>
        <w:rPr>
          <w:rFonts w:ascii="Arial" w:hAnsi="Arial" w:cs="Arial"/>
          <w:sz w:val="20"/>
          <w:szCs w:val="20"/>
          <w:lang w:val="en-US"/>
        </w:rPr>
        <w:t xml:space="preserve">nthly) </w:t>
      </w:r>
      <w:r w:rsidRPr="00802661">
        <w:rPr>
          <w:rFonts w:ascii="Arial" w:hAnsi="Arial" w:cs="Arial"/>
          <w:sz w:val="20"/>
          <w:szCs w:val="20"/>
          <w:lang w:val="en-US"/>
        </w:rPr>
        <w:t>by the UCS, missing prices are estimated using the m/m rate of change of the prices of the references of the same product in the provincial capital or in the region or at national level.</w:t>
      </w:r>
    </w:p>
    <w:p w:rsidR="004E4021" w:rsidRDefault="004E4021" w:rsidP="004E4021">
      <w:pPr>
        <w:pStyle w:val="Default"/>
        <w:numPr>
          <w:ilvl w:val="0"/>
          <w:numId w:val="8"/>
        </w:numPr>
        <w:spacing w:after="100"/>
        <w:ind w:left="284" w:hanging="284"/>
        <w:jc w:val="both"/>
        <w:rPr>
          <w:rFonts w:ascii="Arial" w:hAnsi="Arial" w:cs="Arial"/>
          <w:sz w:val="20"/>
          <w:szCs w:val="20"/>
          <w:lang w:val="en-US"/>
        </w:rPr>
      </w:pPr>
      <w:r w:rsidRPr="00802661">
        <w:rPr>
          <w:rFonts w:ascii="Arial" w:hAnsi="Arial" w:cs="Arial"/>
          <w:sz w:val="20"/>
          <w:szCs w:val="20"/>
          <w:lang w:val="en-US"/>
        </w:rPr>
        <w:t>For the accommodation services in hotel, missing prices are estimated using the m/m rate of change of the prices collected in other hotels (same category, if possible) of the province. In case all (or almost all) price  information is lacking, missing prices are imputed using the m/m rate of change of the hotels of the province in the same month of the previous year, in order to preserve the seasonal dynamics of this products aggregate; for the bed and breakfast the missing prices are estimated using the m/m rate of change of the prices collected in the province or, if all (or almost all) the observations are missing, prices are estimated using the m/m rate of change of the same month in the previous year, in order to preserve the seasonal dynamics of this products aggregate.</w:t>
      </w:r>
    </w:p>
    <w:p w:rsidR="004E4021" w:rsidRDefault="004E4021" w:rsidP="004E4021">
      <w:pPr>
        <w:pStyle w:val="Default"/>
        <w:numPr>
          <w:ilvl w:val="0"/>
          <w:numId w:val="8"/>
        </w:numPr>
        <w:spacing w:after="100"/>
        <w:ind w:left="284" w:hanging="284"/>
        <w:jc w:val="both"/>
        <w:rPr>
          <w:rFonts w:ascii="Arial" w:hAnsi="Arial" w:cs="Arial"/>
          <w:sz w:val="20"/>
          <w:szCs w:val="20"/>
          <w:lang w:val="en-US"/>
        </w:rPr>
      </w:pPr>
      <w:r w:rsidRPr="006D4BE2">
        <w:rPr>
          <w:rFonts w:ascii="Arial" w:hAnsi="Arial" w:cs="Arial"/>
          <w:sz w:val="20"/>
          <w:szCs w:val="20"/>
          <w:lang w:val="en-US"/>
        </w:rPr>
        <w:t>The carry forward method (repetition of the previous month's price) is applied to the prices of furnishings and household products, given the limited temporal variability and the lack of seasonal profile of the prices of this category of products.</w:t>
      </w:r>
    </w:p>
    <w:p w:rsidR="004E4021" w:rsidRDefault="004E4021" w:rsidP="004E4021">
      <w:pPr>
        <w:pStyle w:val="Default"/>
        <w:numPr>
          <w:ilvl w:val="0"/>
          <w:numId w:val="8"/>
        </w:numPr>
        <w:spacing w:after="100"/>
        <w:ind w:left="284" w:hanging="284"/>
        <w:jc w:val="both"/>
        <w:rPr>
          <w:rFonts w:ascii="Arial" w:hAnsi="Arial" w:cs="Arial"/>
          <w:sz w:val="20"/>
          <w:szCs w:val="20"/>
          <w:lang w:val="en-US"/>
        </w:rPr>
      </w:pPr>
      <w:r w:rsidRPr="006D4BE2">
        <w:rPr>
          <w:rFonts w:ascii="Arial" w:hAnsi="Arial" w:cs="Arial"/>
          <w:sz w:val="20"/>
          <w:szCs w:val="20"/>
          <w:lang w:val="en-US"/>
        </w:rPr>
        <w:t>The carry forward method is applied also to the prices of restautants, cultural and recreational services;</w:t>
      </w:r>
    </w:p>
    <w:p w:rsidR="004E4021" w:rsidRPr="006D4BE2" w:rsidRDefault="004E4021" w:rsidP="004E4021">
      <w:pPr>
        <w:pStyle w:val="Default"/>
        <w:numPr>
          <w:ilvl w:val="0"/>
          <w:numId w:val="8"/>
        </w:numPr>
        <w:spacing w:after="100"/>
        <w:ind w:left="284" w:hanging="284"/>
        <w:jc w:val="both"/>
        <w:rPr>
          <w:rFonts w:ascii="Arial" w:hAnsi="Arial" w:cs="Arial"/>
          <w:sz w:val="20"/>
          <w:szCs w:val="20"/>
          <w:lang w:val="en-US"/>
        </w:rPr>
      </w:pPr>
      <w:r w:rsidRPr="006D4BE2">
        <w:rPr>
          <w:rFonts w:ascii="Arial" w:hAnsi="Arial" w:cs="Arial"/>
          <w:sz w:val="20"/>
          <w:szCs w:val="20"/>
          <w:lang w:val="en-US"/>
        </w:rPr>
        <w:lastRenderedPageBreak/>
        <w:t>For products collected centrally by Istat, missing prices are estimated using the monthly rate of change of the indices belonging to the same stratum; if the prices of a stratum are all missing, the estimation procedure is based on the variation of the indexes of the upper stratum.</w:t>
      </w:r>
    </w:p>
    <w:p w:rsidR="004E4021" w:rsidRDefault="004E4021" w:rsidP="004E4021">
      <w:pPr>
        <w:spacing w:after="120"/>
        <w:ind w:right="-1"/>
        <w:jc w:val="both"/>
        <w:rPr>
          <w:rFonts w:ascii="Arial" w:hAnsi="Arial" w:cs="Arial"/>
          <w:color w:val="000000"/>
          <w:kern w:val="0"/>
          <w:lang w:val="en-US"/>
        </w:rPr>
      </w:pPr>
      <w:r w:rsidRPr="00802661">
        <w:rPr>
          <w:rFonts w:ascii="Arial" w:hAnsi="Arial" w:cs="Arial"/>
          <w:color w:val="000000"/>
          <w:kern w:val="0"/>
          <w:lang w:val="en-US"/>
        </w:rPr>
        <w:t>The indices at different levels of aggregation, when their rate of imputations is higher than 50% (in terms of missing prices and/or their weight), on the basis of Eurostat indications,  are market by using the flag “I” (data imputated) both in the tables of the press release and in I.Stat and in any other publications. With regard to the indices released on Rivaluta, on the occasion of the release of the definitive data, those with a rate of imputations higher than 50% (in terms of missing prices and/or weight) are not made available.</w:t>
      </w:r>
    </w:p>
    <w:p w:rsidR="00F97B13" w:rsidRDefault="00F97B13" w:rsidP="004E4021">
      <w:pPr>
        <w:spacing w:after="120"/>
        <w:ind w:right="-1"/>
        <w:jc w:val="both"/>
        <w:rPr>
          <w:rFonts w:ascii="Arial" w:hAnsi="Arial" w:cs="Arial"/>
          <w:color w:val="000000"/>
          <w:kern w:val="0"/>
          <w:lang w:val="en-US"/>
        </w:rPr>
      </w:pPr>
    </w:p>
    <w:p w:rsidR="004E4021" w:rsidRPr="00AE4DD4" w:rsidRDefault="004E4021" w:rsidP="004E4021">
      <w:pPr>
        <w:spacing w:after="120"/>
        <w:ind w:right="-1"/>
        <w:jc w:val="both"/>
        <w:rPr>
          <w:rFonts w:ascii="Arial" w:hAnsi="Arial" w:cs="Arial"/>
          <w:b/>
          <w:color w:val="000000"/>
          <w:kern w:val="0"/>
          <w:sz w:val="22"/>
          <w:szCs w:val="22"/>
          <w:lang w:val="en-US"/>
        </w:rPr>
      </w:pPr>
      <w:r w:rsidRPr="00AE4DD4">
        <w:rPr>
          <w:rFonts w:ascii="Arial" w:hAnsi="Arial" w:cs="Arial"/>
          <w:b/>
          <w:color w:val="000000"/>
          <w:kern w:val="0"/>
          <w:sz w:val="22"/>
          <w:szCs w:val="22"/>
          <w:lang w:val="en-US"/>
        </w:rPr>
        <w:t xml:space="preserve">Flash estimates of HICP: accuracy and computation methodology </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 xml:space="preserve">Flash estimate of Italian HICP (and NIC) are usually published on the last working day of the reference month according to the Eurostat release calendar of HICP flash estimate for euro area. Final data are generally published around 15 days later. </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 xml:space="preserve">The aim of the inflation flash estimates is to provide a timely information on inflation, predicting as accurately as possible the final HICP (and NIC) annual rate of change released about two weeks later. The analysis of their revisions represents an important tool to evaluate the correct balancing between the two quality dimensions, timeliness and accuracy. </w:t>
      </w:r>
    </w:p>
    <w:p w:rsidR="004E4021" w:rsidRPr="00802661" w:rsidRDefault="004E4021" w:rsidP="004E4021">
      <w:pPr>
        <w:spacing w:after="120"/>
        <w:ind w:right="-1"/>
        <w:jc w:val="both"/>
        <w:rPr>
          <w:rFonts w:ascii="Arial" w:hAnsi="Arial" w:cs="Arial"/>
          <w:color w:val="000000"/>
          <w:lang w:val="en-US"/>
        </w:rPr>
      </w:pPr>
      <w:r w:rsidRPr="00802661">
        <w:rPr>
          <w:rFonts w:ascii="Arial" w:hAnsi="Arial" w:cs="Arial"/>
          <w:color w:val="000000"/>
          <w:lang w:val="en-US"/>
        </w:rPr>
        <w:t>In line with the Eurostat Statistics Explained on Inflation – methodology of the euro area flash estimate, this section analyses the accuracy of the Italian HICP flash estimates and describes the methodology used in their computation.</w:t>
      </w:r>
    </w:p>
    <w:p w:rsidR="00B32FD3" w:rsidRPr="003D73CB" w:rsidRDefault="00B32FD3" w:rsidP="00B32FD3">
      <w:pPr>
        <w:spacing w:after="120"/>
        <w:ind w:right="-1"/>
        <w:jc w:val="both"/>
        <w:rPr>
          <w:rFonts w:ascii="Arial" w:hAnsi="Arial" w:cs="Arial"/>
          <w:color w:val="000000"/>
          <w:sz w:val="8"/>
          <w:szCs w:val="8"/>
          <w:lang w:val="en-US"/>
        </w:rPr>
      </w:pPr>
    </w:p>
    <w:p w:rsidR="00EF735A" w:rsidRDefault="00EF735A" w:rsidP="00EF735A">
      <w:pPr>
        <w:spacing w:after="120"/>
        <w:ind w:right="-1"/>
        <w:jc w:val="both"/>
        <w:rPr>
          <w:rFonts w:ascii="Arial" w:hAnsi="Arial"/>
          <w:b/>
          <w:szCs w:val="22"/>
          <w:lang w:val="en-US"/>
        </w:rPr>
      </w:pPr>
      <w:r>
        <w:rPr>
          <w:rFonts w:ascii="Arial" w:hAnsi="Arial"/>
          <w:b/>
          <w:szCs w:val="22"/>
          <w:lang w:val="en-US"/>
        </w:rPr>
        <w:t>Accuracy of flash estimates</w:t>
      </w:r>
    </w:p>
    <w:p w:rsidR="00EF735A" w:rsidRDefault="00EF735A" w:rsidP="00EF735A">
      <w:pPr>
        <w:spacing w:after="120"/>
        <w:ind w:right="-1"/>
        <w:jc w:val="both"/>
        <w:rPr>
          <w:rFonts w:ascii="Arial" w:hAnsi="Arial" w:cs="Arial"/>
          <w:color w:val="000000"/>
          <w:lang w:val="en-US"/>
        </w:rPr>
      </w:pPr>
      <w:r>
        <w:rPr>
          <w:rFonts w:ascii="Arial" w:hAnsi="Arial" w:cs="Arial"/>
          <w:color w:val="000000"/>
          <w:lang w:val="en-US"/>
        </w:rPr>
        <w:t>Table 2 compares the final HICP annual rates of change and the flash estimates for the same reference month. Over the last thirteen months, the maximum difference between the final HICP and the flash estimate all item annual rates of change was -0.1 percentage points recorded in July, September, October and November 2023 and in February, March and April 2024. Over the same period, with reference to the main special aggregates, the widest differences between final HICP annual rates of change and the flash estimates concerned Processed food (including alcohol, tobacco) (-0.3 in June 2023 and in July 2023; -0.5 in November 2023; -0.5 in March 2024; -0.3% in May 2024), Unprocessed food (-0.4 in June 2023), Energy (+0.7 in January 2024).</w:t>
      </w:r>
    </w:p>
    <w:p w:rsidR="00EF735A" w:rsidRDefault="00EF735A" w:rsidP="00EF735A">
      <w:pPr>
        <w:spacing w:after="0"/>
        <w:rPr>
          <w:rFonts w:ascii="Arial Narrow" w:hAnsi="Arial Narrow" w:cs="Arial"/>
          <w:caps/>
          <w:color w:val="5F5F5F"/>
          <w:lang w:val="en-US"/>
        </w:rPr>
      </w:pPr>
      <w:r>
        <w:rPr>
          <w:rFonts w:ascii="Arial Narrow" w:hAnsi="Arial Narrow" w:cs="Arial"/>
          <w:b/>
          <w:caps/>
          <w:color w:val="FF0000"/>
          <w:lang w:val="en-US"/>
        </w:rPr>
        <w:t xml:space="preserve">TABLE 2. </w:t>
      </w:r>
      <w:r>
        <w:rPr>
          <w:rFonts w:ascii="Arial Narrow" w:hAnsi="Arial Narrow" w:cs="Arial"/>
          <w:b/>
          <w:caps/>
          <w:color w:val="5F5F5F"/>
          <w:lang w:val="en-US"/>
        </w:rPr>
        <w:t>Flash estimates and HICP annual rates for the all-items and main special aggregates</w:t>
      </w:r>
    </w:p>
    <w:p w:rsidR="00EF735A" w:rsidRDefault="00EF735A" w:rsidP="00EF735A">
      <w:pPr>
        <w:pStyle w:val="001TitoGra"/>
        <w:spacing w:after="120" w:line="240" w:lineRule="auto"/>
        <w:jc w:val="both"/>
        <w:rPr>
          <w:b w:val="0"/>
          <w:kern w:val="0"/>
          <w:sz w:val="20"/>
          <w:szCs w:val="20"/>
          <w:lang w:val="en-US"/>
        </w:rPr>
      </w:pPr>
      <w:r>
        <w:rPr>
          <w:b w:val="0"/>
          <w:kern w:val="0"/>
          <w:sz w:val="20"/>
          <w:szCs w:val="20"/>
          <w:lang w:val="en-US"/>
        </w:rPr>
        <w:t>June</w:t>
      </w:r>
      <w:r w:rsidRPr="007D6D00">
        <w:rPr>
          <w:b w:val="0"/>
          <w:kern w:val="0"/>
          <w:sz w:val="20"/>
          <w:szCs w:val="20"/>
          <w:lang w:val="en-US"/>
        </w:rPr>
        <w:t xml:space="preserve"> </w:t>
      </w:r>
      <w:r>
        <w:rPr>
          <w:b w:val="0"/>
          <w:kern w:val="0"/>
          <w:sz w:val="20"/>
          <w:szCs w:val="20"/>
          <w:lang w:val="en-US"/>
        </w:rPr>
        <w:t xml:space="preserve">2023 </w:t>
      </w:r>
      <w:r w:rsidRPr="001A51B1">
        <w:rPr>
          <w:b w:val="0"/>
          <w:kern w:val="0"/>
          <w:sz w:val="20"/>
          <w:szCs w:val="20"/>
          <w:lang w:val="en-US"/>
        </w:rPr>
        <w:t xml:space="preserve">– </w:t>
      </w:r>
      <w:r>
        <w:rPr>
          <w:b w:val="0"/>
          <w:kern w:val="0"/>
          <w:sz w:val="20"/>
          <w:szCs w:val="20"/>
          <w:lang w:val="en-US"/>
        </w:rPr>
        <w:t>June</w:t>
      </w:r>
      <w:r w:rsidRPr="007D6D00">
        <w:rPr>
          <w:b w:val="0"/>
          <w:kern w:val="0"/>
          <w:sz w:val="20"/>
          <w:szCs w:val="20"/>
          <w:lang w:val="en-US"/>
        </w:rPr>
        <w:t xml:space="preserve"> </w:t>
      </w:r>
      <w:r>
        <w:rPr>
          <w:b w:val="0"/>
          <w:kern w:val="0"/>
          <w:sz w:val="20"/>
          <w:szCs w:val="20"/>
          <w:lang w:val="en-US"/>
        </w:rPr>
        <w:t xml:space="preserve">2024, percentage values (base 2015=100) </w:t>
      </w:r>
    </w:p>
    <w:tbl>
      <w:tblPr>
        <w:tblW w:w="10120" w:type="dxa"/>
        <w:tblInd w:w="70" w:type="dxa"/>
        <w:tblCellMar>
          <w:left w:w="70" w:type="dxa"/>
          <w:right w:w="70" w:type="dxa"/>
        </w:tblCellMar>
        <w:tblLook w:val="04A0" w:firstRow="1" w:lastRow="0" w:firstColumn="1" w:lastColumn="0" w:noHBand="0" w:noVBand="1"/>
      </w:tblPr>
      <w:tblGrid>
        <w:gridCol w:w="2340"/>
        <w:gridCol w:w="538"/>
        <w:gridCol w:w="569"/>
        <w:gridCol w:w="565"/>
        <w:gridCol w:w="565"/>
        <w:gridCol w:w="565"/>
        <w:gridCol w:w="555"/>
        <w:gridCol w:w="555"/>
        <w:gridCol w:w="555"/>
        <w:gridCol w:w="555"/>
        <w:gridCol w:w="555"/>
        <w:gridCol w:w="555"/>
        <w:gridCol w:w="555"/>
        <w:gridCol w:w="551"/>
        <w:gridCol w:w="542"/>
      </w:tblGrid>
      <w:tr w:rsidR="00EF735A" w:rsidRPr="003A0154" w:rsidTr="006224D9">
        <w:trPr>
          <w:trHeight w:val="255"/>
        </w:trPr>
        <w:tc>
          <w:tcPr>
            <w:tcW w:w="1156" w:type="pct"/>
            <w:tcBorders>
              <w:top w:val="single" w:sz="4" w:space="0" w:color="auto"/>
              <w:left w:val="nil"/>
              <w:bottom w:val="single" w:sz="4" w:space="0" w:color="auto"/>
              <w:right w:val="nil"/>
            </w:tcBorders>
            <w:shd w:val="clear" w:color="auto" w:fill="FFFFFF"/>
            <w:noWrap/>
            <w:vAlign w:val="center"/>
            <w:hideMark/>
          </w:tcPr>
          <w:p w:rsidR="00EF735A" w:rsidRDefault="00EF735A" w:rsidP="006224D9">
            <w:pPr>
              <w:contextualSpacing/>
              <w:rPr>
                <w:rFonts w:ascii="Arial Narrow" w:hAnsi="Arial Narrow"/>
                <w:b/>
                <w:bCs/>
                <w:color w:val="000000"/>
                <w:kern w:val="0"/>
                <w:sz w:val="18"/>
                <w:szCs w:val="18"/>
              </w:rPr>
            </w:pPr>
            <w:r>
              <w:rPr>
                <w:rFonts w:ascii="Arial Narrow" w:hAnsi="Arial Narrow"/>
                <w:b/>
                <w:bCs/>
                <w:color w:val="000000"/>
                <w:kern w:val="0"/>
                <w:sz w:val="18"/>
                <w:szCs w:val="18"/>
              </w:rPr>
              <w:t>Special aggregates</w:t>
            </w:r>
          </w:p>
        </w:tc>
        <w:tc>
          <w:tcPr>
            <w:tcW w:w="266" w:type="pct"/>
            <w:tcBorders>
              <w:top w:val="single" w:sz="4" w:space="0" w:color="auto"/>
              <w:left w:val="nil"/>
              <w:bottom w:val="single" w:sz="4" w:space="0" w:color="auto"/>
              <w:right w:val="nil"/>
            </w:tcBorders>
            <w:shd w:val="clear" w:color="auto" w:fill="FFFFFF"/>
            <w:noWrap/>
            <w:vAlign w:val="center"/>
            <w:hideMark/>
          </w:tcPr>
          <w:p w:rsidR="00EF735A" w:rsidRDefault="00EF735A" w:rsidP="006224D9">
            <w:pPr>
              <w:ind w:left="-15"/>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 </w:t>
            </w:r>
          </w:p>
        </w:tc>
        <w:tc>
          <w:tcPr>
            <w:tcW w:w="281"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Jun-23</w:t>
            </w:r>
          </w:p>
        </w:tc>
        <w:tc>
          <w:tcPr>
            <w:tcW w:w="279"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Jul-23</w:t>
            </w:r>
          </w:p>
        </w:tc>
        <w:tc>
          <w:tcPr>
            <w:tcW w:w="279"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Aug-23</w:t>
            </w:r>
          </w:p>
        </w:tc>
        <w:tc>
          <w:tcPr>
            <w:tcW w:w="279"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Sep-23</w:t>
            </w:r>
          </w:p>
        </w:tc>
        <w:tc>
          <w:tcPr>
            <w:tcW w:w="274"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Oct-23</w:t>
            </w:r>
          </w:p>
        </w:tc>
        <w:tc>
          <w:tcPr>
            <w:tcW w:w="274"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Nov-23</w:t>
            </w:r>
          </w:p>
        </w:tc>
        <w:tc>
          <w:tcPr>
            <w:tcW w:w="274"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Dec-23</w:t>
            </w:r>
          </w:p>
        </w:tc>
        <w:tc>
          <w:tcPr>
            <w:tcW w:w="274"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Jan-24</w:t>
            </w:r>
          </w:p>
        </w:tc>
        <w:tc>
          <w:tcPr>
            <w:tcW w:w="274"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Feb-24</w:t>
            </w:r>
          </w:p>
        </w:tc>
        <w:tc>
          <w:tcPr>
            <w:tcW w:w="274"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Mar-24</w:t>
            </w:r>
          </w:p>
        </w:tc>
        <w:tc>
          <w:tcPr>
            <w:tcW w:w="274"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Apr-24</w:t>
            </w:r>
          </w:p>
        </w:tc>
        <w:tc>
          <w:tcPr>
            <w:tcW w:w="272"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May-24</w:t>
            </w:r>
          </w:p>
        </w:tc>
        <w:tc>
          <w:tcPr>
            <w:tcW w:w="268" w:type="pct"/>
            <w:tcBorders>
              <w:top w:val="single" w:sz="4" w:space="0" w:color="auto"/>
              <w:left w:val="nil"/>
              <w:bottom w:val="single" w:sz="4" w:space="0" w:color="auto"/>
              <w:right w:val="nil"/>
            </w:tcBorders>
            <w:shd w:val="clear" w:color="auto" w:fill="FFFFFF"/>
          </w:tcPr>
          <w:p w:rsidR="00EF735A" w:rsidRDefault="00EF735A" w:rsidP="006224D9">
            <w:pPr>
              <w:ind w:left="-148" w:right="-57"/>
              <w:jc w:val="right"/>
              <w:rPr>
                <w:rFonts w:ascii="Arial Narrow" w:hAnsi="Arial Narrow" w:cs="Arial Narrow"/>
                <w:b/>
                <w:bCs/>
                <w:color w:val="000000"/>
                <w:kern w:val="0"/>
                <w:sz w:val="18"/>
                <w:szCs w:val="18"/>
              </w:rPr>
            </w:pPr>
            <w:r>
              <w:rPr>
                <w:rFonts w:ascii="Arial Narrow" w:hAnsi="Arial Narrow" w:cs="Arial Narrow"/>
                <w:b/>
                <w:bCs/>
                <w:color w:val="000000"/>
                <w:kern w:val="0"/>
                <w:sz w:val="18"/>
                <w:szCs w:val="18"/>
              </w:rPr>
              <w:t>Jun-24</w:t>
            </w:r>
          </w:p>
        </w:tc>
      </w:tr>
      <w:tr w:rsidR="00EF735A" w:rsidTr="006224D9">
        <w:trPr>
          <w:trHeight w:val="255"/>
        </w:trPr>
        <w:tc>
          <w:tcPr>
            <w:tcW w:w="1156" w:type="pct"/>
            <w:vMerge w:val="restart"/>
            <w:tcBorders>
              <w:top w:val="nil"/>
              <w:left w:val="nil"/>
              <w:bottom w:val="single" w:sz="4" w:space="0" w:color="000000"/>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lang w:val="en-US"/>
              </w:rPr>
            </w:pPr>
            <w:r>
              <w:rPr>
                <w:rFonts w:ascii="Arial Narrow" w:hAnsi="Arial Narrow"/>
                <w:color w:val="000000"/>
                <w:kern w:val="0"/>
                <w:sz w:val="18"/>
                <w:szCs w:val="18"/>
                <w:lang w:val="en-US"/>
              </w:rPr>
              <w:t>Food including alcohol and tobacco:</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10,4</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10,0</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9,3</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8,2</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6.0</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5.6</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2.9</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2.3</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1.8</w:t>
            </w:r>
          </w:p>
        </w:tc>
      </w:tr>
      <w:tr w:rsidR="00EF735A"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lang w:val="en-US"/>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10,1</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9,8</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9,1</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8,0</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5.4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3.7</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2.7</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2.7</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1.7</w:t>
            </w:r>
          </w:p>
        </w:tc>
      </w:tr>
      <w:tr w:rsidR="00EF735A" w:rsidTr="006224D9">
        <w:trPr>
          <w:trHeight w:val="255"/>
        </w:trPr>
        <w:tc>
          <w:tcPr>
            <w:tcW w:w="1156" w:type="pct"/>
            <w:vMerge w:val="restart"/>
            <w:tcBorders>
              <w:top w:val="nil"/>
              <w:left w:val="nil"/>
              <w:bottom w:val="single" w:sz="4" w:space="0" w:color="000000"/>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lang w:val="en-US"/>
              </w:rPr>
            </w:pPr>
            <w:r>
              <w:rPr>
                <w:rFonts w:ascii="Arial Narrow" w:hAnsi="Arial Narrow"/>
                <w:color w:val="000000"/>
                <w:kern w:val="0"/>
                <w:sz w:val="18"/>
                <w:szCs w:val="18"/>
                <w:lang w:val="en-US"/>
              </w:rPr>
              <w:t xml:space="preserve">  Processed food (including alcohol. tobacco)</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10,7</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9,7</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9,0</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8,1</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6,7</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5.8</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4.6</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4.3</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3.3</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2.9</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2.3</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2.3</w:t>
            </w:r>
          </w:p>
        </w:tc>
      </w:tr>
      <w:tr w:rsidR="00EF735A"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lang w:val="en-US"/>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10,4</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9,4</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8,9</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7,9</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5.3</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4.1</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3.3</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2.7</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2.0</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r>
      <w:tr w:rsidR="00EF735A" w:rsidTr="006224D9">
        <w:trPr>
          <w:trHeight w:val="255"/>
        </w:trPr>
        <w:tc>
          <w:tcPr>
            <w:tcW w:w="1156" w:type="pct"/>
            <w:vMerge w:val="restart"/>
            <w:tcBorders>
              <w:top w:val="nil"/>
              <w:left w:val="nil"/>
              <w:bottom w:val="single" w:sz="4" w:space="0" w:color="000000"/>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rPr>
            </w:pPr>
            <w:r>
              <w:rPr>
                <w:rFonts w:ascii="Arial Narrow" w:hAnsi="Arial Narrow"/>
                <w:color w:val="000000"/>
                <w:kern w:val="0"/>
                <w:sz w:val="18"/>
                <w:szCs w:val="18"/>
              </w:rPr>
              <w:t xml:space="preserve">  Unprocessed food</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9,8</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10,9</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9,7</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8,3</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7.8</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8.6</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4.7</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3.0</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2.6</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2.5</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0.8</w:t>
            </w:r>
          </w:p>
        </w:tc>
      </w:tr>
      <w:tr w:rsidR="00EF735A"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9,4</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10,7</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9,6</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8,3</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6.3</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7.9</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8.5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4.6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2.6</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2.3</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0.6</w:t>
            </w:r>
          </w:p>
        </w:tc>
      </w:tr>
      <w:tr w:rsidR="00EF735A" w:rsidTr="006224D9">
        <w:trPr>
          <w:trHeight w:val="255"/>
        </w:trPr>
        <w:tc>
          <w:tcPr>
            <w:tcW w:w="1156" w:type="pct"/>
            <w:vMerge w:val="restart"/>
            <w:tcBorders>
              <w:top w:val="nil"/>
              <w:left w:val="nil"/>
              <w:bottom w:val="single" w:sz="4" w:space="0" w:color="000000"/>
              <w:right w:val="nil"/>
            </w:tcBorders>
            <w:shd w:val="clear" w:color="auto" w:fill="FFFFFF"/>
            <w:vAlign w:val="center"/>
            <w:hideMark/>
          </w:tcPr>
          <w:p w:rsidR="00EF735A" w:rsidRDefault="00EF735A" w:rsidP="006224D9">
            <w:pPr>
              <w:spacing w:before="0" w:after="0"/>
              <w:ind w:left="-135" w:firstLine="135"/>
              <w:contextualSpacing/>
              <w:rPr>
                <w:rFonts w:ascii="Arial Narrow" w:hAnsi="Arial Narrow"/>
                <w:color w:val="000000"/>
                <w:kern w:val="0"/>
                <w:sz w:val="18"/>
                <w:szCs w:val="18"/>
              </w:rPr>
            </w:pPr>
            <w:r>
              <w:rPr>
                <w:rFonts w:ascii="Arial Narrow" w:hAnsi="Arial Narrow"/>
                <w:color w:val="000000"/>
                <w:kern w:val="0"/>
                <w:sz w:val="18"/>
                <w:szCs w:val="18"/>
              </w:rPr>
              <w:t>Energy</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2,0</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0,6</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-0,1</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1,6</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-20,1</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-24.7</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-25.0</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-17.4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-10.9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-12.1</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-11.8</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-8.6</w:t>
            </w:r>
          </w:p>
        </w:tc>
      </w:tr>
      <w:tr w:rsidR="00EF735A"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2,0</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0,6</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-0,2</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-19,9</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-24.6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-25.0</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-20.7</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-17.4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-10.9</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-12.2</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-11.7</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-8.6</w:t>
            </w:r>
          </w:p>
        </w:tc>
      </w:tr>
      <w:tr w:rsidR="00EF735A" w:rsidTr="006224D9">
        <w:trPr>
          <w:trHeight w:val="255"/>
        </w:trPr>
        <w:tc>
          <w:tcPr>
            <w:tcW w:w="1156" w:type="pct"/>
            <w:vMerge w:val="restart"/>
            <w:tcBorders>
              <w:top w:val="nil"/>
              <w:left w:val="nil"/>
              <w:bottom w:val="single" w:sz="4" w:space="0" w:color="000000"/>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rPr>
            </w:pPr>
            <w:r>
              <w:rPr>
                <w:rFonts w:ascii="Arial Narrow" w:hAnsi="Arial Narrow"/>
                <w:color w:val="000000"/>
                <w:kern w:val="0"/>
                <w:sz w:val="18"/>
                <w:szCs w:val="18"/>
              </w:rPr>
              <w:t>Non energy industrial goods</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5,0</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5,3</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4,4</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4,0</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2.7</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2.2</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1.8</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1.3</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0.8</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1.0</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0.7</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0.5</w:t>
            </w:r>
          </w:p>
        </w:tc>
      </w:tr>
      <w:tr w:rsidR="00EF735A"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5,0</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5,2</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4,3</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3,9</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2.2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1.2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0.7</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0.9</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0.7</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0.5</w:t>
            </w:r>
          </w:p>
        </w:tc>
      </w:tr>
      <w:tr w:rsidR="00EF735A" w:rsidTr="006224D9">
        <w:trPr>
          <w:trHeight w:val="255"/>
        </w:trPr>
        <w:tc>
          <w:tcPr>
            <w:tcW w:w="1156" w:type="pct"/>
            <w:vMerge w:val="restart"/>
            <w:tcBorders>
              <w:top w:val="nil"/>
              <w:left w:val="nil"/>
              <w:bottom w:val="single" w:sz="4" w:space="0" w:color="000000"/>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rPr>
            </w:pPr>
            <w:r>
              <w:rPr>
                <w:rFonts w:ascii="Arial Narrow" w:hAnsi="Arial Narrow"/>
                <w:color w:val="000000"/>
                <w:kern w:val="0"/>
                <w:sz w:val="18"/>
                <w:szCs w:val="18"/>
              </w:rPr>
              <w:t>Services</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4,8</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4,6</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4,0</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3.8</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3.2</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3.3</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3.0</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r>
      <w:tr w:rsidR="00EF735A"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5,0</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4,6</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4,0</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3.3</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3.2</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r>
      <w:tr w:rsidR="00EF735A" w:rsidTr="006224D9">
        <w:trPr>
          <w:trHeight w:val="255"/>
        </w:trPr>
        <w:tc>
          <w:tcPr>
            <w:tcW w:w="1156" w:type="pct"/>
            <w:vMerge w:val="restart"/>
            <w:tcBorders>
              <w:top w:val="nil"/>
              <w:left w:val="nil"/>
              <w:bottom w:val="single" w:sz="4" w:space="0" w:color="000000"/>
              <w:right w:val="nil"/>
            </w:tcBorders>
            <w:shd w:val="clear" w:color="auto" w:fill="FF0000"/>
            <w:vAlign w:val="center"/>
            <w:hideMark/>
          </w:tcPr>
          <w:p w:rsidR="00EF735A" w:rsidRDefault="00EF735A" w:rsidP="006224D9">
            <w:pPr>
              <w:spacing w:before="0" w:after="0"/>
              <w:contextualSpacing/>
              <w:rPr>
                <w:rFonts w:ascii="Arial Narrow" w:hAnsi="Arial Narrow"/>
                <w:b/>
                <w:bCs/>
                <w:color w:val="FFFFFF"/>
                <w:kern w:val="0"/>
                <w:sz w:val="18"/>
                <w:szCs w:val="18"/>
              </w:rPr>
            </w:pPr>
            <w:r>
              <w:rPr>
                <w:rFonts w:ascii="Arial Narrow" w:hAnsi="Arial Narrow"/>
                <w:b/>
                <w:bCs/>
                <w:color w:val="FFFFFF"/>
                <w:kern w:val="0"/>
                <w:sz w:val="18"/>
                <w:szCs w:val="18"/>
              </w:rPr>
              <w:t>All-items</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6,7</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6,4</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5,5</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5,7</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1,9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0.7</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0.5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1.3</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1.0</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0.8</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0.9</w:t>
            </w:r>
          </w:p>
        </w:tc>
      </w:tr>
      <w:tr w:rsidR="00EF735A"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b/>
                <w:bCs/>
                <w:color w:val="FFFFFF"/>
                <w:kern w:val="0"/>
                <w:sz w:val="18"/>
                <w:szCs w:val="18"/>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6,7</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6,3</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5,5</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5,6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1,8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0.6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sidRPr="0037581D">
              <w:rPr>
                <w:rFonts w:ascii="Arial Narrow" w:hAnsi="Arial Narrow"/>
                <w:b/>
                <w:color w:val="000000"/>
                <w:sz w:val="18"/>
                <w:szCs w:val="18"/>
              </w:rPr>
              <w:t>0.5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0.9</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1.2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0.9</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0.8</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b/>
                <w:color w:val="000000"/>
                <w:sz w:val="18"/>
                <w:szCs w:val="18"/>
              </w:rPr>
            </w:pPr>
            <w:r>
              <w:rPr>
                <w:rFonts w:ascii="Arial Narrow" w:hAnsi="Arial Narrow"/>
                <w:b/>
                <w:color w:val="000000"/>
                <w:sz w:val="18"/>
                <w:szCs w:val="18"/>
              </w:rPr>
              <w:t>0.9</w:t>
            </w:r>
          </w:p>
        </w:tc>
      </w:tr>
      <w:tr w:rsidR="00EF735A" w:rsidRPr="003438A9" w:rsidTr="006224D9">
        <w:trPr>
          <w:trHeight w:val="255"/>
        </w:trPr>
        <w:tc>
          <w:tcPr>
            <w:tcW w:w="1156" w:type="pct"/>
            <w:vMerge w:val="restart"/>
            <w:tcBorders>
              <w:top w:val="nil"/>
              <w:left w:val="nil"/>
              <w:bottom w:val="single" w:sz="4" w:space="0" w:color="D9D9D9"/>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lang w:val="en-US"/>
              </w:rPr>
            </w:pPr>
            <w:r>
              <w:rPr>
                <w:rFonts w:ascii="Arial Narrow" w:hAnsi="Arial Narrow"/>
                <w:color w:val="000000"/>
                <w:kern w:val="0"/>
                <w:sz w:val="18"/>
                <w:szCs w:val="18"/>
                <w:lang w:val="en-US"/>
              </w:rPr>
              <w:t>All items excluding energy and unprocessed food (Core inflation)</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6,0</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5,7</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5,0</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5,0</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3.2</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3.1</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2.7</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2.4</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2.2</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r>
      <w:tr w:rsidR="00EF735A" w:rsidRPr="003438A9" w:rsidTr="006224D9">
        <w:trPr>
          <w:trHeight w:val="255"/>
        </w:trPr>
        <w:tc>
          <w:tcPr>
            <w:tcW w:w="1156" w:type="pct"/>
            <w:vMerge/>
            <w:tcBorders>
              <w:top w:val="nil"/>
              <w:left w:val="nil"/>
              <w:bottom w:val="single" w:sz="4" w:space="0" w:color="D9D9D9"/>
              <w:right w:val="nil"/>
            </w:tcBorders>
            <w:vAlign w:val="center"/>
            <w:hideMark/>
          </w:tcPr>
          <w:p w:rsidR="00EF735A" w:rsidRDefault="00EF735A" w:rsidP="006224D9">
            <w:pPr>
              <w:spacing w:before="0" w:after="0"/>
              <w:contextualSpacing/>
              <w:rPr>
                <w:rFonts w:ascii="Arial Narrow" w:hAnsi="Arial Narrow"/>
                <w:color w:val="000000"/>
                <w:kern w:val="0"/>
                <w:sz w:val="18"/>
                <w:szCs w:val="18"/>
                <w:lang w:val="en-US"/>
              </w:rPr>
            </w:pPr>
          </w:p>
        </w:tc>
        <w:tc>
          <w:tcPr>
            <w:tcW w:w="266" w:type="pct"/>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6,1</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5,6</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5,0</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4,9</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3.7</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3.0</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2.3</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2.2</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r>
      <w:tr w:rsidR="00EF735A" w:rsidRPr="003438A9" w:rsidTr="006224D9">
        <w:trPr>
          <w:trHeight w:val="255"/>
        </w:trPr>
        <w:tc>
          <w:tcPr>
            <w:tcW w:w="1156" w:type="pct"/>
            <w:vMerge w:val="restart"/>
            <w:tcBorders>
              <w:top w:val="single" w:sz="4" w:space="0" w:color="auto"/>
              <w:left w:val="nil"/>
              <w:bottom w:val="single" w:sz="4" w:space="0" w:color="000000"/>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lang w:val="en-US"/>
              </w:rPr>
            </w:pPr>
            <w:r>
              <w:rPr>
                <w:rFonts w:ascii="Arial Narrow" w:hAnsi="Arial Narrow"/>
                <w:color w:val="000000"/>
                <w:kern w:val="0"/>
                <w:sz w:val="18"/>
                <w:szCs w:val="18"/>
                <w:lang w:val="en-US"/>
              </w:rPr>
              <w:t>All items excluding energy. food. alcohol and tobacco</w:t>
            </w:r>
          </w:p>
        </w:tc>
        <w:tc>
          <w:tcPr>
            <w:tcW w:w="266" w:type="pct"/>
            <w:tcBorders>
              <w:top w:val="single" w:sz="4" w:space="0" w:color="auto"/>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4,8</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4,8</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4,1</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4,1</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3.4</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3.0</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2.8</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2.6</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2.2</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2.2</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r>
      <w:tr w:rsidR="00EF735A" w:rsidRPr="003438A9" w:rsidTr="006224D9">
        <w:trPr>
          <w:trHeight w:val="255"/>
        </w:trPr>
        <w:tc>
          <w:tcPr>
            <w:tcW w:w="1156" w:type="pct"/>
            <w:vMerge/>
            <w:tcBorders>
              <w:top w:val="single" w:sz="4" w:space="0" w:color="auto"/>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lang w:val="en-US"/>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4,9</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4,7</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4,0</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4,1</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3.3</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3.0</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2.6</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2.2</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2.2</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2.2</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r>
      <w:tr w:rsidR="00EF735A" w:rsidRPr="003438A9" w:rsidTr="006224D9">
        <w:trPr>
          <w:trHeight w:val="255"/>
        </w:trPr>
        <w:tc>
          <w:tcPr>
            <w:tcW w:w="1156" w:type="pct"/>
            <w:vMerge w:val="restart"/>
            <w:tcBorders>
              <w:top w:val="nil"/>
              <w:left w:val="nil"/>
              <w:bottom w:val="single" w:sz="4" w:space="0" w:color="000000"/>
              <w:right w:val="nil"/>
            </w:tcBorders>
            <w:shd w:val="clear" w:color="auto" w:fill="FFFFFF"/>
            <w:vAlign w:val="center"/>
            <w:hideMark/>
          </w:tcPr>
          <w:p w:rsidR="00EF735A" w:rsidRDefault="00EF735A" w:rsidP="006224D9">
            <w:pPr>
              <w:spacing w:before="0" w:after="0"/>
              <w:contextualSpacing/>
              <w:rPr>
                <w:rFonts w:ascii="Arial Narrow" w:hAnsi="Arial Narrow"/>
                <w:color w:val="000000"/>
                <w:kern w:val="0"/>
                <w:sz w:val="18"/>
                <w:szCs w:val="18"/>
              </w:rPr>
            </w:pPr>
            <w:r>
              <w:rPr>
                <w:rFonts w:ascii="Arial Narrow" w:hAnsi="Arial Narrow"/>
                <w:color w:val="000000"/>
                <w:kern w:val="0"/>
                <w:sz w:val="18"/>
                <w:szCs w:val="18"/>
              </w:rPr>
              <w:t>All items excluding energy</w:t>
            </w:r>
          </w:p>
        </w:tc>
        <w:tc>
          <w:tcPr>
            <w:tcW w:w="266" w:type="pct"/>
            <w:tcBorders>
              <w:top w:val="nil"/>
              <w:left w:val="nil"/>
              <w:bottom w:val="single" w:sz="4" w:space="0" w:color="auto"/>
              <w:right w:val="nil"/>
            </w:tcBorders>
            <w:shd w:val="clear" w:color="auto" w:fill="FFFFFF"/>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Flash</w:t>
            </w:r>
          </w:p>
        </w:tc>
        <w:tc>
          <w:tcPr>
            <w:tcW w:w="281"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6,2</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6,1</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5,3</w:t>
            </w:r>
          </w:p>
        </w:tc>
        <w:tc>
          <w:tcPr>
            <w:tcW w:w="279"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5,2</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4,6</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4.0</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2.9</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2.5</w:t>
            </w:r>
          </w:p>
        </w:tc>
        <w:tc>
          <w:tcPr>
            <w:tcW w:w="274"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2.3</w:t>
            </w:r>
          </w:p>
        </w:tc>
        <w:tc>
          <w:tcPr>
            <w:tcW w:w="272"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c>
          <w:tcPr>
            <w:tcW w:w="268" w:type="pct"/>
            <w:tcBorders>
              <w:top w:val="nil"/>
              <w:left w:val="nil"/>
              <w:bottom w:val="single" w:sz="4" w:space="0" w:color="auto"/>
              <w:right w:val="nil"/>
            </w:tcBorders>
            <w:shd w:val="clear" w:color="auto" w:fill="FFFFFF"/>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r>
      <w:tr w:rsidR="00EF735A" w:rsidRPr="003438A9" w:rsidTr="006224D9">
        <w:trPr>
          <w:trHeight w:val="255"/>
        </w:trPr>
        <w:tc>
          <w:tcPr>
            <w:tcW w:w="1156" w:type="pct"/>
            <w:vMerge/>
            <w:tcBorders>
              <w:top w:val="nil"/>
              <w:left w:val="nil"/>
              <w:bottom w:val="single" w:sz="4" w:space="0" w:color="000000"/>
              <w:right w:val="nil"/>
            </w:tcBorders>
            <w:vAlign w:val="center"/>
            <w:hideMark/>
          </w:tcPr>
          <w:p w:rsidR="00EF735A" w:rsidRDefault="00EF735A" w:rsidP="006224D9">
            <w:pPr>
              <w:spacing w:before="0" w:after="0"/>
              <w:contextualSpacing/>
              <w:rPr>
                <w:rFonts w:ascii="Arial Narrow" w:hAnsi="Arial Narrow"/>
                <w:color w:val="000000"/>
                <w:kern w:val="0"/>
                <w:sz w:val="18"/>
                <w:szCs w:val="18"/>
              </w:rPr>
            </w:pPr>
          </w:p>
        </w:tc>
        <w:tc>
          <w:tcPr>
            <w:tcW w:w="266" w:type="pct"/>
            <w:tcBorders>
              <w:top w:val="nil"/>
              <w:left w:val="nil"/>
              <w:bottom w:val="single" w:sz="4" w:space="0" w:color="auto"/>
              <w:right w:val="nil"/>
            </w:tcBorders>
            <w:shd w:val="clear" w:color="auto" w:fill="F7F7F7"/>
            <w:noWrap/>
            <w:vAlign w:val="center"/>
            <w:hideMark/>
          </w:tcPr>
          <w:p w:rsidR="00EF735A" w:rsidRDefault="00EF735A" w:rsidP="006224D9">
            <w:pPr>
              <w:spacing w:before="0" w:after="0"/>
              <w:contextualSpacing/>
              <w:jc w:val="center"/>
              <w:rPr>
                <w:rFonts w:ascii="Arial Narrow" w:hAnsi="Arial Narrow"/>
                <w:b/>
                <w:bCs/>
                <w:color w:val="000000"/>
                <w:kern w:val="0"/>
                <w:sz w:val="18"/>
                <w:szCs w:val="18"/>
              </w:rPr>
            </w:pPr>
            <w:r>
              <w:rPr>
                <w:rFonts w:ascii="Arial Narrow" w:hAnsi="Arial Narrow"/>
                <w:b/>
                <w:bCs/>
                <w:color w:val="000000"/>
                <w:kern w:val="0"/>
                <w:sz w:val="18"/>
                <w:szCs w:val="18"/>
              </w:rPr>
              <w:t>HICP</w:t>
            </w:r>
          </w:p>
        </w:tc>
        <w:tc>
          <w:tcPr>
            <w:tcW w:w="281"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6,2</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6,0</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5,2</w:t>
            </w:r>
          </w:p>
        </w:tc>
        <w:tc>
          <w:tcPr>
            <w:tcW w:w="279"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5,1</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4,5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sidRPr="0037581D">
              <w:rPr>
                <w:rFonts w:ascii="Arial Narrow" w:hAnsi="Arial Narrow"/>
                <w:color w:val="000000"/>
                <w:sz w:val="18"/>
                <w:szCs w:val="18"/>
              </w:rPr>
              <w:t>3.5</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3.4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2.8</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2.4</w:t>
            </w:r>
          </w:p>
        </w:tc>
        <w:tc>
          <w:tcPr>
            <w:tcW w:w="274"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2.3</w:t>
            </w:r>
          </w:p>
        </w:tc>
        <w:tc>
          <w:tcPr>
            <w:tcW w:w="272"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c>
          <w:tcPr>
            <w:tcW w:w="268" w:type="pct"/>
            <w:tcBorders>
              <w:top w:val="nil"/>
              <w:left w:val="nil"/>
              <w:bottom w:val="single" w:sz="4" w:space="0" w:color="auto"/>
              <w:right w:val="nil"/>
            </w:tcBorders>
            <w:shd w:val="clear" w:color="auto" w:fill="F7F7F7"/>
            <w:vAlign w:val="center"/>
          </w:tcPr>
          <w:p w:rsidR="00EF735A" w:rsidRPr="0037581D" w:rsidRDefault="00EF735A" w:rsidP="006224D9">
            <w:pPr>
              <w:widowControl/>
              <w:overflowPunct/>
              <w:autoSpaceDE/>
              <w:autoSpaceDN/>
              <w:adjustRightInd/>
              <w:spacing w:before="0" w:after="0"/>
              <w:jc w:val="right"/>
              <w:rPr>
                <w:rFonts w:ascii="Arial Narrow" w:hAnsi="Arial Narrow"/>
                <w:color w:val="000000"/>
                <w:sz w:val="18"/>
                <w:szCs w:val="18"/>
              </w:rPr>
            </w:pPr>
            <w:r>
              <w:rPr>
                <w:rFonts w:ascii="Arial Narrow" w:hAnsi="Arial Narrow"/>
                <w:color w:val="000000"/>
                <w:sz w:val="18"/>
                <w:szCs w:val="18"/>
              </w:rPr>
              <w:t>2.1</w:t>
            </w:r>
          </w:p>
        </w:tc>
      </w:tr>
    </w:tbl>
    <w:p w:rsidR="00EF735A" w:rsidRPr="00B73534" w:rsidRDefault="00EF735A" w:rsidP="00EF735A">
      <w:pPr>
        <w:spacing w:after="120"/>
        <w:ind w:right="-1"/>
        <w:jc w:val="both"/>
        <w:rPr>
          <w:rFonts w:ascii="Arial" w:hAnsi="Arial" w:cs="Arial"/>
          <w:color w:val="000000"/>
          <w:sz w:val="2"/>
          <w:lang w:val="en-US"/>
        </w:rPr>
      </w:pPr>
    </w:p>
    <w:p w:rsidR="00EF735A" w:rsidRPr="008F1A54" w:rsidRDefault="00EF735A" w:rsidP="00EF735A">
      <w:pPr>
        <w:spacing w:after="120"/>
        <w:ind w:right="-1"/>
        <w:jc w:val="both"/>
        <w:rPr>
          <w:rFonts w:ascii="Arial" w:hAnsi="Arial" w:cs="Arial"/>
          <w:color w:val="000000"/>
          <w:sz w:val="14"/>
          <w:lang w:val="en-US"/>
        </w:rPr>
      </w:pPr>
    </w:p>
    <w:p w:rsidR="00EF735A" w:rsidRDefault="00EF735A" w:rsidP="00EF735A">
      <w:pPr>
        <w:spacing w:after="120"/>
        <w:ind w:right="-1"/>
        <w:jc w:val="both"/>
        <w:rPr>
          <w:rFonts w:ascii="Arial" w:hAnsi="Arial" w:cs="Arial"/>
          <w:color w:val="000000"/>
          <w:lang w:val="en-US"/>
        </w:rPr>
      </w:pPr>
      <w:r>
        <w:rPr>
          <w:rFonts w:ascii="Arial" w:hAnsi="Arial" w:cs="Arial"/>
          <w:color w:val="000000"/>
          <w:lang w:val="en-US"/>
        </w:rPr>
        <w:lastRenderedPageBreak/>
        <w:t>The highest frequency of revisions is observed for Processed food, including alcohol and tobacco (13 months out of 13 months considered, due to the use in the flash estimate of scanner data referred to the prices of grocery products from the large scale retail trade distribution of one/two weeks compared to the three weeks included in the final index), for Unprocessed food (11 months out of 13), for Non energy industrial goods (8 months out of 13, mainly due to the seasonal sales dynamics of Clothing and footwear and to the availability for the flash estimate, for some durable goods, of the data referring to one or two weeks compared to the three included in the final index) and for Energy (6 months out of 13);</w:t>
      </w:r>
      <w:r w:rsidRPr="0065094A">
        <w:rPr>
          <w:rFonts w:ascii="Arial" w:hAnsi="Arial" w:cs="Arial"/>
          <w:color w:val="000000"/>
          <w:lang w:val="en-US"/>
        </w:rPr>
        <w:t xml:space="preserve"> </w:t>
      </w:r>
      <w:r>
        <w:rPr>
          <w:rFonts w:ascii="Arial" w:hAnsi="Arial" w:cs="Arial"/>
          <w:color w:val="000000"/>
          <w:lang w:val="en-US"/>
        </w:rPr>
        <w:t xml:space="preserve">in particular for these special aggregates the partial information available has a higher impact on the flash estimate that thus turns out to be less accurate. </w:t>
      </w:r>
    </w:p>
    <w:p w:rsidR="00EF735A" w:rsidRDefault="00EF735A" w:rsidP="00EF735A">
      <w:pPr>
        <w:jc w:val="both"/>
        <w:rPr>
          <w:rFonts w:ascii="Arial" w:hAnsi="Arial" w:cs="Arial"/>
          <w:color w:val="000000"/>
          <w:lang w:val="en-US"/>
        </w:rPr>
      </w:pPr>
      <w:r>
        <w:rPr>
          <w:rFonts w:ascii="Arial" w:hAnsi="Arial" w:cs="Arial"/>
          <w:color w:val="000000"/>
          <w:lang w:val="en-US"/>
        </w:rPr>
        <w:t>The Mean Absolute Deviation (MAD) provides another way to measure accuracy. It is calculated as the average of the differences in absolute value between the final HICP annual rates of change and the flash estimates over the last thirteen months. Figure 1 shows the MAD for the all-item index and the main special aggregates. Over the last thirteen months Processed food (including alcohol, tobacco) (0.254 percentage points), Unprocessed food (0.138 percentage points both) and Energy (0.100) recorded the highest MADs; Non energy industrial goods (0.077 percentage points) and Services (0.031 percentage points) recorded the smallest MADs.</w:t>
      </w:r>
      <w:r w:rsidRPr="00407EDA">
        <w:rPr>
          <w:rFonts w:ascii="Arial" w:hAnsi="Arial" w:cs="Arial"/>
          <w:color w:val="000000"/>
          <w:lang w:val="en-US"/>
        </w:rPr>
        <w:t xml:space="preserve"> </w:t>
      </w:r>
    </w:p>
    <w:p w:rsidR="00EF735A" w:rsidRDefault="00EF735A" w:rsidP="00EF735A">
      <w:pPr>
        <w:jc w:val="both"/>
        <w:rPr>
          <w:rFonts w:ascii="Arial" w:hAnsi="Arial" w:cs="Arial"/>
          <w:color w:val="000000"/>
          <w:lang w:val="en-US"/>
        </w:rPr>
      </w:pPr>
    </w:p>
    <w:p w:rsidR="00EF735A" w:rsidRDefault="00EF735A" w:rsidP="00EF735A">
      <w:pPr>
        <w:spacing w:before="120" w:after="0"/>
        <w:rPr>
          <w:rFonts w:ascii="Arial Narrow" w:hAnsi="Arial Narrow"/>
          <w:b/>
          <w:caps/>
          <w:color w:val="808080"/>
          <w:lang w:val="en-GB"/>
        </w:rPr>
      </w:pPr>
      <w:r>
        <w:rPr>
          <w:rFonts w:ascii="Arial Narrow" w:hAnsi="Arial Narrow" w:cs="Arial"/>
          <w:b/>
          <w:caps/>
          <w:color w:val="FF0000"/>
          <w:lang w:val="en-US"/>
        </w:rPr>
        <w:t xml:space="preserve">FIGURe 1. </w:t>
      </w:r>
      <w:r>
        <w:rPr>
          <w:rFonts w:ascii="Arial Narrow" w:hAnsi="Arial Narrow" w:cs="Arial"/>
          <w:b/>
          <w:caps/>
          <w:color w:val="5F5F5F"/>
          <w:lang w:val="en-US"/>
        </w:rPr>
        <w:t>mean absolute deviation between flash estimates and HICP annual rates.</w:t>
      </w:r>
      <w:r>
        <w:rPr>
          <w:rFonts w:ascii="Arial Narrow" w:hAnsi="Arial Narrow"/>
          <w:b/>
          <w:caps/>
          <w:color w:val="808080"/>
          <w:lang w:val="en-GB"/>
        </w:rPr>
        <w:t xml:space="preserve"> </w:t>
      </w:r>
    </w:p>
    <w:p w:rsidR="00EF735A" w:rsidRDefault="00EF735A" w:rsidP="00EF735A">
      <w:pPr>
        <w:pStyle w:val="001TitoGra"/>
        <w:spacing w:after="120" w:line="240" w:lineRule="auto"/>
        <w:ind w:right="-1"/>
        <w:jc w:val="both"/>
        <w:rPr>
          <w:b w:val="0"/>
          <w:kern w:val="0"/>
          <w:sz w:val="20"/>
          <w:szCs w:val="20"/>
          <w:lang w:val="en-US"/>
        </w:rPr>
      </w:pPr>
      <w:r>
        <w:rPr>
          <w:b w:val="0"/>
          <w:kern w:val="0"/>
          <w:sz w:val="20"/>
          <w:szCs w:val="20"/>
          <w:lang w:val="en-US"/>
        </w:rPr>
        <w:t>June</w:t>
      </w:r>
      <w:r w:rsidRPr="007D6D00">
        <w:rPr>
          <w:b w:val="0"/>
          <w:kern w:val="0"/>
          <w:sz w:val="20"/>
          <w:szCs w:val="20"/>
          <w:lang w:val="en-US"/>
        </w:rPr>
        <w:t xml:space="preserve"> </w:t>
      </w:r>
      <w:r>
        <w:rPr>
          <w:b w:val="0"/>
          <w:kern w:val="0"/>
          <w:sz w:val="20"/>
          <w:szCs w:val="20"/>
          <w:lang w:val="en-US"/>
        </w:rPr>
        <w:t>2023 – June</w:t>
      </w:r>
      <w:r w:rsidRPr="007D6D00">
        <w:rPr>
          <w:b w:val="0"/>
          <w:kern w:val="0"/>
          <w:sz w:val="20"/>
          <w:szCs w:val="20"/>
          <w:lang w:val="en-US"/>
        </w:rPr>
        <w:t xml:space="preserve"> </w:t>
      </w:r>
      <w:r w:rsidRPr="00C10A33">
        <w:rPr>
          <w:b w:val="0"/>
          <w:kern w:val="0"/>
          <w:sz w:val="20"/>
          <w:szCs w:val="20"/>
          <w:lang w:val="en-US"/>
        </w:rPr>
        <w:t>202</w:t>
      </w:r>
      <w:r>
        <w:rPr>
          <w:b w:val="0"/>
          <w:kern w:val="0"/>
          <w:sz w:val="20"/>
          <w:szCs w:val="20"/>
          <w:lang w:val="en-US"/>
        </w:rPr>
        <w:t>4, percentage points</w:t>
      </w:r>
    </w:p>
    <w:p w:rsidR="00EF735A" w:rsidRPr="00CF5B75" w:rsidRDefault="00EF735A" w:rsidP="00EF735A">
      <w:pPr>
        <w:spacing w:after="120"/>
        <w:ind w:right="-1"/>
        <w:jc w:val="both"/>
        <w:rPr>
          <w:rFonts w:ascii="Arial" w:hAnsi="Arial" w:cs="Arial"/>
          <w:lang w:val="en-US"/>
        </w:rPr>
      </w:pPr>
      <w:r>
        <w:rPr>
          <w:rFonts w:ascii="Arial" w:hAnsi="Arial" w:cs="Arial"/>
          <w:noProof/>
        </w:rPr>
        <w:drawing>
          <wp:inline distT="0" distB="0" distL="0" distR="0" wp14:anchorId="634D9F67" wp14:editId="33E92A61">
            <wp:extent cx="6657340" cy="2158365"/>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7340" cy="2158365"/>
                    </a:xfrm>
                    <a:prstGeom prst="rect">
                      <a:avLst/>
                    </a:prstGeom>
                    <a:noFill/>
                  </pic:spPr>
                </pic:pic>
              </a:graphicData>
            </a:graphic>
          </wp:inline>
        </w:drawing>
      </w:r>
    </w:p>
    <w:p w:rsidR="00EF735A" w:rsidRDefault="00EF735A" w:rsidP="00EF735A">
      <w:pPr>
        <w:spacing w:after="120"/>
        <w:ind w:right="-1"/>
        <w:jc w:val="both"/>
        <w:rPr>
          <w:rFonts w:ascii="Arial" w:hAnsi="Arial"/>
          <w:b/>
          <w:sz w:val="22"/>
          <w:szCs w:val="22"/>
          <w:lang w:val="en-US"/>
        </w:rPr>
      </w:pPr>
    </w:p>
    <w:p w:rsidR="004E4021" w:rsidRPr="008407AF" w:rsidRDefault="004E4021" w:rsidP="004E4021">
      <w:pPr>
        <w:spacing w:after="120"/>
        <w:ind w:right="-1"/>
        <w:jc w:val="both"/>
        <w:rPr>
          <w:rFonts w:ascii="Arial" w:hAnsi="Arial" w:cs="Arial"/>
          <w:b/>
          <w:sz w:val="22"/>
          <w:szCs w:val="22"/>
          <w:lang w:val="en-US"/>
        </w:rPr>
      </w:pPr>
      <w:r w:rsidRPr="008407AF">
        <w:rPr>
          <w:rFonts w:ascii="Arial" w:hAnsi="Arial"/>
          <w:b/>
          <w:sz w:val="22"/>
          <w:szCs w:val="22"/>
          <w:lang w:val="en-US"/>
        </w:rPr>
        <w:t>Dissemination: timing and database</w:t>
      </w:r>
    </w:p>
    <w:p w:rsidR="004E4021" w:rsidRPr="00802661" w:rsidRDefault="004E4021" w:rsidP="004E4021">
      <w:pPr>
        <w:spacing w:after="120"/>
        <w:ind w:right="-1"/>
        <w:jc w:val="both"/>
        <w:rPr>
          <w:rFonts w:ascii="Arial" w:hAnsi="Arial" w:cs="Arial"/>
          <w:color w:val="000000"/>
          <w:lang w:val="en-US"/>
        </w:rPr>
      </w:pPr>
      <w:r w:rsidRPr="00802661">
        <w:rPr>
          <w:rFonts w:ascii="Arial" w:hAnsi="Arial"/>
          <w:color w:val="000000"/>
          <w:lang w:val="en-US"/>
        </w:rPr>
        <w:t>Consumer prices indices dissemination by Istat occurs in two successive dates according to a different release method of the data: flash estimate and definitive estimate.</w:t>
      </w:r>
    </w:p>
    <w:p w:rsidR="004E4021" w:rsidRPr="00802661" w:rsidRDefault="004E4021" w:rsidP="004E4021">
      <w:pPr>
        <w:spacing w:after="120"/>
        <w:ind w:right="-1"/>
        <w:jc w:val="both"/>
        <w:rPr>
          <w:rFonts w:ascii="Arial" w:hAnsi="Arial" w:cs="Arial"/>
          <w:color w:val="000000"/>
          <w:lang w:val="en-US"/>
        </w:rPr>
      </w:pPr>
      <w:r w:rsidRPr="00802661">
        <w:rPr>
          <w:rFonts w:ascii="Arial" w:hAnsi="Arial"/>
          <w:color w:val="000000"/>
          <w:lang w:val="en-US"/>
        </w:rPr>
        <w:t xml:space="preserve">The dissemination of flash estimate of the NIC indices (general, by expenditure division, by product type and by purchase frequency) and the (general) HICP index occurs at the end of the reference month, while that one of the definitive data of the indices, NIC and HICP, occurs no later than the middle of the month following the reference month. The publication times are established by a </w:t>
      </w:r>
      <w:hyperlink r:id="rId29" w:history="1">
        <w:r w:rsidRPr="00802661">
          <w:rPr>
            <w:rStyle w:val="Collegamentoipertestuale"/>
            <w:rFonts w:ascii="Arial" w:hAnsi="Arial" w:cs="Arial"/>
            <w:kern w:val="0"/>
            <w:lang w:val="en-US"/>
          </w:rPr>
          <w:t>https://www.istat.it/it/informazioni-e-servizi/per-i-giornalisti/appuntamenti/calendario-diffusioni-ed-eventi</w:t>
        </w:r>
      </w:hyperlink>
      <w:r w:rsidRPr="00802661">
        <w:rPr>
          <w:rFonts w:ascii="Arial" w:hAnsi="Arial"/>
          <w:color w:val="000000"/>
          <w:lang w:val="en-US"/>
        </w:rPr>
        <w:t xml:space="preserve"> </w:t>
      </w:r>
      <w:hyperlink r:id="rId30" w:history="1"/>
      <w:r w:rsidRPr="00802661">
        <w:rPr>
          <w:rFonts w:ascii="Arial" w:hAnsi="Arial"/>
          <w:color w:val="000000"/>
          <w:lang w:val="en-US"/>
        </w:rPr>
        <w:t>agreed upon with Eurostat, in the month of December of each year, for the next year, and according to the dissemination standards (SDDS – Special Data Dissemination Standard) defined by the International Monetary Fund.</w:t>
      </w:r>
    </w:p>
    <w:p w:rsidR="004E4021" w:rsidRPr="00802661" w:rsidRDefault="004E4021" w:rsidP="004E4021">
      <w:pPr>
        <w:spacing w:after="120"/>
        <w:ind w:right="-1"/>
        <w:jc w:val="both"/>
        <w:rPr>
          <w:rFonts w:ascii="Arial" w:hAnsi="Arial"/>
          <w:color w:val="000000"/>
          <w:lang w:val="en-GB"/>
        </w:rPr>
      </w:pPr>
      <w:r w:rsidRPr="00802661">
        <w:rPr>
          <w:rFonts w:ascii="Arial" w:hAnsi="Arial"/>
          <w:color w:val="000000"/>
          <w:lang w:val="en-GB"/>
        </w:rPr>
        <w:t>Starting from the publication of the data of January 2019, the direct dissemination of the municipal indices of consumer prices is carried out by the authorized municipalities simultaneously with the dissemination of the definitive indexes by Istat.</w:t>
      </w:r>
    </w:p>
    <w:p w:rsidR="004E4021" w:rsidRPr="00802661" w:rsidRDefault="004E4021" w:rsidP="004E4021">
      <w:pPr>
        <w:spacing w:after="120"/>
        <w:ind w:right="-1"/>
        <w:jc w:val="both"/>
        <w:rPr>
          <w:rFonts w:ascii="Arial" w:hAnsi="Arial" w:cs="Arial"/>
          <w:color w:val="000000"/>
          <w:lang w:val="en-US"/>
        </w:rPr>
      </w:pPr>
      <w:r w:rsidRPr="00802661">
        <w:rPr>
          <w:rFonts w:ascii="Arial" w:hAnsi="Arial"/>
          <w:color w:val="000000"/>
          <w:lang w:val="en-US"/>
        </w:rPr>
        <w:t xml:space="preserve">The indices, for both flash and definitive estimates, are issued through the “Consumer prices index” press release on the Istat website at </w:t>
      </w:r>
      <w:r w:rsidRPr="00802661">
        <w:rPr>
          <w:rStyle w:val="Collegamentoipertestuale"/>
          <w:rFonts w:ascii="Arial" w:hAnsi="Arial"/>
          <w:lang w:val="en-US"/>
        </w:rPr>
        <w:t>https://www.istat.it/en/archivio/consumer+prices</w:t>
      </w:r>
      <w:hyperlink r:id="rId31" w:history="1"/>
      <w:r w:rsidRPr="00802661">
        <w:rPr>
          <w:rFonts w:ascii="Arial" w:hAnsi="Arial"/>
          <w:color w:val="000000"/>
          <w:lang w:val="en-US"/>
        </w:rPr>
        <w:t>.</w:t>
      </w:r>
    </w:p>
    <w:p w:rsidR="004E4021" w:rsidRPr="00802661" w:rsidRDefault="004E4021" w:rsidP="004E4021">
      <w:pPr>
        <w:spacing w:after="120"/>
        <w:ind w:right="-1"/>
        <w:jc w:val="both"/>
        <w:rPr>
          <w:rFonts w:ascii="Arial" w:hAnsi="Arial"/>
          <w:color w:val="000000"/>
          <w:lang w:val="en-US"/>
        </w:rPr>
      </w:pPr>
      <w:r w:rsidRPr="00802661">
        <w:rPr>
          <w:rFonts w:ascii="Arial" w:hAnsi="Arial"/>
          <w:color w:val="000000"/>
          <w:lang w:val="en-US"/>
        </w:rPr>
        <w:t xml:space="preserve">The series of the updated indices are published, in conjunction with the issue of the press release, on the </w:t>
      </w:r>
      <w:hyperlink r:id="rId32" w:history="1">
        <w:r w:rsidRPr="00802661">
          <w:rPr>
            <w:rStyle w:val="Collegamentoipertestuale"/>
            <w:rFonts w:ascii="Arial" w:hAnsi="Arial"/>
            <w:lang w:val="en-US"/>
          </w:rPr>
          <w:t>Istat data warehouse</w:t>
        </w:r>
      </w:hyperlink>
      <w:r w:rsidRPr="00802661">
        <w:rPr>
          <w:rFonts w:ascii="Arial" w:hAnsi="Arial"/>
          <w:color w:val="000000"/>
          <w:lang w:val="en-US"/>
        </w:rPr>
        <w:t xml:space="preserve"> within the theme Prices - Consumer prices. Together with the monthly indices, the short-term and trend percentage variations, the average annual indices, the average annual variations and the annually calculated weights are issued. The indices at various levels of aggregation and for different territorial areas that have had a share of imputations higher than 50% (in terms of missing prices and / or weight) can be identified with the flag “i” (imputed data).</w:t>
      </w:r>
    </w:p>
    <w:p w:rsidR="004E4021" w:rsidRDefault="004E4021" w:rsidP="004E4021">
      <w:pPr>
        <w:spacing w:after="120"/>
        <w:ind w:right="-1"/>
        <w:jc w:val="both"/>
        <w:rPr>
          <w:rFonts w:ascii="Arial" w:hAnsi="Arial"/>
          <w:lang w:val="en-US"/>
        </w:rPr>
      </w:pPr>
    </w:p>
    <w:p w:rsidR="0095101E" w:rsidRDefault="0095101E" w:rsidP="004E4021">
      <w:pPr>
        <w:spacing w:after="120"/>
        <w:ind w:right="-1"/>
        <w:jc w:val="both"/>
        <w:rPr>
          <w:rFonts w:ascii="Arial" w:hAnsi="Arial"/>
          <w:lang w:val="en-US"/>
        </w:rPr>
      </w:pPr>
    </w:p>
    <w:p w:rsidR="004E4021" w:rsidRPr="00802661" w:rsidRDefault="004E4021" w:rsidP="004E4021">
      <w:pPr>
        <w:spacing w:after="120"/>
        <w:ind w:right="-1"/>
        <w:jc w:val="both"/>
        <w:rPr>
          <w:rFonts w:ascii="Arial" w:hAnsi="Arial"/>
          <w:lang w:val="en-US"/>
        </w:rPr>
      </w:pPr>
      <w:r w:rsidRPr="00802661">
        <w:rPr>
          <w:rFonts w:ascii="Arial" w:hAnsi="Arial"/>
          <w:lang w:val="en-US"/>
        </w:rPr>
        <w:lastRenderedPageBreak/>
        <w:t xml:space="preserve">Information on the consumer price indices is available in on the </w:t>
      </w:r>
      <w:hyperlink r:id="rId33" w:history="1">
        <w:r w:rsidRPr="00802661">
          <w:rPr>
            <w:rStyle w:val="Collegamentoipertestuale"/>
            <w:rFonts w:ascii="Arial" w:hAnsi="Arial"/>
            <w:lang w:val="en-US"/>
          </w:rPr>
          <w:t>EconomicTrends.Stat database</w:t>
        </w:r>
      </w:hyperlink>
      <w:r w:rsidRPr="00802661">
        <w:rPr>
          <w:rFonts w:ascii="Arial" w:hAnsi="Arial"/>
          <w:lang w:val="en-US"/>
        </w:rPr>
        <w:t>, that collects and organizes the short-term statistics produced by Istat, and offers itself as a study tool for policy makers, social workers, scholars and citizens.</w:t>
      </w:r>
    </w:p>
    <w:p w:rsidR="004E4021" w:rsidRPr="00802661" w:rsidRDefault="004E4021" w:rsidP="004E4021">
      <w:pPr>
        <w:spacing w:after="120"/>
        <w:ind w:right="-1"/>
        <w:jc w:val="both"/>
        <w:rPr>
          <w:rFonts w:ascii="Arial" w:hAnsi="Arial"/>
          <w:color w:val="000000"/>
          <w:lang w:val="en-US"/>
        </w:rPr>
      </w:pPr>
      <w:r w:rsidRPr="00802661">
        <w:rPr>
          <w:rFonts w:ascii="Arial" w:hAnsi="Arial"/>
          <w:color w:val="000000"/>
          <w:lang w:val="en-US"/>
        </w:rPr>
        <w:t xml:space="preserve">Information on the historic series of all indices, beginning from 1861 to 2015, is available on the Istat website at </w:t>
      </w:r>
      <w:hyperlink r:id="rId34" w:history="1">
        <w:r w:rsidRPr="00802661">
          <w:rPr>
            <w:rStyle w:val="Collegamentoipertestuale"/>
            <w:rFonts w:ascii="Arial" w:hAnsi="Arial"/>
            <w:lang w:val="en-US"/>
          </w:rPr>
          <w:t>Time Series</w:t>
        </w:r>
      </w:hyperlink>
      <w:r w:rsidRPr="00802661">
        <w:rPr>
          <w:rFonts w:ascii="Arial" w:hAnsi="Arial"/>
          <w:color w:val="000000"/>
          <w:lang w:val="en-US"/>
        </w:rPr>
        <w:t>.</w:t>
      </w:r>
    </w:p>
    <w:p w:rsidR="004E4021" w:rsidRPr="00802661" w:rsidRDefault="004E4021" w:rsidP="004E4021">
      <w:pPr>
        <w:spacing w:after="120"/>
        <w:ind w:right="-1"/>
        <w:jc w:val="both"/>
        <w:rPr>
          <w:rFonts w:ascii="Arial" w:hAnsi="Arial"/>
          <w:color w:val="000000"/>
          <w:lang w:val="en-US"/>
        </w:rPr>
      </w:pPr>
      <w:r w:rsidRPr="00802661">
        <w:rPr>
          <w:rFonts w:ascii="Arial" w:hAnsi="Arial"/>
          <w:color w:val="000000"/>
          <w:lang w:val="en-US"/>
        </w:rPr>
        <w:t>Summary data and studies on consumer prices and on the basket of goods and services are in addition contained in some editorial publications issued by Istat annually, such as the Statistical Yearbook, the Annual Report and publication Noi Italia.</w:t>
      </w:r>
    </w:p>
    <w:p w:rsidR="004E4021" w:rsidRPr="00802661" w:rsidRDefault="004E4021" w:rsidP="004E4021">
      <w:pPr>
        <w:spacing w:after="120"/>
        <w:ind w:right="-1"/>
        <w:jc w:val="both"/>
        <w:rPr>
          <w:rFonts w:ascii="Arial" w:hAnsi="Arial"/>
          <w:color w:val="000000"/>
          <w:lang w:val="en-US"/>
        </w:rPr>
      </w:pPr>
      <w:r w:rsidRPr="00802661">
        <w:rPr>
          <w:rFonts w:ascii="Arial" w:hAnsi="Arial"/>
          <w:lang w:val="en-US"/>
        </w:rPr>
        <w:t>In compliance with European Regulation No. 792/2016, the data of the survey on consumer prices is transmitted to Eurostat twice per month.</w:t>
      </w:r>
      <w:r w:rsidRPr="00802661">
        <w:rPr>
          <w:rFonts w:ascii="Arial" w:hAnsi="Arial"/>
          <w:color w:val="000000"/>
          <w:lang w:val="en-US"/>
        </w:rPr>
        <w:t xml:space="preserve"> The main indicators, archived in the Eurostat database, are accessible at </w:t>
      </w:r>
      <w:hyperlink r:id="rId35" w:history="1">
        <w:r w:rsidRPr="00802661">
          <w:rPr>
            <w:rStyle w:val="Collegamentoipertestuale"/>
            <w:rFonts w:ascii="Arial" w:hAnsi="Arial"/>
            <w:lang w:val="en-US"/>
          </w:rPr>
          <w:t>http://ec.europa.eu/eurostat/data/database</w:t>
        </w:r>
      </w:hyperlink>
      <w:r w:rsidRPr="00802661">
        <w:rPr>
          <w:rFonts w:ascii="Arial" w:hAnsi="Arial"/>
          <w:color w:val="000000"/>
          <w:lang w:val="en-US"/>
        </w:rPr>
        <w:t xml:space="preserve"> (Theme “</w:t>
      </w:r>
      <w:r w:rsidRPr="00802661">
        <w:rPr>
          <w:rFonts w:ascii="Arial" w:hAnsi="Arial"/>
          <w:i/>
          <w:iCs/>
          <w:color w:val="000000"/>
          <w:lang w:val="en-US"/>
        </w:rPr>
        <w:t>Economy and finance</w:t>
      </w:r>
      <w:r w:rsidRPr="00802661">
        <w:rPr>
          <w:rFonts w:ascii="Arial" w:hAnsi="Arial"/>
          <w:color w:val="000000"/>
          <w:lang w:val="en-US"/>
        </w:rPr>
        <w:t>”, topic “</w:t>
      </w:r>
      <w:r w:rsidRPr="00802661">
        <w:rPr>
          <w:rFonts w:ascii="Arial" w:hAnsi="Arial"/>
          <w:i/>
          <w:iCs/>
          <w:color w:val="000000"/>
          <w:lang w:val="en-US"/>
        </w:rPr>
        <w:t>Prices</w:t>
      </w:r>
      <w:r w:rsidRPr="00802661">
        <w:rPr>
          <w:rFonts w:ascii="Arial" w:hAnsi="Arial"/>
          <w:color w:val="000000"/>
          <w:lang w:val="en-US"/>
        </w:rPr>
        <w:t>”).</w:t>
      </w:r>
    </w:p>
    <w:p w:rsidR="004E4021" w:rsidRDefault="004E4021" w:rsidP="004E4021">
      <w:pPr>
        <w:spacing w:after="120"/>
        <w:ind w:right="-1"/>
        <w:jc w:val="both"/>
        <w:rPr>
          <w:rFonts w:ascii="Arial" w:hAnsi="Arial"/>
          <w:color w:val="000000"/>
          <w:lang w:val="en-US"/>
        </w:rPr>
      </w:pPr>
    </w:p>
    <w:p w:rsidR="002D2CAD" w:rsidRPr="00E73B66" w:rsidRDefault="002D2CAD" w:rsidP="002D2CAD">
      <w:pPr>
        <w:widowControl/>
        <w:overflowPunct/>
        <w:spacing w:before="0" w:after="0"/>
        <w:jc w:val="both"/>
        <w:rPr>
          <w:rFonts w:ascii="Arial" w:hAnsi="Arial" w:cs="Arial"/>
          <w:lang w:val="en-US"/>
        </w:rPr>
      </w:pPr>
    </w:p>
    <w:p w:rsidR="002D2CAD" w:rsidRPr="00E73B66" w:rsidRDefault="002D2CAD" w:rsidP="002D2CAD">
      <w:pPr>
        <w:widowControl/>
        <w:overflowPunct/>
        <w:spacing w:before="0" w:after="0"/>
        <w:jc w:val="both"/>
        <w:rPr>
          <w:rFonts w:ascii="Arial" w:hAnsi="Arial" w:cs="Arial"/>
          <w:lang w:val="en-US"/>
        </w:rPr>
      </w:pPr>
    </w:p>
    <w:p w:rsidR="00AA06D5" w:rsidRPr="00E73B66" w:rsidRDefault="00AA06D5" w:rsidP="00AA06D5">
      <w:pPr>
        <w:spacing w:after="120"/>
        <w:ind w:right="-1"/>
        <w:jc w:val="both"/>
        <w:rPr>
          <w:rFonts w:ascii="Arial" w:hAnsi="Arial"/>
          <w:color w:val="000000"/>
          <w:lang w:val="en-US"/>
        </w:rPr>
      </w:pPr>
    </w:p>
    <w:p w:rsidR="00AA06D5" w:rsidRDefault="00AA06D5" w:rsidP="00AA06D5">
      <w:pPr>
        <w:widowControl/>
        <w:overflowPunct/>
        <w:spacing w:before="0" w:after="0"/>
        <w:jc w:val="both"/>
        <w:rPr>
          <w:rFonts w:ascii="Arial"/>
          <w:color w:val="CD232E"/>
          <w:spacing w:val="-1"/>
          <w:sz w:val="36"/>
          <w:lang w:val="en-US"/>
        </w:rPr>
        <w:sectPr w:rsidR="00AA06D5" w:rsidSect="00F87BB0">
          <w:headerReference w:type="default" r:id="rId36"/>
          <w:pgSz w:w="11907" w:h="16840" w:code="9"/>
          <w:pgMar w:top="1537" w:right="851" w:bottom="680" w:left="851" w:header="567" w:footer="340" w:gutter="0"/>
          <w:cols w:space="720"/>
          <w:noEndnote/>
          <w:docGrid w:linePitch="272"/>
        </w:sectPr>
      </w:pPr>
      <w:r w:rsidRPr="00AB2420">
        <w:rPr>
          <w:rFonts w:ascii="Arial"/>
          <w:color w:val="CD232E"/>
          <w:spacing w:val="-1"/>
          <w:sz w:val="36"/>
          <w:lang w:val="en-US"/>
        </w:rPr>
        <w:t>For technical and methodological information</w:t>
      </w:r>
    </w:p>
    <w:p w:rsidR="00AA06D5" w:rsidRPr="00AB2420" w:rsidRDefault="00AA06D5" w:rsidP="00AA06D5">
      <w:pPr>
        <w:widowControl/>
        <w:overflowPunct/>
        <w:spacing w:before="60" w:after="60"/>
        <w:jc w:val="both"/>
        <w:rPr>
          <w:rFonts w:ascii="Arial" w:hAnsi="Arial" w:cs="Arial"/>
          <w:color w:val="000000"/>
          <w:kern w:val="0"/>
          <w:lang w:val="en-US"/>
        </w:rPr>
      </w:pPr>
    </w:p>
    <w:p w:rsidR="00AA06D5" w:rsidRPr="007060C8" w:rsidRDefault="00AA06D5" w:rsidP="00AA06D5">
      <w:pPr>
        <w:pStyle w:val="Titolo3"/>
        <w:spacing w:before="60"/>
        <w:rPr>
          <w:color w:val="CD232E"/>
          <w:spacing w:val="-1"/>
          <w:sz w:val="22"/>
          <w:lang w:val="en-US"/>
        </w:rPr>
        <w:sectPr w:rsidR="00AA06D5" w:rsidRPr="007060C8" w:rsidSect="00F87BB0">
          <w:type w:val="continuous"/>
          <w:pgSz w:w="11907" w:h="16840" w:code="9"/>
          <w:pgMar w:top="1534" w:right="851" w:bottom="680" w:left="851" w:header="567" w:footer="340" w:gutter="0"/>
          <w:cols w:space="720"/>
          <w:noEndnote/>
          <w:docGrid w:linePitch="272"/>
        </w:sectPr>
      </w:pPr>
    </w:p>
    <w:p w:rsidR="00AA06D5" w:rsidRPr="007060C8" w:rsidRDefault="00AA06D5" w:rsidP="00AA06D5">
      <w:pPr>
        <w:pStyle w:val="Titolo3"/>
        <w:spacing w:before="60"/>
        <w:rPr>
          <w:color w:val="CD232E"/>
          <w:spacing w:val="-1"/>
          <w:sz w:val="22"/>
          <w:szCs w:val="22"/>
          <w:lang w:val="en-US"/>
        </w:rPr>
      </w:pPr>
    </w:p>
    <w:p w:rsidR="00AA06D5" w:rsidRPr="003D4EFA" w:rsidRDefault="002D2CAD" w:rsidP="00AA06D5">
      <w:pPr>
        <w:pStyle w:val="Titolo3"/>
        <w:spacing w:before="60"/>
        <w:rPr>
          <w:rFonts w:eastAsia="Arial"/>
          <w:b w:val="0"/>
          <w:bCs w:val="0"/>
          <w:sz w:val="22"/>
          <w:szCs w:val="22"/>
        </w:rPr>
      </w:pPr>
      <w:r>
        <w:rPr>
          <w:color w:val="CD232E"/>
          <w:spacing w:val="-1"/>
          <w:sz w:val="22"/>
          <w:szCs w:val="22"/>
        </w:rPr>
        <w:t>Manuela Morricone</w:t>
      </w:r>
    </w:p>
    <w:p w:rsidR="00AA06D5" w:rsidRPr="003D4EFA" w:rsidRDefault="00AA06D5" w:rsidP="00AA06D5">
      <w:pPr>
        <w:spacing w:before="60" w:after="60"/>
        <w:rPr>
          <w:rFonts w:ascii="Arial" w:eastAsia="Arial" w:hAnsi="Arial" w:cs="Arial"/>
          <w:sz w:val="22"/>
          <w:szCs w:val="22"/>
        </w:rPr>
      </w:pPr>
      <w:r w:rsidRPr="003D4EFA">
        <w:rPr>
          <w:rFonts w:ascii="Arial" w:hAnsi="Arial" w:cs="Arial"/>
          <w:sz w:val="22"/>
          <w:szCs w:val="22"/>
        </w:rPr>
        <w:t>tel.</w:t>
      </w:r>
      <w:r w:rsidRPr="003D4EFA">
        <w:rPr>
          <w:rFonts w:ascii="Arial" w:hAnsi="Arial" w:cs="Arial"/>
          <w:spacing w:val="-1"/>
          <w:sz w:val="22"/>
          <w:szCs w:val="22"/>
        </w:rPr>
        <w:t xml:space="preserve"> +39</w:t>
      </w:r>
      <w:r w:rsidRPr="003D4EFA">
        <w:rPr>
          <w:rFonts w:ascii="Arial" w:hAnsi="Arial" w:cs="Arial"/>
          <w:spacing w:val="-3"/>
          <w:sz w:val="22"/>
          <w:szCs w:val="22"/>
        </w:rPr>
        <w:t xml:space="preserve"> </w:t>
      </w:r>
      <w:r w:rsidRPr="003D4EFA">
        <w:rPr>
          <w:rFonts w:ascii="Arial" w:hAnsi="Arial" w:cs="Arial"/>
          <w:sz w:val="22"/>
          <w:szCs w:val="22"/>
        </w:rPr>
        <w:t>06</w:t>
      </w:r>
      <w:r w:rsidRPr="003D4EFA">
        <w:rPr>
          <w:rFonts w:ascii="Arial" w:hAnsi="Arial" w:cs="Arial"/>
          <w:spacing w:val="-3"/>
          <w:sz w:val="22"/>
          <w:szCs w:val="22"/>
        </w:rPr>
        <w:t xml:space="preserve"> </w:t>
      </w:r>
      <w:r w:rsidR="002D2CAD">
        <w:rPr>
          <w:rFonts w:ascii="Arial" w:hAnsi="Arial" w:cs="Arial"/>
          <w:spacing w:val="-1"/>
          <w:sz w:val="22"/>
          <w:szCs w:val="22"/>
        </w:rPr>
        <w:t>4673 2181</w:t>
      </w:r>
    </w:p>
    <w:p w:rsidR="00AA06D5" w:rsidRPr="002D2CAD" w:rsidRDefault="00C8186C" w:rsidP="00AA06D5">
      <w:pPr>
        <w:spacing w:before="60" w:after="60"/>
        <w:rPr>
          <w:rFonts w:ascii="Arial" w:eastAsia="Arial" w:hAnsi="Arial" w:cs="Arial"/>
          <w:sz w:val="22"/>
          <w:szCs w:val="22"/>
        </w:rPr>
      </w:pPr>
      <w:hyperlink r:id="rId37" w:history="1">
        <w:r w:rsidR="002D2CAD" w:rsidRPr="002D2CAD">
          <w:rPr>
            <w:rStyle w:val="Collegamentoipertestuale"/>
            <w:rFonts w:ascii="Arial"/>
            <w:spacing w:val="-1"/>
            <w:sz w:val="22"/>
            <w:szCs w:val="22"/>
            <w:u w:color="0000FF"/>
          </w:rPr>
          <w:t>manuela</w:t>
        </w:r>
        <w:r w:rsidR="002D2CAD" w:rsidRPr="002D2CAD">
          <w:rPr>
            <w:rStyle w:val="Collegamentoipertestuale"/>
            <w:sz w:val="22"/>
            <w:szCs w:val="22"/>
          </w:rPr>
          <w:t>.</w:t>
        </w:r>
        <w:r w:rsidR="002D2CAD" w:rsidRPr="002D2CAD">
          <w:rPr>
            <w:rStyle w:val="Collegamentoipertestuale"/>
            <w:rFonts w:ascii="Arial"/>
            <w:spacing w:val="-1"/>
            <w:sz w:val="22"/>
            <w:szCs w:val="22"/>
            <w:u w:color="0000FF"/>
          </w:rPr>
          <w:t>morricone</w:t>
        </w:r>
        <w:r w:rsidR="002D2CAD" w:rsidRPr="002D2CAD">
          <w:rPr>
            <w:rStyle w:val="Collegamentoipertestuale"/>
            <w:rFonts w:ascii="Arial" w:hAnsi="Arial" w:cs="Arial"/>
            <w:spacing w:val="-1"/>
            <w:sz w:val="22"/>
            <w:szCs w:val="22"/>
            <w:u w:color="0000FF"/>
          </w:rPr>
          <w:t>@istat.it</w:t>
        </w:r>
      </w:hyperlink>
    </w:p>
    <w:p w:rsidR="00AA06D5" w:rsidRPr="003D4EFA" w:rsidRDefault="00AA06D5" w:rsidP="00AA06D5">
      <w:pPr>
        <w:spacing w:before="60" w:after="60"/>
        <w:rPr>
          <w:rFonts w:ascii="Arial" w:hAnsi="Arial" w:cs="Arial"/>
          <w:b/>
          <w:color w:val="CD232E"/>
          <w:spacing w:val="-1"/>
          <w:sz w:val="22"/>
          <w:szCs w:val="22"/>
        </w:rPr>
      </w:pPr>
      <w:r>
        <w:br w:type="column"/>
      </w:r>
    </w:p>
    <w:p w:rsidR="00AA06D5" w:rsidRPr="003D4EFA" w:rsidRDefault="00AA06D5" w:rsidP="00AA06D5">
      <w:pPr>
        <w:spacing w:before="60" w:after="60"/>
        <w:rPr>
          <w:rFonts w:ascii="Arial" w:eastAsia="Arial" w:hAnsi="Arial" w:cs="Arial"/>
          <w:sz w:val="22"/>
          <w:szCs w:val="22"/>
        </w:rPr>
      </w:pPr>
      <w:r>
        <w:rPr>
          <w:rFonts w:ascii="Arial" w:hAnsi="Arial" w:cs="Arial"/>
          <w:b/>
          <w:color w:val="CD232E"/>
          <w:spacing w:val="-1"/>
          <w:sz w:val="22"/>
          <w:szCs w:val="22"/>
        </w:rPr>
        <w:t>Alessandro Brunetti</w:t>
      </w:r>
    </w:p>
    <w:p w:rsidR="00AA06D5" w:rsidRPr="006938C7" w:rsidRDefault="00AA06D5" w:rsidP="00AA06D5">
      <w:pPr>
        <w:spacing w:before="60" w:after="60"/>
        <w:rPr>
          <w:rFonts w:ascii="Arial" w:eastAsia="Arial" w:hAnsi="Arial" w:cs="Arial"/>
          <w:sz w:val="22"/>
          <w:szCs w:val="22"/>
        </w:rPr>
      </w:pPr>
      <w:r w:rsidRPr="006938C7">
        <w:rPr>
          <w:rFonts w:ascii="Arial" w:hAnsi="Arial" w:cs="Arial"/>
          <w:sz w:val="22"/>
          <w:szCs w:val="22"/>
        </w:rPr>
        <w:t>tel.</w:t>
      </w:r>
      <w:r w:rsidRPr="006938C7">
        <w:rPr>
          <w:rFonts w:ascii="Arial" w:hAnsi="Arial" w:cs="Arial"/>
          <w:spacing w:val="-2"/>
          <w:sz w:val="22"/>
          <w:szCs w:val="22"/>
        </w:rPr>
        <w:t xml:space="preserve"> </w:t>
      </w:r>
      <w:r w:rsidRPr="006938C7">
        <w:rPr>
          <w:rFonts w:ascii="Arial" w:hAnsi="Arial" w:cs="Arial"/>
          <w:spacing w:val="-1"/>
          <w:sz w:val="22"/>
          <w:szCs w:val="22"/>
        </w:rPr>
        <w:t>+39</w:t>
      </w:r>
      <w:r w:rsidRPr="006938C7">
        <w:rPr>
          <w:rFonts w:ascii="Arial" w:hAnsi="Arial" w:cs="Arial"/>
          <w:spacing w:val="-3"/>
          <w:sz w:val="22"/>
          <w:szCs w:val="22"/>
        </w:rPr>
        <w:t xml:space="preserve"> </w:t>
      </w:r>
      <w:r w:rsidRPr="006938C7">
        <w:rPr>
          <w:rFonts w:ascii="Arial" w:hAnsi="Arial" w:cs="Arial"/>
          <w:sz w:val="22"/>
          <w:szCs w:val="22"/>
        </w:rPr>
        <w:t>06</w:t>
      </w:r>
      <w:r w:rsidRPr="006938C7">
        <w:rPr>
          <w:rFonts w:ascii="Arial" w:hAnsi="Arial" w:cs="Arial"/>
          <w:spacing w:val="-3"/>
          <w:sz w:val="22"/>
          <w:szCs w:val="22"/>
        </w:rPr>
        <w:t xml:space="preserve"> </w:t>
      </w:r>
      <w:r>
        <w:rPr>
          <w:rFonts w:ascii="Arial" w:hAnsi="Arial" w:cs="Arial"/>
          <w:spacing w:val="-1"/>
          <w:sz w:val="22"/>
          <w:szCs w:val="22"/>
        </w:rPr>
        <w:t>4673 2545</w:t>
      </w:r>
    </w:p>
    <w:p w:rsidR="00AA06D5" w:rsidRPr="006938C7" w:rsidRDefault="00AA06D5" w:rsidP="00AA06D5">
      <w:pPr>
        <w:spacing w:before="60" w:after="60"/>
        <w:rPr>
          <w:rFonts w:ascii="Arial" w:eastAsia="Arial" w:hAnsi="Arial" w:cs="Arial"/>
          <w:sz w:val="22"/>
          <w:szCs w:val="22"/>
        </w:rPr>
        <w:sectPr w:rsidR="00AA06D5" w:rsidRPr="006938C7" w:rsidSect="00F87BB0">
          <w:type w:val="continuous"/>
          <w:pgSz w:w="11907" w:h="16840" w:code="9"/>
          <w:pgMar w:top="1534" w:right="851" w:bottom="680" w:left="851" w:header="567" w:footer="340" w:gutter="0"/>
          <w:cols w:num="2" w:space="720"/>
          <w:noEndnote/>
          <w:docGrid w:linePitch="272"/>
        </w:sectPr>
      </w:pPr>
      <w:r>
        <w:rPr>
          <w:rFonts w:ascii="Arial" w:hAnsi="Arial" w:cs="Arial"/>
          <w:color w:val="0000FF"/>
          <w:spacing w:val="-1"/>
          <w:sz w:val="22"/>
          <w:szCs w:val="22"/>
          <w:u w:val="single" w:color="0000FF"/>
        </w:rPr>
        <w:t>alessandro.brunetti</w:t>
      </w:r>
      <w:r w:rsidRPr="006938C7">
        <w:rPr>
          <w:rFonts w:ascii="Arial" w:hAnsi="Arial" w:cs="Arial"/>
          <w:color w:val="0000FF"/>
          <w:spacing w:val="-1"/>
          <w:sz w:val="22"/>
          <w:szCs w:val="22"/>
          <w:u w:val="single" w:color="0000FF"/>
        </w:rPr>
        <w:t>@istat.i</w:t>
      </w:r>
    </w:p>
    <w:p w:rsidR="00AA06D5" w:rsidRPr="006938C7" w:rsidRDefault="00AA06D5" w:rsidP="00AA06D5">
      <w:pPr>
        <w:spacing w:after="120"/>
        <w:ind w:right="-1"/>
        <w:jc w:val="both"/>
        <w:rPr>
          <w:rFonts w:ascii="Arial" w:hAnsi="Arial" w:cs="Arial"/>
        </w:rPr>
      </w:pPr>
    </w:p>
    <w:p w:rsidR="00D652D2" w:rsidRPr="004B6729" w:rsidRDefault="00D652D2" w:rsidP="00AA06D5">
      <w:pPr>
        <w:spacing w:after="120"/>
        <w:jc w:val="both"/>
        <w:rPr>
          <w:rFonts w:ascii="Arial" w:hAnsi="Arial" w:cs="Arial"/>
        </w:rPr>
      </w:pPr>
    </w:p>
    <w:sectPr w:rsidR="00D652D2" w:rsidRPr="004B6729" w:rsidSect="00F87BB0">
      <w:type w:val="continuous"/>
      <w:pgSz w:w="11907" w:h="16840" w:code="9"/>
      <w:pgMar w:top="1534" w:right="851" w:bottom="680" w:left="851" w:header="567" w:footer="3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98F" w:rsidRDefault="008C698F">
      <w:r>
        <w:separator/>
      </w:r>
    </w:p>
  </w:endnote>
  <w:endnote w:type="continuationSeparator" w:id="0">
    <w:p w:rsidR="008C698F" w:rsidRDefault="008C6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8F" w:rsidRPr="00171C5C" w:rsidRDefault="008C698F" w:rsidP="005E147E">
    <w:pPr>
      <w:pStyle w:val="Pidipagina"/>
      <w:ind w:left="1560"/>
      <w:rPr>
        <w:rFonts w:ascii="Calibri" w:hAnsi="Calibri"/>
        <w:color w:val="5F5F5F"/>
        <w:sz w:val="24"/>
        <w:szCs w:val="24"/>
      </w:rPr>
    </w:pPr>
    <w:r>
      <w:rPr>
        <w:rFonts w:ascii="Calibri" w:hAnsi="Calibri"/>
        <w:b/>
        <w:noProof/>
        <w:color w:val="E31C18"/>
        <w:sz w:val="28"/>
        <w:szCs w:val="28"/>
      </w:rPr>
      <w:drawing>
        <wp:anchor distT="0" distB="0" distL="114300" distR="114300" simplePos="0" relativeHeight="251661824" behindDoc="0" locked="0" layoutInCell="1" allowOverlap="1" wp14:anchorId="36E72AA2" wp14:editId="5D5B69F5">
          <wp:simplePos x="0" y="0"/>
          <wp:positionH relativeFrom="column">
            <wp:posOffset>13335</wp:posOffset>
          </wp:positionH>
          <wp:positionV relativeFrom="paragraph">
            <wp:posOffset>-107950</wp:posOffset>
          </wp:positionV>
          <wp:extent cx="943610" cy="390525"/>
          <wp:effectExtent l="0" t="0" r="8890" b="9525"/>
          <wp:wrapNone/>
          <wp:docPr id="51" name="Immagine 8" descr="Descrizione: Logo a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Descrizione: Logo a col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610"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C5C">
      <w:rPr>
        <w:rStyle w:val="Numeropagina"/>
        <w:rFonts w:ascii="Calibri" w:hAnsi="Calibri"/>
        <w:b/>
        <w:color w:val="E31C18"/>
        <w:sz w:val="28"/>
        <w:szCs w:val="28"/>
      </w:rPr>
      <w:t xml:space="preserve">| </w:t>
    </w:r>
    <w:r w:rsidRPr="00171C5C">
      <w:rPr>
        <w:rFonts w:ascii="Calibri" w:hAnsi="Calibri"/>
        <w:color w:val="5F5F5F"/>
        <w:sz w:val="24"/>
        <w:szCs w:val="24"/>
      </w:rPr>
      <w:fldChar w:fldCharType="begin"/>
    </w:r>
    <w:r w:rsidRPr="00171C5C">
      <w:rPr>
        <w:rFonts w:ascii="Calibri" w:hAnsi="Calibri"/>
        <w:color w:val="5F5F5F"/>
        <w:sz w:val="24"/>
        <w:szCs w:val="24"/>
      </w:rPr>
      <w:instrText>PAGE   \* MERGEFORMAT</w:instrText>
    </w:r>
    <w:r w:rsidRPr="00171C5C">
      <w:rPr>
        <w:rFonts w:ascii="Calibri" w:hAnsi="Calibri"/>
        <w:color w:val="5F5F5F"/>
        <w:sz w:val="24"/>
        <w:szCs w:val="24"/>
      </w:rPr>
      <w:fldChar w:fldCharType="separate"/>
    </w:r>
    <w:r w:rsidR="00C8186C">
      <w:rPr>
        <w:rFonts w:ascii="Calibri" w:hAnsi="Calibri"/>
        <w:noProof/>
        <w:color w:val="5F5F5F"/>
        <w:sz w:val="24"/>
        <w:szCs w:val="24"/>
      </w:rPr>
      <w:t>2</w:t>
    </w:r>
    <w:r w:rsidRPr="00171C5C">
      <w:rPr>
        <w:rFonts w:ascii="Calibri" w:hAnsi="Calibri"/>
        <w:color w:val="5F5F5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98F" w:rsidRDefault="008C698F">
      <w:r>
        <w:separator/>
      </w:r>
    </w:p>
  </w:footnote>
  <w:footnote w:type="continuationSeparator" w:id="0">
    <w:p w:rsidR="008C698F" w:rsidRDefault="008C698F">
      <w:r>
        <w:continuationSeparator/>
      </w:r>
    </w:p>
  </w:footnote>
  <w:footnote w:id="1">
    <w:p w:rsidR="008C698F" w:rsidRPr="0043695D" w:rsidRDefault="008C698F" w:rsidP="004E4021">
      <w:pPr>
        <w:pStyle w:val="Testonotaapidipagina"/>
        <w:spacing w:before="0" w:after="0"/>
        <w:jc w:val="both"/>
        <w:rPr>
          <w:rFonts w:ascii="Arial" w:hAnsi="Arial" w:cs="Arial"/>
          <w:sz w:val="16"/>
          <w:szCs w:val="16"/>
          <w:lang w:val="en-US"/>
        </w:rPr>
      </w:pPr>
      <w:r w:rsidRPr="0043695D">
        <w:rPr>
          <w:rStyle w:val="Rimandonotaapidipagina"/>
          <w:rFonts w:ascii="Arial" w:hAnsi="Arial" w:cs="Arial"/>
          <w:sz w:val="16"/>
          <w:szCs w:val="16"/>
        </w:rPr>
        <w:footnoteRef/>
      </w:r>
      <w:r w:rsidRPr="0043695D">
        <w:rPr>
          <w:lang w:val="en-US"/>
        </w:rPr>
        <w:t xml:space="preserve"> </w:t>
      </w:r>
      <w:r w:rsidRPr="0043695D">
        <w:rPr>
          <w:rFonts w:ascii="Arial" w:hAnsi="Arial" w:cs="Arial"/>
          <w:sz w:val="16"/>
          <w:szCs w:val="16"/>
          <w:lang w:val="en-US"/>
        </w:rPr>
        <w:t xml:space="preserve">A third indicator, the “household of workers and employees consumer price index” (FOI), which refers to the consumption of the whole households headed by an employed worker, is also calculated (as a satellite index of NIC) and released by Istat on monthly </w:t>
      </w:r>
      <w:r>
        <w:rPr>
          <w:rFonts w:ascii="Arial" w:hAnsi="Arial" w:cs="Arial"/>
          <w:sz w:val="16"/>
          <w:szCs w:val="16"/>
          <w:lang w:val="en-US"/>
        </w:rPr>
        <w:t>basis.</w:t>
      </w:r>
    </w:p>
  </w:footnote>
  <w:footnote w:id="2">
    <w:p w:rsidR="008C698F" w:rsidRPr="00D9184B" w:rsidRDefault="008C698F" w:rsidP="004E4021">
      <w:pPr>
        <w:pStyle w:val="Testonotaapidipagina"/>
        <w:jc w:val="both"/>
        <w:rPr>
          <w:lang w:val="en-US"/>
        </w:rPr>
      </w:pPr>
      <w:r>
        <w:rPr>
          <w:rStyle w:val="Rimandonotaapidipagina"/>
        </w:rPr>
        <w:footnoteRef/>
      </w:r>
      <w:r w:rsidRPr="00D9184B">
        <w:rPr>
          <w:lang w:val="en-US"/>
        </w:rPr>
        <w:t xml:space="preserve"> </w:t>
      </w:r>
      <w:r w:rsidRPr="00D9184B">
        <w:rPr>
          <w:rFonts w:ascii="Arial" w:hAnsi="Arial" w:cs="Arial"/>
          <w:sz w:val="16"/>
          <w:szCs w:val="16"/>
          <w:lang w:val="en-US"/>
        </w:rPr>
        <w:t>ECR markets are the lowest level of the ECR classification (classification shared by industrial and distribution companies) and they have been linked to the aggregates of product of E</w:t>
      </w:r>
      <w:r>
        <w:rPr>
          <w:rFonts w:ascii="Arial" w:hAnsi="Arial" w:cs="Arial"/>
          <w:sz w:val="16"/>
          <w:szCs w:val="16"/>
          <w:lang w:val="en-US"/>
        </w:rPr>
        <w:t xml:space="preserve">COICOP </w:t>
      </w:r>
      <w:r w:rsidRPr="00D9184B">
        <w:rPr>
          <w:rFonts w:ascii="Arial" w:hAnsi="Arial" w:cs="Arial"/>
          <w:sz w:val="16"/>
          <w:szCs w:val="16"/>
          <w:lang w:val="en-US"/>
        </w:rPr>
        <w:t>classification.</w:t>
      </w:r>
    </w:p>
  </w:footnote>
  <w:footnote w:id="3">
    <w:p w:rsidR="008C698F" w:rsidRPr="008407AF" w:rsidRDefault="008C698F" w:rsidP="004E4021">
      <w:pPr>
        <w:spacing w:before="0" w:after="0"/>
        <w:jc w:val="both"/>
        <w:rPr>
          <w:rFonts w:ascii="Arial" w:hAnsi="Arial" w:cs="Arial"/>
          <w:sz w:val="16"/>
          <w:szCs w:val="16"/>
          <w:lang w:val="en-US"/>
        </w:rPr>
      </w:pPr>
      <w:r w:rsidRPr="00880408">
        <w:rPr>
          <w:rStyle w:val="Rimandonotaapidipagina"/>
          <w:rFonts w:ascii="Arial" w:hAnsi="Arial" w:cs="Arial"/>
          <w:sz w:val="16"/>
          <w:szCs w:val="16"/>
        </w:rPr>
        <w:footnoteRef/>
      </w:r>
      <w:r w:rsidRPr="00880408">
        <w:rPr>
          <w:rStyle w:val="Rimandonotaapidipagina"/>
          <w:rFonts w:ascii="Arial" w:hAnsi="Arial" w:cs="Arial"/>
          <w:sz w:val="16"/>
          <w:szCs w:val="16"/>
          <w:lang w:val="en-US"/>
        </w:rPr>
        <w:t xml:space="preserve"> </w:t>
      </w:r>
      <w:r w:rsidRPr="00880408">
        <w:rPr>
          <w:rFonts w:ascii="Arial" w:hAnsi="Arial" w:cs="Arial"/>
          <w:sz w:val="16"/>
          <w:szCs w:val="16"/>
          <w:lang w:val="en-US"/>
        </w:rPr>
        <w:t>HICP-SA indices have been released starting from data referred to February 2013.</w:t>
      </w:r>
      <w:r w:rsidRPr="008407AF">
        <w:rPr>
          <w:rFonts w:ascii="Arial" w:hAnsi="Arial" w:cs="Arial"/>
          <w:sz w:val="16"/>
          <w:szCs w:val="16"/>
          <w:lang w:val="en-US"/>
        </w:rPr>
        <w:t xml:space="preserve"> </w:t>
      </w:r>
    </w:p>
    <w:p w:rsidR="008C698F" w:rsidRPr="008407AF" w:rsidRDefault="008C698F" w:rsidP="004E4021">
      <w:pPr>
        <w:spacing w:before="0" w:after="0"/>
        <w:jc w:val="both"/>
        <w:rPr>
          <w:rStyle w:val="Collegamentoipertestuale"/>
          <w:rFonts w:cs="Arial"/>
          <w:lang w:val="en-US"/>
        </w:rPr>
      </w:pPr>
      <w:r w:rsidRPr="002F4B9D">
        <w:rPr>
          <w:rFonts w:ascii="Arial" w:hAnsi="Arial" w:cs="Arial"/>
          <w:sz w:val="16"/>
          <w:szCs w:val="16"/>
          <w:lang w:val="en-US"/>
        </w:rPr>
        <w:t xml:space="preserve">The description of product classes which are included in the special aggregates is available on Eurostat web site at the following link: </w:t>
      </w:r>
      <w:r w:rsidRPr="008407AF">
        <w:rPr>
          <w:rStyle w:val="Collegamentoipertestuale"/>
          <w:rFonts w:ascii="Arial" w:hAnsi="Arial" w:cs="Arial"/>
          <w:sz w:val="16"/>
          <w:szCs w:val="16"/>
          <w:lang w:val="en-US"/>
        </w:rPr>
        <w:t>http://ec.europa.eu/eurostat/ramon/nomenclatures/index.cfm?TargetUrl=LST_NOM_DTL&amp;StrNom=COICOP_5&amp;StrLanguageCode=EN&amp;IntPcKey=&amp;StrLayoutCode=HIERARCHIC</w:t>
      </w:r>
      <w:hyperlink r:id="rId1" w:history="1"/>
      <w:r w:rsidRPr="008407AF">
        <w:rPr>
          <w:rStyle w:val="Collegamentoipertestuale"/>
          <w:rFonts w:cs="Arial"/>
          <w:lang w:val="en-US"/>
        </w:rPr>
        <w:t>.</w:t>
      </w:r>
    </w:p>
    <w:p w:rsidR="008C698F" w:rsidRPr="002133CE" w:rsidRDefault="008C698F" w:rsidP="004E4021">
      <w:pPr>
        <w:spacing w:before="0" w:after="0"/>
        <w:jc w:val="both"/>
        <w:rPr>
          <w:rFonts w:ascii="Arial" w:hAnsi="Arial" w:cs="Arial"/>
          <w:sz w:val="16"/>
          <w:szCs w:val="16"/>
          <w:lang w:val="en-US"/>
        </w:rPr>
      </w:pPr>
      <w:r w:rsidRPr="002133CE">
        <w:rPr>
          <w:rFonts w:ascii="Arial" w:hAnsi="Arial" w:cs="Arial"/>
          <w:sz w:val="16"/>
          <w:szCs w:val="16"/>
          <w:lang w:val="en-US"/>
        </w:rPr>
        <w:t xml:space="preserve">The HICP-SA calculation method is described in the HICP Compendium which is downloadable at the following link: </w:t>
      </w:r>
      <w:hyperlink r:id="rId2" w:history="1">
        <w:r w:rsidRPr="008407AF">
          <w:rPr>
            <w:rStyle w:val="Collegamentoipertestuale"/>
            <w:rFonts w:ascii="Arial" w:hAnsi="Arial" w:cs="Arial"/>
            <w:sz w:val="16"/>
            <w:szCs w:val="16"/>
            <w:lang w:val="en-US"/>
          </w:rPr>
          <w:t>http://ec.europa.eu/eurostat/documents/3859598/5926625/KS-RA-13-017-EN.PDF/59eb2c1c-da1f-472c-b191-3d0c76521f9b?version=1.0</w:t>
        </w:r>
      </w:hyperlink>
      <w:r w:rsidRPr="002133CE">
        <w:rPr>
          <w:rFonts w:ascii="Arial" w:hAnsi="Arial" w:cs="Arial"/>
          <w:sz w:val="16"/>
          <w:szCs w:val="16"/>
          <w:lang w:val="en-US"/>
        </w:rPr>
        <w:t xml:space="preserve">. </w:t>
      </w:r>
    </w:p>
    <w:p w:rsidR="008C698F" w:rsidRPr="002133CE" w:rsidRDefault="008C698F" w:rsidP="004E4021">
      <w:pPr>
        <w:spacing w:before="0" w:after="0"/>
        <w:jc w:val="both"/>
        <w:rPr>
          <w:rFonts w:ascii="Arial" w:hAnsi="Arial" w:cs="Arial"/>
          <w:sz w:val="16"/>
          <w:szCs w:val="16"/>
          <w:lang w:val="en-US"/>
        </w:rPr>
      </w:pPr>
      <w:r w:rsidRPr="002133CE">
        <w:rPr>
          <w:rFonts w:ascii="Arial" w:hAnsi="Arial" w:cs="Arial"/>
          <w:sz w:val="16"/>
          <w:szCs w:val="16"/>
          <w:lang w:val="en-US"/>
        </w:rPr>
        <w:t xml:space="preserve">Back series starting from January 2001 are published on </w:t>
      </w:r>
      <w:hyperlink r:id="rId3" w:history="1">
        <w:r w:rsidRPr="00CA56FA">
          <w:rPr>
            <w:rStyle w:val="Collegamentoipertestuale"/>
            <w:rFonts w:ascii="Arial" w:hAnsi="Arial" w:cs="Arial"/>
            <w:sz w:val="16"/>
            <w:szCs w:val="16"/>
            <w:lang w:val="en-US"/>
          </w:rPr>
          <w:t>I.Stat</w:t>
        </w:r>
      </w:hyperlink>
      <w:r w:rsidRPr="002133CE">
        <w:rPr>
          <w:rFonts w:ascii="Arial" w:hAnsi="Arial" w:cs="Arial"/>
          <w:sz w:val="16"/>
          <w:szCs w:val="16"/>
          <w:lang w:val="en-US"/>
        </w:rPr>
        <w:t xml:space="preserve">, the warehouse of </w:t>
      </w:r>
      <w:r>
        <w:rPr>
          <w:rFonts w:ascii="Arial" w:hAnsi="Arial" w:cs="Arial"/>
          <w:sz w:val="16"/>
          <w:szCs w:val="16"/>
          <w:lang w:val="en-US"/>
        </w:rPr>
        <w:t xml:space="preserve">Istat </w:t>
      </w:r>
      <w:r w:rsidRPr="002133CE">
        <w:rPr>
          <w:rFonts w:ascii="Arial" w:hAnsi="Arial" w:cs="Arial"/>
          <w:sz w:val="16"/>
          <w:szCs w:val="16"/>
          <w:lang w:val="en-US"/>
        </w:rPr>
        <w:t xml:space="preserve">statistics, inside the theme </w:t>
      </w:r>
      <w:r>
        <w:rPr>
          <w:rFonts w:ascii="Arial" w:hAnsi="Arial" w:cs="Arial"/>
          <w:sz w:val="16"/>
          <w:szCs w:val="16"/>
          <w:lang w:val="en-US"/>
        </w:rPr>
        <w:t>“</w:t>
      </w:r>
      <w:r w:rsidRPr="002133CE">
        <w:rPr>
          <w:rFonts w:ascii="Arial" w:hAnsi="Arial" w:cs="Arial"/>
          <w:sz w:val="16"/>
          <w:szCs w:val="16"/>
          <w:lang w:val="en-US"/>
        </w:rPr>
        <w:t>Prices</w:t>
      </w:r>
      <w:r>
        <w:rPr>
          <w:rFonts w:ascii="Arial" w:hAnsi="Arial" w:cs="Arial"/>
          <w:sz w:val="16"/>
          <w:szCs w:val="16"/>
          <w:lang w:val="en-US"/>
        </w:rPr>
        <w:t>”</w:t>
      </w:r>
      <w:r w:rsidRPr="002133CE">
        <w:rPr>
          <w:rFonts w:ascii="Arial" w:hAnsi="Arial" w:cs="Arial"/>
          <w:sz w:val="16"/>
          <w:szCs w:val="16"/>
          <w:lang w:val="en-US"/>
        </w:rPr>
        <w:t>.</w:t>
      </w:r>
    </w:p>
  </w:footnote>
  <w:footnote w:id="4">
    <w:p w:rsidR="008C698F" w:rsidRPr="002133CE" w:rsidRDefault="008C698F" w:rsidP="004E4021">
      <w:pPr>
        <w:pStyle w:val="Testonotaapidipagina"/>
        <w:spacing w:before="0" w:after="0"/>
        <w:jc w:val="both"/>
        <w:rPr>
          <w:rFonts w:ascii="Arial" w:hAnsi="Arial" w:cs="Arial"/>
          <w:sz w:val="16"/>
          <w:szCs w:val="16"/>
          <w:lang w:val="en-US"/>
        </w:rPr>
      </w:pPr>
      <w:r w:rsidRPr="002133CE">
        <w:rPr>
          <w:rStyle w:val="Rimandonotaapidipagina"/>
          <w:rFonts w:ascii="Arial" w:hAnsi="Arial" w:cs="Arial"/>
          <w:sz w:val="16"/>
          <w:szCs w:val="16"/>
        </w:rPr>
        <w:footnoteRef/>
      </w:r>
      <w:r w:rsidRPr="008407AF">
        <w:rPr>
          <w:rFonts w:ascii="Arial" w:hAnsi="Arial" w:cs="Arial"/>
          <w:sz w:val="16"/>
          <w:szCs w:val="16"/>
          <w:lang w:val="en-US"/>
        </w:rPr>
        <w:t xml:space="preserve"> It has been adopted starting from data referred to January 2011.</w:t>
      </w:r>
    </w:p>
  </w:footnote>
  <w:footnote w:id="5">
    <w:p w:rsidR="008C698F" w:rsidRPr="002133CE" w:rsidRDefault="008C698F" w:rsidP="004E4021">
      <w:pPr>
        <w:pStyle w:val="Testonotaapidipagina"/>
        <w:spacing w:before="60" w:after="0"/>
        <w:ind w:left="1797" w:hanging="1797"/>
        <w:jc w:val="both"/>
        <w:rPr>
          <w:rFonts w:ascii="Arial" w:hAnsi="Arial" w:cs="Arial"/>
          <w:sz w:val="16"/>
          <w:szCs w:val="16"/>
          <w:lang w:val="en-US"/>
        </w:rPr>
      </w:pPr>
      <w:r w:rsidRPr="002133CE">
        <w:rPr>
          <w:rStyle w:val="Rimandonotaapidipagina"/>
          <w:rFonts w:ascii="Arial" w:hAnsi="Arial" w:cs="Arial"/>
          <w:sz w:val="16"/>
          <w:szCs w:val="16"/>
        </w:rPr>
        <w:footnoteRef/>
      </w:r>
      <w:r w:rsidRPr="008407AF">
        <w:rPr>
          <w:rFonts w:ascii="Arial" w:hAnsi="Arial" w:cs="Arial"/>
          <w:sz w:val="16"/>
          <w:szCs w:val="16"/>
          <w:lang w:val="en-US"/>
        </w:rPr>
        <w:t xml:space="preserve"> It is used for FOI indices, too.</w:t>
      </w:r>
    </w:p>
  </w:footnote>
  <w:footnote w:id="6">
    <w:p w:rsidR="008C698F" w:rsidRPr="00DC296F" w:rsidRDefault="008C698F" w:rsidP="004E4021">
      <w:pPr>
        <w:pStyle w:val="Testonotaapidipagina"/>
        <w:spacing w:before="0" w:after="60"/>
        <w:jc w:val="both"/>
        <w:rPr>
          <w:rFonts w:ascii="Arial" w:hAnsi="Arial" w:cs="Arial"/>
          <w:sz w:val="16"/>
          <w:szCs w:val="16"/>
          <w:lang w:val="en-US"/>
        </w:rPr>
      </w:pPr>
      <w:r w:rsidRPr="00C80FB4">
        <w:rPr>
          <w:rStyle w:val="Rimandonotaapidipagina"/>
          <w:rFonts w:ascii="Arial" w:hAnsi="Arial" w:cs="Arial"/>
          <w:sz w:val="16"/>
          <w:szCs w:val="16"/>
        </w:rPr>
        <w:footnoteRef/>
      </w:r>
      <w:r w:rsidRPr="00DC296F">
        <w:rPr>
          <w:rFonts w:ascii="Arial" w:hAnsi="Arial" w:cs="Arial"/>
          <w:sz w:val="16"/>
          <w:szCs w:val="16"/>
          <w:lang w:val="en-US"/>
        </w:rPr>
        <w:t xml:space="preserve"> During the health emergency </w:t>
      </w:r>
      <w:r>
        <w:rPr>
          <w:rFonts w:ascii="Arial" w:hAnsi="Arial" w:cs="Arial"/>
          <w:sz w:val="16"/>
          <w:szCs w:val="16"/>
          <w:lang w:val="en-US"/>
        </w:rPr>
        <w:t>due</w:t>
      </w:r>
      <w:r w:rsidRPr="00DC296F">
        <w:rPr>
          <w:rFonts w:ascii="Arial" w:hAnsi="Arial" w:cs="Arial"/>
          <w:sz w:val="16"/>
          <w:szCs w:val="16"/>
          <w:lang w:val="en-US"/>
        </w:rPr>
        <w:t xml:space="preserve"> to the spread of Covid-19, the set of procedures to impute the missing prices</w:t>
      </w:r>
      <w:r>
        <w:rPr>
          <w:rFonts w:ascii="Arial" w:hAnsi="Arial" w:cs="Arial"/>
          <w:sz w:val="16"/>
          <w:szCs w:val="16"/>
          <w:lang w:val="en-US"/>
        </w:rPr>
        <w:t xml:space="preserve"> </w:t>
      </w:r>
      <w:r w:rsidRPr="00DC296F">
        <w:rPr>
          <w:rFonts w:ascii="Arial" w:hAnsi="Arial" w:cs="Arial"/>
          <w:sz w:val="16"/>
          <w:szCs w:val="16"/>
          <w:lang w:val="en-US"/>
        </w:rPr>
        <w:t xml:space="preserve">was reviewed, in cooperation with the other national statistical institutes of the countries of the European Union and under the </w:t>
      </w:r>
      <w:r>
        <w:rPr>
          <w:rFonts w:ascii="Arial" w:hAnsi="Arial" w:cs="Arial"/>
          <w:sz w:val="16"/>
          <w:szCs w:val="16"/>
          <w:lang w:val="en-US"/>
        </w:rPr>
        <w:t xml:space="preserve">Eurostat </w:t>
      </w:r>
      <w:r w:rsidRPr="00DC296F">
        <w:rPr>
          <w:rFonts w:ascii="Arial" w:hAnsi="Arial" w:cs="Arial"/>
          <w:sz w:val="16"/>
          <w:szCs w:val="16"/>
          <w:lang w:val="en-US"/>
        </w:rPr>
        <w:t xml:space="preserve">coordination, to take into account the criticalities that emerged in relation to data collection in the pandemic phase. In particular, with reference to the activity carried out by the UCS on the national territory, higher percentages </w:t>
      </w:r>
      <w:r>
        <w:rPr>
          <w:rFonts w:ascii="Arial" w:hAnsi="Arial" w:cs="Arial"/>
          <w:sz w:val="16"/>
          <w:szCs w:val="16"/>
          <w:lang w:val="en-US"/>
        </w:rPr>
        <w:t xml:space="preserve">of data missing </w:t>
      </w:r>
      <w:r w:rsidRPr="00DC296F">
        <w:rPr>
          <w:rFonts w:ascii="Arial" w:hAnsi="Arial" w:cs="Arial"/>
          <w:sz w:val="16"/>
          <w:szCs w:val="16"/>
          <w:lang w:val="en-US"/>
        </w:rPr>
        <w:t xml:space="preserve">were observed compared to the pre-pandemic period, due to the closure of most of the commercial activities offering consumer goods and services or contingent accesses </w:t>
      </w:r>
      <w:r>
        <w:rPr>
          <w:rFonts w:ascii="Arial" w:hAnsi="Arial" w:cs="Arial"/>
          <w:sz w:val="16"/>
          <w:szCs w:val="16"/>
          <w:lang w:val="en-US"/>
        </w:rPr>
        <w:t>to</w:t>
      </w:r>
      <w:r w:rsidRPr="00DC296F">
        <w:rPr>
          <w:rFonts w:ascii="Arial" w:hAnsi="Arial" w:cs="Arial"/>
          <w:sz w:val="16"/>
          <w:szCs w:val="16"/>
          <w:lang w:val="en-US"/>
        </w:rPr>
        <w:t xml:space="preserve"> the open </w:t>
      </w:r>
      <w:r>
        <w:rPr>
          <w:rFonts w:ascii="Arial" w:hAnsi="Arial" w:cs="Arial"/>
          <w:sz w:val="16"/>
          <w:szCs w:val="16"/>
          <w:lang w:val="en-US"/>
        </w:rPr>
        <w:t>ones</w:t>
      </w:r>
      <w:r w:rsidRPr="00DC296F">
        <w:rPr>
          <w:rFonts w:ascii="Arial" w:hAnsi="Arial" w:cs="Arial"/>
          <w:sz w:val="16"/>
          <w:szCs w:val="16"/>
          <w:lang w:val="en-US"/>
        </w:rPr>
        <w:t>.</w:t>
      </w:r>
    </w:p>
  </w:footnote>
  <w:footnote w:id="7">
    <w:p w:rsidR="008C698F" w:rsidRPr="00DC296F" w:rsidRDefault="008C698F" w:rsidP="004E4021">
      <w:pPr>
        <w:pStyle w:val="Default"/>
        <w:spacing w:after="60"/>
        <w:jc w:val="both"/>
        <w:rPr>
          <w:lang w:val="en-US"/>
        </w:rPr>
      </w:pPr>
      <w:r w:rsidRPr="00C80FB4">
        <w:rPr>
          <w:rStyle w:val="Rimandonotaapidipagina"/>
          <w:rFonts w:ascii="Arial" w:hAnsi="Arial" w:cs="Arial"/>
          <w:sz w:val="16"/>
          <w:szCs w:val="16"/>
        </w:rPr>
        <w:footnoteRef/>
      </w:r>
      <w:r w:rsidRPr="00DC296F">
        <w:rPr>
          <w:rFonts w:ascii="Arial" w:hAnsi="Arial" w:cs="Arial"/>
          <w:sz w:val="16"/>
          <w:szCs w:val="16"/>
          <w:lang w:val="en-US"/>
        </w:rPr>
        <w:t xml:space="preserve"> The </w:t>
      </w:r>
      <w:r>
        <w:rPr>
          <w:rFonts w:ascii="Arial" w:hAnsi="Arial" w:cs="Arial"/>
          <w:sz w:val="16"/>
          <w:szCs w:val="16"/>
          <w:lang w:val="en-US"/>
        </w:rPr>
        <w:t>rule</w:t>
      </w:r>
      <w:r w:rsidRPr="00DC296F">
        <w:rPr>
          <w:rFonts w:ascii="Arial" w:hAnsi="Arial" w:cs="Arial"/>
          <w:sz w:val="16"/>
          <w:szCs w:val="16"/>
          <w:lang w:val="en-US"/>
        </w:rPr>
        <w:t xml:space="preserve"> of minimizing the number of prices imputed implies that, in the selection of the product</w:t>
      </w:r>
      <w:r>
        <w:rPr>
          <w:rFonts w:ascii="Arial" w:hAnsi="Arial" w:cs="Arial"/>
          <w:sz w:val="16"/>
          <w:szCs w:val="16"/>
          <w:lang w:val="en-US"/>
        </w:rPr>
        <w:t>s that make up the basket, the</w:t>
      </w:r>
      <w:r w:rsidRPr="00DC296F">
        <w:rPr>
          <w:rFonts w:ascii="Arial" w:hAnsi="Arial" w:cs="Arial"/>
          <w:sz w:val="16"/>
          <w:szCs w:val="16"/>
          <w:lang w:val="en-US"/>
        </w:rPr>
        <w:t xml:space="preserve"> actual</w:t>
      </w:r>
      <w:r>
        <w:rPr>
          <w:rFonts w:ascii="Arial" w:hAnsi="Arial" w:cs="Arial"/>
          <w:sz w:val="16"/>
          <w:szCs w:val="16"/>
          <w:lang w:val="en-US"/>
        </w:rPr>
        <w:t xml:space="preserve"> families’ </w:t>
      </w:r>
      <w:r w:rsidRPr="00DC296F">
        <w:rPr>
          <w:rFonts w:ascii="Arial" w:hAnsi="Arial" w:cs="Arial"/>
          <w:sz w:val="16"/>
          <w:szCs w:val="16"/>
          <w:lang w:val="en-US"/>
        </w:rPr>
        <w:t xml:space="preserve">willingness to purchase </w:t>
      </w:r>
      <w:r>
        <w:rPr>
          <w:rFonts w:ascii="Arial" w:hAnsi="Arial" w:cs="Arial"/>
          <w:sz w:val="16"/>
          <w:szCs w:val="16"/>
          <w:lang w:val="en-US"/>
        </w:rPr>
        <w:t xml:space="preserve">them </w:t>
      </w:r>
      <w:r w:rsidRPr="00DC296F">
        <w:rPr>
          <w:rFonts w:ascii="Arial" w:hAnsi="Arial" w:cs="Arial"/>
          <w:sz w:val="16"/>
          <w:szCs w:val="16"/>
          <w:lang w:val="en-US"/>
        </w:rPr>
        <w:t>must be taken into account.</w:t>
      </w:r>
    </w:p>
  </w:footnote>
  <w:footnote w:id="8">
    <w:p w:rsidR="008C698F" w:rsidRPr="00DC296F" w:rsidRDefault="008C698F" w:rsidP="004E4021">
      <w:pPr>
        <w:pStyle w:val="Testonotaapidipagina"/>
        <w:spacing w:before="0" w:after="60"/>
        <w:jc w:val="both"/>
        <w:rPr>
          <w:rFonts w:ascii="Arial" w:hAnsi="Arial" w:cs="Arial"/>
          <w:sz w:val="16"/>
          <w:szCs w:val="16"/>
          <w:lang w:val="en-US"/>
        </w:rPr>
      </w:pPr>
      <w:r w:rsidRPr="00C0657B">
        <w:rPr>
          <w:rStyle w:val="Rimandonotaapidipagina"/>
          <w:rFonts w:ascii="Arial" w:hAnsi="Arial" w:cs="Arial"/>
          <w:sz w:val="16"/>
          <w:szCs w:val="16"/>
        </w:rPr>
        <w:footnoteRef/>
      </w:r>
      <w:r w:rsidRPr="00DC296F">
        <w:rPr>
          <w:rFonts w:ascii="Arial" w:hAnsi="Arial" w:cs="Arial"/>
          <w:sz w:val="16"/>
          <w:szCs w:val="16"/>
          <w:lang w:val="en-US"/>
        </w:rPr>
        <w:t xml:space="preserve"> The same procedure applies to the case of estimating outlier</w:t>
      </w:r>
      <w:r>
        <w:rPr>
          <w:rFonts w:ascii="Arial" w:hAnsi="Arial" w:cs="Arial"/>
          <w:sz w:val="16"/>
          <w:szCs w:val="16"/>
          <w:lang w:val="en-US"/>
        </w:rPr>
        <w:t>s</w:t>
      </w:r>
      <w:r w:rsidRPr="00DC296F">
        <w:rPr>
          <w:rFonts w:ascii="Arial" w:hAnsi="Arial" w:cs="Arial"/>
          <w:sz w:val="16"/>
          <w:szCs w:val="16"/>
          <w:lang w:val="en-US"/>
        </w:rPr>
        <w:t xml:space="preserve"> prices.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8F" w:rsidRPr="00014439" w:rsidRDefault="008C698F" w:rsidP="005E147E">
    <w:pPr>
      <w:pStyle w:val="Intestazione"/>
    </w:pPr>
    <w:r>
      <w:rPr>
        <w:noProof/>
      </w:rPr>
      <mc:AlternateContent>
        <mc:Choice Requires="wps">
          <w:drawing>
            <wp:anchor distT="0" distB="0" distL="114300" distR="114300" simplePos="0" relativeHeight="251662848" behindDoc="0" locked="0" layoutInCell="1" allowOverlap="1" wp14:anchorId="520E8B77" wp14:editId="13092575">
              <wp:simplePos x="0" y="0"/>
              <wp:positionH relativeFrom="column">
                <wp:posOffset>630555</wp:posOffset>
              </wp:positionH>
              <wp:positionV relativeFrom="paragraph">
                <wp:posOffset>74930</wp:posOffset>
              </wp:positionV>
              <wp:extent cx="1768475" cy="281940"/>
              <wp:effectExtent l="0" t="0" r="22225" b="10795"/>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281940"/>
                      </a:xfrm>
                      <a:prstGeom prst="rect">
                        <a:avLst/>
                      </a:prstGeom>
                      <a:solidFill>
                        <a:srgbClr val="FFFFFF"/>
                      </a:solidFill>
                      <a:ln w="9525">
                        <a:solidFill>
                          <a:srgbClr val="FFFFFF"/>
                        </a:solidFill>
                        <a:miter lim="800000"/>
                        <a:headEnd/>
                        <a:tailEnd/>
                      </a:ln>
                    </wps:spPr>
                    <wps:txbx>
                      <w:txbxContent>
                        <w:p w:rsidR="008C698F" w:rsidRDefault="008C698F" w:rsidP="005E147E">
                          <w:pPr>
                            <w:pStyle w:val="Titolo3"/>
                            <w:tabs>
                              <w:tab w:val="right" w:pos="9360"/>
                            </w:tabs>
                            <w:spacing w:before="0" w:after="0"/>
                            <w:ind w:right="-176"/>
                            <w:rPr>
                              <w:rFonts w:ascii="Arial Narrow" w:hAnsi="Arial Narrow"/>
                              <w:caps/>
                              <w:color w:val="808080"/>
                              <w:sz w:val="20"/>
                              <w:szCs w:val="20"/>
                              <w:lang w:val="en-US"/>
                            </w:rPr>
                          </w:pPr>
                          <w:r w:rsidRPr="008D3000">
                            <w:rPr>
                              <w:rFonts w:ascii="Arial Narrow" w:hAnsi="Arial Narrow"/>
                              <w:caps/>
                              <w:color w:val="808080"/>
                              <w:sz w:val="20"/>
                              <w:szCs w:val="20"/>
                              <w:lang w:val="en-US"/>
                            </w:rPr>
                            <w:t xml:space="preserve">Consumer prices: </w:t>
                          </w:r>
                        </w:p>
                        <w:p w:rsidR="008C698F" w:rsidRPr="008D3000" w:rsidRDefault="008C698F" w:rsidP="005E147E">
                          <w:pPr>
                            <w:pStyle w:val="Titolo3"/>
                            <w:tabs>
                              <w:tab w:val="right" w:pos="9360"/>
                            </w:tabs>
                            <w:spacing w:before="0" w:after="0"/>
                            <w:ind w:right="-176"/>
                            <w:rPr>
                              <w:rFonts w:ascii="Arial Narrow" w:hAnsi="Arial Narrow"/>
                              <w:caps/>
                              <w:color w:val="808080"/>
                              <w:sz w:val="20"/>
                              <w:szCs w:val="20"/>
                              <w:lang w:val="en-US"/>
                            </w:rPr>
                          </w:pPr>
                          <w:r>
                            <w:rPr>
                              <w:rFonts w:ascii="Arial Narrow" w:hAnsi="Arial Narrow"/>
                              <w:caps/>
                              <w:color w:val="808080"/>
                              <w:sz w:val="20"/>
                              <w:szCs w:val="20"/>
                              <w:lang w:val="en-US"/>
                            </w:rPr>
                            <w:t>provisional</w:t>
                          </w:r>
                          <w:r w:rsidRPr="008D3000">
                            <w:rPr>
                              <w:rFonts w:ascii="Arial Narrow" w:hAnsi="Arial Narrow"/>
                              <w:caps/>
                              <w:color w:val="808080"/>
                              <w:sz w:val="20"/>
                              <w:szCs w:val="20"/>
                              <w:lang w:val="en-US"/>
                            </w:rPr>
                            <w:t xml:space="preserve"> data</w:t>
                          </w:r>
                        </w:p>
                        <w:p w:rsidR="008C698F" w:rsidRPr="0017508C" w:rsidRDefault="008C698F" w:rsidP="005E147E">
                          <w:pPr>
                            <w:pStyle w:val="Intestazione"/>
                            <w:overflowPunct/>
                            <w:autoSpaceDE/>
                            <w:autoSpaceDN/>
                            <w:adjustRightInd/>
                            <w:spacing w:before="0" w:after="0" w:line="200" w:lineRule="exact"/>
                            <w:rPr>
                              <w:rFonts w:ascii="Arial Narrow" w:hAnsi="Arial Narrow"/>
                              <w:b/>
                              <w:color w:val="999999"/>
                              <w:kern w:val="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0E8B77" id="_x0000_t202" coordsize="21600,21600" o:spt="202" path="m,l,21600r21600,l21600,xe">
              <v:stroke joinstyle="miter"/>
              <v:path gradientshapeok="t" o:connecttype="rect"/>
            </v:shapetype>
            <v:shape id="Casella di testo 15" o:spid="_x0000_s1026" type="#_x0000_t202" style="position:absolute;margin-left:49.65pt;margin-top:5.9pt;width:139.25pt;height:22.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" strokecolor="white">
              <v:textbox style="mso-fit-shape-to-text:t" inset="0,0,0,0">
                <w:txbxContent>
                  <w:p w:rsidR="008C698F" w:rsidRDefault="008C698F" w:rsidP="005E147E">
                    <w:pPr>
                      <w:pStyle w:val="Titolo3"/>
                      <w:tabs>
                        <w:tab w:val="right" w:pos="9360"/>
                      </w:tabs>
                      <w:spacing w:before="0" w:after="0"/>
                      <w:ind w:right="-176"/>
                      <w:rPr>
                        <w:rFonts w:ascii="Arial Narrow" w:hAnsi="Arial Narrow"/>
                        <w:caps/>
                        <w:color w:val="808080"/>
                        <w:sz w:val="20"/>
                        <w:szCs w:val="20"/>
                        <w:lang w:val="en-US"/>
                      </w:rPr>
                    </w:pPr>
                    <w:r w:rsidRPr="008D3000">
                      <w:rPr>
                        <w:rFonts w:ascii="Arial Narrow" w:hAnsi="Arial Narrow"/>
                        <w:caps/>
                        <w:color w:val="808080"/>
                        <w:sz w:val="20"/>
                        <w:szCs w:val="20"/>
                        <w:lang w:val="en-US"/>
                      </w:rPr>
                      <w:t xml:space="preserve">Consumer prices: </w:t>
                    </w:r>
                  </w:p>
                  <w:p w:rsidR="008C698F" w:rsidRPr="008D3000" w:rsidRDefault="008C698F" w:rsidP="005E147E">
                    <w:pPr>
                      <w:pStyle w:val="Titolo3"/>
                      <w:tabs>
                        <w:tab w:val="right" w:pos="9360"/>
                      </w:tabs>
                      <w:spacing w:before="0" w:after="0"/>
                      <w:ind w:right="-176"/>
                      <w:rPr>
                        <w:rFonts w:ascii="Arial Narrow" w:hAnsi="Arial Narrow"/>
                        <w:caps/>
                        <w:color w:val="808080"/>
                        <w:sz w:val="20"/>
                        <w:szCs w:val="20"/>
                        <w:lang w:val="en-US"/>
                      </w:rPr>
                    </w:pPr>
                    <w:r>
                      <w:rPr>
                        <w:rFonts w:ascii="Arial Narrow" w:hAnsi="Arial Narrow"/>
                        <w:caps/>
                        <w:color w:val="808080"/>
                        <w:sz w:val="20"/>
                        <w:szCs w:val="20"/>
                        <w:lang w:val="en-US"/>
                      </w:rPr>
                      <w:t>provisional</w:t>
                    </w:r>
                    <w:r w:rsidRPr="008D3000">
                      <w:rPr>
                        <w:rFonts w:ascii="Arial Narrow" w:hAnsi="Arial Narrow"/>
                        <w:caps/>
                        <w:color w:val="808080"/>
                        <w:sz w:val="20"/>
                        <w:szCs w:val="20"/>
                        <w:lang w:val="en-US"/>
                      </w:rPr>
                      <w:t xml:space="preserve"> data</w:t>
                    </w:r>
                  </w:p>
                  <w:p w:rsidR="008C698F" w:rsidRPr="0017508C" w:rsidRDefault="008C698F" w:rsidP="005E147E">
                    <w:pPr>
                      <w:pStyle w:val="Intestazione"/>
                      <w:overflowPunct/>
                      <w:autoSpaceDE/>
                      <w:autoSpaceDN/>
                      <w:adjustRightInd/>
                      <w:spacing w:before="0" w:after="0" w:line="200" w:lineRule="exact"/>
                      <w:rPr>
                        <w:rFonts w:ascii="Arial Narrow" w:hAnsi="Arial Narrow"/>
                        <w:b/>
                        <w:color w:val="999999"/>
                        <w:kern w:val="0"/>
                      </w:rPr>
                    </w:pPr>
                  </w:p>
                </w:txbxContent>
              </v:textbox>
            </v:shape>
          </w:pict>
        </mc:Fallback>
      </mc:AlternateContent>
    </w:r>
    <w:r>
      <w:rPr>
        <w:noProof/>
      </w:rPr>
      <w:drawing>
        <wp:inline distT="0" distB="0" distL="0" distR="0" wp14:anchorId="60EEA915" wp14:editId="3ED97195">
          <wp:extent cx="6480175" cy="586645"/>
          <wp:effectExtent l="0" t="0" r="0" b="4445"/>
          <wp:docPr id="50" name="Immagine 50" descr="C:\Users\e.vaccaro\Desktop\CONTROLLO INGLESE DI FINE FEBBRAIO 2019\iconeComunicatiRossoEn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accaro\Desktop\CONTROLLO INGLESE DI FINE FEBBRAIO 2019\iconeComunicatiRossoEn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5866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8F" w:rsidRDefault="008C698F" w:rsidP="00501603">
    <w:pPr>
      <w:pStyle w:val="Intestazione"/>
    </w:pPr>
    <w:r>
      <w:rPr>
        <w:noProof/>
      </w:rPr>
      <mc:AlternateContent>
        <mc:Choice Requires="wps">
          <w:drawing>
            <wp:anchor distT="0" distB="0" distL="114300" distR="114300" simplePos="0" relativeHeight="251676160" behindDoc="0" locked="0" layoutInCell="1" allowOverlap="1" wp14:anchorId="2C8150D9" wp14:editId="7807726A">
              <wp:simplePos x="0" y="0"/>
              <wp:positionH relativeFrom="margin">
                <wp:posOffset>5440680</wp:posOffset>
              </wp:positionH>
              <wp:positionV relativeFrom="paragraph">
                <wp:posOffset>52070</wp:posOffset>
              </wp:positionV>
              <wp:extent cx="1114425" cy="962025"/>
              <wp:effectExtent l="0" t="0" r="9525" b="9525"/>
              <wp:wrapNone/>
              <wp:docPr id="3" name="Casella di testo 3"/>
              <wp:cNvGraphicFramePr/>
              <a:graphic xmlns:a="http://schemas.openxmlformats.org/drawingml/2006/main">
                <a:graphicData uri="http://schemas.microsoft.com/office/word/2010/wordprocessingShape">
                  <wps:wsp>
                    <wps:cNvSpPr txBox="1"/>
                    <wps:spPr>
                      <a:xfrm>
                        <a:off x="0" y="0"/>
                        <a:ext cx="1114425" cy="962025"/>
                      </a:xfrm>
                      <a:prstGeom prst="rect">
                        <a:avLst/>
                      </a:prstGeom>
                      <a:solidFill>
                        <a:schemeClr val="lt1"/>
                      </a:solidFill>
                      <a:ln w="6350">
                        <a:noFill/>
                      </a:ln>
                    </wps:spPr>
                    <wps:txbx>
                      <w:txbxContent>
                        <w:p w:rsidR="008C698F" w:rsidRDefault="00C8186C" w:rsidP="00EC3DAC">
                          <w:pPr>
                            <w:spacing w:before="0" w:after="0"/>
                            <w:rPr>
                              <w:rStyle w:val="Collegamentoipertestuale"/>
                              <w:rFonts w:ascii="Arial Narrow" w:hAnsi="Arial Narrow"/>
                              <w:sz w:val="18"/>
                              <w:szCs w:val="18"/>
                            </w:rPr>
                          </w:pPr>
                          <w:hyperlink r:id="rId1" w:history="1">
                            <w:r w:rsidR="008C698F">
                              <w:rPr>
                                <w:rStyle w:val="Collegamentoipertestuale"/>
                                <w:rFonts w:ascii="Arial Narrow" w:hAnsi="Arial Narrow"/>
                                <w:sz w:val="18"/>
                                <w:szCs w:val="18"/>
                              </w:rPr>
                              <w:t>http://www.istat.it</w:t>
                            </w:r>
                          </w:hyperlink>
                          <w:r w:rsidR="008C698F">
                            <w:rPr>
                              <w:rStyle w:val="Collegamentoipertestuale"/>
                              <w:rFonts w:ascii="Arial Narrow" w:hAnsi="Arial Narrow"/>
                              <w:sz w:val="18"/>
                              <w:szCs w:val="18"/>
                            </w:rPr>
                            <w:t>/en/</w:t>
                          </w:r>
                        </w:p>
                        <w:p w:rsidR="008C698F" w:rsidRDefault="008C698F" w:rsidP="00EC3DAC">
                          <w:pPr>
                            <w:spacing w:before="0" w:after="0"/>
                            <w:rPr>
                              <w:rFonts w:ascii="Arial Narrow" w:hAnsi="Arial Narrow"/>
                              <w:sz w:val="18"/>
                              <w:szCs w:val="18"/>
                            </w:rPr>
                          </w:pPr>
                        </w:p>
                        <w:p w:rsidR="008C698F" w:rsidRPr="00273F1C" w:rsidRDefault="00C8186C" w:rsidP="00EC3DAC">
                          <w:pPr>
                            <w:spacing w:before="0" w:after="0"/>
                            <w:rPr>
                              <w:rFonts w:ascii="Arial Narrow" w:hAnsi="Arial Narrow"/>
                              <w:b/>
                              <w:bCs/>
                              <w:sz w:val="18"/>
                              <w:szCs w:val="18"/>
                              <w:lang w:val="en-US"/>
                            </w:rPr>
                          </w:pPr>
                          <w:hyperlink r:id="rId2" w:history="1">
                            <w:r w:rsidR="008C698F" w:rsidRPr="00273F1C">
                              <w:rPr>
                                <w:rStyle w:val="Collegamentoipertestuale"/>
                                <w:rFonts w:ascii="Arial Narrow" w:hAnsi="Arial Narrow"/>
                                <w:b/>
                                <w:bCs/>
                                <w:sz w:val="18"/>
                                <w:szCs w:val="18"/>
                                <w:lang w:val="en-US"/>
                              </w:rPr>
                              <w:t>Contact Centre</w:t>
                            </w:r>
                          </w:hyperlink>
                        </w:p>
                        <w:p w:rsidR="008C698F" w:rsidRPr="00273F1C" w:rsidRDefault="008C698F" w:rsidP="00EC3DAC">
                          <w:pPr>
                            <w:spacing w:before="0" w:after="0"/>
                            <w:rPr>
                              <w:rFonts w:ascii="Arial Narrow" w:hAnsi="Arial Narrow"/>
                              <w:b/>
                              <w:bCs/>
                              <w:sz w:val="18"/>
                              <w:szCs w:val="18"/>
                              <w:lang w:val="en-US"/>
                            </w:rPr>
                          </w:pPr>
                        </w:p>
                        <w:p w:rsidR="008C698F" w:rsidRDefault="008C698F" w:rsidP="00EC3DAC">
                          <w:pPr>
                            <w:spacing w:before="0" w:after="0"/>
                            <w:rPr>
                              <w:rFonts w:ascii="Arial Narrow" w:hAnsi="Arial Narrow"/>
                              <w:b/>
                              <w:bCs/>
                              <w:sz w:val="18"/>
                              <w:szCs w:val="18"/>
                              <w:lang w:val="en-US"/>
                            </w:rPr>
                          </w:pPr>
                          <w:r w:rsidRPr="00C90CEE">
                            <w:rPr>
                              <w:rFonts w:ascii="Arial Narrow" w:hAnsi="Arial Narrow"/>
                              <w:b/>
                              <w:bCs/>
                              <w:sz w:val="18"/>
                              <w:szCs w:val="18"/>
                              <w:lang w:val="en-US"/>
                            </w:rPr>
                            <w:t>Press office</w:t>
                          </w:r>
                          <w:r w:rsidRPr="00C90CEE">
                            <w:rPr>
                              <w:rFonts w:ascii="Arial Narrow" w:hAnsi="Arial Narrow"/>
                              <w:b/>
                              <w:bCs/>
                              <w:sz w:val="18"/>
                              <w:szCs w:val="18"/>
                              <w:lang w:val="en-US"/>
                            </w:rPr>
                            <w:br/>
                          </w:r>
                          <w:r w:rsidRPr="00C90CEE">
                            <w:rPr>
                              <w:rFonts w:ascii="Arial Narrow" w:hAnsi="Arial Narrow"/>
                              <w:sz w:val="18"/>
                              <w:szCs w:val="18"/>
                              <w:lang w:val="en-US"/>
                            </w:rPr>
                            <w:t xml:space="preserve">tel. </w:t>
                          </w:r>
                          <w:r>
                            <w:rPr>
                              <w:rFonts w:ascii="Arial Narrow" w:hAnsi="Arial Narrow"/>
                              <w:sz w:val="18"/>
                              <w:szCs w:val="18"/>
                              <w:lang w:val="en-US"/>
                            </w:rPr>
                            <w:t>+39 06 4673.2243/4</w:t>
                          </w:r>
                        </w:p>
                        <w:p w:rsidR="008C698F" w:rsidRDefault="00C8186C" w:rsidP="00EC3DAC">
                          <w:pPr>
                            <w:spacing w:before="0" w:after="0"/>
                            <w:rPr>
                              <w:rFonts w:ascii="Arial Narrow" w:hAnsi="Arial Narrow"/>
                              <w:b/>
                              <w:bCs/>
                              <w:color w:val="7F7F7F"/>
                              <w:sz w:val="18"/>
                              <w:szCs w:val="18"/>
                              <w:lang w:val="en-US"/>
                            </w:rPr>
                          </w:pPr>
                          <w:hyperlink r:id="rId3" w:history="1">
                            <w:r w:rsidR="008C698F">
                              <w:rPr>
                                <w:rStyle w:val="Collegamentoipertestuale"/>
                                <w:rFonts w:ascii="Arial Narrow" w:hAnsi="Arial Narrow"/>
                                <w:b/>
                                <w:bCs/>
                                <w:sz w:val="18"/>
                                <w:szCs w:val="18"/>
                                <w:lang w:val="en-US"/>
                              </w:rPr>
                              <w:t>ufficiostampa@istat.it</w:t>
                            </w:r>
                          </w:hyperlink>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150D9" id="_x0000_t202" coordsize="21600,21600" o:spt="202" path="m,l,21600r21600,l21600,xe">
              <v:stroke joinstyle="miter"/>
              <v:path gradientshapeok="t" o:connecttype="rect"/>
            </v:shapetype>
            <v:shape id="Casella di testo 3" o:spid="_x0000_s1027" type="#_x0000_t202" style="position:absolute;margin-left:428.4pt;margin-top:4.1pt;width:87.75pt;height:75.75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" fillcolor="white [3201]" stroked="f" strokeweight=".5pt">
              <v:textbox inset="0,0,0,0">
                <w:txbxContent>
                  <w:p w:rsidR="008C698F" w:rsidRDefault="008C698F" w:rsidP="00EC3DAC">
                    <w:pPr>
                      <w:spacing w:before="0" w:after="0"/>
                      <w:rPr>
                        <w:rStyle w:val="Collegamentoipertestuale"/>
                        <w:rFonts w:ascii="Arial Narrow" w:hAnsi="Arial Narrow"/>
                        <w:sz w:val="18"/>
                        <w:szCs w:val="18"/>
                      </w:rPr>
                    </w:pPr>
                    <w:hyperlink r:id="rId4" w:history="1">
                      <w:r>
                        <w:rPr>
                          <w:rStyle w:val="Collegamentoipertestuale"/>
                          <w:rFonts w:ascii="Arial Narrow" w:hAnsi="Arial Narrow"/>
                          <w:sz w:val="18"/>
                          <w:szCs w:val="18"/>
                        </w:rPr>
                        <w:t>http://www.istat.it</w:t>
                      </w:r>
                    </w:hyperlink>
                    <w:r>
                      <w:rPr>
                        <w:rStyle w:val="Collegamentoipertestuale"/>
                        <w:rFonts w:ascii="Arial Narrow" w:hAnsi="Arial Narrow"/>
                        <w:sz w:val="18"/>
                        <w:szCs w:val="18"/>
                      </w:rPr>
                      <w:t>/en/</w:t>
                    </w:r>
                  </w:p>
                  <w:p w:rsidR="008C698F" w:rsidRDefault="008C698F" w:rsidP="00EC3DAC">
                    <w:pPr>
                      <w:spacing w:before="0" w:after="0"/>
                      <w:rPr>
                        <w:rFonts w:ascii="Arial Narrow" w:hAnsi="Arial Narrow"/>
                        <w:sz w:val="18"/>
                        <w:szCs w:val="18"/>
                      </w:rPr>
                    </w:pPr>
                  </w:p>
                  <w:p w:rsidR="008C698F" w:rsidRPr="00273F1C" w:rsidRDefault="008C698F" w:rsidP="00EC3DAC">
                    <w:pPr>
                      <w:spacing w:before="0" w:after="0"/>
                      <w:rPr>
                        <w:rFonts w:ascii="Arial Narrow" w:hAnsi="Arial Narrow"/>
                        <w:b/>
                        <w:bCs/>
                        <w:sz w:val="18"/>
                        <w:szCs w:val="18"/>
                        <w:lang w:val="en-US"/>
                      </w:rPr>
                    </w:pPr>
                    <w:hyperlink r:id="rId5" w:history="1">
                      <w:r w:rsidRPr="00273F1C">
                        <w:rPr>
                          <w:rStyle w:val="Collegamentoipertestuale"/>
                          <w:rFonts w:ascii="Arial Narrow" w:hAnsi="Arial Narrow"/>
                          <w:b/>
                          <w:bCs/>
                          <w:sz w:val="18"/>
                          <w:szCs w:val="18"/>
                          <w:lang w:val="en-US"/>
                        </w:rPr>
                        <w:t>Contact Centre</w:t>
                      </w:r>
                    </w:hyperlink>
                  </w:p>
                  <w:p w:rsidR="008C698F" w:rsidRPr="00273F1C" w:rsidRDefault="008C698F" w:rsidP="00EC3DAC">
                    <w:pPr>
                      <w:spacing w:before="0" w:after="0"/>
                      <w:rPr>
                        <w:rFonts w:ascii="Arial Narrow" w:hAnsi="Arial Narrow"/>
                        <w:b/>
                        <w:bCs/>
                        <w:sz w:val="18"/>
                        <w:szCs w:val="18"/>
                        <w:lang w:val="en-US"/>
                      </w:rPr>
                    </w:pPr>
                  </w:p>
                  <w:p w:rsidR="008C698F" w:rsidRDefault="008C698F" w:rsidP="00EC3DAC">
                    <w:pPr>
                      <w:spacing w:before="0" w:after="0"/>
                      <w:rPr>
                        <w:rFonts w:ascii="Arial Narrow" w:hAnsi="Arial Narrow"/>
                        <w:b/>
                        <w:bCs/>
                        <w:sz w:val="18"/>
                        <w:szCs w:val="18"/>
                        <w:lang w:val="en-US"/>
                      </w:rPr>
                    </w:pPr>
                    <w:r w:rsidRPr="00C90CEE">
                      <w:rPr>
                        <w:rFonts w:ascii="Arial Narrow" w:hAnsi="Arial Narrow"/>
                        <w:b/>
                        <w:bCs/>
                        <w:sz w:val="18"/>
                        <w:szCs w:val="18"/>
                        <w:lang w:val="en-US"/>
                      </w:rPr>
                      <w:t>Press office</w:t>
                    </w:r>
                    <w:r w:rsidRPr="00C90CEE">
                      <w:rPr>
                        <w:rFonts w:ascii="Arial Narrow" w:hAnsi="Arial Narrow"/>
                        <w:b/>
                        <w:bCs/>
                        <w:sz w:val="18"/>
                        <w:szCs w:val="18"/>
                        <w:lang w:val="en-US"/>
                      </w:rPr>
                      <w:br/>
                    </w:r>
                    <w:r w:rsidRPr="00C90CEE">
                      <w:rPr>
                        <w:rFonts w:ascii="Arial Narrow" w:hAnsi="Arial Narrow"/>
                        <w:sz w:val="18"/>
                        <w:szCs w:val="18"/>
                        <w:lang w:val="en-US"/>
                      </w:rPr>
                      <w:t xml:space="preserve">tel. </w:t>
                    </w:r>
                    <w:r>
                      <w:rPr>
                        <w:rFonts w:ascii="Arial Narrow" w:hAnsi="Arial Narrow"/>
                        <w:sz w:val="18"/>
                        <w:szCs w:val="18"/>
                        <w:lang w:val="en-US"/>
                      </w:rPr>
                      <w:t>+39 06 4673.2243/4</w:t>
                    </w:r>
                  </w:p>
                  <w:p w:rsidR="008C698F" w:rsidRDefault="008C698F" w:rsidP="00EC3DAC">
                    <w:pPr>
                      <w:spacing w:before="0" w:after="0"/>
                      <w:rPr>
                        <w:rFonts w:ascii="Arial Narrow" w:hAnsi="Arial Narrow"/>
                        <w:b/>
                        <w:bCs/>
                        <w:color w:val="7F7F7F"/>
                        <w:sz w:val="18"/>
                        <w:szCs w:val="18"/>
                        <w:lang w:val="en-US"/>
                      </w:rPr>
                    </w:pPr>
                    <w:hyperlink r:id="rId6" w:history="1">
                      <w:r>
                        <w:rPr>
                          <w:rStyle w:val="Collegamentoipertestuale"/>
                          <w:rFonts w:ascii="Arial Narrow" w:hAnsi="Arial Narrow"/>
                          <w:b/>
                          <w:bCs/>
                          <w:sz w:val="18"/>
                          <w:szCs w:val="18"/>
                          <w:lang w:val="en-US"/>
                        </w:rPr>
                        <w:t>ufficiostampa@istat.it</w:t>
                      </w:r>
                    </w:hyperlink>
                  </w:p>
                </w:txbxContent>
              </v:textbox>
              <w10:wrap anchorx="margin"/>
            </v:shape>
          </w:pict>
        </mc:Fallback>
      </mc:AlternateContent>
    </w:r>
    <w:r w:rsidRPr="00501603">
      <w:rPr>
        <w:noProof/>
      </w:rPr>
      <w:drawing>
        <wp:anchor distT="0" distB="0" distL="114300" distR="114300" simplePos="0" relativeHeight="251671040" behindDoc="0" locked="0" layoutInCell="1" allowOverlap="1" wp14:anchorId="6E95115C" wp14:editId="67C7F054">
          <wp:simplePos x="0" y="0"/>
          <wp:positionH relativeFrom="margin">
            <wp:posOffset>0</wp:posOffset>
          </wp:positionH>
          <wp:positionV relativeFrom="paragraph">
            <wp:posOffset>0</wp:posOffset>
          </wp:positionV>
          <wp:extent cx="5415382" cy="1014095"/>
          <wp:effectExtent l="0" t="0" r="0" b="0"/>
          <wp:wrapNone/>
          <wp:docPr id="52"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rotWithShape="1">
                  <a:blip r:embed="rId7">
                    <a:extLst>
                      <a:ext uri="{28A0092B-C50C-407E-A947-70E740481C1C}">
                        <a14:useLocalDpi xmlns:a14="http://schemas.microsoft.com/office/drawing/2010/main" val="0"/>
                      </a:ext>
                    </a:extLst>
                  </a:blip>
                  <a:srcRect r="15942" b="6420"/>
                  <a:stretch/>
                </pic:blipFill>
                <pic:spPr bwMode="auto">
                  <a:xfrm>
                    <a:off x="0" y="0"/>
                    <a:ext cx="5415382" cy="1014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1603">
      <w:rPr>
        <w:noProof/>
      </w:rPr>
      <mc:AlternateContent>
        <mc:Choice Requires="wps">
          <w:drawing>
            <wp:anchor distT="0" distB="0" distL="114300" distR="114300" simplePos="0" relativeHeight="251673088" behindDoc="0" locked="0" layoutInCell="1" allowOverlap="1" wp14:anchorId="2CF87E24" wp14:editId="540BF435">
              <wp:simplePos x="0" y="0"/>
              <wp:positionH relativeFrom="margin">
                <wp:posOffset>0</wp:posOffset>
              </wp:positionH>
              <wp:positionV relativeFrom="paragraph">
                <wp:posOffset>1126490</wp:posOffset>
              </wp:positionV>
              <wp:extent cx="6414897" cy="0"/>
              <wp:effectExtent l="0" t="0" r="0" b="0"/>
              <wp:wrapNone/>
              <wp:docPr id="29" name="Connettore 1 15"/>
              <wp:cNvGraphicFramePr/>
              <a:graphic xmlns:a="http://schemas.openxmlformats.org/drawingml/2006/main">
                <a:graphicData uri="http://schemas.microsoft.com/office/word/2010/wordprocessingShape">
                  <wps:wsp>
                    <wps:cNvCnPr/>
                    <wps:spPr>
                      <a:xfrm>
                        <a:off x="0" y="0"/>
                        <a:ext cx="6414897" cy="0"/>
                      </a:xfrm>
                      <a:prstGeom prst="line">
                        <a:avLst/>
                      </a:prstGeom>
                      <a:ln w="952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61A25F" id="Connettore 1 15" o:spid="_x0000_s1026" style="position:absolute;z-index:2516730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88.7pt" to="505.1pt,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" strokecolor="#7f7f7f [1612]">
              <w10:wrap anchorx="margin"/>
            </v:line>
          </w:pict>
        </mc:Fallback>
      </mc:AlternateContent>
    </w:r>
    <w:r w:rsidRPr="00501603">
      <w:rPr>
        <w:noProof/>
      </w:rPr>
      <mc:AlternateContent>
        <mc:Choice Requires="wps">
          <w:drawing>
            <wp:anchor distT="0" distB="0" distL="114300" distR="114300" simplePos="0" relativeHeight="251674112" behindDoc="0" locked="0" layoutInCell="1" allowOverlap="1" wp14:anchorId="65E4AAC4" wp14:editId="10780EFA">
              <wp:simplePos x="0" y="0"/>
              <wp:positionH relativeFrom="column">
                <wp:posOffset>3898900</wp:posOffset>
              </wp:positionH>
              <wp:positionV relativeFrom="paragraph">
                <wp:posOffset>105410</wp:posOffset>
              </wp:positionV>
              <wp:extent cx="1321435" cy="325755"/>
              <wp:effectExtent l="0" t="0" r="0" b="5080"/>
              <wp:wrapNone/>
              <wp:docPr id="3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21435" cy="325755"/>
                      </a:xfrm>
                      <a:prstGeom prst="rect">
                        <a:avLst/>
                      </a:prstGeom>
                      <a:solidFill>
                        <a:srgbClr val="FFFFFF"/>
                      </a:solidFill>
                      <a:ln w="9525">
                        <a:solidFill>
                          <a:srgbClr val="FFFFFF"/>
                        </a:solidFill>
                        <a:miter lim="800000"/>
                        <a:headEnd/>
                        <a:tailEnd/>
                      </a:ln>
                    </wps:spPr>
                    <wps:txbx>
                      <w:txbxContent>
                        <w:p w:rsidR="008C698F" w:rsidRPr="00E80F7D" w:rsidRDefault="008C698F" w:rsidP="00501603">
                          <w:pPr>
                            <w:jc w:val="right"/>
                            <w:rPr>
                              <w:kern w:val="0"/>
                            </w:rPr>
                          </w:pPr>
                          <w:r>
                            <w:rPr>
                              <w:rFonts w:ascii="Arial Narrow" w:hAnsi="Arial Narrow"/>
                              <w:b/>
                              <w:color w:val="5F5F5F"/>
                              <w:sz w:val="26"/>
                              <w:szCs w:val="26"/>
                            </w:rPr>
                            <w:t>31 July 2024</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E4AAC4" id="Casella di testo 2" o:spid="_x0000_s1028" type="#_x0000_t202" style="position:absolute;margin-left:307pt;margin-top:8.3pt;width:104.05pt;height:25.65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" strokecolor="white">
              <v:path arrowok="t"/>
              <v:textbox style="mso-fit-shape-to-text:t" inset="0,0,0,0">
                <w:txbxContent>
                  <w:p w:rsidR="008C698F" w:rsidRPr="00E80F7D" w:rsidRDefault="008C698F" w:rsidP="00501603">
                    <w:pPr>
                      <w:jc w:val="right"/>
                      <w:rPr>
                        <w:kern w:val="0"/>
                      </w:rPr>
                    </w:pPr>
                    <w:r>
                      <w:rPr>
                        <w:rFonts w:ascii="Arial Narrow" w:hAnsi="Arial Narrow"/>
                        <w:b/>
                        <w:color w:val="5F5F5F"/>
                        <w:sz w:val="26"/>
                        <w:szCs w:val="26"/>
                      </w:rPr>
                      <w:t>31 July 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8F" w:rsidRPr="00705411" w:rsidRDefault="008C698F" w:rsidP="009E5F03">
    <w:pPr>
      <w:pStyle w:val="Intestazione"/>
    </w:pPr>
    <w:r>
      <w:rPr>
        <w:noProof/>
      </w:rPr>
      <mc:AlternateContent>
        <mc:Choice Requires="wps">
          <w:drawing>
            <wp:anchor distT="0" distB="0" distL="114300" distR="114300" simplePos="0" relativeHeight="251655680" behindDoc="0" locked="0" layoutInCell="1" allowOverlap="1">
              <wp:simplePos x="0" y="0"/>
              <wp:positionH relativeFrom="column">
                <wp:posOffset>516255</wp:posOffset>
              </wp:positionH>
              <wp:positionV relativeFrom="paragraph">
                <wp:posOffset>62230</wp:posOffset>
              </wp:positionV>
              <wp:extent cx="1748155" cy="136525"/>
              <wp:effectExtent l="11430" t="5080" r="12065" b="7620"/>
              <wp:wrapNone/>
              <wp:docPr id="4"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155" cy="136525"/>
                      </a:xfrm>
                      <a:prstGeom prst="rect">
                        <a:avLst/>
                      </a:prstGeom>
                      <a:solidFill>
                        <a:srgbClr val="FFFFFF"/>
                      </a:solidFill>
                      <a:ln w="9525">
                        <a:solidFill>
                          <a:srgbClr val="FFFFFF"/>
                        </a:solidFill>
                        <a:miter lim="800000"/>
                        <a:headEnd/>
                        <a:tailEnd/>
                      </a:ln>
                    </wps:spPr>
                    <wps:txbx>
                      <w:txbxContent>
                        <w:p w:rsidR="008C698F" w:rsidRPr="00D8658C" w:rsidRDefault="008C698F" w:rsidP="00B249D0">
                          <w:pPr>
                            <w:pStyle w:val="Intestazione"/>
                            <w:overflowPunct/>
                            <w:autoSpaceDE/>
                            <w:autoSpaceDN/>
                            <w:adjustRightInd/>
                            <w:spacing w:before="0" w:after="0" w:line="200" w:lineRule="exact"/>
                            <w:rPr>
                              <w:rFonts w:ascii="Arial Narrow" w:hAnsi="Arial Narrow"/>
                              <w:b/>
                              <w:color w:val="808080"/>
                              <w:kern w:val="0"/>
                            </w:rPr>
                          </w:pPr>
                          <w:r>
                            <w:rPr>
                              <w:rFonts w:ascii="Arial Narrow" w:hAnsi="Arial Narrow"/>
                              <w:b/>
                              <w:color w:val="808080"/>
                              <w:kern w:val="0"/>
                            </w:rPr>
                            <w:t>CONSUMER PRICES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40.65pt;margin-top:4.9pt;width:137.65pt;height:10.7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" strokecolor="white">
              <v:textbox style="mso-fit-shape-to-text:t" inset="0,0,0,0">
                <w:txbxContent>
                  <w:p w:rsidR="008C698F" w:rsidRPr="00D8658C" w:rsidRDefault="008C698F" w:rsidP="00B249D0">
                    <w:pPr>
                      <w:pStyle w:val="Intestazione"/>
                      <w:overflowPunct/>
                      <w:autoSpaceDE/>
                      <w:autoSpaceDN/>
                      <w:adjustRightInd/>
                      <w:spacing w:before="0" w:after="0" w:line="200" w:lineRule="exact"/>
                      <w:rPr>
                        <w:rFonts w:ascii="Arial Narrow" w:hAnsi="Arial Narrow"/>
                        <w:b/>
                        <w:color w:val="808080"/>
                        <w:kern w:val="0"/>
                      </w:rPr>
                    </w:pPr>
                    <w:r>
                      <w:rPr>
                        <w:rFonts w:ascii="Arial Narrow" w:hAnsi="Arial Narrow"/>
                        <w:b/>
                        <w:color w:val="808080"/>
                        <w:kern w:val="0"/>
                      </w:rPr>
                      <w:t>CONSUMER PRICES</w:t>
                    </w:r>
                  </w:p>
                </w:txbxContent>
              </v:textbox>
            </v:shape>
          </w:pict>
        </mc:Fallback>
      </mc:AlternateContent>
    </w:r>
    <w:r>
      <w:rPr>
        <w:noProof/>
      </w:rPr>
      <w:drawing>
        <wp:inline distT="0" distB="0" distL="0" distR="0">
          <wp:extent cx="6477000" cy="590550"/>
          <wp:effectExtent l="0" t="0" r="0" b="0"/>
          <wp:docPr id="12" name="Immagine 12" descr="iconeComunicatiRossoEn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eComunicatiRossoEn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5905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8F" w:rsidRPr="009E5F03" w:rsidRDefault="008C698F" w:rsidP="000F1874">
    <w:pPr>
      <w:pStyle w:val="Intestazione"/>
      <w:ind w:left="142" w:hanging="142"/>
    </w:pPr>
    <w:r>
      <w:rPr>
        <w:noProof/>
      </w:rPr>
      <w:drawing>
        <wp:inline distT="0" distB="0" distL="0" distR="0" wp14:anchorId="3AAB8628" wp14:editId="614690C9">
          <wp:extent cx="6480175" cy="588645"/>
          <wp:effectExtent l="0" t="0" r="0" b="1905"/>
          <wp:docPr id="17" name="Immagine 12" descr="C:\Users\e.vaccaro\Desktop\CONTROLLO INGLESE DI FINE FEBBRAIO 2019\TestataFlashEng\iconeComunicatiRossoEng-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C:\Users\e.vaccaro\Desktop\CONTROLLO INGLESE DI FINE FEBBRAIO 2019\TestataFlashEng\iconeComunicatiRossoEng-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588645"/>
                  </a:xfrm>
                  <a:prstGeom prst="rect">
                    <a:avLst/>
                  </a:prstGeom>
                  <a:noFill/>
                  <a:ln>
                    <a:noFill/>
                  </a:ln>
                </pic:spPr>
              </pic:pic>
            </a:graphicData>
          </a:graphic>
        </wp:inline>
      </w:drawing>
    </w:r>
    <w:r>
      <w:rPr>
        <w:noProof/>
      </w:rPr>
      <mc:AlternateContent>
        <mc:Choice Requires="wps">
          <w:drawing>
            <wp:anchor distT="0" distB="0" distL="114300" distR="114300" simplePos="0" relativeHeight="251678208" behindDoc="0" locked="0" layoutInCell="1" allowOverlap="1" wp14:anchorId="6B2D4A34" wp14:editId="4384AF44">
              <wp:simplePos x="0" y="0"/>
              <wp:positionH relativeFrom="column">
                <wp:posOffset>551815</wp:posOffset>
              </wp:positionH>
              <wp:positionV relativeFrom="paragraph">
                <wp:posOffset>78105</wp:posOffset>
              </wp:positionV>
              <wp:extent cx="1747520" cy="263525"/>
              <wp:effectExtent l="8890" t="11430" r="5715" b="762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263525"/>
                      </a:xfrm>
                      <a:prstGeom prst="rect">
                        <a:avLst/>
                      </a:prstGeom>
                      <a:solidFill>
                        <a:srgbClr val="FFFFFF"/>
                      </a:solidFill>
                      <a:ln w="9525">
                        <a:solidFill>
                          <a:srgbClr val="FFFFFF"/>
                        </a:solidFill>
                        <a:miter lim="800000"/>
                        <a:headEnd/>
                        <a:tailEnd/>
                      </a:ln>
                    </wps:spPr>
                    <wps:txbx>
                      <w:txbxContent>
                        <w:p w:rsidR="008C698F" w:rsidRPr="002C66BD" w:rsidRDefault="008C698F" w:rsidP="00CA4731">
                          <w:pPr>
                            <w:pStyle w:val="Intestazione"/>
                            <w:overflowPunct/>
                            <w:autoSpaceDE/>
                            <w:autoSpaceDN/>
                            <w:adjustRightInd/>
                            <w:spacing w:before="0" w:after="0" w:line="200" w:lineRule="exact"/>
                            <w:rPr>
                              <w:rFonts w:ascii="Arial Narrow" w:hAnsi="Arial Narrow"/>
                              <w:b/>
                              <w:color w:val="808080"/>
                              <w:kern w:val="0"/>
                            </w:rPr>
                          </w:pPr>
                          <w:r>
                            <w:rPr>
                              <w:rFonts w:ascii="Arial Narrow" w:hAnsi="Arial Narrow"/>
                              <w:b/>
                              <w:color w:val="808080"/>
                              <w:kern w:val="0"/>
                            </w:rPr>
                            <w:t>CONSUMER PRICES</w:t>
                          </w:r>
                        </w:p>
                        <w:p w:rsidR="008C698F" w:rsidRPr="0017508C" w:rsidRDefault="008C698F" w:rsidP="00B249D0">
                          <w:pPr>
                            <w:pStyle w:val="Intestazione"/>
                            <w:overflowPunct/>
                            <w:autoSpaceDE/>
                            <w:autoSpaceDN/>
                            <w:adjustRightInd/>
                            <w:spacing w:before="0" w:after="0" w:line="200" w:lineRule="exact"/>
                            <w:rPr>
                              <w:rFonts w:ascii="Arial Narrow" w:hAnsi="Arial Narrow"/>
                              <w:b/>
                              <w:color w:val="999999"/>
                              <w:kern w:val="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2D4A34" id="_x0000_t202" coordsize="21600,21600" o:spt="202" path="m,l,21600r21600,l21600,xe">
              <v:stroke joinstyle="miter"/>
              <v:path gradientshapeok="t" o:connecttype="rect"/>
            </v:shapetype>
            <v:shape id="_x0000_s1030" type="#_x0000_t202" style="position:absolute;left:0;text-align:left;margin-left:43.45pt;margin-top:6.15pt;width:137.6pt;height:20.75pt;z-index:251678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" strokecolor="white">
              <v:textbox style="mso-fit-shape-to-text:t" inset="0,0,0,0">
                <w:txbxContent>
                  <w:p w:rsidR="008C698F" w:rsidRPr="002C66BD" w:rsidRDefault="008C698F" w:rsidP="00CA4731">
                    <w:pPr>
                      <w:pStyle w:val="Intestazione"/>
                      <w:overflowPunct/>
                      <w:autoSpaceDE/>
                      <w:autoSpaceDN/>
                      <w:adjustRightInd/>
                      <w:spacing w:before="0" w:after="0" w:line="200" w:lineRule="exact"/>
                      <w:rPr>
                        <w:rFonts w:ascii="Arial Narrow" w:hAnsi="Arial Narrow"/>
                        <w:b/>
                        <w:color w:val="808080"/>
                        <w:kern w:val="0"/>
                      </w:rPr>
                    </w:pPr>
                    <w:r>
                      <w:rPr>
                        <w:rFonts w:ascii="Arial Narrow" w:hAnsi="Arial Narrow"/>
                        <w:b/>
                        <w:color w:val="808080"/>
                        <w:kern w:val="0"/>
                      </w:rPr>
                      <w:t>CONSUMER PRICES</w:t>
                    </w:r>
                  </w:p>
                  <w:p w:rsidR="008C698F" w:rsidRPr="0017508C" w:rsidRDefault="008C698F" w:rsidP="00B249D0">
                    <w:pPr>
                      <w:pStyle w:val="Intestazione"/>
                      <w:overflowPunct/>
                      <w:autoSpaceDE/>
                      <w:autoSpaceDN/>
                      <w:adjustRightInd/>
                      <w:spacing w:before="0" w:after="0" w:line="200" w:lineRule="exact"/>
                      <w:rPr>
                        <w:rFonts w:ascii="Arial Narrow" w:hAnsi="Arial Narrow"/>
                        <w:b/>
                        <w:color w:val="999999"/>
                        <w:kern w:val="0"/>
                      </w:rPr>
                    </w:pP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8F" w:rsidRPr="009E5F03" w:rsidRDefault="008C698F" w:rsidP="000F1874">
    <w:pPr>
      <w:pStyle w:val="Intestazione"/>
      <w:ind w:left="142" w:hanging="142"/>
    </w:pPr>
    <w:r>
      <w:rPr>
        <w:noProof/>
      </w:rPr>
      <w:drawing>
        <wp:inline distT="0" distB="0" distL="0" distR="0" wp14:anchorId="017BDF76" wp14:editId="08386173">
          <wp:extent cx="6480175" cy="588645"/>
          <wp:effectExtent l="0" t="0" r="0" b="1905"/>
          <wp:docPr id="9" name="Immagine 23" descr="C:\Users\e.vaccaro\Desktop\CONTROLLO INGLESE DI FINE FEBBRAIO 2019\TestataFlashEng\iconeComunicatiRossoEng-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descr="C:\Users\e.vaccaro\Desktop\CONTROLLO INGLESE DI FINE FEBBRAIO 2019\TestataFlashEng\iconeComunicatiRossoEng-0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175" cy="588645"/>
                  </a:xfrm>
                  <a:prstGeom prst="rect">
                    <a:avLst/>
                  </a:prstGeom>
                  <a:noFill/>
                  <a:ln>
                    <a:noFill/>
                  </a:ln>
                </pic:spPr>
              </pic:pic>
            </a:graphicData>
          </a:graphic>
        </wp:inline>
      </w:drawing>
    </w:r>
    <w:r>
      <w:rPr>
        <w:noProof/>
      </w:rPr>
      <mc:AlternateContent>
        <mc:Choice Requires="wps">
          <w:drawing>
            <wp:anchor distT="0" distB="0" distL="114300" distR="114300" simplePos="0" relativeHeight="251659776" behindDoc="0" locked="0" layoutInCell="1" allowOverlap="1" wp14:anchorId="75FF395D" wp14:editId="5B48A027">
              <wp:simplePos x="0" y="0"/>
              <wp:positionH relativeFrom="column">
                <wp:posOffset>551815</wp:posOffset>
              </wp:positionH>
              <wp:positionV relativeFrom="paragraph">
                <wp:posOffset>78105</wp:posOffset>
              </wp:positionV>
              <wp:extent cx="1747520" cy="263525"/>
              <wp:effectExtent l="8890" t="11430" r="5715" b="7620"/>
              <wp:wrapNone/>
              <wp:docPr id="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7520" cy="263525"/>
                      </a:xfrm>
                      <a:prstGeom prst="rect">
                        <a:avLst/>
                      </a:prstGeom>
                      <a:solidFill>
                        <a:srgbClr val="FFFFFF"/>
                      </a:solidFill>
                      <a:ln w="9525">
                        <a:solidFill>
                          <a:srgbClr val="FFFFFF"/>
                        </a:solidFill>
                        <a:miter lim="800000"/>
                        <a:headEnd/>
                        <a:tailEnd/>
                      </a:ln>
                    </wps:spPr>
                    <wps:txbx>
                      <w:txbxContent>
                        <w:p w:rsidR="008C698F" w:rsidRPr="002C66BD" w:rsidRDefault="008C698F" w:rsidP="00CA4731">
                          <w:pPr>
                            <w:pStyle w:val="Intestazione"/>
                            <w:overflowPunct/>
                            <w:autoSpaceDE/>
                            <w:autoSpaceDN/>
                            <w:adjustRightInd/>
                            <w:spacing w:before="0" w:after="0" w:line="200" w:lineRule="exact"/>
                            <w:rPr>
                              <w:rFonts w:ascii="Arial Narrow" w:hAnsi="Arial Narrow"/>
                              <w:b/>
                              <w:color w:val="808080"/>
                              <w:kern w:val="0"/>
                            </w:rPr>
                          </w:pPr>
                          <w:r>
                            <w:rPr>
                              <w:rFonts w:ascii="Arial Narrow" w:hAnsi="Arial Narrow"/>
                              <w:b/>
                              <w:color w:val="808080"/>
                              <w:kern w:val="0"/>
                            </w:rPr>
                            <w:t>CONSUMER PRICES</w:t>
                          </w:r>
                        </w:p>
                        <w:p w:rsidR="008C698F" w:rsidRPr="0017508C" w:rsidRDefault="008C698F" w:rsidP="00B249D0">
                          <w:pPr>
                            <w:pStyle w:val="Intestazione"/>
                            <w:overflowPunct/>
                            <w:autoSpaceDE/>
                            <w:autoSpaceDN/>
                            <w:adjustRightInd/>
                            <w:spacing w:before="0" w:after="0" w:line="200" w:lineRule="exact"/>
                            <w:rPr>
                              <w:rFonts w:ascii="Arial Narrow" w:hAnsi="Arial Narrow"/>
                              <w:b/>
                              <w:color w:val="999999"/>
                              <w:kern w:val="0"/>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5FF395D" id="_x0000_t202" coordsize="21600,21600" o:spt="202" path="m,l,21600r21600,l21600,xe">
              <v:stroke joinstyle="miter"/>
              <v:path gradientshapeok="t" o:connecttype="rect"/>
            </v:shapetype>
            <v:shape id="_x0000_s1031" type="#_x0000_t202" style="position:absolute;left:0;text-align:left;margin-left:43.45pt;margin-top:6.15pt;width:137.6pt;height:20.7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" strokecolor="white">
              <v:textbox style="mso-fit-shape-to-text:t" inset="0,0,0,0">
                <w:txbxContent>
                  <w:p w:rsidR="008C698F" w:rsidRPr="002C66BD" w:rsidRDefault="008C698F" w:rsidP="00CA4731">
                    <w:pPr>
                      <w:pStyle w:val="Intestazione"/>
                      <w:overflowPunct/>
                      <w:autoSpaceDE/>
                      <w:autoSpaceDN/>
                      <w:adjustRightInd/>
                      <w:spacing w:before="0" w:after="0" w:line="200" w:lineRule="exact"/>
                      <w:rPr>
                        <w:rFonts w:ascii="Arial Narrow" w:hAnsi="Arial Narrow"/>
                        <w:b/>
                        <w:color w:val="808080"/>
                        <w:kern w:val="0"/>
                      </w:rPr>
                    </w:pPr>
                    <w:r>
                      <w:rPr>
                        <w:rFonts w:ascii="Arial Narrow" w:hAnsi="Arial Narrow"/>
                        <w:b/>
                        <w:color w:val="808080"/>
                        <w:kern w:val="0"/>
                      </w:rPr>
                      <w:t>CONSUMER PRICES</w:t>
                    </w:r>
                  </w:p>
                  <w:p w:rsidR="008C698F" w:rsidRPr="0017508C" w:rsidRDefault="008C698F" w:rsidP="00B249D0">
                    <w:pPr>
                      <w:pStyle w:val="Intestazione"/>
                      <w:overflowPunct/>
                      <w:autoSpaceDE/>
                      <w:autoSpaceDN/>
                      <w:adjustRightInd/>
                      <w:spacing w:before="0" w:after="0" w:line="200" w:lineRule="exact"/>
                      <w:rPr>
                        <w:rFonts w:ascii="Arial Narrow" w:hAnsi="Arial Narrow"/>
                        <w:b/>
                        <w:color w:val="999999"/>
                        <w:kern w:val="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7.2pt" o:bullet="t">
        <v:imagedata r:id="rId1" o:title=""/>
      </v:shape>
    </w:pict>
  </w:numPicBullet>
  <w:abstractNum w:abstractNumId="0" w15:restartNumberingAfterBreak="0">
    <w:nsid w:val="026E56C4"/>
    <w:multiLevelType w:val="hybridMultilevel"/>
    <w:tmpl w:val="AB00ACB0"/>
    <w:lvl w:ilvl="0" w:tplc="723CD9BA">
      <w:start w:val="1"/>
      <w:numFmt w:val="bullet"/>
      <w:lvlText w:val=""/>
      <w:lvlPicBulletId w:val="0"/>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1" w15:restartNumberingAfterBreak="0">
    <w:nsid w:val="046129D4"/>
    <w:multiLevelType w:val="hybridMultilevel"/>
    <w:tmpl w:val="A41094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9045DC"/>
    <w:multiLevelType w:val="hybridMultilevel"/>
    <w:tmpl w:val="0BA630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272349"/>
    <w:multiLevelType w:val="hybridMultilevel"/>
    <w:tmpl w:val="6D12A344"/>
    <w:lvl w:ilvl="0" w:tplc="F5E2AA9C">
      <w:start w:val="1"/>
      <w:numFmt w:val="lowerLetter"/>
      <w:lvlText w:val="%1."/>
      <w:lvlJc w:val="left"/>
      <w:pPr>
        <w:ind w:left="1004" w:hanging="360"/>
      </w:pPr>
      <w:rPr>
        <w:color w:val="auto"/>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30C35533"/>
    <w:multiLevelType w:val="hybridMultilevel"/>
    <w:tmpl w:val="757EC376"/>
    <w:lvl w:ilvl="0" w:tplc="4E86E896">
      <w:start w:val="1"/>
      <w:numFmt w:val="lowerLetter"/>
      <w:lvlText w:val="%1)"/>
      <w:lvlJc w:val="left"/>
      <w:pPr>
        <w:ind w:left="704" w:hanging="4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4CC2B15"/>
    <w:multiLevelType w:val="hybridMultilevel"/>
    <w:tmpl w:val="968862AE"/>
    <w:lvl w:ilvl="0" w:tplc="723CD9BA">
      <w:start w:val="1"/>
      <w:numFmt w:val="bullet"/>
      <w:lvlText w:val=""/>
      <w:lvlPicBulletId w:val="0"/>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6" w15:restartNumberingAfterBreak="0">
    <w:nsid w:val="66D53A64"/>
    <w:multiLevelType w:val="hybridMultilevel"/>
    <w:tmpl w:val="E73EDCB6"/>
    <w:lvl w:ilvl="0" w:tplc="723CD9BA">
      <w:start w:val="1"/>
      <w:numFmt w:val="bullet"/>
      <w:lvlText w:val=""/>
      <w:lvlPicBulletId w:val="0"/>
      <w:lvlJc w:val="left"/>
      <w:pPr>
        <w:tabs>
          <w:tab w:val="num" w:pos="720"/>
        </w:tabs>
        <w:ind w:left="720" w:hanging="360"/>
      </w:pPr>
      <w:rPr>
        <w:rFonts w:ascii="Symbol" w:hAnsi="Symbol" w:hint="default"/>
      </w:rPr>
    </w:lvl>
    <w:lvl w:ilvl="1" w:tplc="58A4F34A" w:tentative="1">
      <w:start w:val="1"/>
      <w:numFmt w:val="bullet"/>
      <w:lvlText w:val=""/>
      <w:lvlJc w:val="left"/>
      <w:pPr>
        <w:tabs>
          <w:tab w:val="num" w:pos="1440"/>
        </w:tabs>
        <w:ind w:left="1440" w:hanging="360"/>
      </w:pPr>
      <w:rPr>
        <w:rFonts w:ascii="Symbol" w:hAnsi="Symbol" w:hint="default"/>
      </w:rPr>
    </w:lvl>
    <w:lvl w:ilvl="2" w:tplc="10282158" w:tentative="1">
      <w:start w:val="1"/>
      <w:numFmt w:val="bullet"/>
      <w:lvlText w:val=""/>
      <w:lvlJc w:val="left"/>
      <w:pPr>
        <w:tabs>
          <w:tab w:val="num" w:pos="2160"/>
        </w:tabs>
        <w:ind w:left="2160" w:hanging="360"/>
      </w:pPr>
      <w:rPr>
        <w:rFonts w:ascii="Symbol" w:hAnsi="Symbol" w:hint="default"/>
      </w:rPr>
    </w:lvl>
    <w:lvl w:ilvl="3" w:tplc="9C6C8776" w:tentative="1">
      <w:start w:val="1"/>
      <w:numFmt w:val="bullet"/>
      <w:lvlText w:val=""/>
      <w:lvlJc w:val="left"/>
      <w:pPr>
        <w:tabs>
          <w:tab w:val="num" w:pos="2880"/>
        </w:tabs>
        <w:ind w:left="2880" w:hanging="360"/>
      </w:pPr>
      <w:rPr>
        <w:rFonts w:ascii="Symbol" w:hAnsi="Symbol" w:hint="default"/>
      </w:rPr>
    </w:lvl>
    <w:lvl w:ilvl="4" w:tplc="539C2334" w:tentative="1">
      <w:start w:val="1"/>
      <w:numFmt w:val="bullet"/>
      <w:lvlText w:val=""/>
      <w:lvlJc w:val="left"/>
      <w:pPr>
        <w:tabs>
          <w:tab w:val="num" w:pos="3600"/>
        </w:tabs>
        <w:ind w:left="3600" w:hanging="360"/>
      </w:pPr>
      <w:rPr>
        <w:rFonts w:ascii="Symbol" w:hAnsi="Symbol" w:hint="default"/>
      </w:rPr>
    </w:lvl>
    <w:lvl w:ilvl="5" w:tplc="E6ECA502" w:tentative="1">
      <w:start w:val="1"/>
      <w:numFmt w:val="bullet"/>
      <w:lvlText w:val=""/>
      <w:lvlJc w:val="left"/>
      <w:pPr>
        <w:tabs>
          <w:tab w:val="num" w:pos="4320"/>
        </w:tabs>
        <w:ind w:left="4320" w:hanging="360"/>
      </w:pPr>
      <w:rPr>
        <w:rFonts w:ascii="Symbol" w:hAnsi="Symbol" w:hint="default"/>
      </w:rPr>
    </w:lvl>
    <w:lvl w:ilvl="6" w:tplc="BF40799E" w:tentative="1">
      <w:start w:val="1"/>
      <w:numFmt w:val="bullet"/>
      <w:lvlText w:val=""/>
      <w:lvlJc w:val="left"/>
      <w:pPr>
        <w:tabs>
          <w:tab w:val="num" w:pos="5040"/>
        </w:tabs>
        <w:ind w:left="5040" w:hanging="360"/>
      </w:pPr>
      <w:rPr>
        <w:rFonts w:ascii="Symbol" w:hAnsi="Symbol" w:hint="default"/>
      </w:rPr>
    </w:lvl>
    <w:lvl w:ilvl="7" w:tplc="3502FF1A" w:tentative="1">
      <w:start w:val="1"/>
      <w:numFmt w:val="bullet"/>
      <w:lvlText w:val=""/>
      <w:lvlJc w:val="left"/>
      <w:pPr>
        <w:tabs>
          <w:tab w:val="num" w:pos="5760"/>
        </w:tabs>
        <w:ind w:left="5760" w:hanging="360"/>
      </w:pPr>
      <w:rPr>
        <w:rFonts w:ascii="Symbol" w:hAnsi="Symbol" w:hint="default"/>
      </w:rPr>
    </w:lvl>
    <w:lvl w:ilvl="8" w:tplc="3312820E"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7BB2EB1"/>
    <w:multiLevelType w:val="hybridMultilevel"/>
    <w:tmpl w:val="E3FA6C7E"/>
    <w:lvl w:ilvl="0" w:tplc="82C8BDA8">
      <w:start w:val="1"/>
      <w:numFmt w:val="bullet"/>
      <w:lvlText w:val=""/>
      <w:lvlJc w:val="left"/>
      <w:pPr>
        <w:ind w:left="720" w:hanging="360"/>
      </w:pPr>
      <w:rPr>
        <w:rFonts w:ascii="Wingdings" w:hAnsi="Wingdings" w:hint="default"/>
        <w:color w:val="E42618"/>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2F1680C"/>
    <w:multiLevelType w:val="hybridMultilevel"/>
    <w:tmpl w:val="D9427482"/>
    <w:lvl w:ilvl="0" w:tplc="723CD9BA">
      <w:start w:val="1"/>
      <w:numFmt w:val="bullet"/>
      <w:lvlText w:val=""/>
      <w:lvlPicBulletId w:val="0"/>
      <w:lvlJc w:val="left"/>
      <w:pPr>
        <w:ind w:left="2534" w:hanging="360"/>
      </w:pPr>
      <w:rPr>
        <w:rFonts w:ascii="Symbol" w:hAnsi="Symbol" w:hint="default"/>
      </w:rPr>
    </w:lvl>
    <w:lvl w:ilvl="1" w:tplc="04100003" w:tentative="1">
      <w:start w:val="1"/>
      <w:numFmt w:val="bullet"/>
      <w:lvlText w:val="o"/>
      <w:lvlJc w:val="left"/>
      <w:pPr>
        <w:ind w:left="3254" w:hanging="360"/>
      </w:pPr>
      <w:rPr>
        <w:rFonts w:ascii="Courier New" w:hAnsi="Courier New" w:cs="Courier New" w:hint="default"/>
      </w:rPr>
    </w:lvl>
    <w:lvl w:ilvl="2" w:tplc="04100005" w:tentative="1">
      <w:start w:val="1"/>
      <w:numFmt w:val="bullet"/>
      <w:lvlText w:val=""/>
      <w:lvlJc w:val="left"/>
      <w:pPr>
        <w:ind w:left="3974" w:hanging="360"/>
      </w:pPr>
      <w:rPr>
        <w:rFonts w:ascii="Wingdings" w:hAnsi="Wingdings" w:hint="default"/>
      </w:rPr>
    </w:lvl>
    <w:lvl w:ilvl="3" w:tplc="04100001" w:tentative="1">
      <w:start w:val="1"/>
      <w:numFmt w:val="bullet"/>
      <w:lvlText w:val=""/>
      <w:lvlJc w:val="left"/>
      <w:pPr>
        <w:ind w:left="4694" w:hanging="360"/>
      </w:pPr>
      <w:rPr>
        <w:rFonts w:ascii="Symbol" w:hAnsi="Symbol" w:hint="default"/>
      </w:rPr>
    </w:lvl>
    <w:lvl w:ilvl="4" w:tplc="04100003" w:tentative="1">
      <w:start w:val="1"/>
      <w:numFmt w:val="bullet"/>
      <w:lvlText w:val="o"/>
      <w:lvlJc w:val="left"/>
      <w:pPr>
        <w:ind w:left="5414" w:hanging="360"/>
      </w:pPr>
      <w:rPr>
        <w:rFonts w:ascii="Courier New" w:hAnsi="Courier New" w:cs="Courier New" w:hint="default"/>
      </w:rPr>
    </w:lvl>
    <w:lvl w:ilvl="5" w:tplc="04100005" w:tentative="1">
      <w:start w:val="1"/>
      <w:numFmt w:val="bullet"/>
      <w:lvlText w:val=""/>
      <w:lvlJc w:val="left"/>
      <w:pPr>
        <w:ind w:left="6134" w:hanging="360"/>
      </w:pPr>
      <w:rPr>
        <w:rFonts w:ascii="Wingdings" w:hAnsi="Wingdings" w:hint="default"/>
      </w:rPr>
    </w:lvl>
    <w:lvl w:ilvl="6" w:tplc="04100001" w:tentative="1">
      <w:start w:val="1"/>
      <w:numFmt w:val="bullet"/>
      <w:lvlText w:val=""/>
      <w:lvlJc w:val="left"/>
      <w:pPr>
        <w:ind w:left="6854" w:hanging="360"/>
      </w:pPr>
      <w:rPr>
        <w:rFonts w:ascii="Symbol" w:hAnsi="Symbol" w:hint="default"/>
      </w:rPr>
    </w:lvl>
    <w:lvl w:ilvl="7" w:tplc="04100003" w:tentative="1">
      <w:start w:val="1"/>
      <w:numFmt w:val="bullet"/>
      <w:lvlText w:val="o"/>
      <w:lvlJc w:val="left"/>
      <w:pPr>
        <w:ind w:left="7574" w:hanging="360"/>
      </w:pPr>
      <w:rPr>
        <w:rFonts w:ascii="Courier New" w:hAnsi="Courier New" w:cs="Courier New" w:hint="default"/>
      </w:rPr>
    </w:lvl>
    <w:lvl w:ilvl="8" w:tplc="04100005" w:tentative="1">
      <w:start w:val="1"/>
      <w:numFmt w:val="bullet"/>
      <w:lvlText w:val=""/>
      <w:lvlJc w:val="left"/>
      <w:pPr>
        <w:ind w:left="8294" w:hanging="360"/>
      </w:pPr>
      <w:rPr>
        <w:rFonts w:ascii="Wingdings" w:hAnsi="Wingdings" w:hint="default"/>
      </w:rPr>
    </w:lvl>
  </w:abstractNum>
  <w:abstractNum w:abstractNumId="9" w15:restartNumberingAfterBreak="0">
    <w:nsid w:val="7CB751CF"/>
    <w:multiLevelType w:val="hybridMultilevel"/>
    <w:tmpl w:val="682268CC"/>
    <w:lvl w:ilvl="0" w:tplc="82C8BDA8">
      <w:start w:val="1"/>
      <w:numFmt w:val="bullet"/>
      <w:lvlText w:val=""/>
      <w:lvlJc w:val="left"/>
      <w:pPr>
        <w:ind w:left="7307" w:hanging="360"/>
      </w:pPr>
      <w:rPr>
        <w:rFonts w:ascii="Wingdings" w:hAnsi="Wingdings" w:hint="default"/>
        <w:b w:val="0"/>
        <w:i w:val="0"/>
        <w:color w:val="E42618"/>
        <w:sz w:val="18"/>
        <w:szCs w:val="18"/>
      </w:rPr>
    </w:lvl>
    <w:lvl w:ilvl="1" w:tplc="04100003" w:tentative="1">
      <w:start w:val="1"/>
      <w:numFmt w:val="bullet"/>
      <w:lvlText w:val="o"/>
      <w:lvlJc w:val="left"/>
      <w:pPr>
        <w:ind w:left="447" w:hanging="360"/>
      </w:pPr>
      <w:rPr>
        <w:rFonts w:ascii="Courier New" w:hAnsi="Courier New" w:cs="Courier New" w:hint="default"/>
      </w:rPr>
    </w:lvl>
    <w:lvl w:ilvl="2" w:tplc="04100005" w:tentative="1">
      <w:start w:val="1"/>
      <w:numFmt w:val="bullet"/>
      <w:lvlText w:val=""/>
      <w:lvlJc w:val="left"/>
      <w:pPr>
        <w:ind w:left="1167" w:hanging="360"/>
      </w:pPr>
      <w:rPr>
        <w:rFonts w:ascii="Wingdings" w:hAnsi="Wingdings" w:hint="default"/>
      </w:rPr>
    </w:lvl>
    <w:lvl w:ilvl="3" w:tplc="04100001" w:tentative="1">
      <w:start w:val="1"/>
      <w:numFmt w:val="bullet"/>
      <w:lvlText w:val=""/>
      <w:lvlJc w:val="left"/>
      <w:pPr>
        <w:ind w:left="1887" w:hanging="360"/>
      </w:pPr>
      <w:rPr>
        <w:rFonts w:ascii="Symbol" w:hAnsi="Symbol" w:hint="default"/>
      </w:rPr>
    </w:lvl>
    <w:lvl w:ilvl="4" w:tplc="04100003" w:tentative="1">
      <w:start w:val="1"/>
      <w:numFmt w:val="bullet"/>
      <w:lvlText w:val="o"/>
      <w:lvlJc w:val="left"/>
      <w:pPr>
        <w:ind w:left="2607" w:hanging="360"/>
      </w:pPr>
      <w:rPr>
        <w:rFonts w:ascii="Courier New" w:hAnsi="Courier New" w:cs="Courier New" w:hint="default"/>
      </w:rPr>
    </w:lvl>
    <w:lvl w:ilvl="5" w:tplc="04100005" w:tentative="1">
      <w:start w:val="1"/>
      <w:numFmt w:val="bullet"/>
      <w:lvlText w:val=""/>
      <w:lvlJc w:val="left"/>
      <w:pPr>
        <w:ind w:left="3327" w:hanging="360"/>
      </w:pPr>
      <w:rPr>
        <w:rFonts w:ascii="Wingdings" w:hAnsi="Wingdings" w:hint="default"/>
      </w:rPr>
    </w:lvl>
    <w:lvl w:ilvl="6" w:tplc="04100001" w:tentative="1">
      <w:start w:val="1"/>
      <w:numFmt w:val="bullet"/>
      <w:lvlText w:val=""/>
      <w:lvlJc w:val="left"/>
      <w:pPr>
        <w:ind w:left="4047" w:hanging="360"/>
      </w:pPr>
      <w:rPr>
        <w:rFonts w:ascii="Symbol" w:hAnsi="Symbol" w:hint="default"/>
      </w:rPr>
    </w:lvl>
    <w:lvl w:ilvl="7" w:tplc="04100003" w:tentative="1">
      <w:start w:val="1"/>
      <w:numFmt w:val="bullet"/>
      <w:lvlText w:val="o"/>
      <w:lvlJc w:val="left"/>
      <w:pPr>
        <w:ind w:left="4767" w:hanging="360"/>
      </w:pPr>
      <w:rPr>
        <w:rFonts w:ascii="Courier New" w:hAnsi="Courier New" w:cs="Courier New" w:hint="default"/>
      </w:rPr>
    </w:lvl>
    <w:lvl w:ilvl="8" w:tplc="04100005" w:tentative="1">
      <w:start w:val="1"/>
      <w:numFmt w:val="bullet"/>
      <w:lvlText w:val=""/>
      <w:lvlJc w:val="left"/>
      <w:pPr>
        <w:ind w:left="5487" w:hanging="360"/>
      </w:pPr>
      <w:rPr>
        <w:rFonts w:ascii="Wingdings" w:hAnsi="Wingdings" w:hint="default"/>
      </w:rPr>
    </w:lvl>
  </w:abstractNum>
  <w:num w:numId="1">
    <w:abstractNumId w:val="5"/>
  </w:num>
  <w:num w:numId="2">
    <w:abstractNumId w:val="0"/>
  </w:num>
  <w:num w:numId="3">
    <w:abstractNumId w:val="6"/>
  </w:num>
  <w:num w:numId="4">
    <w:abstractNumId w:val="8"/>
  </w:num>
  <w:num w:numId="5">
    <w:abstractNumId w:val="9"/>
  </w:num>
  <w:num w:numId="6">
    <w:abstractNumId w:val="1"/>
  </w:num>
  <w:num w:numId="7">
    <w:abstractNumId w:val="4"/>
  </w:num>
  <w:num w:numId="8">
    <w:abstractNumId w:val="3"/>
  </w:num>
  <w:num w:numId="9">
    <w:abstractNumId w:val="2"/>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bordersDoNotSurroundHeader/>
  <w:bordersDoNotSurroundFooter/>
  <w:hideSpellingErrors/>
  <w:hideGrammaticalErrors/>
  <w:activeWritingStyle w:appName="MSWord" w:lang="it-IT" w:vendorID="64" w:dllVersion="131078" w:nlCheck="1" w:checkStyle="0"/>
  <w:activeWritingStyle w:appName="MSWord" w:lang="en-US"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49" style="mso-position-horizontal:center;mso-width-percent:400;mso-height-percent:200;mso-width-relative:margin;mso-height-relative:margin" fillcolor="white">
      <v:fill color="white"/>
      <v:textbox style="mso-fit-shape-to-text:t"/>
      <o:colormru v:ext="edit" colors="#bd1f2b,#cf1e24,#d90b13,#e31c18"/>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7E"/>
    <w:rsid w:val="00000148"/>
    <w:rsid w:val="000006B1"/>
    <w:rsid w:val="000017DB"/>
    <w:rsid w:val="00001C85"/>
    <w:rsid w:val="000020B7"/>
    <w:rsid w:val="0000242C"/>
    <w:rsid w:val="000026DF"/>
    <w:rsid w:val="00002F2D"/>
    <w:rsid w:val="000033DA"/>
    <w:rsid w:val="000034C8"/>
    <w:rsid w:val="00003834"/>
    <w:rsid w:val="00003AAA"/>
    <w:rsid w:val="00003AB5"/>
    <w:rsid w:val="00003AD9"/>
    <w:rsid w:val="00003D07"/>
    <w:rsid w:val="00003F46"/>
    <w:rsid w:val="000041BD"/>
    <w:rsid w:val="000043D5"/>
    <w:rsid w:val="00004794"/>
    <w:rsid w:val="000049DD"/>
    <w:rsid w:val="00004DDD"/>
    <w:rsid w:val="00004DF3"/>
    <w:rsid w:val="00004E38"/>
    <w:rsid w:val="00005178"/>
    <w:rsid w:val="00005A6B"/>
    <w:rsid w:val="0000683C"/>
    <w:rsid w:val="000068DB"/>
    <w:rsid w:val="00006CAB"/>
    <w:rsid w:val="00006DB7"/>
    <w:rsid w:val="00007042"/>
    <w:rsid w:val="0000740E"/>
    <w:rsid w:val="00010041"/>
    <w:rsid w:val="000101B6"/>
    <w:rsid w:val="000102D5"/>
    <w:rsid w:val="00010573"/>
    <w:rsid w:val="0001089C"/>
    <w:rsid w:val="000108ED"/>
    <w:rsid w:val="00010957"/>
    <w:rsid w:val="000109E3"/>
    <w:rsid w:val="00010A46"/>
    <w:rsid w:val="00010B15"/>
    <w:rsid w:val="00010B3C"/>
    <w:rsid w:val="00010F9F"/>
    <w:rsid w:val="000113F8"/>
    <w:rsid w:val="00011610"/>
    <w:rsid w:val="000119A0"/>
    <w:rsid w:val="00011A51"/>
    <w:rsid w:val="00011F76"/>
    <w:rsid w:val="00012364"/>
    <w:rsid w:val="0001283C"/>
    <w:rsid w:val="00012A11"/>
    <w:rsid w:val="000134A3"/>
    <w:rsid w:val="000135AB"/>
    <w:rsid w:val="00013751"/>
    <w:rsid w:val="00013995"/>
    <w:rsid w:val="00013A1E"/>
    <w:rsid w:val="00013F41"/>
    <w:rsid w:val="00014927"/>
    <w:rsid w:val="00015D22"/>
    <w:rsid w:val="00015E96"/>
    <w:rsid w:val="00015EAD"/>
    <w:rsid w:val="00016754"/>
    <w:rsid w:val="00016B13"/>
    <w:rsid w:val="00016EAE"/>
    <w:rsid w:val="00017353"/>
    <w:rsid w:val="000205CA"/>
    <w:rsid w:val="0002065A"/>
    <w:rsid w:val="000211AD"/>
    <w:rsid w:val="000213E2"/>
    <w:rsid w:val="00021652"/>
    <w:rsid w:val="0002181D"/>
    <w:rsid w:val="00021B34"/>
    <w:rsid w:val="00022197"/>
    <w:rsid w:val="00022763"/>
    <w:rsid w:val="000228CB"/>
    <w:rsid w:val="00022F55"/>
    <w:rsid w:val="00023544"/>
    <w:rsid w:val="00023D1F"/>
    <w:rsid w:val="000241B7"/>
    <w:rsid w:val="00024BDA"/>
    <w:rsid w:val="00025294"/>
    <w:rsid w:val="000254AC"/>
    <w:rsid w:val="0002574E"/>
    <w:rsid w:val="000257C6"/>
    <w:rsid w:val="00025822"/>
    <w:rsid w:val="00025AA7"/>
    <w:rsid w:val="000266A7"/>
    <w:rsid w:val="00027FBC"/>
    <w:rsid w:val="00030BEE"/>
    <w:rsid w:val="0003114F"/>
    <w:rsid w:val="00031258"/>
    <w:rsid w:val="00031864"/>
    <w:rsid w:val="00031934"/>
    <w:rsid w:val="00031C2E"/>
    <w:rsid w:val="000320B7"/>
    <w:rsid w:val="00032318"/>
    <w:rsid w:val="00032A4E"/>
    <w:rsid w:val="00033432"/>
    <w:rsid w:val="00034B79"/>
    <w:rsid w:val="000350E3"/>
    <w:rsid w:val="00035164"/>
    <w:rsid w:val="00035837"/>
    <w:rsid w:val="0003629C"/>
    <w:rsid w:val="000363D3"/>
    <w:rsid w:val="0003704B"/>
    <w:rsid w:val="00037181"/>
    <w:rsid w:val="0004002D"/>
    <w:rsid w:val="00040033"/>
    <w:rsid w:val="000402DE"/>
    <w:rsid w:val="00040626"/>
    <w:rsid w:val="00041081"/>
    <w:rsid w:val="00041598"/>
    <w:rsid w:val="00041DD2"/>
    <w:rsid w:val="00041DDD"/>
    <w:rsid w:val="00041DEF"/>
    <w:rsid w:val="0004257E"/>
    <w:rsid w:val="00042B16"/>
    <w:rsid w:val="00042D21"/>
    <w:rsid w:val="00042F77"/>
    <w:rsid w:val="000433C2"/>
    <w:rsid w:val="0004346C"/>
    <w:rsid w:val="00043C67"/>
    <w:rsid w:val="00044806"/>
    <w:rsid w:val="00044BA2"/>
    <w:rsid w:val="000455A6"/>
    <w:rsid w:val="000457A7"/>
    <w:rsid w:val="00045BC9"/>
    <w:rsid w:val="000462ED"/>
    <w:rsid w:val="00046668"/>
    <w:rsid w:val="00046881"/>
    <w:rsid w:val="00046950"/>
    <w:rsid w:val="00046AF5"/>
    <w:rsid w:val="000474A3"/>
    <w:rsid w:val="000478E6"/>
    <w:rsid w:val="000479D4"/>
    <w:rsid w:val="00047CCE"/>
    <w:rsid w:val="00047E42"/>
    <w:rsid w:val="00050117"/>
    <w:rsid w:val="00050441"/>
    <w:rsid w:val="00050489"/>
    <w:rsid w:val="00050496"/>
    <w:rsid w:val="000508D1"/>
    <w:rsid w:val="000512D1"/>
    <w:rsid w:val="0005182E"/>
    <w:rsid w:val="00051D92"/>
    <w:rsid w:val="00051E6A"/>
    <w:rsid w:val="00051FC2"/>
    <w:rsid w:val="00052B11"/>
    <w:rsid w:val="00053471"/>
    <w:rsid w:val="000537BB"/>
    <w:rsid w:val="000538A1"/>
    <w:rsid w:val="000541C7"/>
    <w:rsid w:val="0005458A"/>
    <w:rsid w:val="00054645"/>
    <w:rsid w:val="0005548D"/>
    <w:rsid w:val="000557ED"/>
    <w:rsid w:val="00055E26"/>
    <w:rsid w:val="000565A3"/>
    <w:rsid w:val="00056612"/>
    <w:rsid w:val="00056635"/>
    <w:rsid w:val="000567BC"/>
    <w:rsid w:val="000569E0"/>
    <w:rsid w:val="00057588"/>
    <w:rsid w:val="00057640"/>
    <w:rsid w:val="000578A2"/>
    <w:rsid w:val="00057D5D"/>
    <w:rsid w:val="00060194"/>
    <w:rsid w:val="00060769"/>
    <w:rsid w:val="000607A6"/>
    <w:rsid w:val="0006148E"/>
    <w:rsid w:val="000617FF"/>
    <w:rsid w:val="00061BEA"/>
    <w:rsid w:val="00061DC7"/>
    <w:rsid w:val="00061E48"/>
    <w:rsid w:val="00061E67"/>
    <w:rsid w:val="000620FB"/>
    <w:rsid w:val="000621DF"/>
    <w:rsid w:val="00062437"/>
    <w:rsid w:val="000629AB"/>
    <w:rsid w:val="00062C7C"/>
    <w:rsid w:val="00062E45"/>
    <w:rsid w:val="000635F7"/>
    <w:rsid w:val="00063763"/>
    <w:rsid w:val="00063D28"/>
    <w:rsid w:val="000641EA"/>
    <w:rsid w:val="000643F7"/>
    <w:rsid w:val="00064404"/>
    <w:rsid w:val="00064E2A"/>
    <w:rsid w:val="0006537C"/>
    <w:rsid w:val="00065467"/>
    <w:rsid w:val="000657E2"/>
    <w:rsid w:val="000662FB"/>
    <w:rsid w:val="0006665B"/>
    <w:rsid w:val="00066889"/>
    <w:rsid w:val="00066C84"/>
    <w:rsid w:val="00067824"/>
    <w:rsid w:val="00067AB5"/>
    <w:rsid w:val="00067F81"/>
    <w:rsid w:val="00070718"/>
    <w:rsid w:val="0007076D"/>
    <w:rsid w:val="000708D3"/>
    <w:rsid w:val="00071253"/>
    <w:rsid w:val="00071EFA"/>
    <w:rsid w:val="000720F5"/>
    <w:rsid w:val="000720F8"/>
    <w:rsid w:val="00072142"/>
    <w:rsid w:val="00072711"/>
    <w:rsid w:val="00072728"/>
    <w:rsid w:val="00072B3F"/>
    <w:rsid w:val="00072BE2"/>
    <w:rsid w:val="000732DF"/>
    <w:rsid w:val="0007358E"/>
    <w:rsid w:val="00073872"/>
    <w:rsid w:val="00073F42"/>
    <w:rsid w:val="00074665"/>
    <w:rsid w:val="000746D5"/>
    <w:rsid w:val="00074709"/>
    <w:rsid w:val="000749B9"/>
    <w:rsid w:val="000755F9"/>
    <w:rsid w:val="00075941"/>
    <w:rsid w:val="00075CC6"/>
    <w:rsid w:val="00075E5E"/>
    <w:rsid w:val="0007650D"/>
    <w:rsid w:val="00076C27"/>
    <w:rsid w:val="00077534"/>
    <w:rsid w:val="0007754A"/>
    <w:rsid w:val="00077592"/>
    <w:rsid w:val="00077D8E"/>
    <w:rsid w:val="00077E7D"/>
    <w:rsid w:val="00080263"/>
    <w:rsid w:val="000803AD"/>
    <w:rsid w:val="00080F62"/>
    <w:rsid w:val="000811D8"/>
    <w:rsid w:val="000817F5"/>
    <w:rsid w:val="000818DD"/>
    <w:rsid w:val="000819D4"/>
    <w:rsid w:val="000828E6"/>
    <w:rsid w:val="000829B6"/>
    <w:rsid w:val="00082A62"/>
    <w:rsid w:val="00082E1E"/>
    <w:rsid w:val="00083173"/>
    <w:rsid w:val="00083429"/>
    <w:rsid w:val="00083A57"/>
    <w:rsid w:val="00083FE3"/>
    <w:rsid w:val="00084387"/>
    <w:rsid w:val="00084761"/>
    <w:rsid w:val="00084AF6"/>
    <w:rsid w:val="00084E02"/>
    <w:rsid w:val="00084EE6"/>
    <w:rsid w:val="0008506C"/>
    <w:rsid w:val="0008527C"/>
    <w:rsid w:val="0008545A"/>
    <w:rsid w:val="00085AC2"/>
    <w:rsid w:val="00085AFD"/>
    <w:rsid w:val="00085BC7"/>
    <w:rsid w:val="00085C51"/>
    <w:rsid w:val="00085E26"/>
    <w:rsid w:val="0008600B"/>
    <w:rsid w:val="00086154"/>
    <w:rsid w:val="000868F5"/>
    <w:rsid w:val="00086C83"/>
    <w:rsid w:val="000873CD"/>
    <w:rsid w:val="000876FA"/>
    <w:rsid w:val="00087774"/>
    <w:rsid w:val="00087AD6"/>
    <w:rsid w:val="00087BB3"/>
    <w:rsid w:val="0009016A"/>
    <w:rsid w:val="000909B9"/>
    <w:rsid w:val="00090A07"/>
    <w:rsid w:val="00090B9F"/>
    <w:rsid w:val="00090D41"/>
    <w:rsid w:val="00090DE6"/>
    <w:rsid w:val="0009127D"/>
    <w:rsid w:val="000924D4"/>
    <w:rsid w:val="00092C29"/>
    <w:rsid w:val="00094A7C"/>
    <w:rsid w:val="00094B3C"/>
    <w:rsid w:val="00094CB4"/>
    <w:rsid w:val="00095213"/>
    <w:rsid w:val="00095ABF"/>
    <w:rsid w:val="00096313"/>
    <w:rsid w:val="00096371"/>
    <w:rsid w:val="0009657B"/>
    <w:rsid w:val="00096954"/>
    <w:rsid w:val="00096C13"/>
    <w:rsid w:val="00096DB8"/>
    <w:rsid w:val="000972EF"/>
    <w:rsid w:val="000977C6"/>
    <w:rsid w:val="000A0936"/>
    <w:rsid w:val="000A09E7"/>
    <w:rsid w:val="000A0AC7"/>
    <w:rsid w:val="000A0D76"/>
    <w:rsid w:val="000A1070"/>
    <w:rsid w:val="000A123E"/>
    <w:rsid w:val="000A169F"/>
    <w:rsid w:val="000A2640"/>
    <w:rsid w:val="000A27BB"/>
    <w:rsid w:val="000A32BD"/>
    <w:rsid w:val="000A3E31"/>
    <w:rsid w:val="000A3EBA"/>
    <w:rsid w:val="000A4087"/>
    <w:rsid w:val="000A40FD"/>
    <w:rsid w:val="000A4E9A"/>
    <w:rsid w:val="000A5314"/>
    <w:rsid w:val="000A5D8F"/>
    <w:rsid w:val="000A5D99"/>
    <w:rsid w:val="000A63AD"/>
    <w:rsid w:val="000A6591"/>
    <w:rsid w:val="000A677A"/>
    <w:rsid w:val="000A69D2"/>
    <w:rsid w:val="000A70C6"/>
    <w:rsid w:val="000A77D6"/>
    <w:rsid w:val="000A78EC"/>
    <w:rsid w:val="000A7B77"/>
    <w:rsid w:val="000A7CF9"/>
    <w:rsid w:val="000B01FA"/>
    <w:rsid w:val="000B022B"/>
    <w:rsid w:val="000B02ED"/>
    <w:rsid w:val="000B0DCE"/>
    <w:rsid w:val="000B1BA4"/>
    <w:rsid w:val="000B1D81"/>
    <w:rsid w:val="000B1F20"/>
    <w:rsid w:val="000B1F2B"/>
    <w:rsid w:val="000B27E0"/>
    <w:rsid w:val="000B2A82"/>
    <w:rsid w:val="000B2AAC"/>
    <w:rsid w:val="000B32C5"/>
    <w:rsid w:val="000B32E4"/>
    <w:rsid w:val="000B3304"/>
    <w:rsid w:val="000B38EA"/>
    <w:rsid w:val="000B3F89"/>
    <w:rsid w:val="000B51E7"/>
    <w:rsid w:val="000B56C0"/>
    <w:rsid w:val="000B5A90"/>
    <w:rsid w:val="000B5B83"/>
    <w:rsid w:val="000B5DC1"/>
    <w:rsid w:val="000B6575"/>
    <w:rsid w:val="000B6A87"/>
    <w:rsid w:val="000B6C6C"/>
    <w:rsid w:val="000B6D0F"/>
    <w:rsid w:val="000B6E6D"/>
    <w:rsid w:val="000B72E0"/>
    <w:rsid w:val="000B7989"/>
    <w:rsid w:val="000C0226"/>
    <w:rsid w:val="000C076E"/>
    <w:rsid w:val="000C099C"/>
    <w:rsid w:val="000C0F55"/>
    <w:rsid w:val="000C1097"/>
    <w:rsid w:val="000C10C9"/>
    <w:rsid w:val="000C1AAD"/>
    <w:rsid w:val="000C1C3E"/>
    <w:rsid w:val="000C233C"/>
    <w:rsid w:val="000C25D8"/>
    <w:rsid w:val="000C267B"/>
    <w:rsid w:val="000C2980"/>
    <w:rsid w:val="000C2FB7"/>
    <w:rsid w:val="000C35FB"/>
    <w:rsid w:val="000C3630"/>
    <w:rsid w:val="000C3830"/>
    <w:rsid w:val="000C39B4"/>
    <w:rsid w:val="000C3DA5"/>
    <w:rsid w:val="000C4128"/>
    <w:rsid w:val="000C4457"/>
    <w:rsid w:val="000C4689"/>
    <w:rsid w:val="000C4D5C"/>
    <w:rsid w:val="000C5202"/>
    <w:rsid w:val="000C53F5"/>
    <w:rsid w:val="000C5564"/>
    <w:rsid w:val="000C5602"/>
    <w:rsid w:val="000C59C4"/>
    <w:rsid w:val="000C5B36"/>
    <w:rsid w:val="000C627A"/>
    <w:rsid w:val="000C629C"/>
    <w:rsid w:val="000C6F05"/>
    <w:rsid w:val="000C71C5"/>
    <w:rsid w:val="000C727A"/>
    <w:rsid w:val="000C7697"/>
    <w:rsid w:val="000C789E"/>
    <w:rsid w:val="000C7B4C"/>
    <w:rsid w:val="000C7EF4"/>
    <w:rsid w:val="000D072A"/>
    <w:rsid w:val="000D0F51"/>
    <w:rsid w:val="000D1221"/>
    <w:rsid w:val="000D182B"/>
    <w:rsid w:val="000D18E7"/>
    <w:rsid w:val="000D1B06"/>
    <w:rsid w:val="000D1E54"/>
    <w:rsid w:val="000D24E2"/>
    <w:rsid w:val="000D2BA7"/>
    <w:rsid w:val="000D3A7C"/>
    <w:rsid w:val="000D3CAE"/>
    <w:rsid w:val="000D4568"/>
    <w:rsid w:val="000D4EE8"/>
    <w:rsid w:val="000D4FE9"/>
    <w:rsid w:val="000D5383"/>
    <w:rsid w:val="000D53B8"/>
    <w:rsid w:val="000D68E4"/>
    <w:rsid w:val="000D70C6"/>
    <w:rsid w:val="000D70FA"/>
    <w:rsid w:val="000D7279"/>
    <w:rsid w:val="000D7679"/>
    <w:rsid w:val="000E0BFC"/>
    <w:rsid w:val="000E0D71"/>
    <w:rsid w:val="000E0FC9"/>
    <w:rsid w:val="000E1054"/>
    <w:rsid w:val="000E1473"/>
    <w:rsid w:val="000E162A"/>
    <w:rsid w:val="000E177D"/>
    <w:rsid w:val="000E19F0"/>
    <w:rsid w:val="000E1E6F"/>
    <w:rsid w:val="000E2098"/>
    <w:rsid w:val="000E237E"/>
    <w:rsid w:val="000E23BF"/>
    <w:rsid w:val="000E23EF"/>
    <w:rsid w:val="000E2BE0"/>
    <w:rsid w:val="000E2E1B"/>
    <w:rsid w:val="000E327D"/>
    <w:rsid w:val="000E32BE"/>
    <w:rsid w:val="000E32CD"/>
    <w:rsid w:val="000E3886"/>
    <w:rsid w:val="000E3CFC"/>
    <w:rsid w:val="000E40CB"/>
    <w:rsid w:val="000E420F"/>
    <w:rsid w:val="000E44A9"/>
    <w:rsid w:val="000E4A6D"/>
    <w:rsid w:val="000E5429"/>
    <w:rsid w:val="000E5E80"/>
    <w:rsid w:val="000E62CE"/>
    <w:rsid w:val="000E6376"/>
    <w:rsid w:val="000E63BC"/>
    <w:rsid w:val="000E649F"/>
    <w:rsid w:val="000E66DF"/>
    <w:rsid w:val="000E6B08"/>
    <w:rsid w:val="000E70A5"/>
    <w:rsid w:val="000E7523"/>
    <w:rsid w:val="000E78BC"/>
    <w:rsid w:val="000E7F42"/>
    <w:rsid w:val="000F039B"/>
    <w:rsid w:val="000F0888"/>
    <w:rsid w:val="000F0DEA"/>
    <w:rsid w:val="000F0DFE"/>
    <w:rsid w:val="000F1394"/>
    <w:rsid w:val="000F1519"/>
    <w:rsid w:val="000F1874"/>
    <w:rsid w:val="000F18A3"/>
    <w:rsid w:val="000F19CA"/>
    <w:rsid w:val="000F1A51"/>
    <w:rsid w:val="000F1CEF"/>
    <w:rsid w:val="000F25EE"/>
    <w:rsid w:val="000F269A"/>
    <w:rsid w:val="000F26C0"/>
    <w:rsid w:val="000F2873"/>
    <w:rsid w:val="000F2BE7"/>
    <w:rsid w:val="000F2FB2"/>
    <w:rsid w:val="000F32AC"/>
    <w:rsid w:val="000F370D"/>
    <w:rsid w:val="000F3E1E"/>
    <w:rsid w:val="000F4698"/>
    <w:rsid w:val="000F4D00"/>
    <w:rsid w:val="000F4FE7"/>
    <w:rsid w:val="000F58A5"/>
    <w:rsid w:val="000F5E41"/>
    <w:rsid w:val="000F5EC4"/>
    <w:rsid w:val="000F6161"/>
    <w:rsid w:val="000F7AD5"/>
    <w:rsid w:val="000F7CB4"/>
    <w:rsid w:val="000F7F64"/>
    <w:rsid w:val="000F7FAE"/>
    <w:rsid w:val="00100058"/>
    <w:rsid w:val="00100268"/>
    <w:rsid w:val="00100472"/>
    <w:rsid w:val="00100B0C"/>
    <w:rsid w:val="00101A55"/>
    <w:rsid w:val="00101F21"/>
    <w:rsid w:val="0010203F"/>
    <w:rsid w:val="00102B37"/>
    <w:rsid w:val="00102E12"/>
    <w:rsid w:val="001030AE"/>
    <w:rsid w:val="0010327A"/>
    <w:rsid w:val="00103356"/>
    <w:rsid w:val="00103433"/>
    <w:rsid w:val="001035FC"/>
    <w:rsid w:val="00103A48"/>
    <w:rsid w:val="00104168"/>
    <w:rsid w:val="00104E68"/>
    <w:rsid w:val="00104EC6"/>
    <w:rsid w:val="00105774"/>
    <w:rsid w:val="00105B08"/>
    <w:rsid w:val="0010607E"/>
    <w:rsid w:val="0010642A"/>
    <w:rsid w:val="001066F6"/>
    <w:rsid w:val="0010687A"/>
    <w:rsid w:val="00106AA3"/>
    <w:rsid w:val="00107126"/>
    <w:rsid w:val="001075A8"/>
    <w:rsid w:val="001079C3"/>
    <w:rsid w:val="00107B24"/>
    <w:rsid w:val="001102B7"/>
    <w:rsid w:val="00110856"/>
    <w:rsid w:val="001110F2"/>
    <w:rsid w:val="001112CB"/>
    <w:rsid w:val="00111347"/>
    <w:rsid w:val="00111823"/>
    <w:rsid w:val="0011183E"/>
    <w:rsid w:val="00111D49"/>
    <w:rsid w:val="001124E6"/>
    <w:rsid w:val="00112A83"/>
    <w:rsid w:val="00112FD6"/>
    <w:rsid w:val="00113BDB"/>
    <w:rsid w:val="00113E20"/>
    <w:rsid w:val="00113E61"/>
    <w:rsid w:val="00113F0D"/>
    <w:rsid w:val="00114045"/>
    <w:rsid w:val="001143AE"/>
    <w:rsid w:val="001143D0"/>
    <w:rsid w:val="001146BF"/>
    <w:rsid w:val="001148C3"/>
    <w:rsid w:val="0011562D"/>
    <w:rsid w:val="001156D5"/>
    <w:rsid w:val="00116DD5"/>
    <w:rsid w:val="00117309"/>
    <w:rsid w:val="00117AF1"/>
    <w:rsid w:val="00117BB0"/>
    <w:rsid w:val="00117EFE"/>
    <w:rsid w:val="0012011D"/>
    <w:rsid w:val="00120457"/>
    <w:rsid w:val="00120466"/>
    <w:rsid w:val="00120A33"/>
    <w:rsid w:val="00120D7F"/>
    <w:rsid w:val="00120F89"/>
    <w:rsid w:val="00121177"/>
    <w:rsid w:val="001216FA"/>
    <w:rsid w:val="001219E0"/>
    <w:rsid w:val="00121F1E"/>
    <w:rsid w:val="00122912"/>
    <w:rsid w:val="00122976"/>
    <w:rsid w:val="0012380F"/>
    <w:rsid w:val="00123A77"/>
    <w:rsid w:val="001248B9"/>
    <w:rsid w:val="001249B2"/>
    <w:rsid w:val="001254C6"/>
    <w:rsid w:val="00125651"/>
    <w:rsid w:val="00125958"/>
    <w:rsid w:val="00125AC1"/>
    <w:rsid w:val="00125C51"/>
    <w:rsid w:val="00125D56"/>
    <w:rsid w:val="00125FC1"/>
    <w:rsid w:val="001261E2"/>
    <w:rsid w:val="00126235"/>
    <w:rsid w:val="001267F9"/>
    <w:rsid w:val="00126876"/>
    <w:rsid w:val="001273DA"/>
    <w:rsid w:val="00127A69"/>
    <w:rsid w:val="00127CCE"/>
    <w:rsid w:val="0013060B"/>
    <w:rsid w:val="001306A7"/>
    <w:rsid w:val="00131084"/>
    <w:rsid w:val="0013114E"/>
    <w:rsid w:val="001315D4"/>
    <w:rsid w:val="001315EA"/>
    <w:rsid w:val="0013171C"/>
    <w:rsid w:val="001319AE"/>
    <w:rsid w:val="00132098"/>
    <w:rsid w:val="0013239A"/>
    <w:rsid w:val="00132674"/>
    <w:rsid w:val="00132A09"/>
    <w:rsid w:val="00132D0E"/>
    <w:rsid w:val="00132D55"/>
    <w:rsid w:val="00132F27"/>
    <w:rsid w:val="001334D9"/>
    <w:rsid w:val="001335FA"/>
    <w:rsid w:val="0013399B"/>
    <w:rsid w:val="0013455F"/>
    <w:rsid w:val="00135207"/>
    <w:rsid w:val="001358CD"/>
    <w:rsid w:val="00135D93"/>
    <w:rsid w:val="00135EC9"/>
    <w:rsid w:val="00136D03"/>
    <w:rsid w:val="001376AE"/>
    <w:rsid w:val="00137940"/>
    <w:rsid w:val="00137B50"/>
    <w:rsid w:val="00137FEB"/>
    <w:rsid w:val="0014041C"/>
    <w:rsid w:val="001411FC"/>
    <w:rsid w:val="001419EF"/>
    <w:rsid w:val="00141A37"/>
    <w:rsid w:val="00141B4A"/>
    <w:rsid w:val="00141C42"/>
    <w:rsid w:val="001421E4"/>
    <w:rsid w:val="00142F44"/>
    <w:rsid w:val="00143151"/>
    <w:rsid w:val="001431DB"/>
    <w:rsid w:val="00143799"/>
    <w:rsid w:val="00143A49"/>
    <w:rsid w:val="00143C18"/>
    <w:rsid w:val="001440D2"/>
    <w:rsid w:val="001440DD"/>
    <w:rsid w:val="00144DF8"/>
    <w:rsid w:val="00144FB7"/>
    <w:rsid w:val="00145A1D"/>
    <w:rsid w:val="001463B3"/>
    <w:rsid w:val="00147253"/>
    <w:rsid w:val="0014748A"/>
    <w:rsid w:val="00147559"/>
    <w:rsid w:val="001478BA"/>
    <w:rsid w:val="00147CF6"/>
    <w:rsid w:val="001511A4"/>
    <w:rsid w:val="0015128D"/>
    <w:rsid w:val="00151343"/>
    <w:rsid w:val="001516DB"/>
    <w:rsid w:val="00151BB3"/>
    <w:rsid w:val="00152E56"/>
    <w:rsid w:val="001532E5"/>
    <w:rsid w:val="001538D3"/>
    <w:rsid w:val="00153A3C"/>
    <w:rsid w:val="00154850"/>
    <w:rsid w:val="0015485C"/>
    <w:rsid w:val="00154B63"/>
    <w:rsid w:val="00154CB3"/>
    <w:rsid w:val="00155117"/>
    <w:rsid w:val="001555D0"/>
    <w:rsid w:val="001559AA"/>
    <w:rsid w:val="00156C7D"/>
    <w:rsid w:val="00156D13"/>
    <w:rsid w:val="00157260"/>
    <w:rsid w:val="001575D8"/>
    <w:rsid w:val="00157664"/>
    <w:rsid w:val="001600DF"/>
    <w:rsid w:val="00160180"/>
    <w:rsid w:val="00160503"/>
    <w:rsid w:val="00161148"/>
    <w:rsid w:val="001611C8"/>
    <w:rsid w:val="00161230"/>
    <w:rsid w:val="00161444"/>
    <w:rsid w:val="0016149C"/>
    <w:rsid w:val="001614D8"/>
    <w:rsid w:val="00161A69"/>
    <w:rsid w:val="00161A8F"/>
    <w:rsid w:val="00161AEE"/>
    <w:rsid w:val="00161BFF"/>
    <w:rsid w:val="00162056"/>
    <w:rsid w:val="001622D3"/>
    <w:rsid w:val="00162C0B"/>
    <w:rsid w:val="0016323D"/>
    <w:rsid w:val="001632FB"/>
    <w:rsid w:val="0016343C"/>
    <w:rsid w:val="00163540"/>
    <w:rsid w:val="001645B6"/>
    <w:rsid w:val="00164938"/>
    <w:rsid w:val="00164DAA"/>
    <w:rsid w:val="001654AD"/>
    <w:rsid w:val="00165947"/>
    <w:rsid w:val="00165BAD"/>
    <w:rsid w:val="00165C76"/>
    <w:rsid w:val="00165E0A"/>
    <w:rsid w:val="001661D3"/>
    <w:rsid w:val="00166288"/>
    <w:rsid w:val="00166316"/>
    <w:rsid w:val="00166319"/>
    <w:rsid w:val="001664CA"/>
    <w:rsid w:val="001671CF"/>
    <w:rsid w:val="00167687"/>
    <w:rsid w:val="001676C0"/>
    <w:rsid w:val="00167757"/>
    <w:rsid w:val="00167891"/>
    <w:rsid w:val="00167A99"/>
    <w:rsid w:val="00167FAA"/>
    <w:rsid w:val="00167FBE"/>
    <w:rsid w:val="00167FDD"/>
    <w:rsid w:val="001703A0"/>
    <w:rsid w:val="001705D7"/>
    <w:rsid w:val="00170967"/>
    <w:rsid w:val="00170991"/>
    <w:rsid w:val="00170A4B"/>
    <w:rsid w:val="00170E15"/>
    <w:rsid w:val="00170E70"/>
    <w:rsid w:val="0017188E"/>
    <w:rsid w:val="00171C5C"/>
    <w:rsid w:val="00172E48"/>
    <w:rsid w:val="00173151"/>
    <w:rsid w:val="00174211"/>
    <w:rsid w:val="001747FB"/>
    <w:rsid w:val="00174879"/>
    <w:rsid w:val="0017489B"/>
    <w:rsid w:val="00174B36"/>
    <w:rsid w:val="00174D35"/>
    <w:rsid w:val="0017508C"/>
    <w:rsid w:val="00175120"/>
    <w:rsid w:val="00175364"/>
    <w:rsid w:val="00175897"/>
    <w:rsid w:val="00175B59"/>
    <w:rsid w:val="00175DBA"/>
    <w:rsid w:val="00175FBA"/>
    <w:rsid w:val="0017600F"/>
    <w:rsid w:val="00176F23"/>
    <w:rsid w:val="001770F1"/>
    <w:rsid w:val="001772A7"/>
    <w:rsid w:val="0017763D"/>
    <w:rsid w:val="0018016F"/>
    <w:rsid w:val="00180464"/>
    <w:rsid w:val="00180A46"/>
    <w:rsid w:val="00180B4B"/>
    <w:rsid w:val="00180F58"/>
    <w:rsid w:val="00181180"/>
    <w:rsid w:val="00181555"/>
    <w:rsid w:val="00181A1C"/>
    <w:rsid w:val="00182009"/>
    <w:rsid w:val="00182103"/>
    <w:rsid w:val="00182344"/>
    <w:rsid w:val="001823B9"/>
    <w:rsid w:val="001824EB"/>
    <w:rsid w:val="00182A18"/>
    <w:rsid w:val="00182A67"/>
    <w:rsid w:val="00182B9D"/>
    <w:rsid w:val="001836BE"/>
    <w:rsid w:val="00183ACA"/>
    <w:rsid w:val="00184632"/>
    <w:rsid w:val="00184694"/>
    <w:rsid w:val="00185048"/>
    <w:rsid w:val="001853B9"/>
    <w:rsid w:val="001857BC"/>
    <w:rsid w:val="00185DEC"/>
    <w:rsid w:val="00185F1A"/>
    <w:rsid w:val="00186029"/>
    <w:rsid w:val="001871F1"/>
    <w:rsid w:val="00187799"/>
    <w:rsid w:val="00187F06"/>
    <w:rsid w:val="00190077"/>
    <w:rsid w:val="00190333"/>
    <w:rsid w:val="001906DB"/>
    <w:rsid w:val="0019079B"/>
    <w:rsid w:val="001910F4"/>
    <w:rsid w:val="00191237"/>
    <w:rsid w:val="0019150C"/>
    <w:rsid w:val="00191515"/>
    <w:rsid w:val="00192293"/>
    <w:rsid w:val="001927F0"/>
    <w:rsid w:val="00192880"/>
    <w:rsid w:val="00192E96"/>
    <w:rsid w:val="00192F98"/>
    <w:rsid w:val="00193A14"/>
    <w:rsid w:val="00193A4B"/>
    <w:rsid w:val="00193CF7"/>
    <w:rsid w:val="00193D54"/>
    <w:rsid w:val="00194384"/>
    <w:rsid w:val="00194DAF"/>
    <w:rsid w:val="00195940"/>
    <w:rsid w:val="001959E9"/>
    <w:rsid w:val="001967B2"/>
    <w:rsid w:val="00196C94"/>
    <w:rsid w:val="00196D70"/>
    <w:rsid w:val="001971CB"/>
    <w:rsid w:val="0019720C"/>
    <w:rsid w:val="001977AD"/>
    <w:rsid w:val="00197AD3"/>
    <w:rsid w:val="00197B16"/>
    <w:rsid w:val="001A047F"/>
    <w:rsid w:val="001A0668"/>
    <w:rsid w:val="001A0D3B"/>
    <w:rsid w:val="001A11E5"/>
    <w:rsid w:val="001A13B6"/>
    <w:rsid w:val="001A14D5"/>
    <w:rsid w:val="001A19E6"/>
    <w:rsid w:val="001A20C6"/>
    <w:rsid w:val="001A22C1"/>
    <w:rsid w:val="001A2616"/>
    <w:rsid w:val="001A28FB"/>
    <w:rsid w:val="001A2902"/>
    <w:rsid w:val="001A34D7"/>
    <w:rsid w:val="001A3A0A"/>
    <w:rsid w:val="001A3F3F"/>
    <w:rsid w:val="001A41BF"/>
    <w:rsid w:val="001A4D76"/>
    <w:rsid w:val="001A516C"/>
    <w:rsid w:val="001A5199"/>
    <w:rsid w:val="001A57C1"/>
    <w:rsid w:val="001A5AFA"/>
    <w:rsid w:val="001A63D2"/>
    <w:rsid w:val="001A7AAD"/>
    <w:rsid w:val="001B000F"/>
    <w:rsid w:val="001B01CB"/>
    <w:rsid w:val="001B02EA"/>
    <w:rsid w:val="001B07B9"/>
    <w:rsid w:val="001B0ADE"/>
    <w:rsid w:val="001B10B4"/>
    <w:rsid w:val="001B1426"/>
    <w:rsid w:val="001B15BA"/>
    <w:rsid w:val="001B1A43"/>
    <w:rsid w:val="001B20F5"/>
    <w:rsid w:val="001B28C7"/>
    <w:rsid w:val="001B2A8B"/>
    <w:rsid w:val="001B3221"/>
    <w:rsid w:val="001B3346"/>
    <w:rsid w:val="001B3775"/>
    <w:rsid w:val="001B3AD8"/>
    <w:rsid w:val="001B4695"/>
    <w:rsid w:val="001B52C9"/>
    <w:rsid w:val="001B5337"/>
    <w:rsid w:val="001B53BC"/>
    <w:rsid w:val="001B57BC"/>
    <w:rsid w:val="001B599E"/>
    <w:rsid w:val="001B5A78"/>
    <w:rsid w:val="001B5CAF"/>
    <w:rsid w:val="001B6B0B"/>
    <w:rsid w:val="001B7735"/>
    <w:rsid w:val="001B7B68"/>
    <w:rsid w:val="001C061E"/>
    <w:rsid w:val="001C09AE"/>
    <w:rsid w:val="001C0F4B"/>
    <w:rsid w:val="001C0FBC"/>
    <w:rsid w:val="001C129F"/>
    <w:rsid w:val="001C1F72"/>
    <w:rsid w:val="001C218A"/>
    <w:rsid w:val="001C2213"/>
    <w:rsid w:val="001C2C8A"/>
    <w:rsid w:val="001C2E71"/>
    <w:rsid w:val="001C30DE"/>
    <w:rsid w:val="001C51E1"/>
    <w:rsid w:val="001C5236"/>
    <w:rsid w:val="001C5F64"/>
    <w:rsid w:val="001C6181"/>
    <w:rsid w:val="001C6347"/>
    <w:rsid w:val="001C6EAA"/>
    <w:rsid w:val="001C736C"/>
    <w:rsid w:val="001C78BB"/>
    <w:rsid w:val="001C7BC9"/>
    <w:rsid w:val="001D07C1"/>
    <w:rsid w:val="001D0D4A"/>
    <w:rsid w:val="001D0DC3"/>
    <w:rsid w:val="001D0E65"/>
    <w:rsid w:val="001D1045"/>
    <w:rsid w:val="001D2416"/>
    <w:rsid w:val="001D2592"/>
    <w:rsid w:val="001D26FF"/>
    <w:rsid w:val="001D2C5F"/>
    <w:rsid w:val="001D3155"/>
    <w:rsid w:val="001D35C0"/>
    <w:rsid w:val="001D3A08"/>
    <w:rsid w:val="001D4279"/>
    <w:rsid w:val="001D447C"/>
    <w:rsid w:val="001D4AD4"/>
    <w:rsid w:val="001D4E3C"/>
    <w:rsid w:val="001D5006"/>
    <w:rsid w:val="001D58AB"/>
    <w:rsid w:val="001D5E51"/>
    <w:rsid w:val="001D6B45"/>
    <w:rsid w:val="001D6BF0"/>
    <w:rsid w:val="001D744B"/>
    <w:rsid w:val="001E079A"/>
    <w:rsid w:val="001E081F"/>
    <w:rsid w:val="001E08DA"/>
    <w:rsid w:val="001E0EDB"/>
    <w:rsid w:val="001E15E8"/>
    <w:rsid w:val="001E1B40"/>
    <w:rsid w:val="001E24EA"/>
    <w:rsid w:val="001E2F57"/>
    <w:rsid w:val="001E359C"/>
    <w:rsid w:val="001E4755"/>
    <w:rsid w:val="001E4804"/>
    <w:rsid w:val="001E4F73"/>
    <w:rsid w:val="001E51F7"/>
    <w:rsid w:val="001E531B"/>
    <w:rsid w:val="001E54C0"/>
    <w:rsid w:val="001E551F"/>
    <w:rsid w:val="001E5D07"/>
    <w:rsid w:val="001E5DAC"/>
    <w:rsid w:val="001E6089"/>
    <w:rsid w:val="001E67C4"/>
    <w:rsid w:val="001E7779"/>
    <w:rsid w:val="001E779F"/>
    <w:rsid w:val="001E79F6"/>
    <w:rsid w:val="001F0235"/>
    <w:rsid w:val="001F0698"/>
    <w:rsid w:val="001F09E3"/>
    <w:rsid w:val="001F0A8E"/>
    <w:rsid w:val="001F1597"/>
    <w:rsid w:val="001F1ABF"/>
    <w:rsid w:val="001F1DAA"/>
    <w:rsid w:val="001F21EC"/>
    <w:rsid w:val="001F3366"/>
    <w:rsid w:val="001F352E"/>
    <w:rsid w:val="001F38D3"/>
    <w:rsid w:val="001F3E90"/>
    <w:rsid w:val="001F3EBA"/>
    <w:rsid w:val="001F3EF9"/>
    <w:rsid w:val="001F40D6"/>
    <w:rsid w:val="001F4AED"/>
    <w:rsid w:val="001F500A"/>
    <w:rsid w:val="001F53EF"/>
    <w:rsid w:val="001F55C7"/>
    <w:rsid w:val="001F573B"/>
    <w:rsid w:val="001F5C37"/>
    <w:rsid w:val="001F5EA0"/>
    <w:rsid w:val="001F60A2"/>
    <w:rsid w:val="001F6302"/>
    <w:rsid w:val="001F64D7"/>
    <w:rsid w:val="001F66D3"/>
    <w:rsid w:val="001F7077"/>
    <w:rsid w:val="001F70B7"/>
    <w:rsid w:val="001F7282"/>
    <w:rsid w:val="001F7D1B"/>
    <w:rsid w:val="002000EB"/>
    <w:rsid w:val="002005F7"/>
    <w:rsid w:val="00200A2F"/>
    <w:rsid w:val="00200A45"/>
    <w:rsid w:val="00200C03"/>
    <w:rsid w:val="00200EAC"/>
    <w:rsid w:val="00200F33"/>
    <w:rsid w:val="0020169C"/>
    <w:rsid w:val="00201D2E"/>
    <w:rsid w:val="002023EE"/>
    <w:rsid w:val="00202D48"/>
    <w:rsid w:val="00202FBE"/>
    <w:rsid w:val="002034BA"/>
    <w:rsid w:val="0020368C"/>
    <w:rsid w:val="002039D7"/>
    <w:rsid w:val="00203B8B"/>
    <w:rsid w:val="00203C61"/>
    <w:rsid w:val="00204871"/>
    <w:rsid w:val="00204C24"/>
    <w:rsid w:val="00204C6A"/>
    <w:rsid w:val="00204E4C"/>
    <w:rsid w:val="002055B6"/>
    <w:rsid w:val="002057AA"/>
    <w:rsid w:val="00205C76"/>
    <w:rsid w:val="002068C9"/>
    <w:rsid w:val="00206BBF"/>
    <w:rsid w:val="00206E6F"/>
    <w:rsid w:val="00207188"/>
    <w:rsid w:val="002073C2"/>
    <w:rsid w:val="0020766F"/>
    <w:rsid w:val="00207EF4"/>
    <w:rsid w:val="00210DD3"/>
    <w:rsid w:val="00211045"/>
    <w:rsid w:val="00211448"/>
    <w:rsid w:val="00211886"/>
    <w:rsid w:val="00211A41"/>
    <w:rsid w:val="00211EC0"/>
    <w:rsid w:val="00211EF1"/>
    <w:rsid w:val="0021227A"/>
    <w:rsid w:val="00212661"/>
    <w:rsid w:val="002127BD"/>
    <w:rsid w:val="0021357B"/>
    <w:rsid w:val="002142A5"/>
    <w:rsid w:val="0021442F"/>
    <w:rsid w:val="00214777"/>
    <w:rsid w:val="002149A7"/>
    <w:rsid w:val="00215554"/>
    <w:rsid w:val="00215733"/>
    <w:rsid w:val="0021595C"/>
    <w:rsid w:val="00215FC4"/>
    <w:rsid w:val="002161F6"/>
    <w:rsid w:val="002165F4"/>
    <w:rsid w:val="00217777"/>
    <w:rsid w:val="00217C10"/>
    <w:rsid w:val="00217F9A"/>
    <w:rsid w:val="002210D5"/>
    <w:rsid w:val="0022169B"/>
    <w:rsid w:val="00221BAA"/>
    <w:rsid w:val="00221EF9"/>
    <w:rsid w:val="002222B9"/>
    <w:rsid w:val="002227FF"/>
    <w:rsid w:val="0022293C"/>
    <w:rsid w:val="00222B53"/>
    <w:rsid w:val="00223A96"/>
    <w:rsid w:val="00223E2E"/>
    <w:rsid w:val="00223EEC"/>
    <w:rsid w:val="002240CC"/>
    <w:rsid w:val="002244F6"/>
    <w:rsid w:val="002244FD"/>
    <w:rsid w:val="0022476B"/>
    <w:rsid w:val="00224A5E"/>
    <w:rsid w:val="00224BE7"/>
    <w:rsid w:val="00224DC1"/>
    <w:rsid w:val="00224E8B"/>
    <w:rsid w:val="00225129"/>
    <w:rsid w:val="0022535F"/>
    <w:rsid w:val="00225B5B"/>
    <w:rsid w:val="00226403"/>
    <w:rsid w:val="00226461"/>
    <w:rsid w:val="00226679"/>
    <w:rsid w:val="00226782"/>
    <w:rsid w:val="00226932"/>
    <w:rsid w:val="002272AB"/>
    <w:rsid w:val="002274CB"/>
    <w:rsid w:val="00227555"/>
    <w:rsid w:val="002300AE"/>
    <w:rsid w:val="00230515"/>
    <w:rsid w:val="00230ABF"/>
    <w:rsid w:val="00230B94"/>
    <w:rsid w:val="00230D4A"/>
    <w:rsid w:val="00230E55"/>
    <w:rsid w:val="00230F0A"/>
    <w:rsid w:val="002311C5"/>
    <w:rsid w:val="00231891"/>
    <w:rsid w:val="00231899"/>
    <w:rsid w:val="002320ED"/>
    <w:rsid w:val="0023271C"/>
    <w:rsid w:val="002328F7"/>
    <w:rsid w:val="00232D4B"/>
    <w:rsid w:val="0023361F"/>
    <w:rsid w:val="002338C4"/>
    <w:rsid w:val="00233B11"/>
    <w:rsid w:val="002344A7"/>
    <w:rsid w:val="00234B37"/>
    <w:rsid w:val="00234D9F"/>
    <w:rsid w:val="00234F0F"/>
    <w:rsid w:val="00235A66"/>
    <w:rsid w:val="00235EFE"/>
    <w:rsid w:val="0023612D"/>
    <w:rsid w:val="0023622A"/>
    <w:rsid w:val="002363B1"/>
    <w:rsid w:val="00236E71"/>
    <w:rsid w:val="0023707F"/>
    <w:rsid w:val="00237263"/>
    <w:rsid w:val="00237837"/>
    <w:rsid w:val="0023795E"/>
    <w:rsid w:val="00240C21"/>
    <w:rsid w:val="002417D6"/>
    <w:rsid w:val="002417F9"/>
    <w:rsid w:val="00241BE0"/>
    <w:rsid w:val="00242210"/>
    <w:rsid w:val="00242CF9"/>
    <w:rsid w:val="00243133"/>
    <w:rsid w:val="00243660"/>
    <w:rsid w:val="00243A79"/>
    <w:rsid w:val="00243B1E"/>
    <w:rsid w:val="00244133"/>
    <w:rsid w:val="002443A9"/>
    <w:rsid w:val="00244441"/>
    <w:rsid w:val="002447BE"/>
    <w:rsid w:val="00244C69"/>
    <w:rsid w:val="002450DB"/>
    <w:rsid w:val="00245E94"/>
    <w:rsid w:val="00245ECC"/>
    <w:rsid w:val="00246CF4"/>
    <w:rsid w:val="002471C5"/>
    <w:rsid w:val="002473BB"/>
    <w:rsid w:val="0024768D"/>
    <w:rsid w:val="00247D0F"/>
    <w:rsid w:val="002500FB"/>
    <w:rsid w:val="00250697"/>
    <w:rsid w:val="00250829"/>
    <w:rsid w:val="00251722"/>
    <w:rsid w:val="00251B16"/>
    <w:rsid w:val="0025254B"/>
    <w:rsid w:val="00252594"/>
    <w:rsid w:val="00252F1D"/>
    <w:rsid w:val="002534FD"/>
    <w:rsid w:val="002538CC"/>
    <w:rsid w:val="00253E7F"/>
    <w:rsid w:val="002546FF"/>
    <w:rsid w:val="00254781"/>
    <w:rsid w:val="002548DD"/>
    <w:rsid w:val="00255B2E"/>
    <w:rsid w:val="0025636A"/>
    <w:rsid w:val="00256443"/>
    <w:rsid w:val="002564F9"/>
    <w:rsid w:val="00256A69"/>
    <w:rsid w:val="00256C8A"/>
    <w:rsid w:val="00256E1E"/>
    <w:rsid w:val="0025771E"/>
    <w:rsid w:val="00257EA6"/>
    <w:rsid w:val="00257F9D"/>
    <w:rsid w:val="0026018C"/>
    <w:rsid w:val="00260508"/>
    <w:rsid w:val="0026068A"/>
    <w:rsid w:val="00260A10"/>
    <w:rsid w:val="00260A19"/>
    <w:rsid w:val="00260B0F"/>
    <w:rsid w:val="00260C44"/>
    <w:rsid w:val="00261067"/>
    <w:rsid w:val="002610AB"/>
    <w:rsid w:val="0026158D"/>
    <w:rsid w:val="00261836"/>
    <w:rsid w:val="00261967"/>
    <w:rsid w:val="0026196A"/>
    <w:rsid w:val="002619F6"/>
    <w:rsid w:val="002621B0"/>
    <w:rsid w:val="0026234A"/>
    <w:rsid w:val="0026240F"/>
    <w:rsid w:val="00262636"/>
    <w:rsid w:val="00262C3B"/>
    <w:rsid w:val="002639B6"/>
    <w:rsid w:val="00263B9E"/>
    <w:rsid w:val="0026417C"/>
    <w:rsid w:val="002645E0"/>
    <w:rsid w:val="002646BC"/>
    <w:rsid w:val="00264C3C"/>
    <w:rsid w:val="00264D1C"/>
    <w:rsid w:val="002651C4"/>
    <w:rsid w:val="002652E2"/>
    <w:rsid w:val="0026533A"/>
    <w:rsid w:val="00265594"/>
    <w:rsid w:val="002655C0"/>
    <w:rsid w:val="002656E7"/>
    <w:rsid w:val="00265A7E"/>
    <w:rsid w:val="002660E7"/>
    <w:rsid w:val="00266427"/>
    <w:rsid w:val="0026688C"/>
    <w:rsid w:val="0026698A"/>
    <w:rsid w:val="00266A37"/>
    <w:rsid w:val="00266A4E"/>
    <w:rsid w:val="0026788C"/>
    <w:rsid w:val="00267D30"/>
    <w:rsid w:val="002703EE"/>
    <w:rsid w:val="00270486"/>
    <w:rsid w:val="00270BA6"/>
    <w:rsid w:val="00271495"/>
    <w:rsid w:val="0027182D"/>
    <w:rsid w:val="00271BB0"/>
    <w:rsid w:val="00272239"/>
    <w:rsid w:val="0027254B"/>
    <w:rsid w:val="0027257D"/>
    <w:rsid w:val="0027278D"/>
    <w:rsid w:val="002727F1"/>
    <w:rsid w:val="0027284A"/>
    <w:rsid w:val="002733D4"/>
    <w:rsid w:val="0027349E"/>
    <w:rsid w:val="00273798"/>
    <w:rsid w:val="0027381D"/>
    <w:rsid w:val="0027386A"/>
    <w:rsid w:val="00273F1C"/>
    <w:rsid w:val="002743FA"/>
    <w:rsid w:val="00274620"/>
    <w:rsid w:val="00274BBB"/>
    <w:rsid w:val="0027566E"/>
    <w:rsid w:val="00275A35"/>
    <w:rsid w:val="00275D3C"/>
    <w:rsid w:val="00275D68"/>
    <w:rsid w:val="00276171"/>
    <w:rsid w:val="00276900"/>
    <w:rsid w:val="00276C62"/>
    <w:rsid w:val="0027710B"/>
    <w:rsid w:val="0027752A"/>
    <w:rsid w:val="002777F4"/>
    <w:rsid w:val="00277C1C"/>
    <w:rsid w:val="00277D4A"/>
    <w:rsid w:val="00277E37"/>
    <w:rsid w:val="00277E82"/>
    <w:rsid w:val="00280061"/>
    <w:rsid w:val="00280377"/>
    <w:rsid w:val="002804AC"/>
    <w:rsid w:val="002804EB"/>
    <w:rsid w:val="00281059"/>
    <w:rsid w:val="00281554"/>
    <w:rsid w:val="00281A05"/>
    <w:rsid w:val="00281C4A"/>
    <w:rsid w:val="00281F06"/>
    <w:rsid w:val="00282236"/>
    <w:rsid w:val="002828FD"/>
    <w:rsid w:val="00283AE9"/>
    <w:rsid w:val="002840A3"/>
    <w:rsid w:val="00284AB7"/>
    <w:rsid w:val="00284D53"/>
    <w:rsid w:val="002850DB"/>
    <w:rsid w:val="00285D73"/>
    <w:rsid w:val="00285F5C"/>
    <w:rsid w:val="002862AB"/>
    <w:rsid w:val="002862DE"/>
    <w:rsid w:val="002865EA"/>
    <w:rsid w:val="00286CFA"/>
    <w:rsid w:val="00287290"/>
    <w:rsid w:val="0028777D"/>
    <w:rsid w:val="002901F7"/>
    <w:rsid w:val="00290211"/>
    <w:rsid w:val="00290DD8"/>
    <w:rsid w:val="00291008"/>
    <w:rsid w:val="002916F9"/>
    <w:rsid w:val="0029200F"/>
    <w:rsid w:val="00292686"/>
    <w:rsid w:val="00292729"/>
    <w:rsid w:val="00292E42"/>
    <w:rsid w:val="002930F0"/>
    <w:rsid w:val="0029317C"/>
    <w:rsid w:val="00293802"/>
    <w:rsid w:val="00293972"/>
    <w:rsid w:val="002939A1"/>
    <w:rsid w:val="00293E11"/>
    <w:rsid w:val="00294271"/>
    <w:rsid w:val="0029428F"/>
    <w:rsid w:val="002943C8"/>
    <w:rsid w:val="002943D6"/>
    <w:rsid w:val="00294C0C"/>
    <w:rsid w:val="00294CC4"/>
    <w:rsid w:val="00294DB4"/>
    <w:rsid w:val="00294E55"/>
    <w:rsid w:val="00294E58"/>
    <w:rsid w:val="002957D8"/>
    <w:rsid w:val="0029661E"/>
    <w:rsid w:val="00296AA9"/>
    <w:rsid w:val="00296BFD"/>
    <w:rsid w:val="00296CA0"/>
    <w:rsid w:val="00296E87"/>
    <w:rsid w:val="00296E94"/>
    <w:rsid w:val="0029700A"/>
    <w:rsid w:val="00297699"/>
    <w:rsid w:val="00297761"/>
    <w:rsid w:val="002978BE"/>
    <w:rsid w:val="002A0347"/>
    <w:rsid w:val="002A09E1"/>
    <w:rsid w:val="002A0A1D"/>
    <w:rsid w:val="002A373D"/>
    <w:rsid w:val="002A3BC0"/>
    <w:rsid w:val="002A3DE5"/>
    <w:rsid w:val="002A3E42"/>
    <w:rsid w:val="002A3EE0"/>
    <w:rsid w:val="002A44A4"/>
    <w:rsid w:val="002A45B2"/>
    <w:rsid w:val="002A4657"/>
    <w:rsid w:val="002A484E"/>
    <w:rsid w:val="002A489F"/>
    <w:rsid w:val="002A629A"/>
    <w:rsid w:val="002A670F"/>
    <w:rsid w:val="002A6EF8"/>
    <w:rsid w:val="002A7249"/>
    <w:rsid w:val="002A7D91"/>
    <w:rsid w:val="002A7EC9"/>
    <w:rsid w:val="002B0249"/>
    <w:rsid w:val="002B03F7"/>
    <w:rsid w:val="002B0CB4"/>
    <w:rsid w:val="002B113A"/>
    <w:rsid w:val="002B130B"/>
    <w:rsid w:val="002B1735"/>
    <w:rsid w:val="002B1812"/>
    <w:rsid w:val="002B1B82"/>
    <w:rsid w:val="002B25FB"/>
    <w:rsid w:val="002B3064"/>
    <w:rsid w:val="002B323E"/>
    <w:rsid w:val="002B3352"/>
    <w:rsid w:val="002B34FF"/>
    <w:rsid w:val="002B3890"/>
    <w:rsid w:val="002B3C30"/>
    <w:rsid w:val="002B3EB9"/>
    <w:rsid w:val="002B487A"/>
    <w:rsid w:val="002B4B86"/>
    <w:rsid w:val="002B4EA8"/>
    <w:rsid w:val="002B596F"/>
    <w:rsid w:val="002B5A11"/>
    <w:rsid w:val="002B5B1A"/>
    <w:rsid w:val="002B5BCB"/>
    <w:rsid w:val="002B5D56"/>
    <w:rsid w:val="002B5EAA"/>
    <w:rsid w:val="002B645E"/>
    <w:rsid w:val="002B6831"/>
    <w:rsid w:val="002B6F8C"/>
    <w:rsid w:val="002B706E"/>
    <w:rsid w:val="002B745C"/>
    <w:rsid w:val="002B7529"/>
    <w:rsid w:val="002B75CB"/>
    <w:rsid w:val="002B7983"/>
    <w:rsid w:val="002B7AB9"/>
    <w:rsid w:val="002C0080"/>
    <w:rsid w:val="002C01B5"/>
    <w:rsid w:val="002C03CE"/>
    <w:rsid w:val="002C0E2C"/>
    <w:rsid w:val="002C0ECE"/>
    <w:rsid w:val="002C112A"/>
    <w:rsid w:val="002C1352"/>
    <w:rsid w:val="002C13AE"/>
    <w:rsid w:val="002C17A3"/>
    <w:rsid w:val="002C1BD4"/>
    <w:rsid w:val="002C1C92"/>
    <w:rsid w:val="002C1FF9"/>
    <w:rsid w:val="002C2097"/>
    <w:rsid w:val="002C217E"/>
    <w:rsid w:val="002C2387"/>
    <w:rsid w:val="002C28FB"/>
    <w:rsid w:val="002C29DD"/>
    <w:rsid w:val="002C2BAC"/>
    <w:rsid w:val="002C2D46"/>
    <w:rsid w:val="002C2FD9"/>
    <w:rsid w:val="002C3122"/>
    <w:rsid w:val="002C362C"/>
    <w:rsid w:val="002C3714"/>
    <w:rsid w:val="002C4132"/>
    <w:rsid w:val="002C421F"/>
    <w:rsid w:val="002C44A8"/>
    <w:rsid w:val="002C4BCB"/>
    <w:rsid w:val="002C4F15"/>
    <w:rsid w:val="002C63C4"/>
    <w:rsid w:val="002C64C2"/>
    <w:rsid w:val="002C66BD"/>
    <w:rsid w:val="002C66F6"/>
    <w:rsid w:val="002C6AB6"/>
    <w:rsid w:val="002C6C39"/>
    <w:rsid w:val="002C702C"/>
    <w:rsid w:val="002C77D8"/>
    <w:rsid w:val="002C7905"/>
    <w:rsid w:val="002C7A4F"/>
    <w:rsid w:val="002D0179"/>
    <w:rsid w:val="002D07EA"/>
    <w:rsid w:val="002D2CAD"/>
    <w:rsid w:val="002D2D74"/>
    <w:rsid w:val="002D3487"/>
    <w:rsid w:val="002D377F"/>
    <w:rsid w:val="002D37B7"/>
    <w:rsid w:val="002D3B37"/>
    <w:rsid w:val="002D3D34"/>
    <w:rsid w:val="002D40B9"/>
    <w:rsid w:val="002D44D5"/>
    <w:rsid w:val="002D45C1"/>
    <w:rsid w:val="002D45DD"/>
    <w:rsid w:val="002D4DC2"/>
    <w:rsid w:val="002D6341"/>
    <w:rsid w:val="002D66F4"/>
    <w:rsid w:val="002D7C26"/>
    <w:rsid w:val="002E0647"/>
    <w:rsid w:val="002E09D6"/>
    <w:rsid w:val="002E0A17"/>
    <w:rsid w:val="002E0BFA"/>
    <w:rsid w:val="002E0E0F"/>
    <w:rsid w:val="002E167C"/>
    <w:rsid w:val="002E1E79"/>
    <w:rsid w:val="002E212B"/>
    <w:rsid w:val="002E223A"/>
    <w:rsid w:val="002E27E0"/>
    <w:rsid w:val="002E35E0"/>
    <w:rsid w:val="002E4450"/>
    <w:rsid w:val="002E478E"/>
    <w:rsid w:val="002E4DA4"/>
    <w:rsid w:val="002E525F"/>
    <w:rsid w:val="002E52A5"/>
    <w:rsid w:val="002E54A7"/>
    <w:rsid w:val="002E5E0C"/>
    <w:rsid w:val="002E5E75"/>
    <w:rsid w:val="002E60B7"/>
    <w:rsid w:val="002E62E9"/>
    <w:rsid w:val="002E6345"/>
    <w:rsid w:val="002E6375"/>
    <w:rsid w:val="002E6590"/>
    <w:rsid w:val="002E663C"/>
    <w:rsid w:val="002E6B6F"/>
    <w:rsid w:val="002F03F0"/>
    <w:rsid w:val="002F0F72"/>
    <w:rsid w:val="002F1260"/>
    <w:rsid w:val="002F1774"/>
    <w:rsid w:val="002F17CD"/>
    <w:rsid w:val="002F1EC3"/>
    <w:rsid w:val="002F1F01"/>
    <w:rsid w:val="002F204E"/>
    <w:rsid w:val="002F2215"/>
    <w:rsid w:val="002F2678"/>
    <w:rsid w:val="002F27B8"/>
    <w:rsid w:val="002F2916"/>
    <w:rsid w:val="002F2DB7"/>
    <w:rsid w:val="002F3095"/>
    <w:rsid w:val="002F3222"/>
    <w:rsid w:val="002F37DE"/>
    <w:rsid w:val="002F3B21"/>
    <w:rsid w:val="002F3DA7"/>
    <w:rsid w:val="002F4141"/>
    <w:rsid w:val="002F4833"/>
    <w:rsid w:val="002F498C"/>
    <w:rsid w:val="002F53DF"/>
    <w:rsid w:val="002F57F2"/>
    <w:rsid w:val="002F58AD"/>
    <w:rsid w:val="002F5CD6"/>
    <w:rsid w:val="002F5E1F"/>
    <w:rsid w:val="002F5E28"/>
    <w:rsid w:val="002F68A4"/>
    <w:rsid w:val="002F7122"/>
    <w:rsid w:val="002F72FC"/>
    <w:rsid w:val="002F7538"/>
    <w:rsid w:val="002F7D08"/>
    <w:rsid w:val="002F7D8B"/>
    <w:rsid w:val="002F7ED7"/>
    <w:rsid w:val="0030043E"/>
    <w:rsid w:val="0030088A"/>
    <w:rsid w:val="0030190B"/>
    <w:rsid w:val="00301DD8"/>
    <w:rsid w:val="0030234B"/>
    <w:rsid w:val="003026B2"/>
    <w:rsid w:val="00302A3F"/>
    <w:rsid w:val="00302FF0"/>
    <w:rsid w:val="00303350"/>
    <w:rsid w:val="00303393"/>
    <w:rsid w:val="00303621"/>
    <w:rsid w:val="003037E8"/>
    <w:rsid w:val="00303AD6"/>
    <w:rsid w:val="00303B74"/>
    <w:rsid w:val="0030443E"/>
    <w:rsid w:val="003048AB"/>
    <w:rsid w:val="00304B86"/>
    <w:rsid w:val="00304EC3"/>
    <w:rsid w:val="003051F6"/>
    <w:rsid w:val="0030522F"/>
    <w:rsid w:val="003055A0"/>
    <w:rsid w:val="003057A5"/>
    <w:rsid w:val="00305F64"/>
    <w:rsid w:val="003075F3"/>
    <w:rsid w:val="00307B6D"/>
    <w:rsid w:val="00307D3C"/>
    <w:rsid w:val="00307EA9"/>
    <w:rsid w:val="00307F9B"/>
    <w:rsid w:val="00310271"/>
    <w:rsid w:val="0031082C"/>
    <w:rsid w:val="0031089E"/>
    <w:rsid w:val="0031090A"/>
    <w:rsid w:val="00310C18"/>
    <w:rsid w:val="00311741"/>
    <w:rsid w:val="00311FF1"/>
    <w:rsid w:val="003122C6"/>
    <w:rsid w:val="00312636"/>
    <w:rsid w:val="0031271D"/>
    <w:rsid w:val="00312A54"/>
    <w:rsid w:val="003137B8"/>
    <w:rsid w:val="003138A5"/>
    <w:rsid w:val="00313A64"/>
    <w:rsid w:val="00313B75"/>
    <w:rsid w:val="00313E32"/>
    <w:rsid w:val="003143E5"/>
    <w:rsid w:val="00314DE9"/>
    <w:rsid w:val="00314E9E"/>
    <w:rsid w:val="003155AC"/>
    <w:rsid w:val="00315BC9"/>
    <w:rsid w:val="00315C41"/>
    <w:rsid w:val="00315EBD"/>
    <w:rsid w:val="00316068"/>
    <w:rsid w:val="0031636F"/>
    <w:rsid w:val="0031766A"/>
    <w:rsid w:val="003201D6"/>
    <w:rsid w:val="00320550"/>
    <w:rsid w:val="00320DF2"/>
    <w:rsid w:val="0032185F"/>
    <w:rsid w:val="00321E0F"/>
    <w:rsid w:val="0032242A"/>
    <w:rsid w:val="003227AE"/>
    <w:rsid w:val="00322CF8"/>
    <w:rsid w:val="003230EF"/>
    <w:rsid w:val="00323185"/>
    <w:rsid w:val="0032400C"/>
    <w:rsid w:val="00324153"/>
    <w:rsid w:val="003241B5"/>
    <w:rsid w:val="0032493C"/>
    <w:rsid w:val="00324B8F"/>
    <w:rsid w:val="00326311"/>
    <w:rsid w:val="003266E3"/>
    <w:rsid w:val="003267AB"/>
    <w:rsid w:val="00326ED5"/>
    <w:rsid w:val="0032779B"/>
    <w:rsid w:val="003277C6"/>
    <w:rsid w:val="0032797F"/>
    <w:rsid w:val="003279B1"/>
    <w:rsid w:val="00330CD1"/>
    <w:rsid w:val="00330F96"/>
    <w:rsid w:val="00331402"/>
    <w:rsid w:val="00331564"/>
    <w:rsid w:val="0033170B"/>
    <w:rsid w:val="00331C83"/>
    <w:rsid w:val="00331F43"/>
    <w:rsid w:val="00332085"/>
    <w:rsid w:val="00332258"/>
    <w:rsid w:val="00332651"/>
    <w:rsid w:val="00332C71"/>
    <w:rsid w:val="00332E1C"/>
    <w:rsid w:val="00332FE7"/>
    <w:rsid w:val="0033326F"/>
    <w:rsid w:val="00334216"/>
    <w:rsid w:val="00334F62"/>
    <w:rsid w:val="00334FEC"/>
    <w:rsid w:val="00335234"/>
    <w:rsid w:val="003357A5"/>
    <w:rsid w:val="003358AC"/>
    <w:rsid w:val="00335A67"/>
    <w:rsid w:val="00335ACF"/>
    <w:rsid w:val="00335DFC"/>
    <w:rsid w:val="003369E9"/>
    <w:rsid w:val="00336AF8"/>
    <w:rsid w:val="00336D82"/>
    <w:rsid w:val="00336E00"/>
    <w:rsid w:val="00336FB7"/>
    <w:rsid w:val="00336FCE"/>
    <w:rsid w:val="003402B4"/>
    <w:rsid w:val="003404A6"/>
    <w:rsid w:val="00340943"/>
    <w:rsid w:val="00340D6C"/>
    <w:rsid w:val="00341034"/>
    <w:rsid w:val="00341201"/>
    <w:rsid w:val="0034151E"/>
    <w:rsid w:val="00341652"/>
    <w:rsid w:val="003417A1"/>
    <w:rsid w:val="00341F7B"/>
    <w:rsid w:val="0034221D"/>
    <w:rsid w:val="003428A8"/>
    <w:rsid w:val="00342971"/>
    <w:rsid w:val="00342CDD"/>
    <w:rsid w:val="003433E1"/>
    <w:rsid w:val="0034376F"/>
    <w:rsid w:val="0034379A"/>
    <w:rsid w:val="00343C4C"/>
    <w:rsid w:val="003444EA"/>
    <w:rsid w:val="00344820"/>
    <w:rsid w:val="00345DA7"/>
    <w:rsid w:val="00345E28"/>
    <w:rsid w:val="00345F3F"/>
    <w:rsid w:val="003466C2"/>
    <w:rsid w:val="00346AE9"/>
    <w:rsid w:val="00346CD9"/>
    <w:rsid w:val="0034755D"/>
    <w:rsid w:val="00347715"/>
    <w:rsid w:val="0034781D"/>
    <w:rsid w:val="00347A7B"/>
    <w:rsid w:val="00347C78"/>
    <w:rsid w:val="003506A3"/>
    <w:rsid w:val="0035073E"/>
    <w:rsid w:val="003508F5"/>
    <w:rsid w:val="00350ED6"/>
    <w:rsid w:val="00351508"/>
    <w:rsid w:val="003516AB"/>
    <w:rsid w:val="003520F2"/>
    <w:rsid w:val="00352478"/>
    <w:rsid w:val="00352844"/>
    <w:rsid w:val="00352DD2"/>
    <w:rsid w:val="00352F42"/>
    <w:rsid w:val="00353066"/>
    <w:rsid w:val="003530D0"/>
    <w:rsid w:val="003534F2"/>
    <w:rsid w:val="00353A33"/>
    <w:rsid w:val="00354081"/>
    <w:rsid w:val="00354271"/>
    <w:rsid w:val="00354501"/>
    <w:rsid w:val="00354D5A"/>
    <w:rsid w:val="003552DE"/>
    <w:rsid w:val="003552EC"/>
    <w:rsid w:val="00355346"/>
    <w:rsid w:val="0035597C"/>
    <w:rsid w:val="00356D8D"/>
    <w:rsid w:val="0035733C"/>
    <w:rsid w:val="00357450"/>
    <w:rsid w:val="00357726"/>
    <w:rsid w:val="00357C37"/>
    <w:rsid w:val="00357DB0"/>
    <w:rsid w:val="0036024D"/>
    <w:rsid w:val="003602E7"/>
    <w:rsid w:val="00360878"/>
    <w:rsid w:val="00361487"/>
    <w:rsid w:val="003617E9"/>
    <w:rsid w:val="00361AD2"/>
    <w:rsid w:val="00362655"/>
    <w:rsid w:val="00362B31"/>
    <w:rsid w:val="00363320"/>
    <w:rsid w:val="00363362"/>
    <w:rsid w:val="0036364D"/>
    <w:rsid w:val="00363751"/>
    <w:rsid w:val="00363892"/>
    <w:rsid w:val="003639C2"/>
    <w:rsid w:val="00363BA9"/>
    <w:rsid w:val="00364218"/>
    <w:rsid w:val="003645AF"/>
    <w:rsid w:val="003646B0"/>
    <w:rsid w:val="00364B65"/>
    <w:rsid w:val="00364C67"/>
    <w:rsid w:val="003656F1"/>
    <w:rsid w:val="003662D4"/>
    <w:rsid w:val="0036650E"/>
    <w:rsid w:val="0036682B"/>
    <w:rsid w:val="0036699E"/>
    <w:rsid w:val="00366D2A"/>
    <w:rsid w:val="00366D35"/>
    <w:rsid w:val="003672B7"/>
    <w:rsid w:val="00367842"/>
    <w:rsid w:val="00370778"/>
    <w:rsid w:val="00370DCA"/>
    <w:rsid w:val="00371329"/>
    <w:rsid w:val="003715A2"/>
    <w:rsid w:val="00372319"/>
    <w:rsid w:val="00372368"/>
    <w:rsid w:val="003739FC"/>
    <w:rsid w:val="00373ED7"/>
    <w:rsid w:val="003742E8"/>
    <w:rsid w:val="003749B0"/>
    <w:rsid w:val="00374C56"/>
    <w:rsid w:val="00375811"/>
    <w:rsid w:val="0037581D"/>
    <w:rsid w:val="00375FDA"/>
    <w:rsid w:val="0037600D"/>
    <w:rsid w:val="003760B4"/>
    <w:rsid w:val="003760E6"/>
    <w:rsid w:val="0037686F"/>
    <w:rsid w:val="00376C06"/>
    <w:rsid w:val="00377031"/>
    <w:rsid w:val="00377691"/>
    <w:rsid w:val="003779B7"/>
    <w:rsid w:val="00377ACB"/>
    <w:rsid w:val="00377BBF"/>
    <w:rsid w:val="00377D23"/>
    <w:rsid w:val="0038003F"/>
    <w:rsid w:val="00380240"/>
    <w:rsid w:val="00380684"/>
    <w:rsid w:val="003812C2"/>
    <w:rsid w:val="0038131C"/>
    <w:rsid w:val="00381419"/>
    <w:rsid w:val="00381751"/>
    <w:rsid w:val="003825B1"/>
    <w:rsid w:val="00382C4F"/>
    <w:rsid w:val="00382DFD"/>
    <w:rsid w:val="003830F2"/>
    <w:rsid w:val="003831BB"/>
    <w:rsid w:val="00383416"/>
    <w:rsid w:val="0038342A"/>
    <w:rsid w:val="0038386C"/>
    <w:rsid w:val="00383AEB"/>
    <w:rsid w:val="00383C01"/>
    <w:rsid w:val="003847F8"/>
    <w:rsid w:val="00384DCF"/>
    <w:rsid w:val="0038543F"/>
    <w:rsid w:val="0038587C"/>
    <w:rsid w:val="003858E3"/>
    <w:rsid w:val="00385B90"/>
    <w:rsid w:val="0038662D"/>
    <w:rsid w:val="00386C51"/>
    <w:rsid w:val="003870C7"/>
    <w:rsid w:val="00387279"/>
    <w:rsid w:val="003873EC"/>
    <w:rsid w:val="0038758C"/>
    <w:rsid w:val="003877FA"/>
    <w:rsid w:val="00387B14"/>
    <w:rsid w:val="0039050A"/>
    <w:rsid w:val="00390BBB"/>
    <w:rsid w:val="00391051"/>
    <w:rsid w:val="00391722"/>
    <w:rsid w:val="003918C2"/>
    <w:rsid w:val="003923C9"/>
    <w:rsid w:val="003929B9"/>
    <w:rsid w:val="0039302C"/>
    <w:rsid w:val="003930E4"/>
    <w:rsid w:val="00393B51"/>
    <w:rsid w:val="00393D4D"/>
    <w:rsid w:val="0039486E"/>
    <w:rsid w:val="00395136"/>
    <w:rsid w:val="00395D05"/>
    <w:rsid w:val="00395D07"/>
    <w:rsid w:val="0039625A"/>
    <w:rsid w:val="00396DE8"/>
    <w:rsid w:val="00396E03"/>
    <w:rsid w:val="00397213"/>
    <w:rsid w:val="00397476"/>
    <w:rsid w:val="003974F3"/>
    <w:rsid w:val="003977A3"/>
    <w:rsid w:val="00397B3F"/>
    <w:rsid w:val="00397E52"/>
    <w:rsid w:val="003A050D"/>
    <w:rsid w:val="003A0C00"/>
    <w:rsid w:val="003A0D34"/>
    <w:rsid w:val="003A0E36"/>
    <w:rsid w:val="003A1006"/>
    <w:rsid w:val="003A117A"/>
    <w:rsid w:val="003A13A2"/>
    <w:rsid w:val="003A1870"/>
    <w:rsid w:val="003A2214"/>
    <w:rsid w:val="003A2282"/>
    <w:rsid w:val="003A2290"/>
    <w:rsid w:val="003A2350"/>
    <w:rsid w:val="003A248D"/>
    <w:rsid w:val="003A265D"/>
    <w:rsid w:val="003A36FC"/>
    <w:rsid w:val="003A3841"/>
    <w:rsid w:val="003A3DF1"/>
    <w:rsid w:val="003A3F86"/>
    <w:rsid w:val="003A3FE5"/>
    <w:rsid w:val="003A495F"/>
    <w:rsid w:val="003A4F02"/>
    <w:rsid w:val="003A518A"/>
    <w:rsid w:val="003A577F"/>
    <w:rsid w:val="003A5977"/>
    <w:rsid w:val="003A61A8"/>
    <w:rsid w:val="003A6CD3"/>
    <w:rsid w:val="003A7F63"/>
    <w:rsid w:val="003A7FE6"/>
    <w:rsid w:val="003B030F"/>
    <w:rsid w:val="003B0761"/>
    <w:rsid w:val="003B076F"/>
    <w:rsid w:val="003B0AB5"/>
    <w:rsid w:val="003B0C3B"/>
    <w:rsid w:val="003B0E7D"/>
    <w:rsid w:val="003B1525"/>
    <w:rsid w:val="003B1CD3"/>
    <w:rsid w:val="003B1D7D"/>
    <w:rsid w:val="003B1EF7"/>
    <w:rsid w:val="003B2091"/>
    <w:rsid w:val="003B220C"/>
    <w:rsid w:val="003B2492"/>
    <w:rsid w:val="003B25F9"/>
    <w:rsid w:val="003B2805"/>
    <w:rsid w:val="003B2C01"/>
    <w:rsid w:val="003B2C2C"/>
    <w:rsid w:val="003B2F20"/>
    <w:rsid w:val="003B2F26"/>
    <w:rsid w:val="003B384A"/>
    <w:rsid w:val="003B40B4"/>
    <w:rsid w:val="003B4338"/>
    <w:rsid w:val="003B4529"/>
    <w:rsid w:val="003B4643"/>
    <w:rsid w:val="003B4C8E"/>
    <w:rsid w:val="003B53D3"/>
    <w:rsid w:val="003B573B"/>
    <w:rsid w:val="003B574D"/>
    <w:rsid w:val="003B5B18"/>
    <w:rsid w:val="003B5E91"/>
    <w:rsid w:val="003B635A"/>
    <w:rsid w:val="003B6BED"/>
    <w:rsid w:val="003B6C70"/>
    <w:rsid w:val="003B6EA9"/>
    <w:rsid w:val="003B7026"/>
    <w:rsid w:val="003B7C67"/>
    <w:rsid w:val="003B7D50"/>
    <w:rsid w:val="003B7E52"/>
    <w:rsid w:val="003C0172"/>
    <w:rsid w:val="003C017E"/>
    <w:rsid w:val="003C06C4"/>
    <w:rsid w:val="003C1208"/>
    <w:rsid w:val="003C1441"/>
    <w:rsid w:val="003C14F9"/>
    <w:rsid w:val="003C1B9D"/>
    <w:rsid w:val="003C1BBD"/>
    <w:rsid w:val="003C1FAF"/>
    <w:rsid w:val="003C25CD"/>
    <w:rsid w:val="003C292B"/>
    <w:rsid w:val="003C2A85"/>
    <w:rsid w:val="003C3836"/>
    <w:rsid w:val="003C3B3F"/>
    <w:rsid w:val="003C44CC"/>
    <w:rsid w:val="003C47CE"/>
    <w:rsid w:val="003C488E"/>
    <w:rsid w:val="003C48A9"/>
    <w:rsid w:val="003C48AB"/>
    <w:rsid w:val="003C4BDA"/>
    <w:rsid w:val="003C4C04"/>
    <w:rsid w:val="003C4DED"/>
    <w:rsid w:val="003C4EEE"/>
    <w:rsid w:val="003C56AF"/>
    <w:rsid w:val="003C5803"/>
    <w:rsid w:val="003C6B1B"/>
    <w:rsid w:val="003C6D66"/>
    <w:rsid w:val="003C7D1B"/>
    <w:rsid w:val="003D17D8"/>
    <w:rsid w:val="003D1848"/>
    <w:rsid w:val="003D1C2B"/>
    <w:rsid w:val="003D21BE"/>
    <w:rsid w:val="003D25ED"/>
    <w:rsid w:val="003D2CD5"/>
    <w:rsid w:val="003D2D9F"/>
    <w:rsid w:val="003D30AC"/>
    <w:rsid w:val="003D33F5"/>
    <w:rsid w:val="003D4770"/>
    <w:rsid w:val="003D52BE"/>
    <w:rsid w:val="003D5522"/>
    <w:rsid w:val="003D560D"/>
    <w:rsid w:val="003D615C"/>
    <w:rsid w:val="003D64AC"/>
    <w:rsid w:val="003D6539"/>
    <w:rsid w:val="003D6F1B"/>
    <w:rsid w:val="003D7060"/>
    <w:rsid w:val="003D70E4"/>
    <w:rsid w:val="003D7233"/>
    <w:rsid w:val="003D77A5"/>
    <w:rsid w:val="003D78BB"/>
    <w:rsid w:val="003E05F3"/>
    <w:rsid w:val="003E06FC"/>
    <w:rsid w:val="003E14E7"/>
    <w:rsid w:val="003E17C2"/>
    <w:rsid w:val="003E18FD"/>
    <w:rsid w:val="003E2081"/>
    <w:rsid w:val="003E2087"/>
    <w:rsid w:val="003E22BD"/>
    <w:rsid w:val="003E2BD1"/>
    <w:rsid w:val="003E2C17"/>
    <w:rsid w:val="003E30C3"/>
    <w:rsid w:val="003E399B"/>
    <w:rsid w:val="003E3B7C"/>
    <w:rsid w:val="003E3B8B"/>
    <w:rsid w:val="003E42DF"/>
    <w:rsid w:val="003E457C"/>
    <w:rsid w:val="003E477B"/>
    <w:rsid w:val="003E50B6"/>
    <w:rsid w:val="003E5238"/>
    <w:rsid w:val="003E5560"/>
    <w:rsid w:val="003E5695"/>
    <w:rsid w:val="003E584F"/>
    <w:rsid w:val="003E5A0D"/>
    <w:rsid w:val="003E5B51"/>
    <w:rsid w:val="003E5D2A"/>
    <w:rsid w:val="003E5E29"/>
    <w:rsid w:val="003E6417"/>
    <w:rsid w:val="003E6717"/>
    <w:rsid w:val="003E67DB"/>
    <w:rsid w:val="003E6E80"/>
    <w:rsid w:val="003E7764"/>
    <w:rsid w:val="003E7F5A"/>
    <w:rsid w:val="003F0528"/>
    <w:rsid w:val="003F0B3C"/>
    <w:rsid w:val="003F0C5A"/>
    <w:rsid w:val="003F14CC"/>
    <w:rsid w:val="003F1B38"/>
    <w:rsid w:val="003F1DD9"/>
    <w:rsid w:val="003F223B"/>
    <w:rsid w:val="003F22A7"/>
    <w:rsid w:val="003F361C"/>
    <w:rsid w:val="003F3CEC"/>
    <w:rsid w:val="003F3D11"/>
    <w:rsid w:val="003F3F99"/>
    <w:rsid w:val="003F4863"/>
    <w:rsid w:val="003F4893"/>
    <w:rsid w:val="003F49EB"/>
    <w:rsid w:val="003F4E7B"/>
    <w:rsid w:val="003F5639"/>
    <w:rsid w:val="003F56A8"/>
    <w:rsid w:val="003F5C8B"/>
    <w:rsid w:val="003F5E6C"/>
    <w:rsid w:val="003F614A"/>
    <w:rsid w:val="003F6190"/>
    <w:rsid w:val="003F6511"/>
    <w:rsid w:val="003F6BDC"/>
    <w:rsid w:val="003F6CD8"/>
    <w:rsid w:val="003F6D10"/>
    <w:rsid w:val="003F734A"/>
    <w:rsid w:val="003F75D9"/>
    <w:rsid w:val="003F7809"/>
    <w:rsid w:val="00400F9C"/>
    <w:rsid w:val="00401933"/>
    <w:rsid w:val="00401A73"/>
    <w:rsid w:val="00401D27"/>
    <w:rsid w:val="00401EAA"/>
    <w:rsid w:val="00401ED6"/>
    <w:rsid w:val="00401F4B"/>
    <w:rsid w:val="00402072"/>
    <w:rsid w:val="00402141"/>
    <w:rsid w:val="00402420"/>
    <w:rsid w:val="004025BF"/>
    <w:rsid w:val="00402601"/>
    <w:rsid w:val="00402C58"/>
    <w:rsid w:val="0040359C"/>
    <w:rsid w:val="00403783"/>
    <w:rsid w:val="00404B2C"/>
    <w:rsid w:val="00404BA0"/>
    <w:rsid w:val="00405137"/>
    <w:rsid w:val="0040523B"/>
    <w:rsid w:val="00405905"/>
    <w:rsid w:val="00405963"/>
    <w:rsid w:val="00405A4B"/>
    <w:rsid w:val="00405D4C"/>
    <w:rsid w:val="004065D7"/>
    <w:rsid w:val="0040672B"/>
    <w:rsid w:val="004068B3"/>
    <w:rsid w:val="00406E02"/>
    <w:rsid w:val="00406F3C"/>
    <w:rsid w:val="004077BD"/>
    <w:rsid w:val="00407978"/>
    <w:rsid w:val="00407D29"/>
    <w:rsid w:val="004106ED"/>
    <w:rsid w:val="00410977"/>
    <w:rsid w:val="00410B07"/>
    <w:rsid w:val="00410BEC"/>
    <w:rsid w:val="0041103D"/>
    <w:rsid w:val="0041173A"/>
    <w:rsid w:val="0041201D"/>
    <w:rsid w:val="004120EB"/>
    <w:rsid w:val="00412449"/>
    <w:rsid w:val="00412469"/>
    <w:rsid w:val="004124B7"/>
    <w:rsid w:val="00412A73"/>
    <w:rsid w:val="00413355"/>
    <w:rsid w:val="004135B3"/>
    <w:rsid w:val="004158A8"/>
    <w:rsid w:val="00415C52"/>
    <w:rsid w:val="00415DE2"/>
    <w:rsid w:val="0041602E"/>
    <w:rsid w:val="0041679A"/>
    <w:rsid w:val="00416911"/>
    <w:rsid w:val="004169B9"/>
    <w:rsid w:val="00416A32"/>
    <w:rsid w:val="004175B6"/>
    <w:rsid w:val="00417714"/>
    <w:rsid w:val="00417BB4"/>
    <w:rsid w:val="00417C33"/>
    <w:rsid w:val="00417D16"/>
    <w:rsid w:val="00417E1D"/>
    <w:rsid w:val="00417ECD"/>
    <w:rsid w:val="00420545"/>
    <w:rsid w:val="00420620"/>
    <w:rsid w:val="00420AA9"/>
    <w:rsid w:val="00420CB5"/>
    <w:rsid w:val="00420F56"/>
    <w:rsid w:val="00421675"/>
    <w:rsid w:val="00421A7F"/>
    <w:rsid w:val="00421D4C"/>
    <w:rsid w:val="00421ED1"/>
    <w:rsid w:val="00422146"/>
    <w:rsid w:val="0042273A"/>
    <w:rsid w:val="00422ED6"/>
    <w:rsid w:val="004239FF"/>
    <w:rsid w:val="00423A39"/>
    <w:rsid w:val="00423C08"/>
    <w:rsid w:val="004243F9"/>
    <w:rsid w:val="004244D4"/>
    <w:rsid w:val="00424647"/>
    <w:rsid w:val="00425437"/>
    <w:rsid w:val="004255BE"/>
    <w:rsid w:val="00425724"/>
    <w:rsid w:val="00425AC0"/>
    <w:rsid w:val="00425AED"/>
    <w:rsid w:val="00425DA0"/>
    <w:rsid w:val="00425E97"/>
    <w:rsid w:val="0042609B"/>
    <w:rsid w:val="00426210"/>
    <w:rsid w:val="00426B1C"/>
    <w:rsid w:val="00426B82"/>
    <w:rsid w:val="00426F10"/>
    <w:rsid w:val="00427494"/>
    <w:rsid w:val="004279EA"/>
    <w:rsid w:val="00427AF4"/>
    <w:rsid w:val="00427ED8"/>
    <w:rsid w:val="00427FF2"/>
    <w:rsid w:val="00430489"/>
    <w:rsid w:val="004309C8"/>
    <w:rsid w:val="00430B6C"/>
    <w:rsid w:val="00430B7F"/>
    <w:rsid w:val="00430EA4"/>
    <w:rsid w:val="00430F36"/>
    <w:rsid w:val="00431772"/>
    <w:rsid w:val="00431975"/>
    <w:rsid w:val="00431E54"/>
    <w:rsid w:val="004323D0"/>
    <w:rsid w:val="00432932"/>
    <w:rsid w:val="00432A85"/>
    <w:rsid w:val="00432A8E"/>
    <w:rsid w:val="00432B6E"/>
    <w:rsid w:val="00432E67"/>
    <w:rsid w:val="00432E68"/>
    <w:rsid w:val="00433B94"/>
    <w:rsid w:val="00434015"/>
    <w:rsid w:val="00434325"/>
    <w:rsid w:val="0043456C"/>
    <w:rsid w:val="004348E6"/>
    <w:rsid w:val="00434932"/>
    <w:rsid w:val="004349F7"/>
    <w:rsid w:val="00434D0D"/>
    <w:rsid w:val="004350BA"/>
    <w:rsid w:val="00435802"/>
    <w:rsid w:val="004358C9"/>
    <w:rsid w:val="004358FA"/>
    <w:rsid w:val="00435A1B"/>
    <w:rsid w:val="00435D51"/>
    <w:rsid w:val="00436758"/>
    <w:rsid w:val="00436860"/>
    <w:rsid w:val="00436BBA"/>
    <w:rsid w:val="00436D25"/>
    <w:rsid w:val="00437253"/>
    <w:rsid w:val="004375A1"/>
    <w:rsid w:val="004404A2"/>
    <w:rsid w:val="004406EB"/>
    <w:rsid w:val="00440F98"/>
    <w:rsid w:val="004416A0"/>
    <w:rsid w:val="00441AF8"/>
    <w:rsid w:val="00441B06"/>
    <w:rsid w:val="004423DE"/>
    <w:rsid w:val="004425B2"/>
    <w:rsid w:val="00442A1A"/>
    <w:rsid w:val="00442C1F"/>
    <w:rsid w:val="00442DCC"/>
    <w:rsid w:val="00442E7E"/>
    <w:rsid w:val="00443AEA"/>
    <w:rsid w:val="0044408A"/>
    <w:rsid w:val="00444495"/>
    <w:rsid w:val="00444508"/>
    <w:rsid w:val="00444509"/>
    <w:rsid w:val="00445096"/>
    <w:rsid w:val="0044536C"/>
    <w:rsid w:val="00445DEB"/>
    <w:rsid w:val="00445FBF"/>
    <w:rsid w:val="004461DD"/>
    <w:rsid w:val="0044666B"/>
    <w:rsid w:val="0044694C"/>
    <w:rsid w:val="00446A13"/>
    <w:rsid w:val="00446AD8"/>
    <w:rsid w:val="004474D4"/>
    <w:rsid w:val="00447576"/>
    <w:rsid w:val="00447A29"/>
    <w:rsid w:val="00447EA3"/>
    <w:rsid w:val="00450DD9"/>
    <w:rsid w:val="00450FD5"/>
    <w:rsid w:val="00451137"/>
    <w:rsid w:val="0045113B"/>
    <w:rsid w:val="004514A2"/>
    <w:rsid w:val="00451FAA"/>
    <w:rsid w:val="00452629"/>
    <w:rsid w:val="00452F7A"/>
    <w:rsid w:val="004535F3"/>
    <w:rsid w:val="00453AA8"/>
    <w:rsid w:val="004541FD"/>
    <w:rsid w:val="004544C7"/>
    <w:rsid w:val="0045489F"/>
    <w:rsid w:val="00454AF8"/>
    <w:rsid w:val="00454BC1"/>
    <w:rsid w:val="00454D1F"/>
    <w:rsid w:val="0045558E"/>
    <w:rsid w:val="0045580C"/>
    <w:rsid w:val="004559EF"/>
    <w:rsid w:val="00455B62"/>
    <w:rsid w:val="004567AC"/>
    <w:rsid w:val="00457730"/>
    <w:rsid w:val="00457ACC"/>
    <w:rsid w:val="004600F6"/>
    <w:rsid w:val="0046021A"/>
    <w:rsid w:val="00460457"/>
    <w:rsid w:val="004606D6"/>
    <w:rsid w:val="00460B08"/>
    <w:rsid w:val="00460D19"/>
    <w:rsid w:val="00460F68"/>
    <w:rsid w:val="00461421"/>
    <w:rsid w:val="0046173B"/>
    <w:rsid w:val="004617BA"/>
    <w:rsid w:val="00461BFB"/>
    <w:rsid w:val="00461E39"/>
    <w:rsid w:val="004620D3"/>
    <w:rsid w:val="0046299E"/>
    <w:rsid w:val="00462C08"/>
    <w:rsid w:val="004639FB"/>
    <w:rsid w:val="00463A4F"/>
    <w:rsid w:val="00464124"/>
    <w:rsid w:val="004643BC"/>
    <w:rsid w:val="0046482D"/>
    <w:rsid w:val="00464EF5"/>
    <w:rsid w:val="00464F80"/>
    <w:rsid w:val="00464FF5"/>
    <w:rsid w:val="00464FFD"/>
    <w:rsid w:val="004651F3"/>
    <w:rsid w:val="004656C0"/>
    <w:rsid w:val="00465E50"/>
    <w:rsid w:val="00465FDA"/>
    <w:rsid w:val="00466BDF"/>
    <w:rsid w:val="004676F6"/>
    <w:rsid w:val="00467A80"/>
    <w:rsid w:val="0047006B"/>
    <w:rsid w:val="0047052B"/>
    <w:rsid w:val="00470865"/>
    <w:rsid w:val="00470A44"/>
    <w:rsid w:val="00470E31"/>
    <w:rsid w:val="00470EB6"/>
    <w:rsid w:val="0047136E"/>
    <w:rsid w:val="004713E7"/>
    <w:rsid w:val="00471561"/>
    <w:rsid w:val="00471613"/>
    <w:rsid w:val="00471A4D"/>
    <w:rsid w:val="00471AB2"/>
    <w:rsid w:val="00471E45"/>
    <w:rsid w:val="00471E6F"/>
    <w:rsid w:val="00472254"/>
    <w:rsid w:val="004723C5"/>
    <w:rsid w:val="004723FC"/>
    <w:rsid w:val="00472862"/>
    <w:rsid w:val="004730F6"/>
    <w:rsid w:val="004732E0"/>
    <w:rsid w:val="00473874"/>
    <w:rsid w:val="00474027"/>
    <w:rsid w:val="004742D9"/>
    <w:rsid w:val="00474822"/>
    <w:rsid w:val="004748AB"/>
    <w:rsid w:val="004749F7"/>
    <w:rsid w:val="00474C31"/>
    <w:rsid w:val="00474E36"/>
    <w:rsid w:val="004756C6"/>
    <w:rsid w:val="00475B31"/>
    <w:rsid w:val="00476048"/>
    <w:rsid w:val="0047614F"/>
    <w:rsid w:val="00476711"/>
    <w:rsid w:val="00477A5B"/>
    <w:rsid w:val="00477EFD"/>
    <w:rsid w:val="00480FF9"/>
    <w:rsid w:val="004810CF"/>
    <w:rsid w:val="00481340"/>
    <w:rsid w:val="004814B3"/>
    <w:rsid w:val="004818A1"/>
    <w:rsid w:val="004818D5"/>
    <w:rsid w:val="00482465"/>
    <w:rsid w:val="004826CF"/>
    <w:rsid w:val="004828B2"/>
    <w:rsid w:val="00482C3D"/>
    <w:rsid w:val="00482D27"/>
    <w:rsid w:val="00482DD6"/>
    <w:rsid w:val="00482DFE"/>
    <w:rsid w:val="00482FFB"/>
    <w:rsid w:val="004830AA"/>
    <w:rsid w:val="004835A5"/>
    <w:rsid w:val="00483858"/>
    <w:rsid w:val="00483AF3"/>
    <w:rsid w:val="00483E9E"/>
    <w:rsid w:val="00484059"/>
    <w:rsid w:val="00484066"/>
    <w:rsid w:val="00484A4E"/>
    <w:rsid w:val="00484ABB"/>
    <w:rsid w:val="00484F00"/>
    <w:rsid w:val="00485453"/>
    <w:rsid w:val="0048546D"/>
    <w:rsid w:val="00485A12"/>
    <w:rsid w:val="00485CF8"/>
    <w:rsid w:val="0048614A"/>
    <w:rsid w:val="00486649"/>
    <w:rsid w:val="004869A7"/>
    <w:rsid w:val="00486F36"/>
    <w:rsid w:val="004871D6"/>
    <w:rsid w:val="004903B1"/>
    <w:rsid w:val="00490A4A"/>
    <w:rsid w:val="00490BD2"/>
    <w:rsid w:val="004913FA"/>
    <w:rsid w:val="0049192C"/>
    <w:rsid w:val="00491BE4"/>
    <w:rsid w:val="00491D4B"/>
    <w:rsid w:val="00491F82"/>
    <w:rsid w:val="0049220C"/>
    <w:rsid w:val="00492783"/>
    <w:rsid w:val="0049283C"/>
    <w:rsid w:val="00493428"/>
    <w:rsid w:val="0049365E"/>
    <w:rsid w:val="00493901"/>
    <w:rsid w:val="00493C5A"/>
    <w:rsid w:val="00493FBF"/>
    <w:rsid w:val="004942B5"/>
    <w:rsid w:val="00494DAD"/>
    <w:rsid w:val="00494EB9"/>
    <w:rsid w:val="004959DC"/>
    <w:rsid w:val="00495A78"/>
    <w:rsid w:val="00495FCC"/>
    <w:rsid w:val="00495FFC"/>
    <w:rsid w:val="0049623F"/>
    <w:rsid w:val="004964F6"/>
    <w:rsid w:val="0049652D"/>
    <w:rsid w:val="004967C5"/>
    <w:rsid w:val="004973CB"/>
    <w:rsid w:val="004975D3"/>
    <w:rsid w:val="004A13A5"/>
    <w:rsid w:val="004A2072"/>
    <w:rsid w:val="004A211E"/>
    <w:rsid w:val="004A294B"/>
    <w:rsid w:val="004A2E90"/>
    <w:rsid w:val="004A3338"/>
    <w:rsid w:val="004A3B43"/>
    <w:rsid w:val="004A4236"/>
    <w:rsid w:val="004A4277"/>
    <w:rsid w:val="004A446A"/>
    <w:rsid w:val="004A49A5"/>
    <w:rsid w:val="004A52D6"/>
    <w:rsid w:val="004A5940"/>
    <w:rsid w:val="004A627E"/>
    <w:rsid w:val="004A62C6"/>
    <w:rsid w:val="004A6374"/>
    <w:rsid w:val="004A6626"/>
    <w:rsid w:val="004A6663"/>
    <w:rsid w:val="004A6853"/>
    <w:rsid w:val="004A68A5"/>
    <w:rsid w:val="004A6D0F"/>
    <w:rsid w:val="004A6EEE"/>
    <w:rsid w:val="004A6FC8"/>
    <w:rsid w:val="004A764F"/>
    <w:rsid w:val="004A7B47"/>
    <w:rsid w:val="004A7B8D"/>
    <w:rsid w:val="004B022E"/>
    <w:rsid w:val="004B062D"/>
    <w:rsid w:val="004B07E8"/>
    <w:rsid w:val="004B0CFF"/>
    <w:rsid w:val="004B0EA3"/>
    <w:rsid w:val="004B111F"/>
    <w:rsid w:val="004B2378"/>
    <w:rsid w:val="004B2CA3"/>
    <w:rsid w:val="004B35E9"/>
    <w:rsid w:val="004B36DA"/>
    <w:rsid w:val="004B3A98"/>
    <w:rsid w:val="004B3BF8"/>
    <w:rsid w:val="004B4635"/>
    <w:rsid w:val="004B49EC"/>
    <w:rsid w:val="004B4BC9"/>
    <w:rsid w:val="004B5039"/>
    <w:rsid w:val="004B561B"/>
    <w:rsid w:val="004B5A8F"/>
    <w:rsid w:val="004B5BF4"/>
    <w:rsid w:val="004B60B9"/>
    <w:rsid w:val="004B66B3"/>
    <w:rsid w:val="004B6729"/>
    <w:rsid w:val="004B6FB0"/>
    <w:rsid w:val="004B72C1"/>
    <w:rsid w:val="004C0362"/>
    <w:rsid w:val="004C070B"/>
    <w:rsid w:val="004C0BCE"/>
    <w:rsid w:val="004C0C66"/>
    <w:rsid w:val="004C0D32"/>
    <w:rsid w:val="004C0F9B"/>
    <w:rsid w:val="004C120F"/>
    <w:rsid w:val="004C1282"/>
    <w:rsid w:val="004C1AC5"/>
    <w:rsid w:val="004C1E26"/>
    <w:rsid w:val="004C2078"/>
    <w:rsid w:val="004C23A0"/>
    <w:rsid w:val="004C2741"/>
    <w:rsid w:val="004C28FA"/>
    <w:rsid w:val="004C2D72"/>
    <w:rsid w:val="004C30CB"/>
    <w:rsid w:val="004C3D63"/>
    <w:rsid w:val="004C412C"/>
    <w:rsid w:val="004C4C21"/>
    <w:rsid w:val="004C525C"/>
    <w:rsid w:val="004C5631"/>
    <w:rsid w:val="004C5984"/>
    <w:rsid w:val="004C61A1"/>
    <w:rsid w:val="004C6290"/>
    <w:rsid w:val="004C66C7"/>
    <w:rsid w:val="004C6F2C"/>
    <w:rsid w:val="004C75F5"/>
    <w:rsid w:val="004C77EE"/>
    <w:rsid w:val="004C7EEC"/>
    <w:rsid w:val="004D0A7F"/>
    <w:rsid w:val="004D11BC"/>
    <w:rsid w:val="004D15C3"/>
    <w:rsid w:val="004D1CFF"/>
    <w:rsid w:val="004D1ED3"/>
    <w:rsid w:val="004D1F46"/>
    <w:rsid w:val="004D2648"/>
    <w:rsid w:val="004D273F"/>
    <w:rsid w:val="004D291C"/>
    <w:rsid w:val="004D3058"/>
    <w:rsid w:val="004D34CA"/>
    <w:rsid w:val="004D3724"/>
    <w:rsid w:val="004D373F"/>
    <w:rsid w:val="004D4106"/>
    <w:rsid w:val="004D4529"/>
    <w:rsid w:val="004D487E"/>
    <w:rsid w:val="004D4ACB"/>
    <w:rsid w:val="004D55F2"/>
    <w:rsid w:val="004D5867"/>
    <w:rsid w:val="004D587F"/>
    <w:rsid w:val="004D5BB2"/>
    <w:rsid w:val="004D5D1A"/>
    <w:rsid w:val="004D5D79"/>
    <w:rsid w:val="004D600D"/>
    <w:rsid w:val="004D6A6F"/>
    <w:rsid w:val="004D6AEA"/>
    <w:rsid w:val="004D6E89"/>
    <w:rsid w:val="004D79B1"/>
    <w:rsid w:val="004D7D67"/>
    <w:rsid w:val="004E006D"/>
    <w:rsid w:val="004E0357"/>
    <w:rsid w:val="004E0770"/>
    <w:rsid w:val="004E0A8C"/>
    <w:rsid w:val="004E0EA4"/>
    <w:rsid w:val="004E111C"/>
    <w:rsid w:val="004E18AB"/>
    <w:rsid w:val="004E276C"/>
    <w:rsid w:val="004E27A6"/>
    <w:rsid w:val="004E3690"/>
    <w:rsid w:val="004E37FA"/>
    <w:rsid w:val="004E4021"/>
    <w:rsid w:val="004E427E"/>
    <w:rsid w:val="004E4484"/>
    <w:rsid w:val="004E4626"/>
    <w:rsid w:val="004E46F6"/>
    <w:rsid w:val="004E4733"/>
    <w:rsid w:val="004E4741"/>
    <w:rsid w:val="004E4797"/>
    <w:rsid w:val="004E49C7"/>
    <w:rsid w:val="004E50E3"/>
    <w:rsid w:val="004E5438"/>
    <w:rsid w:val="004E5B05"/>
    <w:rsid w:val="004E5BE2"/>
    <w:rsid w:val="004E655D"/>
    <w:rsid w:val="004E6686"/>
    <w:rsid w:val="004E6C70"/>
    <w:rsid w:val="004E71BF"/>
    <w:rsid w:val="004E7DDD"/>
    <w:rsid w:val="004E7E80"/>
    <w:rsid w:val="004F0402"/>
    <w:rsid w:val="004F0475"/>
    <w:rsid w:val="004F069A"/>
    <w:rsid w:val="004F0EA3"/>
    <w:rsid w:val="004F0F5F"/>
    <w:rsid w:val="004F1036"/>
    <w:rsid w:val="004F1721"/>
    <w:rsid w:val="004F1952"/>
    <w:rsid w:val="004F1B8E"/>
    <w:rsid w:val="004F2160"/>
    <w:rsid w:val="004F236E"/>
    <w:rsid w:val="004F275E"/>
    <w:rsid w:val="004F2EEE"/>
    <w:rsid w:val="004F44F5"/>
    <w:rsid w:val="004F4635"/>
    <w:rsid w:val="004F466B"/>
    <w:rsid w:val="004F478E"/>
    <w:rsid w:val="004F47B9"/>
    <w:rsid w:val="004F48D3"/>
    <w:rsid w:val="004F4C5B"/>
    <w:rsid w:val="004F52EC"/>
    <w:rsid w:val="004F5506"/>
    <w:rsid w:val="004F550E"/>
    <w:rsid w:val="004F5B9D"/>
    <w:rsid w:val="004F5F3C"/>
    <w:rsid w:val="004F61B7"/>
    <w:rsid w:val="004F6307"/>
    <w:rsid w:val="004F6D60"/>
    <w:rsid w:val="004F6FE6"/>
    <w:rsid w:val="004F7698"/>
    <w:rsid w:val="004F7981"/>
    <w:rsid w:val="004F7AF8"/>
    <w:rsid w:val="00500993"/>
    <w:rsid w:val="005009E7"/>
    <w:rsid w:val="00500A9D"/>
    <w:rsid w:val="00500AED"/>
    <w:rsid w:val="00500BCA"/>
    <w:rsid w:val="00501603"/>
    <w:rsid w:val="005019C1"/>
    <w:rsid w:val="00501A5B"/>
    <w:rsid w:val="00501C42"/>
    <w:rsid w:val="00501FAE"/>
    <w:rsid w:val="005029EA"/>
    <w:rsid w:val="00502B83"/>
    <w:rsid w:val="00502C39"/>
    <w:rsid w:val="0050352B"/>
    <w:rsid w:val="00503BED"/>
    <w:rsid w:val="00504CBF"/>
    <w:rsid w:val="005052E6"/>
    <w:rsid w:val="005054CE"/>
    <w:rsid w:val="00505513"/>
    <w:rsid w:val="005055AD"/>
    <w:rsid w:val="00505A02"/>
    <w:rsid w:val="00505A25"/>
    <w:rsid w:val="00505C93"/>
    <w:rsid w:val="00506C0D"/>
    <w:rsid w:val="005071B5"/>
    <w:rsid w:val="005078A9"/>
    <w:rsid w:val="00507D67"/>
    <w:rsid w:val="005100B9"/>
    <w:rsid w:val="005104E5"/>
    <w:rsid w:val="00510E9E"/>
    <w:rsid w:val="00511311"/>
    <w:rsid w:val="00511695"/>
    <w:rsid w:val="00511D35"/>
    <w:rsid w:val="00511D69"/>
    <w:rsid w:val="00512064"/>
    <w:rsid w:val="0051213E"/>
    <w:rsid w:val="00512229"/>
    <w:rsid w:val="00512C7E"/>
    <w:rsid w:val="00513571"/>
    <w:rsid w:val="005144CB"/>
    <w:rsid w:val="005147EC"/>
    <w:rsid w:val="00514DE6"/>
    <w:rsid w:val="005150D0"/>
    <w:rsid w:val="005153E8"/>
    <w:rsid w:val="00515AA5"/>
    <w:rsid w:val="0051640A"/>
    <w:rsid w:val="0051648A"/>
    <w:rsid w:val="0051650F"/>
    <w:rsid w:val="00516615"/>
    <w:rsid w:val="00516959"/>
    <w:rsid w:val="005169FE"/>
    <w:rsid w:val="00517372"/>
    <w:rsid w:val="0051764E"/>
    <w:rsid w:val="005177D9"/>
    <w:rsid w:val="005203BD"/>
    <w:rsid w:val="00520D81"/>
    <w:rsid w:val="00520EA3"/>
    <w:rsid w:val="00521000"/>
    <w:rsid w:val="00521384"/>
    <w:rsid w:val="00521472"/>
    <w:rsid w:val="00521AA6"/>
    <w:rsid w:val="0052214D"/>
    <w:rsid w:val="005226FB"/>
    <w:rsid w:val="00522C59"/>
    <w:rsid w:val="00522E13"/>
    <w:rsid w:val="0052318C"/>
    <w:rsid w:val="005237F6"/>
    <w:rsid w:val="0052427A"/>
    <w:rsid w:val="005243CA"/>
    <w:rsid w:val="00524881"/>
    <w:rsid w:val="00524EF6"/>
    <w:rsid w:val="0052501C"/>
    <w:rsid w:val="00526407"/>
    <w:rsid w:val="0052642A"/>
    <w:rsid w:val="005264A6"/>
    <w:rsid w:val="005266AC"/>
    <w:rsid w:val="00526ACD"/>
    <w:rsid w:val="00526DCA"/>
    <w:rsid w:val="0053046D"/>
    <w:rsid w:val="0053075E"/>
    <w:rsid w:val="005308FE"/>
    <w:rsid w:val="00530E63"/>
    <w:rsid w:val="00531B2A"/>
    <w:rsid w:val="00531BFB"/>
    <w:rsid w:val="00531E8E"/>
    <w:rsid w:val="0053256F"/>
    <w:rsid w:val="00532C0D"/>
    <w:rsid w:val="005335A3"/>
    <w:rsid w:val="005337BB"/>
    <w:rsid w:val="005339F1"/>
    <w:rsid w:val="00533FC9"/>
    <w:rsid w:val="00534409"/>
    <w:rsid w:val="005346DF"/>
    <w:rsid w:val="0053524F"/>
    <w:rsid w:val="005359C9"/>
    <w:rsid w:val="00536101"/>
    <w:rsid w:val="00536135"/>
    <w:rsid w:val="005362EC"/>
    <w:rsid w:val="00536602"/>
    <w:rsid w:val="005367FB"/>
    <w:rsid w:val="00536978"/>
    <w:rsid w:val="005370CE"/>
    <w:rsid w:val="0053731C"/>
    <w:rsid w:val="0053731D"/>
    <w:rsid w:val="00537340"/>
    <w:rsid w:val="00537574"/>
    <w:rsid w:val="00540326"/>
    <w:rsid w:val="0054037E"/>
    <w:rsid w:val="00540397"/>
    <w:rsid w:val="00541120"/>
    <w:rsid w:val="00541C8C"/>
    <w:rsid w:val="00541EE6"/>
    <w:rsid w:val="00542C96"/>
    <w:rsid w:val="00542D7D"/>
    <w:rsid w:val="00543451"/>
    <w:rsid w:val="005436DD"/>
    <w:rsid w:val="00543A24"/>
    <w:rsid w:val="00543A6E"/>
    <w:rsid w:val="005445B1"/>
    <w:rsid w:val="005445FE"/>
    <w:rsid w:val="0054464D"/>
    <w:rsid w:val="00544853"/>
    <w:rsid w:val="005448B8"/>
    <w:rsid w:val="00544C51"/>
    <w:rsid w:val="005453D3"/>
    <w:rsid w:val="005455AE"/>
    <w:rsid w:val="00545DA7"/>
    <w:rsid w:val="00545FB1"/>
    <w:rsid w:val="005460F4"/>
    <w:rsid w:val="005462CD"/>
    <w:rsid w:val="00546304"/>
    <w:rsid w:val="005466E7"/>
    <w:rsid w:val="005468A8"/>
    <w:rsid w:val="00546C70"/>
    <w:rsid w:val="00546C96"/>
    <w:rsid w:val="00546D8B"/>
    <w:rsid w:val="00547374"/>
    <w:rsid w:val="00547531"/>
    <w:rsid w:val="0054762D"/>
    <w:rsid w:val="00547BE3"/>
    <w:rsid w:val="00547CA8"/>
    <w:rsid w:val="00547CC6"/>
    <w:rsid w:val="00550236"/>
    <w:rsid w:val="0055059F"/>
    <w:rsid w:val="00550724"/>
    <w:rsid w:val="005514CC"/>
    <w:rsid w:val="005518A0"/>
    <w:rsid w:val="00551954"/>
    <w:rsid w:val="00551AAC"/>
    <w:rsid w:val="00551EE2"/>
    <w:rsid w:val="0055270E"/>
    <w:rsid w:val="00552FB7"/>
    <w:rsid w:val="005531E1"/>
    <w:rsid w:val="005539F0"/>
    <w:rsid w:val="00553C86"/>
    <w:rsid w:val="00553F99"/>
    <w:rsid w:val="00554C9E"/>
    <w:rsid w:val="005556C6"/>
    <w:rsid w:val="005559B4"/>
    <w:rsid w:val="00555EF9"/>
    <w:rsid w:val="005561B1"/>
    <w:rsid w:val="00556490"/>
    <w:rsid w:val="00556E69"/>
    <w:rsid w:val="0055730B"/>
    <w:rsid w:val="005574A0"/>
    <w:rsid w:val="00557931"/>
    <w:rsid w:val="00557C08"/>
    <w:rsid w:val="00557C0C"/>
    <w:rsid w:val="00557CC0"/>
    <w:rsid w:val="00557CC8"/>
    <w:rsid w:val="005601CC"/>
    <w:rsid w:val="00560CE7"/>
    <w:rsid w:val="005614DB"/>
    <w:rsid w:val="00562072"/>
    <w:rsid w:val="00563272"/>
    <w:rsid w:val="00563469"/>
    <w:rsid w:val="005637CE"/>
    <w:rsid w:val="005639EE"/>
    <w:rsid w:val="00563A79"/>
    <w:rsid w:val="00563C1C"/>
    <w:rsid w:val="00563D5A"/>
    <w:rsid w:val="00563D88"/>
    <w:rsid w:val="0056464C"/>
    <w:rsid w:val="00564E6B"/>
    <w:rsid w:val="005654C9"/>
    <w:rsid w:val="0056555F"/>
    <w:rsid w:val="00565EE7"/>
    <w:rsid w:val="005661E3"/>
    <w:rsid w:val="0056632A"/>
    <w:rsid w:val="00566DFE"/>
    <w:rsid w:val="005675A6"/>
    <w:rsid w:val="005675C6"/>
    <w:rsid w:val="0056782D"/>
    <w:rsid w:val="005679BA"/>
    <w:rsid w:val="00567A74"/>
    <w:rsid w:val="00567F2B"/>
    <w:rsid w:val="00570020"/>
    <w:rsid w:val="005701C2"/>
    <w:rsid w:val="005704F0"/>
    <w:rsid w:val="00570C7E"/>
    <w:rsid w:val="00571242"/>
    <w:rsid w:val="0057162B"/>
    <w:rsid w:val="005716D4"/>
    <w:rsid w:val="00571CB6"/>
    <w:rsid w:val="00572550"/>
    <w:rsid w:val="0057292F"/>
    <w:rsid w:val="00572A47"/>
    <w:rsid w:val="00572D62"/>
    <w:rsid w:val="00572E69"/>
    <w:rsid w:val="00572EA3"/>
    <w:rsid w:val="00573016"/>
    <w:rsid w:val="00573BAC"/>
    <w:rsid w:val="00573E5F"/>
    <w:rsid w:val="00573F4E"/>
    <w:rsid w:val="00573F76"/>
    <w:rsid w:val="00574441"/>
    <w:rsid w:val="0057454F"/>
    <w:rsid w:val="00574AB0"/>
    <w:rsid w:val="00574C3C"/>
    <w:rsid w:val="00574E66"/>
    <w:rsid w:val="00575956"/>
    <w:rsid w:val="00576354"/>
    <w:rsid w:val="00576523"/>
    <w:rsid w:val="00576826"/>
    <w:rsid w:val="00576895"/>
    <w:rsid w:val="005771E7"/>
    <w:rsid w:val="005779B1"/>
    <w:rsid w:val="005800AF"/>
    <w:rsid w:val="005801FE"/>
    <w:rsid w:val="00581337"/>
    <w:rsid w:val="00581484"/>
    <w:rsid w:val="005816BC"/>
    <w:rsid w:val="00581858"/>
    <w:rsid w:val="0058195D"/>
    <w:rsid w:val="00581DB5"/>
    <w:rsid w:val="00581F34"/>
    <w:rsid w:val="00582346"/>
    <w:rsid w:val="00582646"/>
    <w:rsid w:val="00582805"/>
    <w:rsid w:val="005830D0"/>
    <w:rsid w:val="00583169"/>
    <w:rsid w:val="00583190"/>
    <w:rsid w:val="00583528"/>
    <w:rsid w:val="005838F8"/>
    <w:rsid w:val="00583C20"/>
    <w:rsid w:val="00583DA9"/>
    <w:rsid w:val="00583EED"/>
    <w:rsid w:val="00584391"/>
    <w:rsid w:val="00584585"/>
    <w:rsid w:val="005846D6"/>
    <w:rsid w:val="0058509F"/>
    <w:rsid w:val="005853DA"/>
    <w:rsid w:val="0058559D"/>
    <w:rsid w:val="00585B3C"/>
    <w:rsid w:val="00585FB4"/>
    <w:rsid w:val="00586C8D"/>
    <w:rsid w:val="0058705F"/>
    <w:rsid w:val="00587264"/>
    <w:rsid w:val="00587A4F"/>
    <w:rsid w:val="00587BB0"/>
    <w:rsid w:val="00587CCF"/>
    <w:rsid w:val="0059033A"/>
    <w:rsid w:val="005905D1"/>
    <w:rsid w:val="005905E0"/>
    <w:rsid w:val="005908DD"/>
    <w:rsid w:val="00590CF0"/>
    <w:rsid w:val="00591818"/>
    <w:rsid w:val="00591AFA"/>
    <w:rsid w:val="00591F9B"/>
    <w:rsid w:val="00592224"/>
    <w:rsid w:val="005923EC"/>
    <w:rsid w:val="00592801"/>
    <w:rsid w:val="005933C1"/>
    <w:rsid w:val="00593F10"/>
    <w:rsid w:val="005942FC"/>
    <w:rsid w:val="0059435E"/>
    <w:rsid w:val="00594AA5"/>
    <w:rsid w:val="00594B0B"/>
    <w:rsid w:val="00595312"/>
    <w:rsid w:val="00595A23"/>
    <w:rsid w:val="00596E06"/>
    <w:rsid w:val="00597F7B"/>
    <w:rsid w:val="005A023F"/>
    <w:rsid w:val="005A08EA"/>
    <w:rsid w:val="005A0C21"/>
    <w:rsid w:val="005A0F92"/>
    <w:rsid w:val="005A11ED"/>
    <w:rsid w:val="005A1483"/>
    <w:rsid w:val="005A1C99"/>
    <w:rsid w:val="005A1DFE"/>
    <w:rsid w:val="005A20AB"/>
    <w:rsid w:val="005A2CBF"/>
    <w:rsid w:val="005A3318"/>
    <w:rsid w:val="005A3340"/>
    <w:rsid w:val="005A36A9"/>
    <w:rsid w:val="005A3C94"/>
    <w:rsid w:val="005A4647"/>
    <w:rsid w:val="005A471B"/>
    <w:rsid w:val="005A4D17"/>
    <w:rsid w:val="005A5553"/>
    <w:rsid w:val="005A5759"/>
    <w:rsid w:val="005A6164"/>
    <w:rsid w:val="005A6943"/>
    <w:rsid w:val="005A6A4A"/>
    <w:rsid w:val="005A6F96"/>
    <w:rsid w:val="005A73AC"/>
    <w:rsid w:val="005A7610"/>
    <w:rsid w:val="005A766C"/>
    <w:rsid w:val="005A7678"/>
    <w:rsid w:val="005A77E4"/>
    <w:rsid w:val="005A7BFA"/>
    <w:rsid w:val="005A7FD1"/>
    <w:rsid w:val="005B0566"/>
    <w:rsid w:val="005B057D"/>
    <w:rsid w:val="005B09DA"/>
    <w:rsid w:val="005B1BF1"/>
    <w:rsid w:val="005B1EEB"/>
    <w:rsid w:val="005B2213"/>
    <w:rsid w:val="005B25A9"/>
    <w:rsid w:val="005B26D6"/>
    <w:rsid w:val="005B2DE4"/>
    <w:rsid w:val="005B3189"/>
    <w:rsid w:val="005B31E3"/>
    <w:rsid w:val="005B4515"/>
    <w:rsid w:val="005B4B35"/>
    <w:rsid w:val="005B4EE2"/>
    <w:rsid w:val="005B5222"/>
    <w:rsid w:val="005B548A"/>
    <w:rsid w:val="005B5731"/>
    <w:rsid w:val="005B5A68"/>
    <w:rsid w:val="005B5E13"/>
    <w:rsid w:val="005B62D5"/>
    <w:rsid w:val="005B7489"/>
    <w:rsid w:val="005B79E3"/>
    <w:rsid w:val="005B7DBB"/>
    <w:rsid w:val="005C0587"/>
    <w:rsid w:val="005C07A8"/>
    <w:rsid w:val="005C08E7"/>
    <w:rsid w:val="005C193F"/>
    <w:rsid w:val="005C1C27"/>
    <w:rsid w:val="005C1FB8"/>
    <w:rsid w:val="005C2014"/>
    <w:rsid w:val="005C2955"/>
    <w:rsid w:val="005C2A35"/>
    <w:rsid w:val="005C2CC3"/>
    <w:rsid w:val="005C3863"/>
    <w:rsid w:val="005C396B"/>
    <w:rsid w:val="005C3FDB"/>
    <w:rsid w:val="005C46FB"/>
    <w:rsid w:val="005C506B"/>
    <w:rsid w:val="005C53BC"/>
    <w:rsid w:val="005C54E7"/>
    <w:rsid w:val="005C55C4"/>
    <w:rsid w:val="005C5751"/>
    <w:rsid w:val="005C5C12"/>
    <w:rsid w:val="005C6082"/>
    <w:rsid w:val="005C60B1"/>
    <w:rsid w:val="005C656B"/>
    <w:rsid w:val="005C68D8"/>
    <w:rsid w:val="005C6DAD"/>
    <w:rsid w:val="005C71BC"/>
    <w:rsid w:val="005C72B4"/>
    <w:rsid w:val="005C75E1"/>
    <w:rsid w:val="005C7C1A"/>
    <w:rsid w:val="005D06C7"/>
    <w:rsid w:val="005D0941"/>
    <w:rsid w:val="005D0970"/>
    <w:rsid w:val="005D1014"/>
    <w:rsid w:val="005D1077"/>
    <w:rsid w:val="005D1145"/>
    <w:rsid w:val="005D1252"/>
    <w:rsid w:val="005D132E"/>
    <w:rsid w:val="005D1A79"/>
    <w:rsid w:val="005D1A98"/>
    <w:rsid w:val="005D1B7A"/>
    <w:rsid w:val="005D2232"/>
    <w:rsid w:val="005D2496"/>
    <w:rsid w:val="005D2525"/>
    <w:rsid w:val="005D26B6"/>
    <w:rsid w:val="005D2A4D"/>
    <w:rsid w:val="005D30AD"/>
    <w:rsid w:val="005D3301"/>
    <w:rsid w:val="005D3646"/>
    <w:rsid w:val="005D3FD1"/>
    <w:rsid w:val="005D4478"/>
    <w:rsid w:val="005D4893"/>
    <w:rsid w:val="005D48D7"/>
    <w:rsid w:val="005D48E4"/>
    <w:rsid w:val="005D4DDA"/>
    <w:rsid w:val="005D4F94"/>
    <w:rsid w:val="005D57C0"/>
    <w:rsid w:val="005D5828"/>
    <w:rsid w:val="005D5957"/>
    <w:rsid w:val="005D5B3C"/>
    <w:rsid w:val="005D5BCF"/>
    <w:rsid w:val="005D64E1"/>
    <w:rsid w:val="005D64F4"/>
    <w:rsid w:val="005D6BBA"/>
    <w:rsid w:val="005D712C"/>
    <w:rsid w:val="005D73B5"/>
    <w:rsid w:val="005D7644"/>
    <w:rsid w:val="005D7699"/>
    <w:rsid w:val="005D7BC9"/>
    <w:rsid w:val="005D7C11"/>
    <w:rsid w:val="005D7D17"/>
    <w:rsid w:val="005D7DB8"/>
    <w:rsid w:val="005E0350"/>
    <w:rsid w:val="005E06D1"/>
    <w:rsid w:val="005E147E"/>
    <w:rsid w:val="005E15F6"/>
    <w:rsid w:val="005E16DE"/>
    <w:rsid w:val="005E19AF"/>
    <w:rsid w:val="005E1D39"/>
    <w:rsid w:val="005E1F66"/>
    <w:rsid w:val="005E2363"/>
    <w:rsid w:val="005E2863"/>
    <w:rsid w:val="005E2D34"/>
    <w:rsid w:val="005E2DD5"/>
    <w:rsid w:val="005E30AB"/>
    <w:rsid w:val="005E3537"/>
    <w:rsid w:val="005E36E1"/>
    <w:rsid w:val="005E3787"/>
    <w:rsid w:val="005E45FC"/>
    <w:rsid w:val="005E46BE"/>
    <w:rsid w:val="005E493E"/>
    <w:rsid w:val="005E4A8B"/>
    <w:rsid w:val="005E4E38"/>
    <w:rsid w:val="005E51E7"/>
    <w:rsid w:val="005E5BC9"/>
    <w:rsid w:val="005E601A"/>
    <w:rsid w:val="005E6079"/>
    <w:rsid w:val="005E675A"/>
    <w:rsid w:val="005E7A42"/>
    <w:rsid w:val="005E7DD7"/>
    <w:rsid w:val="005F095B"/>
    <w:rsid w:val="005F0A50"/>
    <w:rsid w:val="005F106A"/>
    <w:rsid w:val="005F1784"/>
    <w:rsid w:val="005F1862"/>
    <w:rsid w:val="005F191C"/>
    <w:rsid w:val="005F1A18"/>
    <w:rsid w:val="005F24DF"/>
    <w:rsid w:val="005F29EE"/>
    <w:rsid w:val="005F35D0"/>
    <w:rsid w:val="005F4065"/>
    <w:rsid w:val="005F4825"/>
    <w:rsid w:val="005F4C1D"/>
    <w:rsid w:val="005F4E3A"/>
    <w:rsid w:val="005F51CE"/>
    <w:rsid w:val="005F5450"/>
    <w:rsid w:val="005F5915"/>
    <w:rsid w:val="005F59C3"/>
    <w:rsid w:val="005F5D0B"/>
    <w:rsid w:val="005F5E88"/>
    <w:rsid w:val="005F5EA8"/>
    <w:rsid w:val="005F62C8"/>
    <w:rsid w:val="005F690F"/>
    <w:rsid w:val="005F6B06"/>
    <w:rsid w:val="005F6DC4"/>
    <w:rsid w:val="005F7279"/>
    <w:rsid w:val="005F7A00"/>
    <w:rsid w:val="005F7C4B"/>
    <w:rsid w:val="005F7CCD"/>
    <w:rsid w:val="0060014F"/>
    <w:rsid w:val="00600636"/>
    <w:rsid w:val="00600895"/>
    <w:rsid w:val="00600913"/>
    <w:rsid w:val="00600CDA"/>
    <w:rsid w:val="00600D05"/>
    <w:rsid w:val="00601018"/>
    <w:rsid w:val="006014B9"/>
    <w:rsid w:val="00601B18"/>
    <w:rsid w:val="00601C56"/>
    <w:rsid w:val="00601E0F"/>
    <w:rsid w:val="0060265A"/>
    <w:rsid w:val="00602A02"/>
    <w:rsid w:val="00602BAC"/>
    <w:rsid w:val="006033D1"/>
    <w:rsid w:val="0060350B"/>
    <w:rsid w:val="00603728"/>
    <w:rsid w:val="00603C58"/>
    <w:rsid w:val="00603CEC"/>
    <w:rsid w:val="0060440B"/>
    <w:rsid w:val="0060458B"/>
    <w:rsid w:val="0060485B"/>
    <w:rsid w:val="00604A07"/>
    <w:rsid w:val="00604AE2"/>
    <w:rsid w:val="00604B99"/>
    <w:rsid w:val="00604C2B"/>
    <w:rsid w:val="00606892"/>
    <w:rsid w:val="0060788F"/>
    <w:rsid w:val="00607A72"/>
    <w:rsid w:val="00607B4B"/>
    <w:rsid w:val="00607B86"/>
    <w:rsid w:val="00607EFD"/>
    <w:rsid w:val="0061043C"/>
    <w:rsid w:val="00610C0E"/>
    <w:rsid w:val="00610D3C"/>
    <w:rsid w:val="00611920"/>
    <w:rsid w:val="00611FCD"/>
    <w:rsid w:val="00612BC0"/>
    <w:rsid w:val="00612C6B"/>
    <w:rsid w:val="006137C7"/>
    <w:rsid w:val="00613926"/>
    <w:rsid w:val="00613E8C"/>
    <w:rsid w:val="00614BDC"/>
    <w:rsid w:val="00614E13"/>
    <w:rsid w:val="0061551E"/>
    <w:rsid w:val="0061640F"/>
    <w:rsid w:val="006166D3"/>
    <w:rsid w:val="00616807"/>
    <w:rsid w:val="006169B4"/>
    <w:rsid w:val="00617183"/>
    <w:rsid w:val="006174DB"/>
    <w:rsid w:val="00617671"/>
    <w:rsid w:val="00617726"/>
    <w:rsid w:val="00617CE5"/>
    <w:rsid w:val="00617D27"/>
    <w:rsid w:val="00617EFF"/>
    <w:rsid w:val="00620200"/>
    <w:rsid w:val="00620233"/>
    <w:rsid w:val="006202FD"/>
    <w:rsid w:val="006203BA"/>
    <w:rsid w:val="00620BE8"/>
    <w:rsid w:val="00620E26"/>
    <w:rsid w:val="00620E54"/>
    <w:rsid w:val="00620EE5"/>
    <w:rsid w:val="00621257"/>
    <w:rsid w:val="0062130B"/>
    <w:rsid w:val="006217A7"/>
    <w:rsid w:val="00621A3E"/>
    <w:rsid w:val="00621B2D"/>
    <w:rsid w:val="00621C3A"/>
    <w:rsid w:val="006224D9"/>
    <w:rsid w:val="00622700"/>
    <w:rsid w:val="00622D1B"/>
    <w:rsid w:val="00623481"/>
    <w:rsid w:val="00623676"/>
    <w:rsid w:val="00623B19"/>
    <w:rsid w:val="00623E20"/>
    <w:rsid w:val="0062448E"/>
    <w:rsid w:val="00624713"/>
    <w:rsid w:val="00624B0B"/>
    <w:rsid w:val="00625608"/>
    <w:rsid w:val="00625635"/>
    <w:rsid w:val="00625693"/>
    <w:rsid w:val="0062588E"/>
    <w:rsid w:val="00626B95"/>
    <w:rsid w:val="006272BF"/>
    <w:rsid w:val="00627403"/>
    <w:rsid w:val="00627936"/>
    <w:rsid w:val="00627DCC"/>
    <w:rsid w:val="00630122"/>
    <w:rsid w:val="00630242"/>
    <w:rsid w:val="00630ABA"/>
    <w:rsid w:val="006312AC"/>
    <w:rsid w:val="0063168B"/>
    <w:rsid w:val="006318DC"/>
    <w:rsid w:val="006321A3"/>
    <w:rsid w:val="00632261"/>
    <w:rsid w:val="006325F8"/>
    <w:rsid w:val="00632785"/>
    <w:rsid w:val="0063331B"/>
    <w:rsid w:val="00633463"/>
    <w:rsid w:val="00633C81"/>
    <w:rsid w:val="006344FA"/>
    <w:rsid w:val="00634D42"/>
    <w:rsid w:val="00635ACA"/>
    <w:rsid w:val="00635B21"/>
    <w:rsid w:val="00635C6A"/>
    <w:rsid w:val="006365E1"/>
    <w:rsid w:val="0063691E"/>
    <w:rsid w:val="00636B8B"/>
    <w:rsid w:val="006377B6"/>
    <w:rsid w:val="00637997"/>
    <w:rsid w:val="006379AD"/>
    <w:rsid w:val="00637D45"/>
    <w:rsid w:val="00637FAC"/>
    <w:rsid w:val="00640DAB"/>
    <w:rsid w:val="0064143F"/>
    <w:rsid w:val="006417B1"/>
    <w:rsid w:val="00641FBB"/>
    <w:rsid w:val="00642219"/>
    <w:rsid w:val="00642256"/>
    <w:rsid w:val="006423FD"/>
    <w:rsid w:val="00642D0C"/>
    <w:rsid w:val="006430A2"/>
    <w:rsid w:val="00643520"/>
    <w:rsid w:val="006446F6"/>
    <w:rsid w:val="006448B6"/>
    <w:rsid w:val="00644CE0"/>
    <w:rsid w:val="00644E81"/>
    <w:rsid w:val="00645811"/>
    <w:rsid w:val="00646836"/>
    <w:rsid w:val="00646FBB"/>
    <w:rsid w:val="006471A3"/>
    <w:rsid w:val="00647448"/>
    <w:rsid w:val="00647558"/>
    <w:rsid w:val="0064782C"/>
    <w:rsid w:val="00647C3D"/>
    <w:rsid w:val="00647ED2"/>
    <w:rsid w:val="0065006D"/>
    <w:rsid w:val="00650A10"/>
    <w:rsid w:val="00650AE3"/>
    <w:rsid w:val="00650CB5"/>
    <w:rsid w:val="00650DB0"/>
    <w:rsid w:val="00651564"/>
    <w:rsid w:val="0065175B"/>
    <w:rsid w:val="00651773"/>
    <w:rsid w:val="00651D79"/>
    <w:rsid w:val="00652056"/>
    <w:rsid w:val="00652520"/>
    <w:rsid w:val="00652C6C"/>
    <w:rsid w:val="00653AF5"/>
    <w:rsid w:val="00653BA1"/>
    <w:rsid w:val="00653F80"/>
    <w:rsid w:val="00653FA3"/>
    <w:rsid w:val="00654083"/>
    <w:rsid w:val="00654534"/>
    <w:rsid w:val="00654AA3"/>
    <w:rsid w:val="00654B25"/>
    <w:rsid w:val="00654BC4"/>
    <w:rsid w:val="00654E13"/>
    <w:rsid w:val="00654EE1"/>
    <w:rsid w:val="006556B5"/>
    <w:rsid w:val="00655C54"/>
    <w:rsid w:val="00655CE8"/>
    <w:rsid w:val="00655E22"/>
    <w:rsid w:val="00655F70"/>
    <w:rsid w:val="006563EC"/>
    <w:rsid w:val="00656714"/>
    <w:rsid w:val="006569B7"/>
    <w:rsid w:val="006572BF"/>
    <w:rsid w:val="0065794F"/>
    <w:rsid w:val="00657BC6"/>
    <w:rsid w:val="00660477"/>
    <w:rsid w:val="0066087F"/>
    <w:rsid w:val="00660B45"/>
    <w:rsid w:val="00661005"/>
    <w:rsid w:val="006612EB"/>
    <w:rsid w:val="0066164E"/>
    <w:rsid w:val="0066198F"/>
    <w:rsid w:val="006619D1"/>
    <w:rsid w:val="00661FBD"/>
    <w:rsid w:val="00662BF4"/>
    <w:rsid w:val="006630CF"/>
    <w:rsid w:val="00663439"/>
    <w:rsid w:val="006634A5"/>
    <w:rsid w:val="00663612"/>
    <w:rsid w:val="00663C65"/>
    <w:rsid w:val="00663FB4"/>
    <w:rsid w:val="00664035"/>
    <w:rsid w:val="00664229"/>
    <w:rsid w:val="00664A6E"/>
    <w:rsid w:val="00664D05"/>
    <w:rsid w:val="00664F1A"/>
    <w:rsid w:val="006655F5"/>
    <w:rsid w:val="00665662"/>
    <w:rsid w:val="00665995"/>
    <w:rsid w:val="00665A05"/>
    <w:rsid w:val="00666490"/>
    <w:rsid w:val="0066677D"/>
    <w:rsid w:val="00666D8F"/>
    <w:rsid w:val="00666DAA"/>
    <w:rsid w:val="006670F1"/>
    <w:rsid w:val="006675E5"/>
    <w:rsid w:val="00667837"/>
    <w:rsid w:val="00667B96"/>
    <w:rsid w:val="00667CC3"/>
    <w:rsid w:val="00670787"/>
    <w:rsid w:val="00670B97"/>
    <w:rsid w:val="00670CFF"/>
    <w:rsid w:val="006710B7"/>
    <w:rsid w:val="00671281"/>
    <w:rsid w:val="00671A14"/>
    <w:rsid w:val="00671A8E"/>
    <w:rsid w:val="00671FAE"/>
    <w:rsid w:val="00672895"/>
    <w:rsid w:val="00672A76"/>
    <w:rsid w:val="00672B02"/>
    <w:rsid w:val="00673203"/>
    <w:rsid w:val="00673AA4"/>
    <w:rsid w:val="00673C33"/>
    <w:rsid w:val="00673E27"/>
    <w:rsid w:val="00674272"/>
    <w:rsid w:val="006744F2"/>
    <w:rsid w:val="006748BB"/>
    <w:rsid w:val="00674E3E"/>
    <w:rsid w:val="006756C6"/>
    <w:rsid w:val="0067593E"/>
    <w:rsid w:val="00676960"/>
    <w:rsid w:val="00676A30"/>
    <w:rsid w:val="00676ACF"/>
    <w:rsid w:val="00676B5B"/>
    <w:rsid w:val="00676B77"/>
    <w:rsid w:val="00676E00"/>
    <w:rsid w:val="00676F19"/>
    <w:rsid w:val="006770AC"/>
    <w:rsid w:val="00677365"/>
    <w:rsid w:val="00680393"/>
    <w:rsid w:val="006817BA"/>
    <w:rsid w:val="00681971"/>
    <w:rsid w:val="00681CD5"/>
    <w:rsid w:val="00681EF8"/>
    <w:rsid w:val="00681F10"/>
    <w:rsid w:val="00682035"/>
    <w:rsid w:val="006822DE"/>
    <w:rsid w:val="00683452"/>
    <w:rsid w:val="00683482"/>
    <w:rsid w:val="0068400B"/>
    <w:rsid w:val="0068411F"/>
    <w:rsid w:val="006842A8"/>
    <w:rsid w:val="006849BB"/>
    <w:rsid w:val="006851DD"/>
    <w:rsid w:val="00685288"/>
    <w:rsid w:val="00685950"/>
    <w:rsid w:val="00685BF8"/>
    <w:rsid w:val="00685CC7"/>
    <w:rsid w:val="0068616E"/>
    <w:rsid w:val="006862A6"/>
    <w:rsid w:val="00686A19"/>
    <w:rsid w:val="006871B1"/>
    <w:rsid w:val="00690365"/>
    <w:rsid w:val="00690755"/>
    <w:rsid w:val="00690829"/>
    <w:rsid w:val="00690DF3"/>
    <w:rsid w:val="006914D2"/>
    <w:rsid w:val="00691523"/>
    <w:rsid w:val="00691A16"/>
    <w:rsid w:val="00691B02"/>
    <w:rsid w:val="00691BEE"/>
    <w:rsid w:val="00691D58"/>
    <w:rsid w:val="00691D7A"/>
    <w:rsid w:val="00692183"/>
    <w:rsid w:val="006939EC"/>
    <w:rsid w:val="00694055"/>
    <w:rsid w:val="006947A8"/>
    <w:rsid w:val="00694EC6"/>
    <w:rsid w:val="00694F8F"/>
    <w:rsid w:val="00695743"/>
    <w:rsid w:val="00695937"/>
    <w:rsid w:val="0069597C"/>
    <w:rsid w:val="00695D95"/>
    <w:rsid w:val="006960B9"/>
    <w:rsid w:val="00696258"/>
    <w:rsid w:val="00696326"/>
    <w:rsid w:val="00696736"/>
    <w:rsid w:val="006970D5"/>
    <w:rsid w:val="00697118"/>
    <w:rsid w:val="0069739D"/>
    <w:rsid w:val="0069758F"/>
    <w:rsid w:val="00697CDE"/>
    <w:rsid w:val="006A0293"/>
    <w:rsid w:val="006A08C1"/>
    <w:rsid w:val="006A0BE2"/>
    <w:rsid w:val="006A0D51"/>
    <w:rsid w:val="006A0DCB"/>
    <w:rsid w:val="006A1186"/>
    <w:rsid w:val="006A155A"/>
    <w:rsid w:val="006A1E83"/>
    <w:rsid w:val="006A1EE1"/>
    <w:rsid w:val="006A1F2C"/>
    <w:rsid w:val="006A2159"/>
    <w:rsid w:val="006A249B"/>
    <w:rsid w:val="006A30BF"/>
    <w:rsid w:val="006A3897"/>
    <w:rsid w:val="006A38F6"/>
    <w:rsid w:val="006A4211"/>
    <w:rsid w:val="006A4AE2"/>
    <w:rsid w:val="006A4D8A"/>
    <w:rsid w:val="006A4F99"/>
    <w:rsid w:val="006A50C8"/>
    <w:rsid w:val="006A5A9B"/>
    <w:rsid w:val="006A5EE5"/>
    <w:rsid w:val="006A6195"/>
    <w:rsid w:val="006A625E"/>
    <w:rsid w:val="006A64A9"/>
    <w:rsid w:val="006A661F"/>
    <w:rsid w:val="006A6AF9"/>
    <w:rsid w:val="006A6B52"/>
    <w:rsid w:val="006A7AD0"/>
    <w:rsid w:val="006A7D66"/>
    <w:rsid w:val="006A7DFF"/>
    <w:rsid w:val="006B0469"/>
    <w:rsid w:val="006B0925"/>
    <w:rsid w:val="006B1C87"/>
    <w:rsid w:val="006B24E1"/>
    <w:rsid w:val="006B277A"/>
    <w:rsid w:val="006B2C28"/>
    <w:rsid w:val="006B311C"/>
    <w:rsid w:val="006B38A8"/>
    <w:rsid w:val="006B3B09"/>
    <w:rsid w:val="006B3F25"/>
    <w:rsid w:val="006B46B9"/>
    <w:rsid w:val="006B4785"/>
    <w:rsid w:val="006B4949"/>
    <w:rsid w:val="006B4C57"/>
    <w:rsid w:val="006B52D9"/>
    <w:rsid w:val="006B556C"/>
    <w:rsid w:val="006B56EC"/>
    <w:rsid w:val="006B5A06"/>
    <w:rsid w:val="006B5ADB"/>
    <w:rsid w:val="006B69D2"/>
    <w:rsid w:val="006B6B5B"/>
    <w:rsid w:val="006B6CB4"/>
    <w:rsid w:val="006B73B9"/>
    <w:rsid w:val="006B741B"/>
    <w:rsid w:val="006B757D"/>
    <w:rsid w:val="006B7642"/>
    <w:rsid w:val="006B7EFE"/>
    <w:rsid w:val="006C0522"/>
    <w:rsid w:val="006C06D7"/>
    <w:rsid w:val="006C0CF3"/>
    <w:rsid w:val="006C0DBD"/>
    <w:rsid w:val="006C1021"/>
    <w:rsid w:val="006C13CB"/>
    <w:rsid w:val="006C145B"/>
    <w:rsid w:val="006C1A1F"/>
    <w:rsid w:val="006C21CF"/>
    <w:rsid w:val="006C25F1"/>
    <w:rsid w:val="006C2626"/>
    <w:rsid w:val="006C2966"/>
    <w:rsid w:val="006C2C29"/>
    <w:rsid w:val="006C2EF3"/>
    <w:rsid w:val="006C355C"/>
    <w:rsid w:val="006C3E91"/>
    <w:rsid w:val="006C44CD"/>
    <w:rsid w:val="006C44D0"/>
    <w:rsid w:val="006C4FD2"/>
    <w:rsid w:val="006C5448"/>
    <w:rsid w:val="006C567D"/>
    <w:rsid w:val="006C56B8"/>
    <w:rsid w:val="006C66CE"/>
    <w:rsid w:val="006C6D86"/>
    <w:rsid w:val="006C6F8D"/>
    <w:rsid w:val="006C6FE4"/>
    <w:rsid w:val="006C746C"/>
    <w:rsid w:val="006C758D"/>
    <w:rsid w:val="006C7693"/>
    <w:rsid w:val="006D103A"/>
    <w:rsid w:val="006D1295"/>
    <w:rsid w:val="006D1DE1"/>
    <w:rsid w:val="006D2317"/>
    <w:rsid w:val="006D266D"/>
    <w:rsid w:val="006D2C7E"/>
    <w:rsid w:val="006D2F68"/>
    <w:rsid w:val="006D31EC"/>
    <w:rsid w:val="006D32CD"/>
    <w:rsid w:val="006D3639"/>
    <w:rsid w:val="006D3749"/>
    <w:rsid w:val="006D37B0"/>
    <w:rsid w:val="006D3A92"/>
    <w:rsid w:val="006D489D"/>
    <w:rsid w:val="006D4D7F"/>
    <w:rsid w:val="006D4FD3"/>
    <w:rsid w:val="006D50B0"/>
    <w:rsid w:val="006D51B1"/>
    <w:rsid w:val="006D5A15"/>
    <w:rsid w:val="006D5D7E"/>
    <w:rsid w:val="006D5FF2"/>
    <w:rsid w:val="006D6048"/>
    <w:rsid w:val="006D65CA"/>
    <w:rsid w:val="006D6C3A"/>
    <w:rsid w:val="006D6F55"/>
    <w:rsid w:val="006D6F58"/>
    <w:rsid w:val="006D73BB"/>
    <w:rsid w:val="006D76B9"/>
    <w:rsid w:val="006D7B26"/>
    <w:rsid w:val="006D7FB5"/>
    <w:rsid w:val="006D7FD1"/>
    <w:rsid w:val="006E0448"/>
    <w:rsid w:val="006E09DE"/>
    <w:rsid w:val="006E0E9C"/>
    <w:rsid w:val="006E1377"/>
    <w:rsid w:val="006E143C"/>
    <w:rsid w:val="006E1582"/>
    <w:rsid w:val="006E165D"/>
    <w:rsid w:val="006E1938"/>
    <w:rsid w:val="006E1970"/>
    <w:rsid w:val="006E1C2E"/>
    <w:rsid w:val="006E1DDE"/>
    <w:rsid w:val="006E2136"/>
    <w:rsid w:val="006E2191"/>
    <w:rsid w:val="006E2329"/>
    <w:rsid w:val="006E24B2"/>
    <w:rsid w:val="006E2816"/>
    <w:rsid w:val="006E2AF2"/>
    <w:rsid w:val="006E3280"/>
    <w:rsid w:val="006E44D9"/>
    <w:rsid w:val="006E47C7"/>
    <w:rsid w:val="006E50A3"/>
    <w:rsid w:val="006E5250"/>
    <w:rsid w:val="006E53B4"/>
    <w:rsid w:val="006E5E48"/>
    <w:rsid w:val="006E6220"/>
    <w:rsid w:val="006E62EB"/>
    <w:rsid w:val="006E64C8"/>
    <w:rsid w:val="006E6607"/>
    <w:rsid w:val="006E6CFE"/>
    <w:rsid w:val="006E6E11"/>
    <w:rsid w:val="006E71C1"/>
    <w:rsid w:val="006E71F3"/>
    <w:rsid w:val="006E7410"/>
    <w:rsid w:val="006E778C"/>
    <w:rsid w:val="006E7AC2"/>
    <w:rsid w:val="006E7D4C"/>
    <w:rsid w:val="006F00FD"/>
    <w:rsid w:val="006F0854"/>
    <w:rsid w:val="006F0C20"/>
    <w:rsid w:val="006F13A7"/>
    <w:rsid w:val="006F144F"/>
    <w:rsid w:val="006F155C"/>
    <w:rsid w:val="006F1A01"/>
    <w:rsid w:val="006F2800"/>
    <w:rsid w:val="006F28B2"/>
    <w:rsid w:val="006F3306"/>
    <w:rsid w:val="006F3DA0"/>
    <w:rsid w:val="006F43CD"/>
    <w:rsid w:val="006F46D2"/>
    <w:rsid w:val="006F513C"/>
    <w:rsid w:val="006F5E2D"/>
    <w:rsid w:val="006F5E70"/>
    <w:rsid w:val="006F61F8"/>
    <w:rsid w:val="006F6789"/>
    <w:rsid w:val="006F68F6"/>
    <w:rsid w:val="006F70DB"/>
    <w:rsid w:val="006F74EA"/>
    <w:rsid w:val="006F77E7"/>
    <w:rsid w:val="006F7D2B"/>
    <w:rsid w:val="00700017"/>
    <w:rsid w:val="007004C2"/>
    <w:rsid w:val="007007E6"/>
    <w:rsid w:val="00700A01"/>
    <w:rsid w:val="00701027"/>
    <w:rsid w:val="007012C0"/>
    <w:rsid w:val="007016AF"/>
    <w:rsid w:val="00701A74"/>
    <w:rsid w:val="00702372"/>
    <w:rsid w:val="007023B6"/>
    <w:rsid w:val="0070283F"/>
    <w:rsid w:val="00702E7F"/>
    <w:rsid w:val="00703056"/>
    <w:rsid w:val="007030EB"/>
    <w:rsid w:val="00703459"/>
    <w:rsid w:val="00703BB5"/>
    <w:rsid w:val="00703C0D"/>
    <w:rsid w:val="00703E31"/>
    <w:rsid w:val="00704676"/>
    <w:rsid w:val="007047E3"/>
    <w:rsid w:val="00704935"/>
    <w:rsid w:val="00704CB9"/>
    <w:rsid w:val="00704CBD"/>
    <w:rsid w:val="00704E54"/>
    <w:rsid w:val="00705194"/>
    <w:rsid w:val="00705322"/>
    <w:rsid w:val="00705411"/>
    <w:rsid w:val="00705845"/>
    <w:rsid w:val="00705E3D"/>
    <w:rsid w:val="00706065"/>
    <w:rsid w:val="0070635D"/>
    <w:rsid w:val="00706390"/>
    <w:rsid w:val="007067A8"/>
    <w:rsid w:val="00706A36"/>
    <w:rsid w:val="00706E83"/>
    <w:rsid w:val="00707489"/>
    <w:rsid w:val="007075CD"/>
    <w:rsid w:val="00707882"/>
    <w:rsid w:val="007078B4"/>
    <w:rsid w:val="007079E1"/>
    <w:rsid w:val="00707AAA"/>
    <w:rsid w:val="00707B1D"/>
    <w:rsid w:val="00707B2B"/>
    <w:rsid w:val="00707CC9"/>
    <w:rsid w:val="007105D2"/>
    <w:rsid w:val="0071073E"/>
    <w:rsid w:val="00710855"/>
    <w:rsid w:val="007112C8"/>
    <w:rsid w:val="007113AF"/>
    <w:rsid w:val="00711462"/>
    <w:rsid w:val="00711875"/>
    <w:rsid w:val="00711CB6"/>
    <w:rsid w:val="00712148"/>
    <w:rsid w:val="00712FE6"/>
    <w:rsid w:val="00713110"/>
    <w:rsid w:val="007134AA"/>
    <w:rsid w:val="00713A15"/>
    <w:rsid w:val="00713D54"/>
    <w:rsid w:val="00713EEF"/>
    <w:rsid w:val="00714433"/>
    <w:rsid w:val="00714FEA"/>
    <w:rsid w:val="00715B06"/>
    <w:rsid w:val="00715CED"/>
    <w:rsid w:val="00715DED"/>
    <w:rsid w:val="0071687A"/>
    <w:rsid w:val="00716ADF"/>
    <w:rsid w:val="00716D12"/>
    <w:rsid w:val="00716E53"/>
    <w:rsid w:val="00720335"/>
    <w:rsid w:val="00720DE0"/>
    <w:rsid w:val="00720F78"/>
    <w:rsid w:val="00721627"/>
    <w:rsid w:val="00722509"/>
    <w:rsid w:val="00722678"/>
    <w:rsid w:val="00722834"/>
    <w:rsid w:val="00722986"/>
    <w:rsid w:val="00722CB5"/>
    <w:rsid w:val="00722E20"/>
    <w:rsid w:val="007232BF"/>
    <w:rsid w:val="007236C8"/>
    <w:rsid w:val="00723718"/>
    <w:rsid w:val="00723918"/>
    <w:rsid w:val="00723961"/>
    <w:rsid w:val="00723E17"/>
    <w:rsid w:val="0072437F"/>
    <w:rsid w:val="00724530"/>
    <w:rsid w:val="007245EF"/>
    <w:rsid w:val="007247D2"/>
    <w:rsid w:val="00724F70"/>
    <w:rsid w:val="007251C7"/>
    <w:rsid w:val="007258F9"/>
    <w:rsid w:val="00725E74"/>
    <w:rsid w:val="00725F82"/>
    <w:rsid w:val="00726714"/>
    <w:rsid w:val="007301C7"/>
    <w:rsid w:val="0073050E"/>
    <w:rsid w:val="00730824"/>
    <w:rsid w:val="007309FE"/>
    <w:rsid w:val="00730EF5"/>
    <w:rsid w:val="00731273"/>
    <w:rsid w:val="0073150E"/>
    <w:rsid w:val="007315C2"/>
    <w:rsid w:val="007315FD"/>
    <w:rsid w:val="007316EF"/>
    <w:rsid w:val="00731A34"/>
    <w:rsid w:val="00731CFE"/>
    <w:rsid w:val="00731E22"/>
    <w:rsid w:val="00731EE5"/>
    <w:rsid w:val="00732087"/>
    <w:rsid w:val="00732307"/>
    <w:rsid w:val="00732999"/>
    <w:rsid w:val="00732E97"/>
    <w:rsid w:val="0073358D"/>
    <w:rsid w:val="0073369D"/>
    <w:rsid w:val="007343B2"/>
    <w:rsid w:val="0073441B"/>
    <w:rsid w:val="007346A0"/>
    <w:rsid w:val="007348EF"/>
    <w:rsid w:val="007350D1"/>
    <w:rsid w:val="00735462"/>
    <w:rsid w:val="007356E3"/>
    <w:rsid w:val="007358D2"/>
    <w:rsid w:val="00735CCB"/>
    <w:rsid w:val="007368F9"/>
    <w:rsid w:val="00736B25"/>
    <w:rsid w:val="00736BF9"/>
    <w:rsid w:val="00736F63"/>
    <w:rsid w:val="007370A6"/>
    <w:rsid w:val="007371A5"/>
    <w:rsid w:val="00737A30"/>
    <w:rsid w:val="00737C75"/>
    <w:rsid w:val="0074018D"/>
    <w:rsid w:val="00740AA1"/>
    <w:rsid w:val="00741BCC"/>
    <w:rsid w:val="0074295A"/>
    <w:rsid w:val="00742B99"/>
    <w:rsid w:val="00742C38"/>
    <w:rsid w:val="00742DA3"/>
    <w:rsid w:val="0074315D"/>
    <w:rsid w:val="007448E2"/>
    <w:rsid w:val="00744A61"/>
    <w:rsid w:val="00744F0A"/>
    <w:rsid w:val="007451C7"/>
    <w:rsid w:val="0074537E"/>
    <w:rsid w:val="0074547C"/>
    <w:rsid w:val="00745967"/>
    <w:rsid w:val="00746346"/>
    <w:rsid w:val="00746716"/>
    <w:rsid w:val="0074771B"/>
    <w:rsid w:val="00747A07"/>
    <w:rsid w:val="00747C06"/>
    <w:rsid w:val="00750BFD"/>
    <w:rsid w:val="00750DD0"/>
    <w:rsid w:val="0075126E"/>
    <w:rsid w:val="00751707"/>
    <w:rsid w:val="00751752"/>
    <w:rsid w:val="007517EE"/>
    <w:rsid w:val="0075201C"/>
    <w:rsid w:val="007520EF"/>
    <w:rsid w:val="007522C7"/>
    <w:rsid w:val="00752D88"/>
    <w:rsid w:val="00753027"/>
    <w:rsid w:val="00754993"/>
    <w:rsid w:val="00754D82"/>
    <w:rsid w:val="00754DE8"/>
    <w:rsid w:val="00755432"/>
    <w:rsid w:val="007556FD"/>
    <w:rsid w:val="00755C06"/>
    <w:rsid w:val="00755DB0"/>
    <w:rsid w:val="00756547"/>
    <w:rsid w:val="00756B09"/>
    <w:rsid w:val="00756F1A"/>
    <w:rsid w:val="007571EA"/>
    <w:rsid w:val="007571FF"/>
    <w:rsid w:val="00757678"/>
    <w:rsid w:val="0075772A"/>
    <w:rsid w:val="007600F8"/>
    <w:rsid w:val="0076010A"/>
    <w:rsid w:val="0076020B"/>
    <w:rsid w:val="00760B48"/>
    <w:rsid w:val="00760C7B"/>
    <w:rsid w:val="00760F46"/>
    <w:rsid w:val="007610E2"/>
    <w:rsid w:val="007611B5"/>
    <w:rsid w:val="007613B7"/>
    <w:rsid w:val="00761810"/>
    <w:rsid w:val="007619D0"/>
    <w:rsid w:val="00761CD9"/>
    <w:rsid w:val="00761EDE"/>
    <w:rsid w:val="00762164"/>
    <w:rsid w:val="0076233F"/>
    <w:rsid w:val="00762442"/>
    <w:rsid w:val="0076249D"/>
    <w:rsid w:val="00762BE7"/>
    <w:rsid w:val="00762D9F"/>
    <w:rsid w:val="00762FE0"/>
    <w:rsid w:val="007631AF"/>
    <w:rsid w:val="0076339A"/>
    <w:rsid w:val="00763873"/>
    <w:rsid w:val="0076395E"/>
    <w:rsid w:val="0076399F"/>
    <w:rsid w:val="00763EA4"/>
    <w:rsid w:val="00764AA1"/>
    <w:rsid w:val="00764E54"/>
    <w:rsid w:val="00765421"/>
    <w:rsid w:val="0076545E"/>
    <w:rsid w:val="0076565B"/>
    <w:rsid w:val="00765BCF"/>
    <w:rsid w:val="0076609F"/>
    <w:rsid w:val="0076664B"/>
    <w:rsid w:val="00766909"/>
    <w:rsid w:val="00766AF8"/>
    <w:rsid w:val="00766FA4"/>
    <w:rsid w:val="00767202"/>
    <w:rsid w:val="00770A1C"/>
    <w:rsid w:val="00771A7F"/>
    <w:rsid w:val="00771B1C"/>
    <w:rsid w:val="00771B52"/>
    <w:rsid w:val="00771C84"/>
    <w:rsid w:val="00772031"/>
    <w:rsid w:val="00772522"/>
    <w:rsid w:val="00772561"/>
    <w:rsid w:val="00772BEA"/>
    <w:rsid w:val="00772E18"/>
    <w:rsid w:val="00773314"/>
    <w:rsid w:val="00773DD3"/>
    <w:rsid w:val="007742B8"/>
    <w:rsid w:val="00774DF7"/>
    <w:rsid w:val="0077531C"/>
    <w:rsid w:val="00775433"/>
    <w:rsid w:val="0077553B"/>
    <w:rsid w:val="00776418"/>
    <w:rsid w:val="00777086"/>
    <w:rsid w:val="00777463"/>
    <w:rsid w:val="007775D7"/>
    <w:rsid w:val="00777D4F"/>
    <w:rsid w:val="00777FAF"/>
    <w:rsid w:val="007801AC"/>
    <w:rsid w:val="00780314"/>
    <w:rsid w:val="0078044D"/>
    <w:rsid w:val="007806A7"/>
    <w:rsid w:val="00780BA7"/>
    <w:rsid w:val="00780CA2"/>
    <w:rsid w:val="00781240"/>
    <w:rsid w:val="0078144F"/>
    <w:rsid w:val="0078170C"/>
    <w:rsid w:val="0078173E"/>
    <w:rsid w:val="0078173F"/>
    <w:rsid w:val="00781AC4"/>
    <w:rsid w:val="00781CFE"/>
    <w:rsid w:val="007823F9"/>
    <w:rsid w:val="007824AA"/>
    <w:rsid w:val="007824C2"/>
    <w:rsid w:val="007825B3"/>
    <w:rsid w:val="007825C1"/>
    <w:rsid w:val="007826EF"/>
    <w:rsid w:val="007827A0"/>
    <w:rsid w:val="00782875"/>
    <w:rsid w:val="00782A52"/>
    <w:rsid w:val="00782B0E"/>
    <w:rsid w:val="00783331"/>
    <w:rsid w:val="00783366"/>
    <w:rsid w:val="0078366B"/>
    <w:rsid w:val="00783D4D"/>
    <w:rsid w:val="0078468E"/>
    <w:rsid w:val="00784BB6"/>
    <w:rsid w:val="007855CC"/>
    <w:rsid w:val="00785C47"/>
    <w:rsid w:val="007865C5"/>
    <w:rsid w:val="0078689A"/>
    <w:rsid w:val="00786E0E"/>
    <w:rsid w:val="0078752F"/>
    <w:rsid w:val="00790436"/>
    <w:rsid w:val="00790585"/>
    <w:rsid w:val="00790754"/>
    <w:rsid w:val="00790E3B"/>
    <w:rsid w:val="00791223"/>
    <w:rsid w:val="007913B5"/>
    <w:rsid w:val="00791504"/>
    <w:rsid w:val="00791923"/>
    <w:rsid w:val="00791C30"/>
    <w:rsid w:val="007928D6"/>
    <w:rsid w:val="00793099"/>
    <w:rsid w:val="007932A5"/>
    <w:rsid w:val="00793877"/>
    <w:rsid w:val="00793D17"/>
    <w:rsid w:val="00794A31"/>
    <w:rsid w:val="00794B7C"/>
    <w:rsid w:val="007951C7"/>
    <w:rsid w:val="007954DA"/>
    <w:rsid w:val="00795726"/>
    <w:rsid w:val="00796150"/>
    <w:rsid w:val="007961E0"/>
    <w:rsid w:val="00796678"/>
    <w:rsid w:val="0079690E"/>
    <w:rsid w:val="00796A2B"/>
    <w:rsid w:val="00796E22"/>
    <w:rsid w:val="00797511"/>
    <w:rsid w:val="00797567"/>
    <w:rsid w:val="00797972"/>
    <w:rsid w:val="007A00ED"/>
    <w:rsid w:val="007A05CB"/>
    <w:rsid w:val="007A06FB"/>
    <w:rsid w:val="007A0772"/>
    <w:rsid w:val="007A0CBD"/>
    <w:rsid w:val="007A0CED"/>
    <w:rsid w:val="007A0E94"/>
    <w:rsid w:val="007A122D"/>
    <w:rsid w:val="007A1246"/>
    <w:rsid w:val="007A175B"/>
    <w:rsid w:val="007A181C"/>
    <w:rsid w:val="007A1ADA"/>
    <w:rsid w:val="007A1BD1"/>
    <w:rsid w:val="007A1D64"/>
    <w:rsid w:val="007A1F9C"/>
    <w:rsid w:val="007A1FCE"/>
    <w:rsid w:val="007A205C"/>
    <w:rsid w:val="007A2384"/>
    <w:rsid w:val="007A2451"/>
    <w:rsid w:val="007A2AA3"/>
    <w:rsid w:val="007A2CF4"/>
    <w:rsid w:val="007A3104"/>
    <w:rsid w:val="007A31C0"/>
    <w:rsid w:val="007A31F5"/>
    <w:rsid w:val="007A3705"/>
    <w:rsid w:val="007A3796"/>
    <w:rsid w:val="007A3D3B"/>
    <w:rsid w:val="007A454F"/>
    <w:rsid w:val="007A4A95"/>
    <w:rsid w:val="007A4F11"/>
    <w:rsid w:val="007A4FD8"/>
    <w:rsid w:val="007A5281"/>
    <w:rsid w:val="007A55DB"/>
    <w:rsid w:val="007A5D16"/>
    <w:rsid w:val="007A62C1"/>
    <w:rsid w:val="007A7172"/>
    <w:rsid w:val="007A71DC"/>
    <w:rsid w:val="007A738A"/>
    <w:rsid w:val="007A77DA"/>
    <w:rsid w:val="007A7CC0"/>
    <w:rsid w:val="007B05C3"/>
    <w:rsid w:val="007B07D4"/>
    <w:rsid w:val="007B0A8F"/>
    <w:rsid w:val="007B1355"/>
    <w:rsid w:val="007B136F"/>
    <w:rsid w:val="007B137E"/>
    <w:rsid w:val="007B1592"/>
    <w:rsid w:val="007B1D51"/>
    <w:rsid w:val="007B1F60"/>
    <w:rsid w:val="007B23C8"/>
    <w:rsid w:val="007B26CA"/>
    <w:rsid w:val="007B26FA"/>
    <w:rsid w:val="007B27AB"/>
    <w:rsid w:val="007B2D58"/>
    <w:rsid w:val="007B30F3"/>
    <w:rsid w:val="007B37B2"/>
    <w:rsid w:val="007B4161"/>
    <w:rsid w:val="007B640B"/>
    <w:rsid w:val="007B666C"/>
    <w:rsid w:val="007B6A7C"/>
    <w:rsid w:val="007B6A99"/>
    <w:rsid w:val="007B6B23"/>
    <w:rsid w:val="007B6CF6"/>
    <w:rsid w:val="007B755C"/>
    <w:rsid w:val="007B7860"/>
    <w:rsid w:val="007B7C64"/>
    <w:rsid w:val="007B7D7F"/>
    <w:rsid w:val="007C0026"/>
    <w:rsid w:val="007C0730"/>
    <w:rsid w:val="007C096A"/>
    <w:rsid w:val="007C1068"/>
    <w:rsid w:val="007C1895"/>
    <w:rsid w:val="007C1905"/>
    <w:rsid w:val="007C1B9A"/>
    <w:rsid w:val="007C1E2B"/>
    <w:rsid w:val="007C280B"/>
    <w:rsid w:val="007C29C9"/>
    <w:rsid w:val="007C335F"/>
    <w:rsid w:val="007C342F"/>
    <w:rsid w:val="007C3D9B"/>
    <w:rsid w:val="007C4751"/>
    <w:rsid w:val="007C4CD1"/>
    <w:rsid w:val="007C4E25"/>
    <w:rsid w:val="007C51A5"/>
    <w:rsid w:val="007C58A8"/>
    <w:rsid w:val="007C5E69"/>
    <w:rsid w:val="007C62BF"/>
    <w:rsid w:val="007C62DB"/>
    <w:rsid w:val="007C751A"/>
    <w:rsid w:val="007C75ED"/>
    <w:rsid w:val="007C7954"/>
    <w:rsid w:val="007C7E63"/>
    <w:rsid w:val="007D01EE"/>
    <w:rsid w:val="007D0D63"/>
    <w:rsid w:val="007D0DD2"/>
    <w:rsid w:val="007D1164"/>
    <w:rsid w:val="007D13D5"/>
    <w:rsid w:val="007D174D"/>
    <w:rsid w:val="007D1B4F"/>
    <w:rsid w:val="007D1CF3"/>
    <w:rsid w:val="007D1E1D"/>
    <w:rsid w:val="007D210C"/>
    <w:rsid w:val="007D26A3"/>
    <w:rsid w:val="007D282C"/>
    <w:rsid w:val="007D2EC5"/>
    <w:rsid w:val="007D2FC1"/>
    <w:rsid w:val="007D302F"/>
    <w:rsid w:val="007D34E9"/>
    <w:rsid w:val="007D358F"/>
    <w:rsid w:val="007D3E41"/>
    <w:rsid w:val="007D4051"/>
    <w:rsid w:val="007D45D6"/>
    <w:rsid w:val="007D53D5"/>
    <w:rsid w:val="007D56E5"/>
    <w:rsid w:val="007D575E"/>
    <w:rsid w:val="007D58AA"/>
    <w:rsid w:val="007D59B1"/>
    <w:rsid w:val="007D59D7"/>
    <w:rsid w:val="007D5B21"/>
    <w:rsid w:val="007D5F07"/>
    <w:rsid w:val="007D67C3"/>
    <w:rsid w:val="007D68F6"/>
    <w:rsid w:val="007D70A1"/>
    <w:rsid w:val="007D7450"/>
    <w:rsid w:val="007D7590"/>
    <w:rsid w:val="007E0048"/>
    <w:rsid w:val="007E05D3"/>
    <w:rsid w:val="007E07EC"/>
    <w:rsid w:val="007E1A7F"/>
    <w:rsid w:val="007E1B21"/>
    <w:rsid w:val="007E2AB7"/>
    <w:rsid w:val="007E3776"/>
    <w:rsid w:val="007E3896"/>
    <w:rsid w:val="007E38A9"/>
    <w:rsid w:val="007E395A"/>
    <w:rsid w:val="007E3B5F"/>
    <w:rsid w:val="007E3D1B"/>
    <w:rsid w:val="007E3E92"/>
    <w:rsid w:val="007E3FED"/>
    <w:rsid w:val="007E45E1"/>
    <w:rsid w:val="007E4D23"/>
    <w:rsid w:val="007E5235"/>
    <w:rsid w:val="007E5326"/>
    <w:rsid w:val="007E53F4"/>
    <w:rsid w:val="007E55F6"/>
    <w:rsid w:val="007E57BC"/>
    <w:rsid w:val="007E5AA7"/>
    <w:rsid w:val="007E5DB2"/>
    <w:rsid w:val="007E5DFD"/>
    <w:rsid w:val="007E5E8D"/>
    <w:rsid w:val="007E644D"/>
    <w:rsid w:val="007E6CF6"/>
    <w:rsid w:val="007E7329"/>
    <w:rsid w:val="007E751D"/>
    <w:rsid w:val="007E771A"/>
    <w:rsid w:val="007E7ABA"/>
    <w:rsid w:val="007E7EB1"/>
    <w:rsid w:val="007E7FBB"/>
    <w:rsid w:val="007F0233"/>
    <w:rsid w:val="007F09C3"/>
    <w:rsid w:val="007F0E42"/>
    <w:rsid w:val="007F13EF"/>
    <w:rsid w:val="007F189B"/>
    <w:rsid w:val="007F1CD1"/>
    <w:rsid w:val="007F24E3"/>
    <w:rsid w:val="007F28F6"/>
    <w:rsid w:val="007F2A61"/>
    <w:rsid w:val="007F2C5C"/>
    <w:rsid w:val="007F2CAD"/>
    <w:rsid w:val="007F34E6"/>
    <w:rsid w:val="007F3764"/>
    <w:rsid w:val="007F3BE7"/>
    <w:rsid w:val="007F3F5A"/>
    <w:rsid w:val="007F40F2"/>
    <w:rsid w:val="007F4590"/>
    <w:rsid w:val="007F5573"/>
    <w:rsid w:val="007F5B9A"/>
    <w:rsid w:val="007F6477"/>
    <w:rsid w:val="007F69E3"/>
    <w:rsid w:val="007F6AE1"/>
    <w:rsid w:val="007F723D"/>
    <w:rsid w:val="007F7644"/>
    <w:rsid w:val="007F76F8"/>
    <w:rsid w:val="007F7949"/>
    <w:rsid w:val="007F7F94"/>
    <w:rsid w:val="0080079C"/>
    <w:rsid w:val="008008FC"/>
    <w:rsid w:val="008014EA"/>
    <w:rsid w:val="00801AA1"/>
    <w:rsid w:val="00801D98"/>
    <w:rsid w:val="008025ED"/>
    <w:rsid w:val="00802752"/>
    <w:rsid w:val="0080278A"/>
    <w:rsid w:val="008027F7"/>
    <w:rsid w:val="00802C86"/>
    <w:rsid w:val="00802E93"/>
    <w:rsid w:val="008030E7"/>
    <w:rsid w:val="0080328F"/>
    <w:rsid w:val="00803DC4"/>
    <w:rsid w:val="00803E8C"/>
    <w:rsid w:val="00804CAB"/>
    <w:rsid w:val="00806291"/>
    <w:rsid w:val="008062CA"/>
    <w:rsid w:val="008065DF"/>
    <w:rsid w:val="008068C2"/>
    <w:rsid w:val="00806A50"/>
    <w:rsid w:val="00807133"/>
    <w:rsid w:val="00807170"/>
    <w:rsid w:val="00807A59"/>
    <w:rsid w:val="00807F2F"/>
    <w:rsid w:val="00810093"/>
    <w:rsid w:val="0081054C"/>
    <w:rsid w:val="00810933"/>
    <w:rsid w:val="00810C38"/>
    <w:rsid w:val="00811265"/>
    <w:rsid w:val="0081163A"/>
    <w:rsid w:val="00811BAF"/>
    <w:rsid w:val="0081217E"/>
    <w:rsid w:val="008121FF"/>
    <w:rsid w:val="008126AB"/>
    <w:rsid w:val="00812766"/>
    <w:rsid w:val="00812A53"/>
    <w:rsid w:val="0081423A"/>
    <w:rsid w:val="00814313"/>
    <w:rsid w:val="008147A3"/>
    <w:rsid w:val="008147EC"/>
    <w:rsid w:val="00814C2B"/>
    <w:rsid w:val="00814D64"/>
    <w:rsid w:val="008152AC"/>
    <w:rsid w:val="008154D4"/>
    <w:rsid w:val="008158DF"/>
    <w:rsid w:val="00815AD3"/>
    <w:rsid w:val="00816AB7"/>
    <w:rsid w:val="00817337"/>
    <w:rsid w:val="00817414"/>
    <w:rsid w:val="00817744"/>
    <w:rsid w:val="00817BBB"/>
    <w:rsid w:val="00817FDF"/>
    <w:rsid w:val="0082006A"/>
    <w:rsid w:val="0082014E"/>
    <w:rsid w:val="0082055E"/>
    <w:rsid w:val="008205EF"/>
    <w:rsid w:val="008206A1"/>
    <w:rsid w:val="00820973"/>
    <w:rsid w:val="00820A7D"/>
    <w:rsid w:val="00820BAB"/>
    <w:rsid w:val="00820FFE"/>
    <w:rsid w:val="00821972"/>
    <w:rsid w:val="00821DC8"/>
    <w:rsid w:val="00821F62"/>
    <w:rsid w:val="00822071"/>
    <w:rsid w:val="008221F9"/>
    <w:rsid w:val="0082353C"/>
    <w:rsid w:val="00823F27"/>
    <w:rsid w:val="0082412B"/>
    <w:rsid w:val="0082424A"/>
    <w:rsid w:val="008242B6"/>
    <w:rsid w:val="008243F6"/>
    <w:rsid w:val="00824F90"/>
    <w:rsid w:val="00825956"/>
    <w:rsid w:val="008259B7"/>
    <w:rsid w:val="00825F59"/>
    <w:rsid w:val="00826056"/>
    <w:rsid w:val="00826B7A"/>
    <w:rsid w:val="00826BF3"/>
    <w:rsid w:val="00826C2D"/>
    <w:rsid w:val="00826F9A"/>
    <w:rsid w:val="00827005"/>
    <w:rsid w:val="008273D4"/>
    <w:rsid w:val="0083034E"/>
    <w:rsid w:val="00830526"/>
    <w:rsid w:val="008305F8"/>
    <w:rsid w:val="00830979"/>
    <w:rsid w:val="00830B95"/>
    <w:rsid w:val="00830D58"/>
    <w:rsid w:val="0083121B"/>
    <w:rsid w:val="0083155A"/>
    <w:rsid w:val="008318F9"/>
    <w:rsid w:val="00831BD1"/>
    <w:rsid w:val="00831C72"/>
    <w:rsid w:val="00832366"/>
    <w:rsid w:val="008323FF"/>
    <w:rsid w:val="00833962"/>
    <w:rsid w:val="00833D1D"/>
    <w:rsid w:val="00834467"/>
    <w:rsid w:val="008349CC"/>
    <w:rsid w:val="00834DF4"/>
    <w:rsid w:val="00834DFE"/>
    <w:rsid w:val="0083511B"/>
    <w:rsid w:val="008364A3"/>
    <w:rsid w:val="00836812"/>
    <w:rsid w:val="008368BB"/>
    <w:rsid w:val="00836B42"/>
    <w:rsid w:val="00837477"/>
    <w:rsid w:val="00837B10"/>
    <w:rsid w:val="00837CD0"/>
    <w:rsid w:val="0084004E"/>
    <w:rsid w:val="0084034D"/>
    <w:rsid w:val="008409FF"/>
    <w:rsid w:val="00840F84"/>
    <w:rsid w:val="00841349"/>
    <w:rsid w:val="008413E7"/>
    <w:rsid w:val="008415C9"/>
    <w:rsid w:val="00842390"/>
    <w:rsid w:val="00842413"/>
    <w:rsid w:val="00842F58"/>
    <w:rsid w:val="0084363E"/>
    <w:rsid w:val="00843BEA"/>
    <w:rsid w:val="00844390"/>
    <w:rsid w:val="00844498"/>
    <w:rsid w:val="00844A96"/>
    <w:rsid w:val="00844DE4"/>
    <w:rsid w:val="00844FA5"/>
    <w:rsid w:val="008459B4"/>
    <w:rsid w:val="008459DC"/>
    <w:rsid w:val="00845A4B"/>
    <w:rsid w:val="00845FE8"/>
    <w:rsid w:val="008461E0"/>
    <w:rsid w:val="008463DD"/>
    <w:rsid w:val="00846492"/>
    <w:rsid w:val="008464B2"/>
    <w:rsid w:val="008464CA"/>
    <w:rsid w:val="00847305"/>
    <w:rsid w:val="00847E69"/>
    <w:rsid w:val="00850148"/>
    <w:rsid w:val="008501F3"/>
    <w:rsid w:val="008502F6"/>
    <w:rsid w:val="00850458"/>
    <w:rsid w:val="00850824"/>
    <w:rsid w:val="00850839"/>
    <w:rsid w:val="00850A76"/>
    <w:rsid w:val="00850C40"/>
    <w:rsid w:val="0085133B"/>
    <w:rsid w:val="008513DD"/>
    <w:rsid w:val="008516B7"/>
    <w:rsid w:val="0085190E"/>
    <w:rsid w:val="0085198C"/>
    <w:rsid w:val="00851B2E"/>
    <w:rsid w:val="00852214"/>
    <w:rsid w:val="00852344"/>
    <w:rsid w:val="0085281F"/>
    <w:rsid w:val="00852944"/>
    <w:rsid w:val="00852B35"/>
    <w:rsid w:val="00852DD4"/>
    <w:rsid w:val="00853373"/>
    <w:rsid w:val="00853B35"/>
    <w:rsid w:val="00853C96"/>
    <w:rsid w:val="008547B0"/>
    <w:rsid w:val="00854931"/>
    <w:rsid w:val="00854B57"/>
    <w:rsid w:val="00854BB8"/>
    <w:rsid w:val="00854DB2"/>
    <w:rsid w:val="00855571"/>
    <w:rsid w:val="00855E2E"/>
    <w:rsid w:val="00856167"/>
    <w:rsid w:val="008563A7"/>
    <w:rsid w:val="008563D4"/>
    <w:rsid w:val="0085692D"/>
    <w:rsid w:val="00857024"/>
    <w:rsid w:val="0085782F"/>
    <w:rsid w:val="00857995"/>
    <w:rsid w:val="0086011A"/>
    <w:rsid w:val="008607B6"/>
    <w:rsid w:val="00860A42"/>
    <w:rsid w:val="00860C5C"/>
    <w:rsid w:val="00860E3D"/>
    <w:rsid w:val="00861CAC"/>
    <w:rsid w:val="00861E55"/>
    <w:rsid w:val="00862161"/>
    <w:rsid w:val="0086266C"/>
    <w:rsid w:val="00862F14"/>
    <w:rsid w:val="008634C3"/>
    <w:rsid w:val="00863517"/>
    <w:rsid w:val="00863BA8"/>
    <w:rsid w:val="00863E9C"/>
    <w:rsid w:val="008644AF"/>
    <w:rsid w:val="00864827"/>
    <w:rsid w:val="00864910"/>
    <w:rsid w:val="00865052"/>
    <w:rsid w:val="00865594"/>
    <w:rsid w:val="008656FF"/>
    <w:rsid w:val="00865A4D"/>
    <w:rsid w:val="00865CF8"/>
    <w:rsid w:val="00866236"/>
    <w:rsid w:val="00867360"/>
    <w:rsid w:val="0086747C"/>
    <w:rsid w:val="008675D9"/>
    <w:rsid w:val="008677C6"/>
    <w:rsid w:val="00867B5B"/>
    <w:rsid w:val="00867CCC"/>
    <w:rsid w:val="0087081C"/>
    <w:rsid w:val="00870DEA"/>
    <w:rsid w:val="0087173D"/>
    <w:rsid w:val="00871C2E"/>
    <w:rsid w:val="008720CB"/>
    <w:rsid w:val="008723CD"/>
    <w:rsid w:val="008723F8"/>
    <w:rsid w:val="00872659"/>
    <w:rsid w:val="008726CC"/>
    <w:rsid w:val="00873478"/>
    <w:rsid w:val="008736AC"/>
    <w:rsid w:val="008736F2"/>
    <w:rsid w:val="00873D60"/>
    <w:rsid w:val="00873EFF"/>
    <w:rsid w:val="00874331"/>
    <w:rsid w:val="00874BDC"/>
    <w:rsid w:val="00874C04"/>
    <w:rsid w:val="00875158"/>
    <w:rsid w:val="008752D8"/>
    <w:rsid w:val="00875714"/>
    <w:rsid w:val="00875BC5"/>
    <w:rsid w:val="00875DBE"/>
    <w:rsid w:val="00875E74"/>
    <w:rsid w:val="00875F00"/>
    <w:rsid w:val="00876250"/>
    <w:rsid w:val="008762FE"/>
    <w:rsid w:val="00877041"/>
    <w:rsid w:val="008771C1"/>
    <w:rsid w:val="008774DE"/>
    <w:rsid w:val="00877B1A"/>
    <w:rsid w:val="00880262"/>
    <w:rsid w:val="008805CA"/>
    <w:rsid w:val="0088111D"/>
    <w:rsid w:val="008812C6"/>
    <w:rsid w:val="008822D0"/>
    <w:rsid w:val="008822FA"/>
    <w:rsid w:val="008829BA"/>
    <w:rsid w:val="008835CC"/>
    <w:rsid w:val="00883B6D"/>
    <w:rsid w:val="0088435E"/>
    <w:rsid w:val="00884E33"/>
    <w:rsid w:val="008851A5"/>
    <w:rsid w:val="00885284"/>
    <w:rsid w:val="0088537B"/>
    <w:rsid w:val="00885527"/>
    <w:rsid w:val="008859F7"/>
    <w:rsid w:val="00885BD8"/>
    <w:rsid w:val="00885E0A"/>
    <w:rsid w:val="00885F5E"/>
    <w:rsid w:val="00886073"/>
    <w:rsid w:val="00887208"/>
    <w:rsid w:val="00890010"/>
    <w:rsid w:val="00891F05"/>
    <w:rsid w:val="00891FFD"/>
    <w:rsid w:val="00892450"/>
    <w:rsid w:val="008926F9"/>
    <w:rsid w:val="0089282E"/>
    <w:rsid w:val="0089335D"/>
    <w:rsid w:val="0089338C"/>
    <w:rsid w:val="00893814"/>
    <w:rsid w:val="0089438A"/>
    <w:rsid w:val="00894398"/>
    <w:rsid w:val="00894E81"/>
    <w:rsid w:val="008950FD"/>
    <w:rsid w:val="008956C6"/>
    <w:rsid w:val="008957F0"/>
    <w:rsid w:val="00895FEE"/>
    <w:rsid w:val="0089606E"/>
    <w:rsid w:val="00896146"/>
    <w:rsid w:val="0089616F"/>
    <w:rsid w:val="00896424"/>
    <w:rsid w:val="00896887"/>
    <w:rsid w:val="00896DFD"/>
    <w:rsid w:val="00896E4E"/>
    <w:rsid w:val="00896F82"/>
    <w:rsid w:val="00896FC8"/>
    <w:rsid w:val="0089745B"/>
    <w:rsid w:val="0089767D"/>
    <w:rsid w:val="008A01A2"/>
    <w:rsid w:val="008A0204"/>
    <w:rsid w:val="008A03E5"/>
    <w:rsid w:val="008A0AB9"/>
    <w:rsid w:val="008A130C"/>
    <w:rsid w:val="008A1621"/>
    <w:rsid w:val="008A1666"/>
    <w:rsid w:val="008A17F3"/>
    <w:rsid w:val="008A1B7E"/>
    <w:rsid w:val="008A2249"/>
    <w:rsid w:val="008A25A5"/>
    <w:rsid w:val="008A25B9"/>
    <w:rsid w:val="008A2C3C"/>
    <w:rsid w:val="008A2FE5"/>
    <w:rsid w:val="008A324A"/>
    <w:rsid w:val="008A35BC"/>
    <w:rsid w:val="008A38C3"/>
    <w:rsid w:val="008A3998"/>
    <w:rsid w:val="008A3AA8"/>
    <w:rsid w:val="008A3B00"/>
    <w:rsid w:val="008A3B78"/>
    <w:rsid w:val="008A4372"/>
    <w:rsid w:val="008A4523"/>
    <w:rsid w:val="008A4A19"/>
    <w:rsid w:val="008A4CCF"/>
    <w:rsid w:val="008A5ABA"/>
    <w:rsid w:val="008A5C12"/>
    <w:rsid w:val="008A5F6F"/>
    <w:rsid w:val="008A5F89"/>
    <w:rsid w:val="008A6502"/>
    <w:rsid w:val="008A6AFA"/>
    <w:rsid w:val="008A6B74"/>
    <w:rsid w:val="008A6EB1"/>
    <w:rsid w:val="008B01D4"/>
    <w:rsid w:val="008B0292"/>
    <w:rsid w:val="008B03C8"/>
    <w:rsid w:val="008B0660"/>
    <w:rsid w:val="008B1296"/>
    <w:rsid w:val="008B1311"/>
    <w:rsid w:val="008B1370"/>
    <w:rsid w:val="008B152F"/>
    <w:rsid w:val="008B1D08"/>
    <w:rsid w:val="008B1E63"/>
    <w:rsid w:val="008B2356"/>
    <w:rsid w:val="008B28CF"/>
    <w:rsid w:val="008B2903"/>
    <w:rsid w:val="008B2956"/>
    <w:rsid w:val="008B3BC7"/>
    <w:rsid w:val="008B45BA"/>
    <w:rsid w:val="008B51C0"/>
    <w:rsid w:val="008B5382"/>
    <w:rsid w:val="008B5428"/>
    <w:rsid w:val="008B561D"/>
    <w:rsid w:val="008B568F"/>
    <w:rsid w:val="008B574C"/>
    <w:rsid w:val="008B5DD8"/>
    <w:rsid w:val="008B64E9"/>
    <w:rsid w:val="008B6663"/>
    <w:rsid w:val="008B6B43"/>
    <w:rsid w:val="008B6CE1"/>
    <w:rsid w:val="008B71E0"/>
    <w:rsid w:val="008B7302"/>
    <w:rsid w:val="008B7D50"/>
    <w:rsid w:val="008C0182"/>
    <w:rsid w:val="008C1567"/>
    <w:rsid w:val="008C1868"/>
    <w:rsid w:val="008C1CC6"/>
    <w:rsid w:val="008C22D2"/>
    <w:rsid w:val="008C2585"/>
    <w:rsid w:val="008C258F"/>
    <w:rsid w:val="008C26B3"/>
    <w:rsid w:val="008C2B30"/>
    <w:rsid w:val="008C2BEA"/>
    <w:rsid w:val="008C2C13"/>
    <w:rsid w:val="008C2DF8"/>
    <w:rsid w:val="008C30D6"/>
    <w:rsid w:val="008C320F"/>
    <w:rsid w:val="008C3475"/>
    <w:rsid w:val="008C35A6"/>
    <w:rsid w:val="008C3818"/>
    <w:rsid w:val="008C3E19"/>
    <w:rsid w:val="008C4196"/>
    <w:rsid w:val="008C48D4"/>
    <w:rsid w:val="008C4B36"/>
    <w:rsid w:val="008C5097"/>
    <w:rsid w:val="008C580D"/>
    <w:rsid w:val="008C6067"/>
    <w:rsid w:val="008C60AC"/>
    <w:rsid w:val="008C6988"/>
    <w:rsid w:val="008C698F"/>
    <w:rsid w:val="008C6B2B"/>
    <w:rsid w:val="008C6EAA"/>
    <w:rsid w:val="008C7112"/>
    <w:rsid w:val="008C7126"/>
    <w:rsid w:val="008C7653"/>
    <w:rsid w:val="008C7822"/>
    <w:rsid w:val="008C7AAA"/>
    <w:rsid w:val="008C7DAA"/>
    <w:rsid w:val="008C7ECE"/>
    <w:rsid w:val="008D00AB"/>
    <w:rsid w:val="008D0501"/>
    <w:rsid w:val="008D07A0"/>
    <w:rsid w:val="008D0B43"/>
    <w:rsid w:val="008D1628"/>
    <w:rsid w:val="008D1CBE"/>
    <w:rsid w:val="008D1DFE"/>
    <w:rsid w:val="008D1EDF"/>
    <w:rsid w:val="008D2065"/>
    <w:rsid w:val="008D2716"/>
    <w:rsid w:val="008D28F0"/>
    <w:rsid w:val="008D31A3"/>
    <w:rsid w:val="008D3504"/>
    <w:rsid w:val="008D3893"/>
    <w:rsid w:val="008D413B"/>
    <w:rsid w:val="008D47A3"/>
    <w:rsid w:val="008D4B6E"/>
    <w:rsid w:val="008D4EE3"/>
    <w:rsid w:val="008D548C"/>
    <w:rsid w:val="008D579A"/>
    <w:rsid w:val="008D596B"/>
    <w:rsid w:val="008D5979"/>
    <w:rsid w:val="008D669E"/>
    <w:rsid w:val="008D6CAC"/>
    <w:rsid w:val="008D73BF"/>
    <w:rsid w:val="008D7436"/>
    <w:rsid w:val="008D75C5"/>
    <w:rsid w:val="008D7C94"/>
    <w:rsid w:val="008E0925"/>
    <w:rsid w:val="008E0E12"/>
    <w:rsid w:val="008E1301"/>
    <w:rsid w:val="008E1894"/>
    <w:rsid w:val="008E1A18"/>
    <w:rsid w:val="008E1C4C"/>
    <w:rsid w:val="008E1CE0"/>
    <w:rsid w:val="008E1CFF"/>
    <w:rsid w:val="008E1D3D"/>
    <w:rsid w:val="008E1FFA"/>
    <w:rsid w:val="008E21CA"/>
    <w:rsid w:val="008E28F8"/>
    <w:rsid w:val="008E29E4"/>
    <w:rsid w:val="008E2D0A"/>
    <w:rsid w:val="008E2D4E"/>
    <w:rsid w:val="008E30EF"/>
    <w:rsid w:val="008E35B2"/>
    <w:rsid w:val="008E3971"/>
    <w:rsid w:val="008E3BE8"/>
    <w:rsid w:val="008E3CE4"/>
    <w:rsid w:val="008E4201"/>
    <w:rsid w:val="008E4D8C"/>
    <w:rsid w:val="008E4F22"/>
    <w:rsid w:val="008E527F"/>
    <w:rsid w:val="008E52FD"/>
    <w:rsid w:val="008E5B64"/>
    <w:rsid w:val="008E5E59"/>
    <w:rsid w:val="008E5F71"/>
    <w:rsid w:val="008E6525"/>
    <w:rsid w:val="008E6A9A"/>
    <w:rsid w:val="008E6D97"/>
    <w:rsid w:val="008E7E70"/>
    <w:rsid w:val="008F000C"/>
    <w:rsid w:val="008F05E2"/>
    <w:rsid w:val="008F07F5"/>
    <w:rsid w:val="008F13F1"/>
    <w:rsid w:val="008F26C8"/>
    <w:rsid w:val="008F3187"/>
    <w:rsid w:val="008F3841"/>
    <w:rsid w:val="008F3999"/>
    <w:rsid w:val="008F3B69"/>
    <w:rsid w:val="008F41F7"/>
    <w:rsid w:val="008F453A"/>
    <w:rsid w:val="008F48FC"/>
    <w:rsid w:val="008F4F60"/>
    <w:rsid w:val="008F51EF"/>
    <w:rsid w:val="008F53E4"/>
    <w:rsid w:val="008F5901"/>
    <w:rsid w:val="008F5C8A"/>
    <w:rsid w:val="008F61C0"/>
    <w:rsid w:val="008F68B2"/>
    <w:rsid w:val="008F6B68"/>
    <w:rsid w:val="009001DF"/>
    <w:rsid w:val="0090024F"/>
    <w:rsid w:val="009002D2"/>
    <w:rsid w:val="00900FCF"/>
    <w:rsid w:val="00901902"/>
    <w:rsid w:val="009019AA"/>
    <w:rsid w:val="00901D3C"/>
    <w:rsid w:val="009020B9"/>
    <w:rsid w:val="009020F5"/>
    <w:rsid w:val="00902833"/>
    <w:rsid w:val="00903121"/>
    <w:rsid w:val="00904556"/>
    <w:rsid w:val="00904564"/>
    <w:rsid w:val="00904A60"/>
    <w:rsid w:val="00904B9A"/>
    <w:rsid w:val="009050CE"/>
    <w:rsid w:val="00905A07"/>
    <w:rsid w:val="00905A7E"/>
    <w:rsid w:val="00905EBD"/>
    <w:rsid w:val="0090609A"/>
    <w:rsid w:val="00906113"/>
    <w:rsid w:val="00906749"/>
    <w:rsid w:val="00906819"/>
    <w:rsid w:val="00906C67"/>
    <w:rsid w:val="009070A6"/>
    <w:rsid w:val="009077E5"/>
    <w:rsid w:val="00907AD1"/>
    <w:rsid w:val="00910498"/>
    <w:rsid w:val="0091081B"/>
    <w:rsid w:val="00910C10"/>
    <w:rsid w:val="00911ADD"/>
    <w:rsid w:val="00911E8C"/>
    <w:rsid w:val="009126C8"/>
    <w:rsid w:val="00912B74"/>
    <w:rsid w:val="00912B86"/>
    <w:rsid w:val="00912C9E"/>
    <w:rsid w:val="00913081"/>
    <w:rsid w:val="00913DF4"/>
    <w:rsid w:val="00914B20"/>
    <w:rsid w:val="00914DC5"/>
    <w:rsid w:val="00915408"/>
    <w:rsid w:val="009154B0"/>
    <w:rsid w:val="00915BC3"/>
    <w:rsid w:val="00915E0E"/>
    <w:rsid w:val="00915F88"/>
    <w:rsid w:val="00916886"/>
    <w:rsid w:val="00916B03"/>
    <w:rsid w:val="009170CE"/>
    <w:rsid w:val="0091712F"/>
    <w:rsid w:val="00917AA5"/>
    <w:rsid w:val="00917DB1"/>
    <w:rsid w:val="00917EEB"/>
    <w:rsid w:val="00920004"/>
    <w:rsid w:val="00920AF7"/>
    <w:rsid w:val="00921094"/>
    <w:rsid w:val="00922030"/>
    <w:rsid w:val="00922F37"/>
    <w:rsid w:val="0092319A"/>
    <w:rsid w:val="00923D78"/>
    <w:rsid w:val="00923D8D"/>
    <w:rsid w:val="00923DE9"/>
    <w:rsid w:val="00923EEE"/>
    <w:rsid w:val="009240F5"/>
    <w:rsid w:val="009247AD"/>
    <w:rsid w:val="009248AD"/>
    <w:rsid w:val="00924907"/>
    <w:rsid w:val="009249CE"/>
    <w:rsid w:val="00924EA8"/>
    <w:rsid w:val="009250C0"/>
    <w:rsid w:val="0092511E"/>
    <w:rsid w:val="00925521"/>
    <w:rsid w:val="009257CF"/>
    <w:rsid w:val="00925EDA"/>
    <w:rsid w:val="00925F87"/>
    <w:rsid w:val="00926139"/>
    <w:rsid w:val="00926B7F"/>
    <w:rsid w:val="00927595"/>
    <w:rsid w:val="00927695"/>
    <w:rsid w:val="00927B80"/>
    <w:rsid w:val="00927E16"/>
    <w:rsid w:val="00927F2F"/>
    <w:rsid w:val="009303FB"/>
    <w:rsid w:val="00930419"/>
    <w:rsid w:val="009304C8"/>
    <w:rsid w:val="00930BC0"/>
    <w:rsid w:val="00930F75"/>
    <w:rsid w:val="00931F77"/>
    <w:rsid w:val="00932205"/>
    <w:rsid w:val="00932883"/>
    <w:rsid w:val="00932B09"/>
    <w:rsid w:val="00932E44"/>
    <w:rsid w:val="00932E6A"/>
    <w:rsid w:val="0093356A"/>
    <w:rsid w:val="00933616"/>
    <w:rsid w:val="00933A7C"/>
    <w:rsid w:val="00933DD8"/>
    <w:rsid w:val="009359E3"/>
    <w:rsid w:val="00936382"/>
    <w:rsid w:val="00936A09"/>
    <w:rsid w:val="00936DAE"/>
    <w:rsid w:val="00937002"/>
    <w:rsid w:val="0093743D"/>
    <w:rsid w:val="00937B84"/>
    <w:rsid w:val="00937D55"/>
    <w:rsid w:val="00937EE0"/>
    <w:rsid w:val="00937FAB"/>
    <w:rsid w:val="009405D5"/>
    <w:rsid w:val="009408FE"/>
    <w:rsid w:val="00940F01"/>
    <w:rsid w:val="009415E8"/>
    <w:rsid w:val="00941639"/>
    <w:rsid w:val="00941690"/>
    <w:rsid w:val="0094246A"/>
    <w:rsid w:val="00942B1B"/>
    <w:rsid w:val="00942C71"/>
    <w:rsid w:val="00942EAA"/>
    <w:rsid w:val="00943E55"/>
    <w:rsid w:val="009441A2"/>
    <w:rsid w:val="00944DCC"/>
    <w:rsid w:val="00944F23"/>
    <w:rsid w:val="009450FE"/>
    <w:rsid w:val="00945157"/>
    <w:rsid w:val="00945485"/>
    <w:rsid w:val="00945C32"/>
    <w:rsid w:val="00945C8F"/>
    <w:rsid w:val="00946201"/>
    <w:rsid w:val="009466D3"/>
    <w:rsid w:val="00946FAD"/>
    <w:rsid w:val="00947AA0"/>
    <w:rsid w:val="009506E2"/>
    <w:rsid w:val="00950B2E"/>
    <w:rsid w:val="00950BBD"/>
    <w:rsid w:val="0095101E"/>
    <w:rsid w:val="00951270"/>
    <w:rsid w:val="009512B8"/>
    <w:rsid w:val="009516F6"/>
    <w:rsid w:val="00951D23"/>
    <w:rsid w:val="0095215B"/>
    <w:rsid w:val="00952429"/>
    <w:rsid w:val="00952EAD"/>
    <w:rsid w:val="009530E5"/>
    <w:rsid w:val="0095328E"/>
    <w:rsid w:val="009536FC"/>
    <w:rsid w:val="0095426A"/>
    <w:rsid w:val="00954BD6"/>
    <w:rsid w:val="00954CEC"/>
    <w:rsid w:val="00954D87"/>
    <w:rsid w:val="00955CBA"/>
    <w:rsid w:val="009564C9"/>
    <w:rsid w:val="00956787"/>
    <w:rsid w:val="0095773C"/>
    <w:rsid w:val="00957C1B"/>
    <w:rsid w:val="00957E8B"/>
    <w:rsid w:val="009604C4"/>
    <w:rsid w:val="009606D0"/>
    <w:rsid w:val="009613A2"/>
    <w:rsid w:val="0096141C"/>
    <w:rsid w:val="00961DE1"/>
    <w:rsid w:val="00962E14"/>
    <w:rsid w:val="00962EC1"/>
    <w:rsid w:val="00963D9E"/>
    <w:rsid w:val="00964089"/>
    <w:rsid w:val="0096410E"/>
    <w:rsid w:val="009645AC"/>
    <w:rsid w:val="00964A1F"/>
    <w:rsid w:val="00964ABF"/>
    <w:rsid w:val="00964AD7"/>
    <w:rsid w:val="00965485"/>
    <w:rsid w:val="009655AA"/>
    <w:rsid w:val="00965B0F"/>
    <w:rsid w:val="00965BEA"/>
    <w:rsid w:val="0096602B"/>
    <w:rsid w:val="0096632F"/>
    <w:rsid w:val="00966805"/>
    <w:rsid w:val="00966CDD"/>
    <w:rsid w:val="00966E54"/>
    <w:rsid w:val="009670AF"/>
    <w:rsid w:val="00967A79"/>
    <w:rsid w:val="00967B9C"/>
    <w:rsid w:val="009700C9"/>
    <w:rsid w:val="00970BD9"/>
    <w:rsid w:val="00970EA4"/>
    <w:rsid w:val="00970FBB"/>
    <w:rsid w:val="00971B9B"/>
    <w:rsid w:val="00971DF9"/>
    <w:rsid w:val="009720E3"/>
    <w:rsid w:val="009725B5"/>
    <w:rsid w:val="00972CB8"/>
    <w:rsid w:val="009737F5"/>
    <w:rsid w:val="00973F66"/>
    <w:rsid w:val="009741D8"/>
    <w:rsid w:val="009742F3"/>
    <w:rsid w:val="0097466B"/>
    <w:rsid w:val="00975838"/>
    <w:rsid w:val="00975A3C"/>
    <w:rsid w:val="00975D05"/>
    <w:rsid w:val="00975F13"/>
    <w:rsid w:val="00975F49"/>
    <w:rsid w:val="0097696C"/>
    <w:rsid w:val="00977014"/>
    <w:rsid w:val="009775F3"/>
    <w:rsid w:val="00977993"/>
    <w:rsid w:val="00977FA5"/>
    <w:rsid w:val="00980351"/>
    <w:rsid w:val="009805A7"/>
    <w:rsid w:val="009806CA"/>
    <w:rsid w:val="00980F0D"/>
    <w:rsid w:val="0098158D"/>
    <w:rsid w:val="009819D9"/>
    <w:rsid w:val="00981CAE"/>
    <w:rsid w:val="00981D4C"/>
    <w:rsid w:val="00981FA8"/>
    <w:rsid w:val="00982088"/>
    <w:rsid w:val="00982125"/>
    <w:rsid w:val="00983235"/>
    <w:rsid w:val="00983AB5"/>
    <w:rsid w:val="00983DCF"/>
    <w:rsid w:val="009845C8"/>
    <w:rsid w:val="00984682"/>
    <w:rsid w:val="009847AA"/>
    <w:rsid w:val="00984A6C"/>
    <w:rsid w:val="00984D4C"/>
    <w:rsid w:val="00984EF7"/>
    <w:rsid w:val="009850A0"/>
    <w:rsid w:val="009857EF"/>
    <w:rsid w:val="00985AC6"/>
    <w:rsid w:val="00985D98"/>
    <w:rsid w:val="00985FC0"/>
    <w:rsid w:val="00986069"/>
    <w:rsid w:val="0098611D"/>
    <w:rsid w:val="009862FF"/>
    <w:rsid w:val="009864AE"/>
    <w:rsid w:val="00986517"/>
    <w:rsid w:val="0098758E"/>
    <w:rsid w:val="0098777E"/>
    <w:rsid w:val="009878FA"/>
    <w:rsid w:val="00987A14"/>
    <w:rsid w:val="009908F4"/>
    <w:rsid w:val="00990DDE"/>
    <w:rsid w:val="00990F85"/>
    <w:rsid w:val="00991222"/>
    <w:rsid w:val="009912AA"/>
    <w:rsid w:val="0099158E"/>
    <w:rsid w:val="00991B1A"/>
    <w:rsid w:val="00991F38"/>
    <w:rsid w:val="00992041"/>
    <w:rsid w:val="00992179"/>
    <w:rsid w:val="00992802"/>
    <w:rsid w:val="009928C6"/>
    <w:rsid w:val="0099298A"/>
    <w:rsid w:val="0099308D"/>
    <w:rsid w:val="009936EE"/>
    <w:rsid w:val="00993B80"/>
    <w:rsid w:val="0099409E"/>
    <w:rsid w:val="00994274"/>
    <w:rsid w:val="00994305"/>
    <w:rsid w:val="0099479A"/>
    <w:rsid w:val="009948F1"/>
    <w:rsid w:val="00994F80"/>
    <w:rsid w:val="00995420"/>
    <w:rsid w:val="009954E6"/>
    <w:rsid w:val="00995752"/>
    <w:rsid w:val="0099575D"/>
    <w:rsid w:val="00995A25"/>
    <w:rsid w:val="00995F1F"/>
    <w:rsid w:val="00995F8F"/>
    <w:rsid w:val="00996749"/>
    <w:rsid w:val="00996B53"/>
    <w:rsid w:val="00997417"/>
    <w:rsid w:val="009975F5"/>
    <w:rsid w:val="00997FC7"/>
    <w:rsid w:val="009A0B0B"/>
    <w:rsid w:val="009A0B64"/>
    <w:rsid w:val="009A1563"/>
    <w:rsid w:val="009A1E4F"/>
    <w:rsid w:val="009A21E2"/>
    <w:rsid w:val="009A21E3"/>
    <w:rsid w:val="009A268F"/>
    <w:rsid w:val="009A2D03"/>
    <w:rsid w:val="009A39DC"/>
    <w:rsid w:val="009A3D54"/>
    <w:rsid w:val="009A3F27"/>
    <w:rsid w:val="009A43FC"/>
    <w:rsid w:val="009A459E"/>
    <w:rsid w:val="009A4EE2"/>
    <w:rsid w:val="009A52B5"/>
    <w:rsid w:val="009A531C"/>
    <w:rsid w:val="009A5753"/>
    <w:rsid w:val="009A57EB"/>
    <w:rsid w:val="009A6437"/>
    <w:rsid w:val="009A6465"/>
    <w:rsid w:val="009A65B0"/>
    <w:rsid w:val="009A6612"/>
    <w:rsid w:val="009A67A3"/>
    <w:rsid w:val="009A68C8"/>
    <w:rsid w:val="009A699B"/>
    <w:rsid w:val="009A6CA4"/>
    <w:rsid w:val="009A7168"/>
    <w:rsid w:val="009A71BC"/>
    <w:rsid w:val="009A7BA5"/>
    <w:rsid w:val="009B103D"/>
    <w:rsid w:val="009B1162"/>
    <w:rsid w:val="009B1313"/>
    <w:rsid w:val="009B180C"/>
    <w:rsid w:val="009B2036"/>
    <w:rsid w:val="009B3624"/>
    <w:rsid w:val="009B3A0B"/>
    <w:rsid w:val="009B3EBA"/>
    <w:rsid w:val="009B3EFA"/>
    <w:rsid w:val="009B42F4"/>
    <w:rsid w:val="009B4A9B"/>
    <w:rsid w:val="009B585F"/>
    <w:rsid w:val="009B5F4B"/>
    <w:rsid w:val="009B625B"/>
    <w:rsid w:val="009B6DDA"/>
    <w:rsid w:val="009B6EBC"/>
    <w:rsid w:val="009B7A84"/>
    <w:rsid w:val="009B7A96"/>
    <w:rsid w:val="009B7C85"/>
    <w:rsid w:val="009B7E02"/>
    <w:rsid w:val="009B7E22"/>
    <w:rsid w:val="009B7FD9"/>
    <w:rsid w:val="009C04E9"/>
    <w:rsid w:val="009C08B7"/>
    <w:rsid w:val="009C09B8"/>
    <w:rsid w:val="009C0B9A"/>
    <w:rsid w:val="009C0D95"/>
    <w:rsid w:val="009C17C5"/>
    <w:rsid w:val="009C17E2"/>
    <w:rsid w:val="009C181F"/>
    <w:rsid w:val="009C1AD6"/>
    <w:rsid w:val="009C2214"/>
    <w:rsid w:val="009C239A"/>
    <w:rsid w:val="009C3130"/>
    <w:rsid w:val="009C34BB"/>
    <w:rsid w:val="009C3668"/>
    <w:rsid w:val="009C36AB"/>
    <w:rsid w:val="009C387F"/>
    <w:rsid w:val="009C404D"/>
    <w:rsid w:val="009C42D6"/>
    <w:rsid w:val="009C4A1B"/>
    <w:rsid w:val="009C4AE7"/>
    <w:rsid w:val="009C4CDB"/>
    <w:rsid w:val="009C4DC8"/>
    <w:rsid w:val="009C4ECF"/>
    <w:rsid w:val="009C53E7"/>
    <w:rsid w:val="009C610F"/>
    <w:rsid w:val="009C659F"/>
    <w:rsid w:val="009C65A2"/>
    <w:rsid w:val="009C6DB8"/>
    <w:rsid w:val="009C6EA2"/>
    <w:rsid w:val="009C77BF"/>
    <w:rsid w:val="009C7C37"/>
    <w:rsid w:val="009D0196"/>
    <w:rsid w:val="009D08B0"/>
    <w:rsid w:val="009D0DB2"/>
    <w:rsid w:val="009D0FD1"/>
    <w:rsid w:val="009D1077"/>
    <w:rsid w:val="009D11E4"/>
    <w:rsid w:val="009D1AA9"/>
    <w:rsid w:val="009D1EFF"/>
    <w:rsid w:val="009D2210"/>
    <w:rsid w:val="009D23A2"/>
    <w:rsid w:val="009D262A"/>
    <w:rsid w:val="009D2B03"/>
    <w:rsid w:val="009D2F81"/>
    <w:rsid w:val="009D4309"/>
    <w:rsid w:val="009D4C9F"/>
    <w:rsid w:val="009D4D90"/>
    <w:rsid w:val="009D4F93"/>
    <w:rsid w:val="009D5081"/>
    <w:rsid w:val="009D53F2"/>
    <w:rsid w:val="009D5747"/>
    <w:rsid w:val="009D5F65"/>
    <w:rsid w:val="009D6576"/>
    <w:rsid w:val="009D65A0"/>
    <w:rsid w:val="009D65C9"/>
    <w:rsid w:val="009D6A08"/>
    <w:rsid w:val="009D6AC0"/>
    <w:rsid w:val="009D6D69"/>
    <w:rsid w:val="009D7226"/>
    <w:rsid w:val="009D73E3"/>
    <w:rsid w:val="009D7A5B"/>
    <w:rsid w:val="009D7DCA"/>
    <w:rsid w:val="009D7E2C"/>
    <w:rsid w:val="009E00F5"/>
    <w:rsid w:val="009E05A1"/>
    <w:rsid w:val="009E0E64"/>
    <w:rsid w:val="009E1113"/>
    <w:rsid w:val="009E15BA"/>
    <w:rsid w:val="009E17D9"/>
    <w:rsid w:val="009E1A69"/>
    <w:rsid w:val="009E1B6C"/>
    <w:rsid w:val="009E25D4"/>
    <w:rsid w:val="009E3284"/>
    <w:rsid w:val="009E3321"/>
    <w:rsid w:val="009E33BA"/>
    <w:rsid w:val="009E33D7"/>
    <w:rsid w:val="009E3CEB"/>
    <w:rsid w:val="009E425A"/>
    <w:rsid w:val="009E47FF"/>
    <w:rsid w:val="009E4E20"/>
    <w:rsid w:val="009E505F"/>
    <w:rsid w:val="009E5F03"/>
    <w:rsid w:val="009E6094"/>
    <w:rsid w:val="009E610F"/>
    <w:rsid w:val="009E619B"/>
    <w:rsid w:val="009E61EB"/>
    <w:rsid w:val="009E6235"/>
    <w:rsid w:val="009E62E0"/>
    <w:rsid w:val="009E6753"/>
    <w:rsid w:val="009E688A"/>
    <w:rsid w:val="009E68CE"/>
    <w:rsid w:val="009E6923"/>
    <w:rsid w:val="009E692D"/>
    <w:rsid w:val="009E6DDC"/>
    <w:rsid w:val="009E6EA8"/>
    <w:rsid w:val="009E72CB"/>
    <w:rsid w:val="009E73F1"/>
    <w:rsid w:val="009F0C2B"/>
    <w:rsid w:val="009F12F9"/>
    <w:rsid w:val="009F22CF"/>
    <w:rsid w:val="009F3357"/>
    <w:rsid w:val="009F3547"/>
    <w:rsid w:val="009F364B"/>
    <w:rsid w:val="009F384E"/>
    <w:rsid w:val="009F3959"/>
    <w:rsid w:val="009F456B"/>
    <w:rsid w:val="009F5237"/>
    <w:rsid w:val="009F56AB"/>
    <w:rsid w:val="009F57AF"/>
    <w:rsid w:val="009F58DF"/>
    <w:rsid w:val="009F5D02"/>
    <w:rsid w:val="009F6117"/>
    <w:rsid w:val="009F6229"/>
    <w:rsid w:val="009F622D"/>
    <w:rsid w:val="009F6536"/>
    <w:rsid w:val="009F65D3"/>
    <w:rsid w:val="009F66E8"/>
    <w:rsid w:val="009F68F0"/>
    <w:rsid w:val="009F6E86"/>
    <w:rsid w:val="009F7293"/>
    <w:rsid w:val="009F7437"/>
    <w:rsid w:val="009F7512"/>
    <w:rsid w:val="009F7857"/>
    <w:rsid w:val="00A008B2"/>
    <w:rsid w:val="00A00FFC"/>
    <w:rsid w:val="00A0182E"/>
    <w:rsid w:val="00A018E6"/>
    <w:rsid w:val="00A01900"/>
    <w:rsid w:val="00A01AE7"/>
    <w:rsid w:val="00A02024"/>
    <w:rsid w:val="00A02A9B"/>
    <w:rsid w:val="00A03B4E"/>
    <w:rsid w:val="00A03C5E"/>
    <w:rsid w:val="00A03DFB"/>
    <w:rsid w:val="00A04005"/>
    <w:rsid w:val="00A04ADC"/>
    <w:rsid w:val="00A04C02"/>
    <w:rsid w:val="00A04F2A"/>
    <w:rsid w:val="00A05612"/>
    <w:rsid w:val="00A05DBE"/>
    <w:rsid w:val="00A0603E"/>
    <w:rsid w:val="00A06ABB"/>
    <w:rsid w:val="00A06AD0"/>
    <w:rsid w:val="00A06C25"/>
    <w:rsid w:val="00A07088"/>
    <w:rsid w:val="00A0751F"/>
    <w:rsid w:val="00A075DE"/>
    <w:rsid w:val="00A076CB"/>
    <w:rsid w:val="00A0776D"/>
    <w:rsid w:val="00A077BA"/>
    <w:rsid w:val="00A07AF7"/>
    <w:rsid w:val="00A07B61"/>
    <w:rsid w:val="00A10FDB"/>
    <w:rsid w:val="00A1156A"/>
    <w:rsid w:val="00A11AD2"/>
    <w:rsid w:val="00A11B68"/>
    <w:rsid w:val="00A11F58"/>
    <w:rsid w:val="00A12016"/>
    <w:rsid w:val="00A122AA"/>
    <w:rsid w:val="00A1242F"/>
    <w:rsid w:val="00A12C70"/>
    <w:rsid w:val="00A12CE4"/>
    <w:rsid w:val="00A1328C"/>
    <w:rsid w:val="00A13377"/>
    <w:rsid w:val="00A135B0"/>
    <w:rsid w:val="00A13671"/>
    <w:rsid w:val="00A13699"/>
    <w:rsid w:val="00A1400A"/>
    <w:rsid w:val="00A141FA"/>
    <w:rsid w:val="00A146D1"/>
    <w:rsid w:val="00A14E04"/>
    <w:rsid w:val="00A15012"/>
    <w:rsid w:val="00A1506E"/>
    <w:rsid w:val="00A150E9"/>
    <w:rsid w:val="00A1514F"/>
    <w:rsid w:val="00A152D9"/>
    <w:rsid w:val="00A15539"/>
    <w:rsid w:val="00A15544"/>
    <w:rsid w:val="00A1556E"/>
    <w:rsid w:val="00A162F2"/>
    <w:rsid w:val="00A16D1B"/>
    <w:rsid w:val="00A17059"/>
    <w:rsid w:val="00A17435"/>
    <w:rsid w:val="00A17883"/>
    <w:rsid w:val="00A179E2"/>
    <w:rsid w:val="00A200E6"/>
    <w:rsid w:val="00A20330"/>
    <w:rsid w:val="00A20340"/>
    <w:rsid w:val="00A205F5"/>
    <w:rsid w:val="00A20838"/>
    <w:rsid w:val="00A20857"/>
    <w:rsid w:val="00A20B59"/>
    <w:rsid w:val="00A20F23"/>
    <w:rsid w:val="00A215A1"/>
    <w:rsid w:val="00A217AB"/>
    <w:rsid w:val="00A2193E"/>
    <w:rsid w:val="00A21B72"/>
    <w:rsid w:val="00A21B97"/>
    <w:rsid w:val="00A21BAC"/>
    <w:rsid w:val="00A221B4"/>
    <w:rsid w:val="00A2235E"/>
    <w:rsid w:val="00A2275D"/>
    <w:rsid w:val="00A228E9"/>
    <w:rsid w:val="00A22EC6"/>
    <w:rsid w:val="00A23559"/>
    <w:rsid w:val="00A23C96"/>
    <w:rsid w:val="00A23E9B"/>
    <w:rsid w:val="00A24133"/>
    <w:rsid w:val="00A245F3"/>
    <w:rsid w:val="00A24784"/>
    <w:rsid w:val="00A24F53"/>
    <w:rsid w:val="00A24F6F"/>
    <w:rsid w:val="00A2514B"/>
    <w:rsid w:val="00A25189"/>
    <w:rsid w:val="00A255A1"/>
    <w:rsid w:val="00A25694"/>
    <w:rsid w:val="00A25ABE"/>
    <w:rsid w:val="00A2611F"/>
    <w:rsid w:val="00A26418"/>
    <w:rsid w:val="00A2645A"/>
    <w:rsid w:val="00A26CA1"/>
    <w:rsid w:val="00A26CE0"/>
    <w:rsid w:val="00A26E88"/>
    <w:rsid w:val="00A2716C"/>
    <w:rsid w:val="00A27384"/>
    <w:rsid w:val="00A274B1"/>
    <w:rsid w:val="00A27656"/>
    <w:rsid w:val="00A278C2"/>
    <w:rsid w:val="00A278ED"/>
    <w:rsid w:val="00A30214"/>
    <w:rsid w:val="00A30597"/>
    <w:rsid w:val="00A306A3"/>
    <w:rsid w:val="00A308F7"/>
    <w:rsid w:val="00A30A4C"/>
    <w:rsid w:val="00A30B15"/>
    <w:rsid w:val="00A30CDE"/>
    <w:rsid w:val="00A30F44"/>
    <w:rsid w:val="00A31230"/>
    <w:rsid w:val="00A313C7"/>
    <w:rsid w:val="00A316C7"/>
    <w:rsid w:val="00A3178E"/>
    <w:rsid w:val="00A318CD"/>
    <w:rsid w:val="00A31C08"/>
    <w:rsid w:val="00A323F8"/>
    <w:rsid w:val="00A324E6"/>
    <w:rsid w:val="00A32976"/>
    <w:rsid w:val="00A33C06"/>
    <w:rsid w:val="00A3497D"/>
    <w:rsid w:val="00A356D0"/>
    <w:rsid w:val="00A36550"/>
    <w:rsid w:val="00A367F4"/>
    <w:rsid w:val="00A36A27"/>
    <w:rsid w:val="00A36E14"/>
    <w:rsid w:val="00A36EFB"/>
    <w:rsid w:val="00A36F86"/>
    <w:rsid w:val="00A3789A"/>
    <w:rsid w:val="00A37EB8"/>
    <w:rsid w:val="00A406E8"/>
    <w:rsid w:val="00A40BC5"/>
    <w:rsid w:val="00A40BEE"/>
    <w:rsid w:val="00A40CE5"/>
    <w:rsid w:val="00A4108A"/>
    <w:rsid w:val="00A410F6"/>
    <w:rsid w:val="00A41628"/>
    <w:rsid w:val="00A41808"/>
    <w:rsid w:val="00A41944"/>
    <w:rsid w:val="00A41D79"/>
    <w:rsid w:val="00A423D0"/>
    <w:rsid w:val="00A42A3A"/>
    <w:rsid w:val="00A4310C"/>
    <w:rsid w:val="00A43532"/>
    <w:rsid w:val="00A43911"/>
    <w:rsid w:val="00A43C72"/>
    <w:rsid w:val="00A43D37"/>
    <w:rsid w:val="00A4486E"/>
    <w:rsid w:val="00A44AE3"/>
    <w:rsid w:val="00A44C61"/>
    <w:rsid w:val="00A44F3C"/>
    <w:rsid w:val="00A457FA"/>
    <w:rsid w:val="00A45E22"/>
    <w:rsid w:val="00A470DE"/>
    <w:rsid w:val="00A47B80"/>
    <w:rsid w:val="00A47EDC"/>
    <w:rsid w:val="00A47FD4"/>
    <w:rsid w:val="00A502FB"/>
    <w:rsid w:val="00A505E6"/>
    <w:rsid w:val="00A509A8"/>
    <w:rsid w:val="00A50DBB"/>
    <w:rsid w:val="00A5107F"/>
    <w:rsid w:val="00A51251"/>
    <w:rsid w:val="00A5134B"/>
    <w:rsid w:val="00A514C5"/>
    <w:rsid w:val="00A515E5"/>
    <w:rsid w:val="00A519AB"/>
    <w:rsid w:val="00A51CEB"/>
    <w:rsid w:val="00A521C4"/>
    <w:rsid w:val="00A5278C"/>
    <w:rsid w:val="00A536A6"/>
    <w:rsid w:val="00A53A2A"/>
    <w:rsid w:val="00A53D09"/>
    <w:rsid w:val="00A5424A"/>
    <w:rsid w:val="00A54745"/>
    <w:rsid w:val="00A547A7"/>
    <w:rsid w:val="00A553B6"/>
    <w:rsid w:val="00A55655"/>
    <w:rsid w:val="00A5585F"/>
    <w:rsid w:val="00A55F96"/>
    <w:rsid w:val="00A567B5"/>
    <w:rsid w:val="00A5689F"/>
    <w:rsid w:val="00A5690B"/>
    <w:rsid w:val="00A56CE6"/>
    <w:rsid w:val="00A56DBB"/>
    <w:rsid w:val="00A57043"/>
    <w:rsid w:val="00A571D0"/>
    <w:rsid w:val="00A57651"/>
    <w:rsid w:val="00A57A51"/>
    <w:rsid w:val="00A57D8F"/>
    <w:rsid w:val="00A60085"/>
    <w:rsid w:val="00A600D4"/>
    <w:rsid w:val="00A60334"/>
    <w:rsid w:val="00A603D4"/>
    <w:rsid w:val="00A607E6"/>
    <w:rsid w:val="00A60BF3"/>
    <w:rsid w:val="00A60CD8"/>
    <w:rsid w:val="00A60D0E"/>
    <w:rsid w:val="00A60DCE"/>
    <w:rsid w:val="00A60E81"/>
    <w:rsid w:val="00A615DC"/>
    <w:rsid w:val="00A61C57"/>
    <w:rsid w:val="00A61F6B"/>
    <w:rsid w:val="00A623B3"/>
    <w:rsid w:val="00A6240E"/>
    <w:rsid w:val="00A62509"/>
    <w:rsid w:val="00A627D3"/>
    <w:rsid w:val="00A628F0"/>
    <w:rsid w:val="00A62E44"/>
    <w:rsid w:val="00A63157"/>
    <w:rsid w:val="00A635D0"/>
    <w:rsid w:val="00A63748"/>
    <w:rsid w:val="00A63F11"/>
    <w:rsid w:val="00A63F61"/>
    <w:rsid w:val="00A646A5"/>
    <w:rsid w:val="00A646C5"/>
    <w:rsid w:val="00A6477A"/>
    <w:rsid w:val="00A64AC4"/>
    <w:rsid w:val="00A65514"/>
    <w:rsid w:val="00A6637E"/>
    <w:rsid w:val="00A66E3F"/>
    <w:rsid w:val="00A66EF9"/>
    <w:rsid w:val="00A67147"/>
    <w:rsid w:val="00A674A1"/>
    <w:rsid w:val="00A6761C"/>
    <w:rsid w:val="00A67BD4"/>
    <w:rsid w:val="00A67F45"/>
    <w:rsid w:val="00A703E7"/>
    <w:rsid w:val="00A70689"/>
    <w:rsid w:val="00A71362"/>
    <w:rsid w:val="00A717D3"/>
    <w:rsid w:val="00A71AED"/>
    <w:rsid w:val="00A721D9"/>
    <w:rsid w:val="00A722BF"/>
    <w:rsid w:val="00A7244B"/>
    <w:rsid w:val="00A727FB"/>
    <w:rsid w:val="00A7289E"/>
    <w:rsid w:val="00A72B67"/>
    <w:rsid w:val="00A72FF7"/>
    <w:rsid w:val="00A73121"/>
    <w:rsid w:val="00A734C6"/>
    <w:rsid w:val="00A73AAD"/>
    <w:rsid w:val="00A73CAB"/>
    <w:rsid w:val="00A73EBE"/>
    <w:rsid w:val="00A7403D"/>
    <w:rsid w:val="00A74528"/>
    <w:rsid w:val="00A74873"/>
    <w:rsid w:val="00A74F51"/>
    <w:rsid w:val="00A75133"/>
    <w:rsid w:val="00A752D3"/>
    <w:rsid w:val="00A75482"/>
    <w:rsid w:val="00A7565B"/>
    <w:rsid w:val="00A758CC"/>
    <w:rsid w:val="00A75AFD"/>
    <w:rsid w:val="00A76359"/>
    <w:rsid w:val="00A76806"/>
    <w:rsid w:val="00A769AA"/>
    <w:rsid w:val="00A769D2"/>
    <w:rsid w:val="00A76FAD"/>
    <w:rsid w:val="00A7737D"/>
    <w:rsid w:val="00A77789"/>
    <w:rsid w:val="00A778CE"/>
    <w:rsid w:val="00A77B09"/>
    <w:rsid w:val="00A77C7A"/>
    <w:rsid w:val="00A80298"/>
    <w:rsid w:val="00A80459"/>
    <w:rsid w:val="00A80A52"/>
    <w:rsid w:val="00A80AF5"/>
    <w:rsid w:val="00A80BE4"/>
    <w:rsid w:val="00A81507"/>
    <w:rsid w:val="00A8165A"/>
    <w:rsid w:val="00A81A0C"/>
    <w:rsid w:val="00A81A2F"/>
    <w:rsid w:val="00A81B09"/>
    <w:rsid w:val="00A81BEB"/>
    <w:rsid w:val="00A8284D"/>
    <w:rsid w:val="00A82C1B"/>
    <w:rsid w:val="00A82E27"/>
    <w:rsid w:val="00A83786"/>
    <w:rsid w:val="00A83981"/>
    <w:rsid w:val="00A83EC4"/>
    <w:rsid w:val="00A84301"/>
    <w:rsid w:val="00A84396"/>
    <w:rsid w:val="00A84988"/>
    <w:rsid w:val="00A84B75"/>
    <w:rsid w:val="00A84E30"/>
    <w:rsid w:val="00A85687"/>
    <w:rsid w:val="00A867A3"/>
    <w:rsid w:val="00A86B25"/>
    <w:rsid w:val="00A86EAA"/>
    <w:rsid w:val="00A8715A"/>
    <w:rsid w:val="00A87763"/>
    <w:rsid w:val="00A87B6B"/>
    <w:rsid w:val="00A9047E"/>
    <w:rsid w:val="00A907A8"/>
    <w:rsid w:val="00A90F5C"/>
    <w:rsid w:val="00A9154F"/>
    <w:rsid w:val="00A917CE"/>
    <w:rsid w:val="00A9188E"/>
    <w:rsid w:val="00A91927"/>
    <w:rsid w:val="00A928E9"/>
    <w:rsid w:val="00A92969"/>
    <w:rsid w:val="00A92CCA"/>
    <w:rsid w:val="00A93F0E"/>
    <w:rsid w:val="00A94149"/>
    <w:rsid w:val="00A943B4"/>
    <w:rsid w:val="00A95944"/>
    <w:rsid w:val="00A959E1"/>
    <w:rsid w:val="00A95BC4"/>
    <w:rsid w:val="00A960CE"/>
    <w:rsid w:val="00A96134"/>
    <w:rsid w:val="00A96165"/>
    <w:rsid w:val="00A9629E"/>
    <w:rsid w:val="00A969BD"/>
    <w:rsid w:val="00A96A6F"/>
    <w:rsid w:val="00A96E5F"/>
    <w:rsid w:val="00A9704E"/>
    <w:rsid w:val="00A97295"/>
    <w:rsid w:val="00A973F7"/>
    <w:rsid w:val="00A97B28"/>
    <w:rsid w:val="00A97E7A"/>
    <w:rsid w:val="00AA0264"/>
    <w:rsid w:val="00AA02ED"/>
    <w:rsid w:val="00AA06D5"/>
    <w:rsid w:val="00AA0833"/>
    <w:rsid w:val="00AA0BB9"/>
    <w:rsid w:val="00AA0CB5"/>
    <w:rsid w:val="00AA0DAD"/>
    <w:rsid w:val="00AA111F"/>
    <w:rsid w:val="00AA1445"/>
    <w:rsid w:val="00AA24D6"/>
    <w:rsid w:val="00AA2C28"/>
    <w:rsid w:val="00AA30EC"/>
    <w:rsid w:val="00AA3350"/>
    <w:rsid w:val="00AA34B2"/>
    <w:rsid w:val="00AA35FE"/>
    <w:rsid w:val="00AA3734"/>
    <w:rsid w:val="00AA3763"/>
    <w:rsid w:val="00AA3E2F"/>
    <w:rsid w:val="00AA3EAF"/>
    <w:rsid w:val="00AA3EE1"/>
    <w:rsid w:val="00AA4119"/>
    <w:rsid w:val="00AA414C"/>
    <w:rsid w:val="00AA41C6"/>
    <w:rsid w:val="00AA47C9"/>
    <w:rsid w:val="00AA5249"/>
    <w:rsid w:val="00AA5510"/>
    <w:rsid w:val="00AA558B"/>
    <w:rsid w:val="00AA5BAB"/>
    <w:rsid w:val="00AA5FD2"/>
    <w:rsid w:val="00AA60C2"/>
    <w:rsid w:val="00AA638C"/>
    <w:rsid w:val="00AA7131"/>
    <w:rsid w:val="00AA719D"/>
    <w:rsid w:val="00AA71CF"/>
    <w:rsid w:val="00AA731D"/>
    <w:rsid w:val="00AA747B"/>
    <w:rsid w:val="00AA750F"/>
    <w:rsid w:val="00AA798E"/>
    <w:rsid w:val="00AA79AD"/>
    <w:rsid w:val="00AA7C9B"/>
    <w:rsid w:val="00AA7CCB"/>
    <w:rsid w:val="00AB030A"/>
    <w:rsid w:val="00AB09A0"/>
    <w:rsid w:val="00AB0A5A"/>
    <w:rsid w:val="00AB130D"/>
    <w:rsid w:val="00AB13B9"/>
    <w:rsid w:val="00AB1401"/>
    <w:rsid w:val="00AB1D65"/>
    <w:rsid w:val="00AB264F"/>
    <w:rsid w:val="00AB2C2B"/>
    <w:rsid w:val="00AB2FA6"/>
    <w:rsid w:val="00AB3359"/>
    <w:rsid w:val="00AB3381"/>
    <w:rsid w:val="00AB35DD"/>
    <w:rsid w:val="00AB38F0"/>
    <w:rsid w:val="00AB392B"/>
    <w:rsid w:val="00AB431E"/>
    <w:rsid w:val="00AB49AA"/>
    <w:rsid w:val="00AB4EEF"/>
    <w:rsid w:val="00AB5485"/>
    <w:rsid w:val="00AB5569"/>
    <w:rsid w:val="00AB6456"/>
    <w:rsid w:val="00AB71B1"/>
    <w:rsid w:val="00AB7534"/>
    <w:rsid w:val="00AC0229"/>
    <w:rsid w:val="00AC056A"/>
    <w:rsid w:val="00AC1381"/>
    <w:rsid w:val="00AC1A74"/>
    <w:rsid w:val="00AC2483"/>
    <w:rsid w:val="00AC2574"/>
    <w:rsid w:val="00AC29EE"/>
    <w:rsid w:val="00AC2BB7"/>
    <w:rsid w:val="00AC33F6"/>
    <w:rsid w:val="00AC35C9"/>
    <w:rsid w:val="00AC36A4"/>
    <w:rsid w:val="00AC39C2"/>
    <w:rsid w:val="00AC460C"/>
    <w:rsid w:val="00AC46E1"/>
    <w:rsid w:val="00AC4B96"/>
    <w:rsid w:val="00AC4D32"/>
    <w:rsid w:val="00AC4E64"/>
    <w:rsid w:val="00AC5399"/>
    <w:rsid w:val="00AC56B6"/>
    <w:rsid w:val="00AC5700"/>
    <w:rsid w:val="00AC573D"/>
    <w:rsid w:val="00AC5B52"/>
    <w:rsid w:val="00AC6371"/>
    <w:rsid w:val="00AC638C"/>
    <w:rsid w:val="00AC6459"/>
    <w:rsid w:val="00AC673A"/>
    <w:rsid w:val="00AC680F"/>
    <w:rsid w:val="00AC68A7"/>
    <w:rsid w:val="00AC71A9"/>
    <w:rsid w:val="00AC77B9"/>
    <w:rsid w:val="00AC7A15"/>
    <w:rsid w:val="00AC7CAC"/>
    <w:rsid w:val="00AC7D29"/>
    <w:rsid w:val="00AC7E98"/>
    <w:rsid w:val="00AD00A9"/>
    <w:rsid w:val="00AD04AE"/>
    <w:rsid w:val="00AD0E35"/>
    <w:rsid w:val="00AD109E"/>
    <w:rsid w:val="00AD190A"/>
    <w:rsid w:val="00AD2000"/>
    <w:rsid w:val="00AD20B2"/>
    <w:rsid w:val="00AD20E2"/>
    <w:rsid w:val="00AD2773"/>
    <w:rsid w:val="00AD2FB7"/>
    <w:rsid w:val="00AD37E1"/>
    <w:rsid w:val="00AD3B11"/>
    <w:rsid w:val="00AD436F"/>
    <w:rsid w:val="00AD4EFB"/>
    <w:rsid w:val="00AD4FC0"/>
    <w:rsid w:val="00AD565B"/>
    <w:rsid w:val="00AD5740"/>
    <w:rsid w:val="00AD5B7B"/>
    <w:rsid w:val="00AD5EB9"/>
    <w:rsid w:val="00AD5EEC"/>
    <w:rsid w:val="00AD681A"/>
    <w:rsid w:val="00AD6ECE"/>
    <w:rsid w:val="00AD6F53"/>
    <w:rsid w:val="00AD6F8C"/>
    <w:rsid w:val="00AD73BB"/>
    <w:rsid w:val="00AD74E4"/>
    <w:rsid w:val="00AD7789"/>
    <w:rsid w:val="00AD78D4"/>
    <w:rsid w:val="00AD7BF0"/>
    <w:rsid w:val="00AD7C05"/>
    <w:rsid w:val="00AD7EB6"/>
    <w:rsid w:val="00AD7FE8"/>
    <w:rsid w:val="00AE0B82"/>
    <w:rsid w:val="00AE0BFA"/>
    <w:rsid w:val="00AE0DCF"/>
    <w:rsid w:val="00AE0F15"/>
    <w:rsid w:val="00AE14BB"/>
    <w:rsid w:val="00AE1DD7"/>
    <w:rsid w:val="00AE28D8"/>
    <w:rsid w:val="00AE2D20"/>
    <w:rsid w:val="00AE2F23"/>
    <w:rsid w:val="00AE342D"/>
    <w:rsid w:val="00AE356F"/>
    <w:rsid w:val="00AE3696"/>
    <w:rsid w:val="00AE3908"/>
    <w:rsid w:val="00AE391E"/>
    <w:rsid w:val="00AE3999"/>
    <w:rsid w:val="00AE39E1"/>
    <w:rsid w:val="00AE4002"/>
    <w:rsid w:val="00AE46E1"/>
    <w:rsid w:val="00AE53BB"/>
    <w:rsid w:val="00AE618D"/>
    <w:rsid w:val="00AE6D4B"/>
    <w:rsid w:val="00AE75F9"/>
    <w:rsid w:val="00AE7666"/>
    <w:rsid w:val="00AE7C98"/>
    <w:rsid w:val="00AE7E21"/>
    <w:rsid w:val="00AE7F5B"/>
    <w:rsid w:val="00AE7F5C"/>
    <w:rsid w:val="00AF06E4"/>
    <w:rsid w:val="00AF0868"/>
    <w:rsid w:val="00AF0AD2"/>
    <w:rsid w:val="00AF180B"/>
    <w:rsid w:val="00AF2311"/>
    <w:rsid w:val="00AF2F58"/>
    <w:rsid w:val="00AF3468"/>
    <w:rsid w:val="00AF3AEF"/>
    <w:rsid w:val="00AF3BD5"/>
    <w:rsid w:val="00AF3C81"/>
    <w:rsid w:val="00AF3CC6"/>
    <w:rsid w:val="00AF469C"/>
    <w:rsid w:val="00AF48B6"/>
    <w:rsid w:val="00AF4972"/>
    <w:rsid w:val="00AF4DA5"/>
    <w:rsid w:val="00AF5711"/>
    <w:rsid w:val="00AF5833"/>
    <w:rsid w:val="00AF59B1"/>
    <w:rsid w:val="00AF5C54"/>
    <w:rsid w:val="00AF5C5B"/>
    <w:rsid w:val="00AF5D43"/>
    <w:rsid w:val="00AF658C"/>
    <w:rsid w:val="00AF67B0"/>
    <w:rsid w:val="00AF6888"/>
    <w:rsid w:val="00AF6A67"/>
    <w:rsid w:val="00AF6CA5"/>
    <w:rsid w:val="00AF6D0C"/>
    <w:rsid w:val="00AF6E9D"/>
    <w:rsid w:val="00AF717F"/>
    <w:rsid w:val="00AF7301"/>
    <w:rsid w:val="00AF75DA"/>
    <w:rsid w:val="00B008AC"/>
    <w:rsid w:val="00B0092E"/>
    <w:rsid w:val="00B00EF2"/>
    <w:rsid w:val="00B013A5"/>
    <w:rsid w:val="00B018CA"/>
    <w:rsid w:val="00B019F2"/>
    <w:rsid w:val="00B01CE9"/>
    <w:rsid w:val="00B027ED"/>
    <w:rsid w:val="00B02A25"/>
    <w:rsid w:val="00B02EAF"/>
    <w:rsid w:val="00B032A5"/>
    <w:rsid w:val="00B039F8"/>
    <w:rsid w:val="00B047A4"/>
    <w:rsid w:val="00B05DBF"/>
    <w:rsid w:val="00B066BD"/>
    <w:rsid w:val="00B06ABF"/>
    <w:rsid w:val="00B07069"/>
    <w:rsid w:val="00B074F9"/>
    <w:rsid w:val="00B07E1C"/>
    <w:rsid w:val="00B100BE"/>
    <w:rsid w:val="00B10340"/>
    <w:rsid w:val="00B10570"/>
    <w:rsid w:val="00B10AAB"/>
    <w:rsid w:val="00B10AD2"/>
    <w:rsid w:val="00B10B33"/>
    <w:rsid w:val="00B10E33"/>
    <w:rsid w:val="00B110CD"/>
    <w:rsid w:val="00B11939"/>
    <w:rsid w:val="00B11D8B"/>
    <w:rsid w:val="00B12AC4"/>
    <w:rsid w:val="00B12C30"/>
    <w:rsid w:val="00B1324C"/>
    <w:rsid w:val="00B13F30"/>
    <w:rsid w:val="00B1512E"/>
    <w:rsid w:val="00B1558E"/>
    <w:rsid w:val="00B155C5"/>
    <w:rsid w:val="00B15CC5"/>
    <w:rsid w:val="00B15E8B"/>
    <w:rsid w:val="00B16185"/>
    <w:rsid w:val="00B1653E"/>
    <w:rsid w:val="00B16557"/>
    <w:rsid w:val="00B16838"/>
    <w:rsid w:val="00B16924"/>
    <w:rsid w:val="00B16AA9"/>
    <w:rsid w:val="00B17019"/>
    <w:rsid w:val="00B17169"/>
    <w:rsid w:val="00B20664"/>
    <w:rsid w:val="00B2077B"/>
    <w:rsid w:val="00B20DF1"/>
    <w:rsid w:val="00B211AB"/>
    <w:rsid w:val="00B2143A"/>
    <w:rsid w:val="00B2147B"/>
    <w:rsid w:val="00B214D8"/>
    <w:rsid w:val="00B2150D"/>
    <w:rsid w:val="00B216C5"/>
    <w:rsid w:val="00B21D68"/>
    <w:rsid w:val="00B21DC6"/>
    <w:rsid w:val="00B21EC7"/>
    <w:rsid w:val="00B21FC8"/>
    <w:rsid w:val="00B225D8"/>
    <w:rsid w:val="00B22DBD"/>
    <w:rsid w:val="00B23291"/>
    <w:rsid w:val="00B23292"/>
    <w:rsid w:val="00B234BD"/>
    <w:rsid w:val="00B238C6"/>
    <w:rsid w:val="00B23CD9"/>
    <w:rsid w:val="00B23FB0"/>
    <w:rsid w:val="00B24812"/>
    <w:rsid w:val="00B249D0"/>
    <w:rsid w:val="00B24AD9"/>
    <w:rsid w:val="00B25002"/>
    <w:rsid w:val="00B250AF"/>
    <w:rsid w:val="00B251F0"/>
    <w:rsid w:val="00B25F41"/>
    <w:rsid w:val="00B260F8"/>
    <w:rsid w:val="00B26CE3"/>
    <w:rsid w:val="00B26D34"/>
    <w:rsid w:val="00B273A9"/>
    <w:rsid w:val="00B27A3D"/>
    <w:rsid w:val="00B27CED"/>
    <w:rsid w:val="00B27D14"/>
    <w:rsid w:val="00B30216"/>
    <w:rsid w:val="00B3149B"/>
    <w:rsid w:val="00B31D29"/>
    <w:rsid w:val="00B31D5F"/>
    <w:rsid w:val="00B31DED"/>
    <w:rsid w:val="00B3206C"/>
    <w:rsid w:val="00B32120"/>
    <w:rsid w:val="00B3248E"/>
    <w:rsid w:val="00B32CDA"/>
    <w:rsid w:val="00B32FD3"/>
    <w:rsid w:val="00B33705"/>
    <w:rsid w:val="00B33A27"/>
    <w:rsid w:val="00B34308"/>
    <w:rsid w:val="00B34368"/>
    <w:rsid w:val="00B3450E"/>
    <w:rsid w:val="00B3463A"/>
    <w:rsid w:val="00B34D8B"/>
    <w:rsid w:val="00B35218"/>
    <w:rsid w:val="00B35835"/>
    <w:rsid w:val="00B36426"/>
    <w:rsid w:val="00B3652C"/>
    <w:rsid w:val="00B3673D"/>
    <w:rsid w:val="00B36BDB"/>
    <w:rsid w:val="00B3757A"/>
    <w:rsid w:val="00B37652"/>
    <w:rsid w:val="00B37EDE"/>
    <w:rsid w:val="00B40037"/>
    <w:rsid w:val="00B4026F"/>
    <w:rsid w:val="00B409E8"/>
    <w:rsid w:val="00B40B0D"/>
    <w:rsid w:val="00B41019"/>
    <w:rsid w:val="00B41EBD"/>
    <w:rsid w:val="00B41F7E"/>
    <w:rsid w:val="00B42359"/>
    <w:rsid w:val="00B4236A"/>
    <w:rsid w:val="00B4255B"/>
    <w:rsid w:val="00B426B6"/>
    <w:rsid w:val="00B42C5A"/>
    <w:rsid w:val="00B435B7"/>
    <w:rsid w:val="00B43678"/>
    <w:rsid w:val="00B436AE"/>
    <w:rsid w:val="00B44595"/>
    <w:rsid w:val="00B448A0"/>
    <w:rsid w:val="00B448EC"/>
    <w:rsid w:val="00B44D64"/>
    <w:rsid w:val="00B45C6D"/>
    <w:rsid w:val="00B462C6"/>
    <w:rsid w:val="00B46811"/>
    <w:rsid w:val="00B46859"/>
    <w:rsid w:val="00B46D59"/>
    <w:rsid w:val="00B46FB3"/>
    <w:rsid w:val="00B46FD9"/>
    <w:rsid w:val="00B47387"/>
    <w:rsid w:val="00B47B6A"/>
    <w:rsid w:val="00B47E7F"/>
    <w:rsid w:val="00B47E94"/>
    <w:rsid w:val="00B50139"/>
    <w:rsid w:val="00B50182"/>
    <w:rsid w:val="00B504B9"/>
    <w:rsid w:val="00B5078E"/>
    <w:rsid w:val="00B50EBB"/>
    <w:rsid w:val="00B512CA"/>
    <w:rsid w:val="00B51303"/>
    <w:rsid w:val="00B51403"/>
    <w:rsid w:val="00B515B9"/>
    <w:rsid w:val="00B5187B"/>
    <w:rsid w:val="00B52337"/>
    <w:rsid w:val="00B524FD"/>
    <w:rsid w:val="00B530A8"/>
    <w:rsid w:val="00B53813"/>
    <w:rsid w:val="00B53E79"/>
    <w:rsid w:val="00B53F95"/>
    <w:rsid w:val="00B53FA4"/>
    <w:rsid w:val="00B54AFB"/>
    <w:rsid w:val="00B54C97"/>
    <w:rsid w:val="00B54E35"/>
    <w:rsid w:val="00B55245"/>
    <w:rsid w:val="00B55445"/>
    <w:rsid w:val="00B554BA"/>
    <w:rsid w:val="00B55A00"/>
    <w:rsid w:val="00B56584"/>
    <w:rsid w:val="00B567FE"/>
    <w:rsid w:val="00B56D7F"/>
    <w:rsid w:val="00B57BA8"/>
    <w:rsid w:val="00B57C45"/>
    <w:rsid w:val="00B57D10"/>
    <w:rsid w:val="00B57F11"/>
    <w:rsid w:val="00B60628"/>
    <w:rsid w:val="00B6066E"/>
    <w:rsid w:val="00B60A7A"/>
    <w:rsid w:val="00B614FF"/>
    <w:rsid w:val="00B621ED"/>
    <w:rsid w:val="00B6237B"/>
    <w:rsid w:val="00B626F3"/>
    <w:rsid w:val="00B628A0"/>
    <w:rsid w:val="00B62BC2"/>
    <w:rsid w:val="00B62C50"/>
    <w:rsid w:val="00B62DF9"/>
    <w:rsid w:val="00B632E9"/>
    <w:rsid w:val="00B63AB2"/>
    <w:rsid w:val="00B63BA0"/>
    <w:rsid w:val="00B63E65"/>
    <w:rsid w:val="00B63FB4"/>
    <w:rsid w:val="00B646F0"/>
    <w:rsid w:val="00B651B4"/>
    <w:rsid w:val="00B65828"/>
    <w:rsid w:val="00B6585E"/>
    <w:rsid w:val="00B65D64"/>
    <w:rsid w:val="00B6649C"/>
    <w:rsid w:val="00B66550"/>
    <w:rsid w:val="00B669FC"/>
    <w:rsid w:val="00B673C0"/>
    <w:rsid w:val="00B67544"/>
    <w:rsid w:val="00B679D2"/>
    <w:rsid w:val="00B700F2"/>
    <w:rsid w:val="00B70164"/>
    <w:rsid w:val="00B704A5"/>
    <w:rsid w:val="00B70F55"/>
    <w:rsid w:val="00B70FB3"/>
    <w:rsid w:val="00B712B9"/>
    <w:rsid w:val="00B7190F"/>
    <w:rsid w:val="00B71ABE"/>
    <w:rsid w:val="00B71BBC"/>
    <w:rsid w:val="00B72F5E"/>
    <w:rsid w:val="00B73352"/>
    <w:rsid w:val="00B735C8"/>
    <w:rsid w:val="00B73A3D"/>
    <w:rsid w:val="00B73A55"/>
    <w:rsid w:val="00B74169"/>
    <w:rsid w:val="00B7431C"/>
    <w:rsid w:val="00B744C5"/>
    <w:rsid w:val="00B749AB"/>
    <w:rsid w:val="00B74F01"/>
    <w:rsid w:val="00B74FC4"/>
    <w:rsid w:val="00B75161"/>
    <w:rsid w:val="00B75404"/>
    <w:rsid w:val="00B7563F"/>
    <w:rsid w:val="00B756E4"/>
    <w:rsid w:val="00B757AA"/>
    <w:rsid w:val="00B763F0"/>
    <w:rsid w:val="00B76712"/>
    <w:rsid w:val="00B7686B"/>
    <w:rsid w:val="00B76A33"/>
    <w:rsid w:val="00B76F4E"/>
    <w:rsid w:val="00B77315"/>
    <w:rsid w:val="00B775C7"/>
    <w:rsid w:val="00B77A36"/>
    <w:rsid w:val="00B807AF"/>
    <w:rsid w:val="00B81060"/>
    <w:rsid w:val="00B810B8"/>
    <w:rsid w:val="00B81E47"/>
    <w:rsid w:val="00B8222B"/>
    <w:rsid w:val="00B82264"/>
    <w:rsid w:val="00B8233F"/>
    <w:rsid w:val="00B829D9"/>
    <w:rsid w:val="00B82C93"/>
    <w:rsid w:val="00B82D53"/>
    <w:rsid w:val="00B82E48"/>
    <w:rsid w:val="00B83F4B"/>
    <w:rsid w:val="00B84641"/>
    <w:rsid w:val="00B84E07"/>
    <w:rsid w:val="00B8534A"/>
    <w:rsid w:val="00B8574E"/>
    <w:rsid w:val="00B85FE2"/>
    <w:rsid w:val="00B86573"/>
    <w:rsid w:val="00B86732"/>
    <w:rsid w:val="00B86C85"/>
    <w:rsid w:val="00B875A4"/>
    <w:rsid w:val="00B877F4"/>
    <w:rsid w:val="00B8797F"/>
    <w:rsid w:val="00B90AD1"/>
    <w:rsid w:val="00B90BA1"/>
    <w:rsid w:val="00B90E19"/>
    <w:rsid w:val="00B91025"/>
    <w:rsid w:val="00B915C1"/>
    <w:rsid w:val="00B9207A"/>
    <w:rsid w:val="00B92123"/>
    <w:rsid w:val="00B929EC"/>
    <w:rsid w:val="00B92C57"/>
    <w:rsid w:val="00B92C64"/>
    <w:rsid w:val="00B939BA"/>
    <w:rsid w:val="00B93D00"/>
    <w:rsid w:val="00B9405C"/>
    <w:rsid w:val="00B940DF"/>
    <w:rsid w:val="00B940E7"/>
    <w:rsid w:val="00B9454B"/>
    <w:rsid w:val="00B9523A"/>
    <w:rsid w:val="00B961BC"/>
    <w:rsid w:val="00B9633D"/>
    <w:rsid w:val="00B96409"/>
    <w:rsid w:val="00B96EAE"/>
    <w:rsid w:val="00B97465"/>
    <w:rsid w:val="00B9787D"/>
    <w:rsid w:val="00BA004D"/>
    <w:rsid w:val="00BA058B"/>
    <w:rsid w:val="00BA0C4C"/>
    <w:rsid w:val="00BA138D"/>
    <w:rsid w:val="00BA18B0"/>
    <w:rsid w:val="00BA1976"/>
    <w:rsid w:val="00BA1BDA"/>
    <w:rsid w:val="00BA1C9F"/>
    <w:rsid w:val="00BA22CB"/>
    <w:rsid w:val="00BA2532"/>
    <w:rsid w:val="00BA2C11"/>
    <w:rsid w:val="00BA3168"/>
    <w:rsid w:val="00BA3404"/>
    <w:rsid w:val="00BA39F7"/>
    <w:rsid w:val="00BA4029"/>
    <w:rsid w:val="00BA4099"/>
    <w:rsid w:val="00BA43F7"/>
    <w:rsid w:val="00BA459C"/>
    <w:rsid w:val="00BA4E72"/>
    <w:rsid w:val="00BA5629"/>
    <w:rsid w:val="00BA571B"/>
    <w:rsid w:val="00BA57B2"/>
    <w:rsid w:val="00BA5A5C"/>
    <w:rsid w:val="00BA5D78"/>
    <w:rsid w:val="00BA67F1"/>
    <w:rsid w:val="00BA68E1"/>
    <w:rsid w:val="00BA6E60"/>
    <w:rsid w:val="00BA7842"/>
    <w:rsid w:val="00BA7CBF"/>
    <w:rsid w:val="00BA7F96"/>
    <w:rsid w:val="00BB061C"/>
    <w:rsid w:val="00BB17CC"/>
    <w:rsid w:val="00BB1900"/>
    <w:rsid w:val="00BB1A63"/>
    <w:rsid w:val="00BB1E50"/>
    <w:rsid w:val="00BB22F7"/>
    <w:rsid w:val="00BB36D8"/>
    <w:rsid w:val="00BB3D8E"/>
    <w:rsid w:val="00BB4141"/>
    <w:rsid w:val="00BB4A08"/>
    <w:rsid w:val="00BB5C41"/>
    <w:rsid w:val="00BB6088"/>
    <w:rsid w:val="00BB61CE"/>
    <w:rsid w:val="00BB6868"/>
    <w:rsid w:val="00BB68BF"/>
    <w:rsid w:val="00BB6948"/>
    <w:rsid w:val="00BB69C2"/>
    <w:rsid w:val="00BB69EA"/>
    <w:rsid w:val="00BB6AE9"/>
    <w:rsid w:val="00BB6C8A"/>
    <w:rsid w:val="00BB7727"/>
    <w:rsid w:val="00BB7AEC"/>
    <w:rsid w:val="00BC0438"/>
    <w:rsid w:val="00BC0463"/>
    <w:rsid w:val="00BC06EE"/>
    <w:rsid w:val="00BC0703"/>
    <w:rsid w:val="00BC0AAF"/>
    <w:rsid w:val="00BC0FCA"/>
    <w:rsid w:val="00BC11C2"/>
    <w:rsid w:val="00BC14BE"/>
    <w:rsid w:val="00BC1B8F"/>
    <w:rsid w:val="00BC1B9F"/>
    <w:rsid w:val="00BC1C30"/>
    <w:rsid w:val="00BC1DBF"/>
    <w:rsid w:val="00BC1EE9"/>
    <w:rsid w:val="00BC1FC8"/>
    <w:rsid w:val="00BC2283"/>
    <w:rsid w:val="00BC2F1E"/>
    <w:rsid w:val="00BC301E"/>
    <w:rsid w:val="00BC322F"/>
    <w:rsid w:val="00BC35AC"/>
    <w:rsid w:val="00BC3791"/>
    <w:rsid w:val="00BC3BBE"/>
    <w:rsid w:val="00BC3C83"/>
    <w:rsid w:val="00BC3DB8"/>
    <w:rsid w:val="00BC3F17"/>
    <w:rsid w:val="00BC3F78"/>
    <w:rsid w:val="00BC3FFD"/>
    <w:rsid w:val="00BC48AB"/>
    <w:rsid w:val="00BC48C6"/>
    <w:rsid w:val="00BC4DD4"/>
    <w:rsid w:val="00BC4E91"/>
    <w:rsid w:val="00BC51BC"/>
    <w:rsid w:val="00BC5219"/>
    <w:rsid w:val="00BC613A"/>
    <w:rsid w:val="00BC6378"/>
    <w:rsid w:val="00BC64BF"/>
    <w:rsid w:val="00BC6A08"/>
    <w:rsid w:val="00BC6AEB"/>
    <w:rsid w:val="00BC768B"/>
    <w:rsid w:val="00BC772A"/>
    <w:rsid w:val="00BC7829"/>
    <w:rsid w:val="00BC788D"/>
    <w:rsid w:val="00BC7BAB"/>
    <w:rsid w:val="00BD03BA"/>
    <w:rsid w:val="00BD088E"/>
    <w:rsid w:val="00BD0B76"/>
    <w:rsid w:val="00BD0FE9"/>
    <w:rsid w:val="00BD18A7"/>
    <w:rsid w:val="00BD1907"/>
    <w:rsid w:val="00BD209D"/>
    <w:rsid w:val="00BD2180"/>
    <w:rsid w:val="00BD2400"/>
    <w:rsid w:val="00BD2493"/>
    <w:rsid w:val="00BD2972"/>
    <w:rsid w:val="00BD2980"/>
    <w:rsid w:val="00BD2C18"/>
    <w:rsid w:val="00BD2E0F"/>
    <w:rsid w:val="00BD383D"/>
    <w:rsid w:val="00BD4556"/>
    <w:rsid w:val="00BD4710"/>
    <w:rsid w:val="00BD490C"/>
    <w:rsid w:val="00BD5627"/>
    <w:rsid w:val="00BD579A"/>
    <w:rsid w:val="00BD58D1"/>
    <w:rsid w:val="00BD6143"/>
    <w:rsid w:val="00BD61C4"/>
    <w:rsid w:val="00BD677D"/>
    <w:rsid w:val="00BD7657"/>
    <w:rsid w:val="00BD766F"/>
    <w:rsid w:val="00BD7731"/>
    <w:rsid w:val="00BD7774"/>
    <w:rsid w:val="00BD7CA0"/>
    <w:rsid w:val="00BD7E9E"/>
    <w:rsid w:val="00BE0272"/>
    <w:rsid w:val="00BE0A0D"/>
    <w:rsid w:val="00BE0B81"/>
    <w:rsid w:val="00BE0D14"/>
    <w:rsid w:val="00BE1215"/>
    <w:rsid w:val="00BE1855"/>
    <w:rsid w:val="00BE1AE5"/>
    <w:rsid w:val="00BE1EA8"/>
    <w:rsid w:val="00BE29EB"/>
    <w:rsid w:val="00BE3EA4"/>
    <w:rsid w:val="00BE41BD"/>
    <w:rsid w:val="00BE46BD"/>
    <w:rsid w:val="00BE4A44"/>
    <w:rsid w:val="00BE4E1D"/>
    <w:rsid w:val="00BE5542"/>
    <w:rsid w:val="00BE5C3F"/>
    <w:rsid w:val="00BE5FB1"/>
    <w:rsid w:val="00BE6206"/>
    <w:rsid w:val="00BE63A0"/>
    <w:rsid w:val="00BE6579"/>
    <w:rsid w:val="00BE6C2A"/>
    <w:rsid w:val="00BE6F7E"/>
    <w:rsid w:val="00BE7008"/>
    <w:rsid w:val="00BE7364"/>
    <w:rsid w:val="00BE7503"/>
    <w:rsid w:val="00BE7ED9"/>
    <w:rsid w:val="00BF08EE"/>
    <w:rsid w:val="00BF0BD8"/>
    <w:rsid w:val="00BF158D"/>
    <w:rsid w:val="00BF1771"/>
    <w:rsid w:val="00BF1986"/>
    <w:rsid w:val="00BF1BBE"/>
    <w:rsid w:val="00BF1CB1"/>
    <w:rsid w:val="00BF1D2B"/>
    <w:rsid w:val="00BF1DE9"/>
    <w:rsid w:val="00BF2002"/>
    <w:rsid w:val="00BF2354"/>
    <w:rsid w:val="00BF2556"/>
    <w:rsid w:val="00BF2F0E"/>
    <w:rsid w:val="00BF2F5F"/>
    <w:rsid w:val="00BF3E3B"/>
    <w:rsid w:val="00BF4078"/>
    <w:rsid w:val="00BF479A"/>
    <w:rsid w:val="00BF4CA2"/>
    <w:rsid w:val="00BF4F01"/>
    <w:rsid w:val="00BF4F81"/>
    <w:rsid w:val="00BF5368"/>
    <w:rsid w:val="00BF55FF"/>
    <w:rsid w:val="00BF56CC"/>
    <w:rsid w:val="00BF5739"/>
    <w:rsid w:val="00BF594E"/>
    <w:rsid w:val="00BF59CD"/>
    <w:rsid w:val="00BF63DC"/>
    <w:rsid w:val="00BF68E0"/>
    <w:rsid w:val="00BF6BB4"/>
    <w:rsid w:val="00BF6E99"/>
    <w:rsid w:val="00BF701B"/>
    <w:rsid w:val="00BF7792"/>
    <w:rsid w:val="00BF7A9B"/>
    <w:rsid w:val="00BF7BDB"/>
    <w:rsid w:val="00C009AF"/>
    <w:rsid w:val="00C00A57"/>
    <w:rsid w:val="00C0144E"/>
    <w:rsid w:val="00C01F5F"/>
    <w:rsid w:val="00C02065"/>
    <w:rsid w:val="00C02416"/>
    <w:rsid w:val="00C02585"/>
    <w:rsid w:val="00C028A0"/>
    <w:rsid w:val="00C0317B"/>
    <w:rsid w:val="00C031D2"/>
    <w:rsid w:val="00C0320C"/>
    <w:rsid w:val="00C03372"/>
    <w:rsid w:val="00C034E3"/>
    <w:rsid w:val="00C03D84"/>
    <w:rsid w:val="00C04B8A"/>
    <w:rsid w:val="00C05304"/>
    <w:rsid w:val="00C05430"/>
    <w:rsid w:val="00C05483"/>
    <w:rsid w:val="00C055E0"/>
    <w:rsid w:val="00C0563C"/>
    <w:rsid w:val="00C0581A"/>
    <w:rsid w:val="00C05FE2"/>
    <w:rsid w:val="00C062D4"/>
    <w:rsid w:val="00C06425"/>
    <w:rsid w:val="00C066EF"/>
    <w:rsid w:val="00C06A42"/>
    <w:rsid w:val="00C06C17"/>
    <w:rsid w:val="00C06CA1"/>
    <w:rsid w:val="00C0701B"/>
    <w:rsid w:val="00C073F4"/>
    <w:rsid w:val="00C078D5"/>
    <w:rsid w:val="00C07B22"/>
    <w:rsid w:val="00C10567"/>
    <w:rsid w:val="00C1079E"/>
    <w:rsid w:val="00C108C2"/>
    <w:rsid w:val="00C11084"/>
    <w:rsid w:val="00C11BC4"/>
    <w:rsid w:val="00C11DC3"/>
    <w:rsid w:val="00C11ECD"/>
    <w:rsid w:val="00C121ED"/>
    <w:rsid w:val="00C122F7"/>
    <w:rsid w:val="00C12357"/>
    <w:rsid w:val="00C125FA"/>
    <w:rsid w:val="00C12901"/>
    <w:rsid w:val="00C12B69"/>
    <w:rsid w:val="00C12C26"/>
    <w:rsid w:val="00C133CF"/>
    <w:rsid w:val="00C1344F"/>
    <w:rsid w:val="00C13CC9"/>
    <w:rsid w:val="00C13E94"/>
    <w:rsid w:val="00C14120"/>
    <w:rsid w:val="00C14142"/>
    <w:rsid w:val="00C14306"/>
    <w:rsid w:val="00C148E6"/>
    <w:rsid w:val="00C14917"/>
    <w:rsid w:val="00C14DA6"/>
    <w:rsid w:val="00C15CF5"/>
    <w:rsid w:val="00C16311"/>
    <w:rsid w:val="00C163CB"/>
    <w:rsid w:val="00C1644D"/>
    <w:rsid w:val="00C167AF"/>
    <w:rsid w:val="00C16E9B"/>
    <w:rsid w:val="00C17131"/>
    <w:rsid w:val="00C17DFF"/>
    <w:rsid w:val="00C17F53"/>
    <w:rsid w:val="00C17FDB"/>
    <w:rsid w:val="00C20E78"/>
    <w:rsid w:val="00C20EDE"/>
    <w:rsid w:val="00C214A0"/>
    <w:rsid w:val="00C214F9"/>
    <w:rsid w:val="00C21DCE"/>
    <w:rsid w:val="00C21E26"/>
    <w:rsid w:val="00C21F99"/>
    <w:rsid w:val="00C2227E"/>
    <w:rsid w:val="00C226FA"/>
    <w:rsid w:val="00C22817"/>
    <w:rsid w:val="00C22DF9"/>
    <w:rsid w:val="00C237B9"/>
    <w:rsid w:val="00C24338"/>
    <w:rsid w:val="00C2546A"/>
    <w:rsid w:val="00C25A29"/>
    <w:rsid w:val="00C263FD"/>
    <w:rsid w:val="00C26B8B"/>
    <w:rsid w:val="00C26CC1"/>
    <w:rsid w:val="00C26D1C"/>
    <w:rsid w:val="00C26F5E"/>
    <w:rsid w:val="00C2703C"/>
    <w:rsid w:val="00C27118"/>
    <w:rsid w:val="00C2713C"/>
    <w:rsid w:val="00C2735D"/>
    <w:rsid w:val="00C27460"/>
    <w:rsid w:val="00C27A9F"/>
    <w:rsid w:val="00C27C99"/>
    <w:rsid w:val="00C27D5B"/>
    <w:rsid w:val="00C27E47"/>
    <w:rsid w:val="00C302D1"/>
    <w:rsid w:val="00C305BF"/>
    <w:rsid w:val="00C30BAB"/>
    <w:rsid w:val="00C3106A"/>
    <w:rsid w:val="00C31077"/>
    <w:rsid w:val="00C311C6"/>
    <w:rsid w:val="00C31224"/>
    <w:rsid w:val="00C3165F"/>
    <w:rsid w:val="00C31947"/>
    <w:rsid w:val="00C31AED"/>
    <w:rsid w:val="00C31C37"/>
    <w:rsid w:val="00C31C40"/>
    <w:rsid w:val="00C31F96"/>
    <w:rsid w:val="00C32332"/>
    <w:rsid w:val="00C32C69"/>
    <w:rsid w:val="00C32D48"/>
    <w:rsid w:val="00C32E74"/>
    <w:rsid w:val="00C33175"/>
    <w:rsid w:val="00C332D7"/>
    <w:rsid w:val="00C33405"/>
    <w:rsid w:val="00C33557"/>
    <w:rsid w:val="00C336E1"/>
    <w:rsid w:val="00C337DF"/>
    <w:rsid w:val="00C3384D"/>
    <w:rsid w:val="00C33D23"/>
    <w:rsid w:val="00C3462F"/>
    <w:rsid w:val="00C34C86"/>
    <w:rsid w:val="00C35BC6"/>
    <w:rsid w:val="00C35D41"/>
    <w:rsid w:val="00C36471"/>
    <w:rsid w:val="00C36C95"/>
    <w:rsid w:val="00C36FED"/>
    <w:rsid w:val="00C3714B"/>
    <w:rsid w:val="00C37220"/>
    <w:rsid w:val="00C37AB4"/>
    <w:rsid w:val="00C40CF8"/>
    <w:rsid w:val="00C41204"/>
    <w:rsid w:val="00C41370"/>
    <w:rsid w:val="00C41693"/>
    <w:rsid w:val="00C419B0"/>
    <w:rsid w:val="00C41BDE"/>
    <w:rsid w:val="00C41E8C"/>
    <w:rsid w:val="00C41F5E"/>
    <w:rsid w:val="00C42256"/>
    <w:rsid w:val="00C42360"/>
    <w:rsid w:val="00C423C7"/>
    <w:rsid w:val="00C4279E"/>
    <w:rsid w:val="00C42A14"/>
    <w:rsid w:val="00C42E37"/>
    <w:rsid w:val="00C43422"/>
    <w:rsid w:val="00C434FD"/>
    <w:rsid w:val="00C4376C"/>
    <w:rsid w:val="00C43778"/>
    <w:rsid w:val="00C43F30"/>
    <w:rsid w:val="00C43F9B"/>
    <w:rsid w:val="00C440C3"/>
    <w:rsid w:val="00C44247"/>
    <w:rsid w:val="00C44555"/>
    <w:rsid w:val="00C451C8"/>
    <w:rsid w:val="00C45237"/>
    <w:rsid w:val="00C453DB"/>
    <w:rsid w:val="00C46C46"/>
    <w:rsid w:val="00C473F0"/>
    <w:rsid w:val="00C474DC"/>
    <w:rsid w:val="00C47672"/>
    <w:rsid w:val="00C47A91"/>
    <w:rsid w:val="00C50621"/>
    <w:rsid w:val="00C50884"/>
    <w:rsid w:val="00C5096E"/>
    <w:rsid w:val="00C50C2A"/>
    <w:rsid w:val="00C50D17"/>
    <w:rsid w:val="00C50D22"/>
    <w:rsid w:val="00C50D63"/>
    <w:rsid w:val="00C51262"/>
    <w:rsid w:val="00C51643"/>
    <w:rsid w:val="00C51951"/>
    <w:rsid w:val="00C52019"/>
    <w:rsid w:val="00C5205D"/>
    <w:rsid w:val="00C52486"/>
    <w:rsid w:val="00C52725"/>
    <w:rsid w:val="00C537E2"/>
    <w:rsid w:val="00C542ED"/>
    <w:rsid w:val="00C548B0"/>
    <w:rsid w:val="00C54CAB"/>
    <w:rsid w:val="00C550D6"/>
    <w:rsid w:val="00C5516C"/>
    <w:rsid w:val="00C55368"/>
    <w:rsid w:val="00C5545F"/>
    <w:rsid w:val="00C55998"/>
    <w:rsid w:val="00C55FAD"/>
    <w:rsid w:val="00C565E6"/>
    <w:rsid w:val="00C567A2"/>
    <w:rsid w:val="00C567B7"/>
    <w:rsid w:val="00C56B58"/>
    <w:rsid w:val="00C56C71"/>
    <w:rsid w:val="00C56F42"/>
    <w:rsid w:val="00C571D3"/>
    <w:rsid w:val="00C57524"/>
    <w:rsid w:val="00C576DA"/>
    <w:rsid w:val="00C5786F"/>
    <w:rsid w:val="00C57A96"/>
    <w:rsid w:val="00C57D0B"/>
    <w:rsid w:val="00C57DAC"/>
    <w:rsid w:val="00C57F91"/>
    <w:rsid w:val="00C6043A"/>
    <w:rsid w:val="00C60446"/>
    <w:rsid w:val="00C60A0B"/>
    <w:rsid w:val="00C60E00"/>
    <w:rsid w:val="00C617BE"/>
    <w:rsid w:val="00C62BC6"/>
    <w:rsid w:val="00C62F59"/>
    <w:rsid w:val="00C6345D"/>
    <w:rsid w:val="00C6345F"/>
    <w:rsid w:val="00C63B43"/>
    <w:rsid w:val="00C644F1"/>
    <w:rsid w:val="00C652EE"/>
    <w:rsid w:val="00C65466"/>
    <w:rsid w:val="00C65A3A"/>
    <w:rsid w:val="00C65CF2"/>
    <w:rsid w:val="00C65E89"/>
    <w:rsid w:val="00C65ED9"/>
    <w:rsid w:val="00C664E7"/>
    <w:rsid w:val="00C668BD"/>
    <w:rsid w:val="00C66B33"/>
    <w:rsid w:val="00C66BA4"/>
    <w:rsid w:val="00C67260"/>
    <w:rsid w:val="00C70004"/>
    <w:rsid w:val="00C70967"/>
    <w:rsid w:val="00C70DEA"/>
    <w:rsid w:val="00C71C7C"/>
    <w:rsid w:val="00C72020"/>
    <w:rsid w:val="00C72062"/>
    <w:rsid w:val="00C723F1"/>
    <w:rsid w:val="00C7241D"/>
    <w:rsid w:val="00C726B6"/>
    <w:rsid w:val="00C72820"/>
    <w:rsid w:val="00C72CA8"/>
    <w:rsid w:val="00C73062"/>
    <w:rsid w:val="00C73D1F"/>
    <w:rsid w:val="00C749B3"/>
    <w:rsid w:val="00C75E03"/>
    <w:rsid w:val="00C75EDF"/>
    <w:rsid w:val="00C76004"/>
    <w:rsid w:val="00C76356"/>
    <w:rsid w:val="00C76365"/>
    <w:rsid w:val="00C76734"/>
    <w:rsid w:val="00C76BC0"/>
    <w:rsid w:val="00C77503"/>
    <w:rsid w:val="00C7790A"/>
    <w:rsid w:val="00C77BA6"/>
    <w:rsid w:val="00C77BE5"/>
    <w:rsid w:val="00C77E4C"/>
    <w:rsid w:val="00C80072"/>
    <w:rsid w:val="00C801C3"/>
    <w:rsid w:val="00C802B3"/>
    <w:rsid w:val="00C81106"/>
    <w:rsid w:val="00C81180"/>
    <w:rsid w:val="00C816F1"/>
    <w:rsid w:val="00C8186C"/>
    <w:rsid w:val="00C81AC1"/>
    <w:rsid w:val="00C81F0A"/>
    <w:rsid w:val="00C826EE"/>
    <w:rsid w:val="00C82ABE"/>
    <w:rsid w:val="00C82DCA"/>
    <w:rsid w:val="00C82E03"/>
    <w:rsid w:val="00C82F60"/>
    <w:rsid w:val="00C831DF"/>
    <w:rsid w:val="00C83861"/>
    <w:rsid w:val="00C83A0F"/>
    <w:rsid w:val="00C83D3B"/>
    <w:rsid w:val="00C8423D"/>
    <w:rsid w:val="00C8447F"/>
    <w:rsid w:val="00C8496E"/>
    <w:rsid w:val="00C84AC5"/>
    <w:rsid w:val="00C85490"/>
    <w:rsid w:val="00C859BA"/>
    <w:rsid w:val="00C85A00"/>
    <w:rsid w:val="00C85C22"/>
    <w:rsid w:val="00C85E09"/>
    <w:rsid w:val="00C86003"/>
    <w:rsid w:val="00C860FF"/>
    <w:rsid w:val="00C86BC2"/>
    <w:rsid w:val="00C86ED7"/>
    <w:rsid w:val="00C86F36"/>
    <w:rsid w:val="00C8747B"/>
    <w:rsid w:val="00C90103"/>
    <w:rsid w:val="00C9022C"/>
    <w:rsid w:val="00C90322"/>
    <w:rsid w:val="00C906F0"/>
    <w:rsid w:val="00C91552"/>
    <w:rsid w:val="00C9235E"/>
    <w:rsid w:val="00C923B8"/>
    <w:rsid w:val="00C92578"/>
    <w:rsid w:val="00C92CC6"/>
    <w:rsid w:val="00C94152"/>
    <w:rsid w:val="00C9451D"/>
    <w:rsid w:val="00C948D6"/>
    <w:rsid w:val="00C949D7"/>
    <w:rsid w:val="00C94BFF"/>
    <w:rsid w:val="00C94DB0"/>
    <w:rsid w:val="00C94EFE"/>
    <w:rsid w:val="00C94F1A"/>
    <w:rsid w:val="00C9568B"/>
    <w:rsid w:val="00C95CC2"/>
    <w:rsid w:val="00C95E0F"/>
    <w:rsid w:val="00C9638C"/>
    <w:rsid w:val="00C969C6"/>
    <w:rsid w:val="00C96C40"/>
    <w:rsid w:val="00C96DB7"/>
    <w:rsid w:val="00C97C4B"/>
    <w:rsid w:val="00C97DB0"/>
    <w:rsid w:val="00C97F38"/>
    <w:rsid w:val="00C97FB7"/>
    <w:rsid w:val="00CA0538"/>
    <w:rsid w:val="00CA096B"/>
    <w:rsid w:val="00CA11C6"/>
    <w:rsid w:val="00CA18A1"/>
    <w:rsid w:val="00CA1C43"/>
    <w:rsid w:val="00CA2087"/>
    <w:rsid w:val="00CA211D"/>
    <w:rsid w:val="00CA22DE"/>
    <w:rsid w:val="00CA259B"/>
    <w:rsid w:val="00CA26DE"/>
    <w:rsid w:val="00CA2F2C"/>
    <w:rsid w:val="00CA332E"/>
    <w:rsid w:val="00CA345A"/>
    <w:rsid w:val="00CA390C"/>
    <w:rsid w:val="00CA393D"/>
    <w:rsid w:val="00CA3D16"/>
    <w:rsid w:val="00CA4731"/>
    <w:rsid w:val="00CA47D3"/>
    <w:rsid w:val="00CA4E24"/>
    <w:rsid w:val="00CA50C9"/>
    <w:rsid w:val="00CA56C1"/>
    <w:rsid w:val="00CA60EC"/>
    <w:rsid w:val="00CA6105"/>
    <w:rsid w:val="00CA64D4"/>
    <w:rsid w:val="00CA66DB"/>
    <w:rsid w:val="00CA6F13"/>
    <w:rsid w:val="00CA7608"/>
    <w:rsid w:val="00CB0363"/>
    <w:rsid w:val="00CB0665"/>
    <w:rsid w:val="00CB06CB"/>
    <w:rsid w:val="00CB08B0"/>
    <w:rsid w:val="00CB0E0F"/>
    <w:rsid w:val="00CB0E70"/>
    <w:rsid w:val="00CB1025"/>
    <w:rsid w:val="00CB105F"/>
    <w:rsid w:val="00CB1F62"/>
    <w:rsid w:val="00CB23E4"/>
    <w:rsid w:val="00CB2964"/>
    <w:rsid w:val="00CB2BAB"/>
    <w:rsid w:val="00CB2FC2"/>
    <w:rsid w:val="00CB325B"/>
    <w:rsid w:val="00CB3286"/>
    <w:rsid w:val="00CB3996"/>
    <w:rsid w:val="00CB3D51"/>
    <w:rsid w:val="00CB3DC2"/>
    <w:rsid w:val="00CB3EE7"/>
    <w:rsid w:val="00CB3F2E"/>
    <w:rsid w:val="00CB4F35"/>
    <w:rsid w:val="00CB53AF"/>
    <w:rsid w:val="00CB5731"/>
    <w:rsid w:val="00CB5803"/>
    <w:rsid w:val="00CB5C5E"/>
    <w:rsid w:val="00CB63DB"/>
    <w:rsid w:val="00CB667E"/>
    <w:rsid w:val="00CB6AE7"/>
    <w:rsid w:val="00CB71DF"/>
    <w:rsid w:val="00CB78CD"/>
    <w:rsid w:val="00CC00BB"/>
    <w:rsid w:val="00CC0C43"/>
    <w:rsid w:val="00CC128F"/>
    <w:rsid w:val="00CC148B"/>
    <w:rsid w:val="00CC14A5"/>
    <w:rsid w:val="00CC18DC"/>
    <w:rsid w:val="00CC1991"/>
    <w:rsid w:val="00CC1C4D"/>
    <w:rsid w:val="00CC1F35"/>
    <w:rsid w:val="00CC1FB5"/>
    <w:rsid w:val="00CC2081"/>
    <w:rsid w:val="00CC2576"/>
    <w:rsid w:val="00CC3A23"/>
    <w:rsid w:val="00CC3AF9"/>
    <w:rsid w:val="00CC3B76"/>
    <w:rsid w:val="00CC48BD"/>
    <w:rsid w:val="00CC48FC"/>
    <w:rsid w:val="00CC4F94"/>
    <w:rsid w:val="00CC532E"/>
    <w:rsid w:val="00CC540A"/>
    <w:rsid w:val="00CC609D"/>
    <w:rsid w:val="00CC60B2"/>
    <w:rsid w:val="00CC61D8"/>
    <w:rsid w:val="00CC6995"/>
    <w:rsid w:val="00CC72E5"/>
    <w:rsid w:val="00CC7559"/>
    <w:rsid w:val="00CC79D0"/>
    <w:rsid w:val="00CD0238"/>
    <w:rsid w:val="00CD0866"/>
    <w:rsid w:val="00CD0A2E"/>
    <w:rsid w:val="00CD1128"/>
    <w:rsid w:val="00CD1408"/>
    <w:rsid w:val="00CD177C"/>
    <w:rsid w:val="00CD17F5"/>
    <w:rsid w:val="00CD18CC"/>
    <w:rsid w:val="00CD1E15"/>
    <w:rsid w:val="00CD24B4"/>
    <w:rsid w:val="00CD2A44"/>
    <w:rsid w:val="00CD2C52"/>
    <w:rsid w:val="00CD2C81"/>
    <w:rsid w:val="00CD3389"/>
    <w:rsid w:val="00CD3D74"/>
    <w:rsid w:val="00CD3DBF"/>
    <w:rsid w:val="00CD3E93"/>
    <w:rsid w:val="00CD4C92"/>
    <w:rsid w:val="00CD4CCD"/>
    <w:rsid w:val="00CD5365"/>
    <w:rsid w:val="00CD5853"/>
    <w:rsid w:val="00CD6427"/>
    <w:rsid w:val="00CD648F"/>
    <w:rsid w:val="00CD6D15"/>
    <w:rsid w:val="00CD6E28"/>
    <w:rsid w:val="00CD6FD8"/>
    <w:rsid w:val="00CD736B"/>
    <w:rsid w:val="00CD7D27"/>
    <w:rsid w:val="00CE02C8"/>
    <w:rsid w:val="00CE0404"/>
    <w:rsid w:val="00CE0608"/>
    <w:rsid w:val="00CE09D1"/>
    <w:rsid w:val="00CE0E5C"/>
    <w:rsid w:val="00CE100F"/>
    <w:rsid w:val="00CE1374"/>
    <w:rsid w:val="00CE1966"/>
    <w:rsid w:val="00CE1F91"/>
    <w:rsid w:val="00CE2117"/>
    <w:rsid w:val="00CE2278"/>
    <w:rsid w:val="00CE2502"/>
    <w:rsid w:val="00CE25A4"/>
    <w:rsid w:val="00CE3250"/>
    <w:rsid w:val="00CE3867"/>
    <w:rsid w:val="00CE3F54"/>
    <w:rsid w:val="00CE46D1"/>
    <w:rsid w:val="00CE5401"/>
    <w:rsid w:val="00CE573A"/>
    <w:rsid w:val="00CE5929"/>
    <w:rsid w:val="00CE5C37"/>
    <w:rsid w:val="00CE5D8B"/>
    <w:rsid w:val="00CE5DAE"/>
    <w:rsid w:val="00CE6457"/>
    <w:rsid w:val="00CE64E4"/>
    <w:rsid w:val="00CE67D6"/>
    <w:rsid w:val="00CE6E1B"/>
    <w:rsid w:val="00CE7092"/>
    <w:rsid w:val="00CE73C2"/>
    <w:rsid w:val="00CE744F"/>
    <w:rsid w:val="00CE74DB"/>
    <w:rsid w:val="00CE7807"/>
    <w:rsid w:val="00CE78CA"/>
    <w:rsid w:val="00CE7B50"/>
    <w:rsid w:val="00CF03DC"/>
    <w:rsid w:val="00CF06BA"/>
    <w:rsid w:val="00CF0C66"/>
    <w:rsid w:val="00CF103C"/>
    <w:rsid w:val="00CF111E"/>
    <w:rsid w:val="00CF1251"/>
    <w:rsid w:val="00CF14DF"/>
    <w:rsid w:val="00CF1F3E"/>
    <w:rsid w:val="00CF1F6B"/>
    <w:rsid w:val="00CF2247"/>
    <w:rsid w:val="00CF2A64"/>
    <w:rsid w:val="00CF2D79"/>
    <w:rsid w:val="00CF2DC1"/>
    <w:rsid w:val="00CF31C1"/>
    <w:rsid w:val="00CF32DC"/>
    <w:rsid w:val="00CF335C"/>
    <w:rsid w:val="00CF346E"/>
    <w:rsid w:val="00CF38F9"/>
    <w:rsid w:val="00CF42B8"/>
    <w:rsid w:val="00CF42C3"/>
    <w:rsid w:val="00CF4B04"/>
    <w:rsid w:val="00CF4B56"/>
    <w:rsid w:val="00CF508A"/>
    <w:rsid w:val="00CF5232"/>
    <w:rsid w:val="00CF52C7"/>
    <w:rsid w:val="00CF5932"/>
    <w:rsid w:val="00CF6756"/>
    <w:rsid w:val="00CF6E2E"/>
    <w:rsid w:val="00CF7655"/>
    <w:rsid w:val="00CF7E67"/>
    <w:rsid w:val="00CF7E6A"/>
    <w:rsid w:val="00D002A3"/>
    <w:rsid w:val="00D00D86"/>
    <w:rsid w:val="00D01C1B"/>
    <w:rsid w:val="00D01D45"/>
    <w:rsid w:val="00D02C7F"/>
    <w:rsid w:val="00D02F55"/>
    <w:rsid w:val="00D04D5E"/>
    <w:rsid w:val="00D04E71"/>
    <w:rsid w:val="00D04EA6"/>
    <w:rsid w:val="00D05251"/>
    <w:rsid w:val="00D05AAE"/>
    <w:rsid w:val="00D069C9"/>
    <w:rsid w:val="00D06A4C"/>
    <w:rsid w:val="00D06C78"/>
    <w:rsid w:val="00D06DF5"/>
    <w:rsid w:val="00D06F47"/>
    <w:rsid w:val="00D07440"/>
    <w:rsid w:val="00D07D71"/>
    <w:rsid w:val="00D1043D"/>
    <w:rsid w:val="00D10C26"/>
    <w:rsid w:val="00D1155C"/>
    <w:rsid w:val="00D11594"/>
    <w:rsid w:val="00D11983"/>
    <w:rsid w:val="00D11AFB"/>
    <w:rsid w:val="00D1217E"/>
    <w:rsid w:val="00D12A33"/>
    <w:rsid w:val="00D12F3D"/>
    <w:rsid w:val="00D13044"/>
    <w:rsid w:val="00D13169"/>
    <w:rsid w:val="00D132DF"/>
    <w:rsid w:val="00D13C6E"/>
    <w:rsid w:val="00D13DF4"/>
    <w:rsid w:val="00D140C6"/>
    <w:rsid w:val="00D141BC"/>
    <w:rsid w:val="00D14511"/>
    <w:rsid w:val="00D14538"/>
    <w:rsid w:val="00D14986"/>
    <w:rsid w:val="00D14D42"/>
    <w:rsid w:val="00D14DA5"/>
    <w:rsid w:val="00D150B1"/>
    <w:rsid w:val="00D158D5"/>
    <w:rsid w:val="00D1595F"/>
    <w:rsid w:val="00D15BCB"/>
    <w:rsid w:val="00D17742"/>
    <w:rsid w:val="00D178B7"/>
    <w:rsid w:val="00D17F4E"/>
    <w:rsid w:val="00D208D4"/>
    <w:rsid w:val="00D20B8E"/>
    <w:rsid w:val="00D20C73"/>
    <w:rsid w:val="00D20E16"/>
    <w:rsid w:val="00D21575"/>
    <w:rsid w:val="00D21D6E"/>
    <w:rsid w:val="00D228EE"/>
    <w:rsid w:val="00D2413E"/>
    <w:rsid w:val="00D24568"/>
    <w:rsid w:val="00D24B71"/>
    <w:rsid w:val="00D24F67"/>
    <w:rsid w:val="00D25B81"/>
    <w:rsid w:val="00D26A13"/>
    <w:rsid w:val="00D27218"/>
    <w:rsid w:val="00D275E5"/>
    <w:rsid w:val="00D275EF"/>
    <w:rsid w:val="00D27888"/>
    <w:rsid w:val="00D27A7F"/>
    <w:rsid w:val="00D27FA9"/>
    <w:rsid w:val="00D305BC"/>
    <w:rsid w:val="00D3083E"/>
    <w:rsid w:val="00D30AF0"/>
    <w:rsid w:val="00D30CAC"/>
    <w:rsid w:val="00D30ED3"/>
    <w:rsid w:val="00D310E0"/>
    <w:rsid w:val="00D31684"/>
    <w:rsid w:val="00D31CA7"/>
    <w:rsid w:val="00D31FEB"/>
    <w:rsid w:val="00D322C8"/>
    <w:rsid w:val="00D32585"/>
    <w:rsid w:val="00D328C5"/>
    <w:rsid w:val="00D3293D"/>
    <w:rsid w:val="00D32D9A"/>
    <w:rsid w:val="00D32E91"/>
    <w:rsid w:val="00D3375C"/>
    <w:rsid w:val="00D33BB0"/>
    <w:rsid w:val="00D342A2"/>
    <w:rsid w:val="00D34506"/>
    <w:rsid w:val="00D34A46"/>
    <w:rsid w:val="00D34B50"/>
    <w:rsid w:val="00D34CCB"/>
    <w:rsid w:val="00D351A3"/>
    <w:rsid w:val="00D35326"/>
    <w:rsid w:val="00D3535C"/>
    <w:rsid w:val="00D3558A"/>
    <w:rsid w:val="00D35B63"/>
    <w:rsid w:val="00D35EC4"/>
    <w:rsid w:val="00D36373"/>
    <w:rsid w:val="00D36423"/>
    <w:rsid w:val="00D36A50"/>
    <w:rsid w:val="00D371B2"/>
    <w:rsid w:val="00D37258"/>
    <w:rsid w:val="00D374E9"/>
    <w:rsid w:val="00D37C80"/>
    <w:rsid w:val="00D400CA"/>
    <w:rsid w:val="00D4028C"/>
    <w:rsid w:val="00D40383"/>
    <w:rsid w:val="00D40789"/>
    <w:rsid w:val="00D40BA9"/>
    <w:rsid w:val="00D40CC0"/>
    <w:rsid w:val="00D4121D"/>
    <w:rsid w:val="00D41526"/>
    <w:rsid w:val="00D416AB"/>
    <w:rsid w:val="00D41A3B"/>
    <w:rsid w:val="00D41BF8"/>
    <w:rsid w:val="00D41CDF"/>
    <w:rsid w:val="00D42381"/>
    <w:rsid w:val="00D426BF"/>
    <w:rsid w:val="00D42FCF"/>
    <w:rsid w:val="00D43081"/>
    <w:rsid w:val="00D43132"/>
    <w:rsid w:val="00D4345D"/>
    <w:rsid w:val="00D435C2"/>
    <w:rsid w:val="00D435EC"/>
    <w:rsid w:val="00D43BF2"/>
    <w:rsid w:val="00D43DA9"/>
    <w:rsid w:val="00D43EEA"/>
    <w:rsid w:val="00D448EC"/>
    <w:rsid w:val="00D44B4E"/>
    <w:rsid w:val="00D44FCC"/>
    <w:rsid w:val="00D453D8"/>
    <w:rsid w:val="00D45778"/>
    <w:rsid w:val="00D45B67"/>
    <w:rsid w:val="00D4660B"/>
    <w:rsid w:val="00D47820"/>
    <w:rsid w:val="00D47998"/>
    <w:rsid w:val="00D47D34"/>
    <w:rsid w:val="00D502CD"/>
    <w:rsid w:val="00D50458"/>
    <w:rsid w:val="00D505FE"/>
    <w:rsid w:val="00D50615"/>
    <w:rsid w:val="00D508EC"/>
    <w:rsid w:val="00D50C09"/>
    <w:rsid w:val="00D5103F"/>
    <w:rsid w:val="00D515B0"/>
    <w:rsid w:val="00D515DF"/>
    <w:rsid w:val="00D516DB"/>
    <w:rsid w:val="00D51998"/>
    <w:rsid w:val="00D51E1A"/>
    <w:rsid w:val="00D51FB2"/>
    <w:rsid w:val="00D5245B"/>
    <w:rsid w:val="00D53053"/>
    <w:rsid w:val="00D530DA"/>
    <w:rsid w:val="00D53189"/>
    <w:rsid w:val="00D532A0"/>
    <w:rsid w:val="00D536B6"/>
    <w:rsid w:val="00D53779"/>
    <w:rsid w:val="00D54020"/>
    <w:rsid w:val="00D545AB"/>
    <w:rsid w:val="00D5462F"/>
    <w:rsid w:val="00D5470A"/>
    <w:rsid w:val="00D548BE"/>
    <w:rsid w:val="00D54C95"/>
    <w:rsid w:val="00D54CFA"/>
    <w:rsid w:val="00D5515E"/>
    <w:rsid w:val="00D559EB"/>
    <w:rsid w:val="00D5637E"/>
    <w:rsid w:val="00D56570"/>
    <w:rsid w:val="00D568BB"/>
    <w:rsid w:val="00D56B9B"/>
    <w:rsid w:val="00D56C39"/>
    <w:rsid w:val="00D56D5D"/>
    <w:rsid w:val="00D57019"/>
    <w:rsid w:val="00D5729A"/>
    <w:rsid w:val="00D572C6"/>
    <w:rsid w:val="00D5790B"/>
    <w:rsid w:val="00D57A78"/>
    <w:rsid w:val="00D57B9B"/>
    <w:rsid w:val="00D57BD1"/>
    <w:rsid w:val="00D57D8C"/>
    <w:rsid w:val="00D600E2"/>
    <w:rsid w:val="00D60358"/>
    <w:rsid w:val="00D60411"/>
    <w:rsid w:val="00D605ED"/>
    <w:rsid w:val="00D60B62"/>
    <w:rsid w:val="00D60EB0"/>
    <w:rsid w:val="00D61046"/>
    <w:rsid w:val="00D6119E"/>
    <w:rsid w:val="00D615E0"/>
    <w:rsid w:val="00D61676"/>
    <w:rsid w:val="00D62782"/>
    <w:rsid w:val="00D62903"/>
    <w:rsid w:val="00D62AAB"/>
    <w:rsid w:val="00D62B0F"/>
    <w:rsid w:val="00D62B93"/>
    <w:rsid w:val="00D62C06"/>
    <w:rsid w:val="00D62C9B"/>
    <w:rsid w:val="00D6325B"/>
    <w:rsid w:val="00D633CC"/>
    <w:rsid w:val="00D6356E"/>
    <w:rsid w:val="00D63B87"/>
    <w:rsid w:val="00D63CBC"/>
    <w:rsid w:val="00D6406B"/>
    <w:rsid w:val="00D640ED"/>
    <w:rsid w:val="00D6456E"/>
    <w:rsid w:val="00D648CB"/>
    <w:rsid w:val="00D64BAD"/>
    <w:rsid w:val="00D652D2"/>
    <w:rsid w:val="00D65555"/>
    <w:rsid w:val="00D655E2"/>
    <w:rsid w:val="00D656B9"/>
    <w:rsid w:val="00D657D6"/>
    <w:rsid w:val="00D66693"/>
    <w:rsid w:val="00D667F6"/>
    <w:rsid w:val="00D669CB"/>
    <w:rsid w:val="00D66EF2"/>
    <w:rsid w:val="00D67006"/>
    <w:rsid w:val="00D67371"/>
    <w:rsid w:val="00D67A93"/>
    <w:rsid w:val="00D7039D"/>
    <w:rsid w:val="00D703E5"/>
    <w:rsid w:val="00D71000"/>
    <w:rsid w:val="00D71005"/>
    <w:rsid w:val="00D71148"/>
    <w:rsid w:val="00D711AA"/>
    <w:rsid w:val="00D715F9"/>
    <w:rsid w:val="00D71C0E"/>
    <w:rsid w:val="00D72831"/>
    <w:rsid w:val="00D72F92"/>
    <w:rsid w:val="00D730F3"/>
    <w:rsid w:val="00D73430"/>
    <w:rsid w:val="00D73776"/>
    <w:rsid w:val="00D73892"/>
    <w:rsid w:val="00D73B16"/>
    <w:rsid w:val="00D7406F"/>
    <w:rsid w:val="00D74165"/>
    <w:rsid w:val="00D7432A"/>
    <w:rsid w:val="00D746AC"/>
    <w:rsid w:val="00D755FF"/>
    <w:rsid w:val="00D756BC"/>
    <w:rsid w:val="00D757D9"/>
    <w:rsid w:val="00D76DF1"/>
    <w:rsid w:val="00D770F6"/>
    <w:rsid w:val="00D775D9"/>
    <w:rsid w:val="00D8013C"/>
    <w:rsid w:val="00D802FE"/>
    <w:rsid w:val="00D8053C"/>
    <w:rsid w:val="00D80CBD"/>
    <w:rsid w:val="00D815E5"/>
    <w:rsid w:val="00D818E9"/>
    <w:rsid w:val="00D81F78"/>
    <w:rsid w:val="00D821A6"/>
    <w:rsid w:val="00D82732"/>
    <w:rsid w:val="00D828CC"/>
    <w:rsid w:val="00D82A11"/>
    <w:rsid w:val="00D83E21"/>
    <w:rsid w:val="00D84487"/>
    <w:rsid w:val="00D844E5"/>
    <w:rsid w:val="00D848F9"/>
    <w:rsid w:val="00D84F9A"/>
    <w:rsid w:val="00D86038"/>
    <w:rsid w:val="00D86180"/>
    <w:rsid w:val="00D8658C"/>
    <w:rsid w:val="00D865D0"/>
    <w:rsid w:val="00D86780"/>
    <w:rsid w:val="00D8699C"/>
    <w:rsid w:val="00D86B20"/>
    <w:rsid w:val="00D86C64"/>
    <w:rsid w:val="00D8700E"/>
    <w:rsid w:val="00D875C2"/>
    <w:rsid w:val="00D87761"/>
    <w:rsid w:val="00D87A74"/>
    <w:rsid w:val="00D87DCC"/>
    <w:rsid w:val="00D907E9"/>
    <w:rsid w:val="00D908C9"/>
    <w:rsid w:val="00D90DC6"/>
    <w:rsid w:val="00D9130F"/>
    <w:rsid w:val="00D91931"/>
    <w:rsid w:val="00D9230B"/>
    <w:rsid w:val="00D92A46"/>
    <w:rsid w:val="00D935FF"/>
    <w:rsid w:val="00D94050"/>
    <w:rsid w:val="00D94139"/>
    <w:rsid w:val="00D942F5"/>
    <w:rsid w:val="00D944B6"/>
    <w:rsid w:val="00D9492C"/>
    <w:rsid w:val="00D94D85"/>
    <w:rsid w:val="00D957C4"/>
    <w:rsid w:val="00D958DF"/>
    <w:rsid w:val="00D95902"/>
    <w:rsid w:val="00D95CD4"/>
    <w:rsid w:val="00D95EE7"/>
    <w:rsid w:val="00D9600A"/>
    <w:rsid w:val="00D9635E"/>
    <w:rsid w:val="00D96474"/>
    <w:rsid w:val="00D96818"/>
    <w:rsid w:val="00D968A3"/>
    <w:rsid w:val="00D96AA6"/>
    <w:rsid w:val="00D96AAC"/>
    <w:rsid w:val="00D96EDA"/>
    <w:rsid w:val="00D97411"/>
    <w:rsid w:val="00D978CE"/>
    <w:rsid w:val="00D97AA2"/>
    <w:rsid w:val="00D97FFB"/>
    <w:rsid w:val="00DA08D8"/>
    <w:rsid w:val="00DA0BBB"/>
    <w:rsid w:val="00DA0E70"/>
    <w:rsid w:val="00DA10FE"/>
    <w:rsid w:val="00DA1795"/>
    <w:rsid w:val="00DA20DA"/>
    <w:rsid w:val="00DA27F1"/>
    <w:rsid w:val="00DA27FB"/>
    <w:rsid w:val="00DA2A87"/>
    <w:rsid w:val="00DA2E25"/>
    <w:rsid w:val="00DA37AC"/>
    <w:rsid w:val="00DA3878"/>
    <w:rsid w:val="00DA3B1B"/>
    <w:rsid w:val="00DA45A6"/>
    <w:rsid w:val="00DA484A"/>
    <w:rsid w:val="00DA4C61"/>
    <w:rsid w:val="00DA5CB9"/>
    <w:rsid w:val="00DA5F28"/>
    <w:rsid w:val="00DA659B"/>
    <w:rsid w:val="00DA6AAF"/>
    <w:rsid w:val="00DA6BAD"/>
    <w:rsid w:val="00DA6C9B"/>
    <w:rsid w:val="00DA73BB"/>
    <w:rsid w:val="00DA7492"/>
    <w:rsid w:val="00DA74A5"/>
    <w:rsid w:val="00DA7849"/>
    <w:rsid w:val="00DA7C64"/>
    <w:rsid w:val="00DA7ECB"/>
    <w:rsid w:val="00DB03C6"/>
    <w:rsid w:val="00DB05C3"/>
    <w:rsid w:val="00DB0B8D"/>
    <w:rsid w:val="00DB153C"/>
    <w:rsid w:val="00DB15CA"/>
    <w:rsid w:val="00DB17CC"/>
    <w:rsid w:val="00DB1E03"/>
    <w:rsid w:val="00DB2106"/>
    <w:rsid w:val="00DB2519"/>
    <w:rsid w:val="00DB28A7"/>
    <w:rsid w:val="00DB2B2F"/>
    <w:rsid w:val="00DB3122"/>
    <w:rsid w:val="00DB33B5"/>
    <w:rsid w:val="00DB3461"/>
    <w:rsid w:val="00DB3491"/>
    <w:rsid w:val="00DB35FB"/>
    <w:rsid w:val="00DB3F7E"/>
    <w:rsid w:val="00DB430E"/>
    <w:rsid w:val="00DB4649"/>
    <w:rsid w:val="00DB48AB"/>
    <w:rsid w:val="00DB4B0B"/>
    <w:rsid w:val="00DB4B18"/>
    <w:rsid w:val="00DB4B2A"/>
    <w:rsid w:val="00DB56A2"/>
    <w:rsid w:val="00DB580D"/>
    <w:rsid w:val="00DB5DA0"/>
    <w:rsid w:val="00DB676C"/>
    <w:rsid w:val="00DB6884"/>
    <w:rsid w:val="00DB6895"/>
    <w:rsid w:val="00DB6E79"/>
    <w:rsid w:val="00DB6F46"/>
    <w:rsid w:val="00DB7607"/>
    <w:rsid w:val="00DB7CC1"/>
    <w:rsid w:val="00DC1172"/>
    <w:rsid w:val="00DC1786"/>
    <w:rsid w:val="00DC1BA5"/>
    <w:rsid w:val="00DC2100"/>
    <w:rsid w:val="00DC237C"/>
    <w:rsid w:val="00DC2527"/>
    <w:rsid w:val="00DC284F"/>
    <w:rsid w:val="00DC339F"/>
    <w:rsid w:val="00DC3B2F"/>
    <w:rsid w:val="00DC3C21"/>
    <w:rsid w:val="00DC4F1E"/>
    <w:rsid w:val="00DC51A7"/>
    <w:rsid w:val="00DC5488"/>
    <w:rsid w:val="00DC5499"/>
    <w:rsid w:val="00DC58E9"/>
    <w:rsid w:val="00DC60A4"/>
    <w:rsid w:val="00DC62EA"/>
    <w:rsid w:val="00DC6945"/>
    <w:rsid w:val="00DC6C2D"/>
    <w:rsid w:val="00DC6DCD"/>
    <w:rsid w:val="00DC740F"/>
    <w:rsid w:val="00DC760D"/>
    <w:rsid w:val="00DC7678"/>
    <w:rsid w:val="00DC7DC5"/>
    <w:rsid w:val="00DC7E8A"/>
    <w:rsid w:val="00DC7FC2"/>
    <w:rsid w:val="00DD0167"/>
    <w:rsid w:val="00DD0ADD"/>
    <w:rsid w:val="00DD122C"/>
    <w:rsid w:val="00DD16EF"/>
    <w:rsid w:val="00DD1905"/>
    <w:rsid w:val="00DD194E"/>
    <w:rsid w:val="00DD1953"/>
    <w:rsid w:val="00DD1C93"/>
    <w:rsid w:val="00DD1E0F"/>
    <w:rsid w:val="00DD217C"/>
    <w:rsid w:val="00DD233B"/>
    <w:rsid w:val="00DD2370"/>
    <w:rsid w:val="00DD2404"/>
    <w:rsid w:val="00DD2F84"/>
    <w:rsid w:val="00DD3DB1"/>
    <w:rsid w:val="00DD41ED"/>
    <w:rsid w:val="00DD45EC"/>
    <w:rsid w:val="00DD483A"/>
    <w:rsid w:val="00DD4C71"/>
    <w:rsid w:val="00DD4EF9"/>
    <w:rsid w:val="00DD58ED"/>
    <w:rsid w:val="00DD58F5"/>
    <w:rsid w:val="00DD59AB"/>
    <w:rsid w:val="00DD5C06"/>
    <w:rsid w:val="00DD6120"/>
    <w:rsid w:val="00DD6386"/>
    <w:rsid w:val="00DD63D5"/>
    <w:rsid w:val="00DD6A5C"/>
    <w:rsid w:val="00DD7053"/>
    <w:rsid w:val="00DD74AD"/>
    <w:rsid w:val="00DD7A63"/>
    <w:rsid w:val="00DE0049"/>
    <w:rsid w:val="00DE01CF"/>
    <w:rsid w:val="00DE033B"/>
    <w:rsid w:val="00DE0BA0"/>
    <w:rsid w:val="00DE0ED8"/>
    <w:rsid w:val="00DE0FFF"/>
    <w:rsid w:val="00DE169D"/>
    <w:rsid w:val="00DE1D7F"/>
    <w:rsid w:val="00DE1DBE"/>
    <w:rsid w:val="00DE1EA3"/>
    <w:rsid w:val="00DE1F43"/>
    <w:rsid w:val="00DE2227"/>
    <w:rsid w:val="00DE22D9"/>
    <w:rsid w:val="00DE265E"/>
    <w:rsid w:val="00DE2EDA"/>
    <w:rsid w:val="00DE39E4"/>
    <w:rsid w:val="00DE39F0"/>
    <w:rsid w:val="00DE3CEE"/>
    <w:rsid w:val="00DE4A05"/>
    <w:rsid w:val="00DE4F03"/>
    <w:rsid w:val="00DE4FA9"/>
    <w:rsid w:val="00DE5350"/>
    <w:rsid w:val="00DE5550"/>
    <w:rsid w:val="00DE5D99"/>
    <w:rsid w:val="00DE601A"/>
    <w:rsid w:val="00DE684F"/>
    <w:rsid w:val="00DE6F16"/>
    <w:rsid w:val="00DE718A"/>
    <w:rsid w:val="00DF0684"/>
    <w:rsid w:val="00DF0872"/>
    <w:rsid w:val="00DF0A22"/>
    <w:rsid w:val="00DF139D"/>
    <w:rsid w:val="00DF168B"/>
    <w:rsid w:val="00DF27EF"/>
    <w:rsid w:val="00DF2D9C"/>
    <w:rsid w:val="00DF30F5"/>
    <w:rsid w:val="00DF3104"/>
    <w:rsid w:val="00DF359A"/>
    <w:rsid w:val="00DF3655"/>
    <w:rsid w:val="00DF3C0C"/>
    <w:rsid w:val="00DF3FE8"/>
    <w:rsid w:val="00DF43B3"/>
    <w:rsid w:val="00DF4840"/>
    <w:rsid w:val="00DF4E43"/>
    <w:rsid w:val="00DF53FE"/>
    <w:rsid w:val="00DF55B6"/>
    <w:rsid w:val="00DF560F"/>
    <w:rsid w:val="00DF5A99"/>
    <w:rsid w:val="00DF5BC0"/>
    <w:rsid w:val="00DF647E"/>
    <w:rsid w:val="00DF6778"/>
    <w:rsid w:val="00DF6811"/>
    <w:rsid w:val="00DF6862"/>
    <w:rsid w:val="00DF6CB1"/>
    <w:rsid w:val="00DF7674"/>
    <w:rsid w:val="00DF7A37"/>
    <w:rsid w:val="00DF7F92"/>
    <w:rsid w:val="00E003A7"/>
    <w:rsid w:val="00E004F7"/>
    <w:rsid w:val="00E00654"/>
    <w:rsid w:val="00E0073B"/>
    <w:rsid w:val="00E00D41"/>
    <w:rsid w:val="00E00DAA"/>
    <w:rsid w:val="00E00DD2"/>
    <w:rsid w:val="00E00FC1"/>
    <w:rsid w:val="00E01037"/>
    <w:rsid w:val="00E010D6"/>
    <w:rsid w:val="00E01110"/>
    <w:rsid w:val="00E01111"/>
    <w:rsid w:val="00E02715"/>
    <w:rsid w:val="00E02A26"/>
    <w:rsid w:val="00E0316C"/>
    <w:rsid w:val="00E031C8"/>
    <w:rsid w:val="00E048E2"/>
    <w:rsid w:val="00E049F2"/>
    <w:rsid w:val="00E04F60"/>
    <w:rsid w:val="00E054D8"/>
    <w:rsid w:val="00E05529"/>
    <w:rsid w:val="00E05FB4"/>
    <w:rsid w:val="00E0778E"/>
    <w:rsid w:val="00E07F9C"/>
    <w:rsid w:val="00E10085"/>
    <w:rsid w:val="00E108B0"/>
    <w:rsid w:val="00E110BF"/>
    <w:rsid w:val="00E11418"/>
    <w:rsid w:val="00E1159D"/>
    <w:rsid w:val="00E11A65"/>
    <w:rsid w:val="00E11B3E"/>
    <w:rsid w:val="00E11E54"/>
    <w:rsid w:val="00E12080"/>
    <w:rsid w:val="00E12237"/>
    <w:rsid w:val="00E12882"/>
    <w:rsid w:val="00E12B6B"/>
    <w:rsid w:val="00E12EF5"/>
    <w:rsid w:val="00E139FC"/>
    <w:rsid w:val="00E13A61"/>
    <w:rsid w:val="00E13C63"/>
    <w:rsid w:val="00E13C95"/>
    <w:rsid w:val="00E13EB2"/>
    <w:rsid w:val="00E150B1"/>
    <w:rsid w:val="00E15136"/>
    <w:rsid w:val="00E156F0"/>
    <w:rsid w:val="00E158A3"/>
    <w:rsid w:val="00E15A5E"/>
    <w:rsid w:val="00E162DD"/>
    <w:rsid w:val="00E16312"/>
    <w:rsid w:val="00E169CE"/>
    <w:rsid w:val="00E17043"/>
    <w:rsid w:val="00E1722D"/>
    <w:rsid w:val="00E1760C"/>
    <w:rsid w:val="00E179E0"/>
    <w:rsid w:val="00E20072"/>
    <w:rsid w:val="00E201F9"/>
    <w:rsid w:val="00E2078F"/>
    <w:rsid w:val="00E20837"/>
    <w:rsid w:val="00E21446"/>
    <w:rsid w:val="00E21482"/>
    <w:rsid w:val="00E2150C"/>
    <w:rsid w:val="00E219AA"/>
    <w:rsid w:val="00E21F48"/>
    <w:rsid w:val="00E22045"/>
    <w:rsid w:val="00E228A4"/>
    <w:rsid w:val="00E23187"/>
    <w:rsid w:val="00E232A2"/>
    <w:rsid w:val="00E233F7"/>
    <w:rsid w:val="00E23909"/>
    <w:rsid w:val="00E239D0"/>
    <w:rsid w:val="00E23A0D"/>
    <w:rsid w:val="00E23A28"/>
    <w:rsid w:val="00E23A4A"/>
    <w:rsid w:val="00E2444C"/>
    <w:rsid w:val="00E244D1"/>
    <w:rsid w:val="00E2461B"/>
    <w:rsid w:val="00E25558"/>
    <w:rsid w:val="00E25CA6"/>
    <w:rsid w:val="00E25E1C"/>
    <w:rsid w:val="00E265AC"/>
    <w:rsid w:val="00E26602"/>
    <w:rsid w:val="00E26957"/>
    <w:rsid w:val="00E27127"/>
    <w:rsid w:val="00E272CD"/>
    <w:rsid w:val="00E27609"/>
    <w:rsid w:val="00E27D03"/>
    <w:rsid w:val="00E30712"/>
    <w:rsid w:val="00E30879"/>
    <w:rsid w:val="00E30F38"/>
    <w:rsid w:val="00E3105C"/>
    <w:rsid w:val="00E31063"/>
    <w:rsid w:val="00E31852"/>
    <w:rsid w:val="00E31C73"/>
    <w:rsid w:val="00E31CBD"/>
    <w:rsid w:val="00E31F10"/>
    <w:rsid w:val="00E327CB"/>
    <w:rsid w:val="00E32C2C"/>
    <w:rsid w:val="00E32C6C"/>
    <w:rsid w:val="00E32FFF"/>
    <w:rsid w:val="00E3309F"/>
    <w:rsid w:val="00E332AB"/>
    <w:rsid w:val="00E33682"/>
    <w:rsid w:val="00E34044"/>
    <w:rsid w:val="00E35A90"/>
    <w:rsid w:val="00E36481"/>
    <w:rsid w:val="00E36DC7"/>
    <w:rsid w:val="00E36E86"/>
    <w:rsid w:val="00E370E7"/>
    <w:rsid w:val="00E3733D"/>
    <w:rsid w:val="00E37947"/>
    <w:rsid w:val="00E37C21"/>
    <w:rsid w:val="00E37C61"/>
    <w:rsid w:val="00E37C69"/>
    <w:rsid w:val="00E37EE1"/>
    <w:rsid w:val="00E401E9"/>
    <w:rsid w:val="00E402B0"/>
    <w:rsid w:val="00E40369"/>
    <w:rsid w:val="00E40545"/>
    <w:rsid w:val="00E42630"/>
    <w:rsid w:val="00E426D7"/>
    <w:rsid w:val="00E427B8"/>
    <w:rsid w:val="00E428AB"/>
    <w:rsid w:val="00E428E0"/>
    <w:rsid w:val="00E42A95"/>
    <w:rsid w:val="00E42AC5"/>
    <w:rsid w:val="00E42B1D"/>
    <w:rsid w:val="00E42C47"/>
    <w:rsid w:val="00E42E25"/>
    <w:rsid w:val="00E42FE4"/>
    <w:rsid w:val="00E431A3"/>
    <w:rsid w:val="00E43AD5"/>
    <w:rsid w:val="00E44075"/>
    <w:rsid w:val="00E44C7A"/>
    <w:rsid w:val="00E44C84"/>
    <w:rsid w:val="00E44C99"/>
    <w:rsid w:val="00E44C9D"/>
    <w:rsid w:val="00E44D64"/>
    <w:rsid w:val="00E452DF"/>
    <w:rsid w:val="00E4577B"/>
    <w:rsid w:val="00E45A92"/>
    <w:rsid w:val="00E45DCC"/>
    <w:rsid w:val="00E4650F"/>
    <w:rsid w:val="00E46775"/>
    <w:rsid w:val="00E46926"/>
    <w:rsid w:val="00E46C32"/>
    <w:rsid w:val="00E474A1"/>
    <w:rsid w:val="00E47505"/>
    <w:rsid w:val="00E47D3F"/>
    <w:rsid w:val="00E50074"/>
    <w:rsid w:val="00E501E8"/>
    <w:rsid w:val="00E50311"/>
    <w:rsid w:val="00E50640"/>
    <w:rsid w:val="00E51AA2"/>
    <w:rsid w:val="00E51AB0"/>
    <w:rsid w:val="00E52267"/>
    <w:rsid w:val="00E52711"/>
    <w:rsid w:val="00E52805"/>
    <w:rsid w:val="00E52816"/>
    <w:rsid w:val="00E52B7F"/>
    <w:rsid w:val="00E534EF"/>
    <w:rsid w:val="00E53642"/>
    <w:rsid w:val="00E536DE"/>
    <w:rsid w:val="00E53976"/>
    <w:rsid w:val="00E540FB"/>
    <w:rsid w:val="00E54335"/>
    <w:rsid w:val="00E546BE"/>
    <w:rsid w:val="00E546D4"/>
    <w:rsid w:val="00E54A55"/>
    <w:rsid w:val="00E54D4D"/>
    <w:rsid w:val="00E54EBC"/>
    <w:rsid w:val="00E54EC8"/>
    <w:rsid w:val="00E553A8"/>
    <w:rsid w:val="00E55DA6"/>
    <w:rsid w:val="00E55E52"/>
    <w:rsid w:val="00E56042"/>
    <w:rsid w:val="00E56B69"/>
    <w:rsid w:val="00E56CE1"/>
    <w:rsid w:val="00E5726C"/>
    <w:rsid w:val="00E57B35"/>
    <w:rsid w:val="00E60258"/>
    <w:rsid w:val="00E6034B"/>
    <w:rsid w:val="00E60754"/>
    <w:rsid w:val="00E61070"/>
    <w:rsid w:val="00E6126A"/>
    <w:rsid w:val="00E615A0"/>
    <w:rsid w:val="00E61920"/>
    <w:rsid w:val="00E61ECE"/>
    <w:rsid w:val="00E61F58"/>
    <w:rsid w:val="00E625ED"/>
    <w:rsid w:val="00E631BE"/>
    <w:rsid w:val="00E63232"/>
    <w:rsid w:val="00E6359F"/>
    <w:rsid w:val="00E638C6"/>
    <w:rsid w:val="00E63B4F"/>
    <w:rsid w:val="00E644F3"/>
    <w:rsid w:val="00E644F5"/>
    <w:rsid w:val="00E64727"/>
    <w:rsid w:val="00E647F1"/>
    <w:rsid w:val="00E64845"/>
    <w:rsid w:val="00E6487E"/>
    <w:rsid w:val="00E649CB"/>
    <w:rsid w:val="00E64A8C"/>
    <w:rsid w:val="00E650F1"/>
    <w:rsid w:val="00E65112"/>
    <w:rsid w:val="00E65141"/>
    <w:rsid w:val="00E65453"/>
    <w:rsid w:val="00E65BC3"/>
    <w:rsid w:val="00E66150"/>
    <w:rsid w:val="00E663C8"/>
    <w:rsid w:val="00E66BC8"/>
    <w:rsid w:val="00E66E95"/>
    <w:rsid w:val="00E677B9"/>
    <w:rsid w:val="00E67B8D"/>
    <w:rsid w:val="00E67D52"/>
    <w:rsid w:val="00E704FA"/>
    <w:rsid w:val="00E70800"/>
    <w:rsid w:val="00E71247"/>
    <w:rsid w:val="00E71CCA"/>
    <w:rsid w:val="00E71DAF"/>
    <w:rsid w:val="00E722B2"/>
    <w:rsid w:val="00E7237D"/>
    <w:rsid w:val="00E72614"/>
    <w:rsid w:val="00E72750"/>
    <w:rsid w:val="00E72918"/>
    <w:rsid w:val="00E72949"/>
    <w:rsid w:val="00E73B66"/>
    <w:rsid w:val="00E73DDF"/>
    <w:rsid w:val="00E74586"/>
    <w:rsid w:val="00E74A35"/>
    <w:rsid w:val="00E74DE8"/>
    <w:rsid w:val="00E758DE"/>
    <w:rsid w:val="00E75DCC"/>
    <w:rsid w:val="00E76915"/>
    <w:rsid w:val="00E76C05"/>
    <w:rsid w:val="00E76CE2"/>
    <w:rsid w:val="00E76D14"/>
    <w:rsid w:val="00E7757A"/>
    <w:rsid w:val="00E77C6E"/>
    <w:rsid w:val="00E8024C"/>
    <w:rsid w:val="00E8042C"/>
    <w:rsid w:val="00E80666"/>
    <w:rsid w:val="00E80AE4"/>
    <w:rsid w:val="00E80F5A"/>
    <w:rsid w:val="00E80FB8"/>
    <w:rsid w:val="00E81CEC"/>
    <w:rsid w:val="00E82E2A"/>
    <w:rsid w:val="00E83747"/>
    <w:rsid w:val="00E83CF2"/>
    <w:rsid w:val="00E83F68"/>
    <w:rsid w:val="00E8442C"/>
    <w:rsid w:val="00E848D1"/>
    <w:rsid w:val="00E84AC5"/>
    <w:rsid w:val="00E856EB"/>
    <w:rsid w:val="00E85786"/>
    <w:rsid w:val="00E8582D"/>
    <w:rsid w:val="00E8589C"/>
    <w:rsid w:val="00E85DE1"/>
    <w:rsid w:val="00E85EAB"/>
    <w:rsid w:val="00E85FA4"/>
    <w:rsid w:val="00E860AB"/>
    <w:rsid w:val="00E8621B"/>
    <w:rsid w:val="00E8628A"/>
    <w:rsid w:val="00E867BB"/>
    <w:rsid w:val="00E86B0F"/>
    <w:rsid w:val="00E86D5B"/>
    <w:rsid w:val="00E8704F"/>
    <w:rsid w:val="00E875DC"/>
    <w:rsid w:val="00E87927"/>
    <w:rsid w:val="00E910EA"/>
    <w:rsid w:val="00E91459"/>
    <w:rsid w:val="00E91C6A"/>
    <w:rsid w:val="00E920D4"/>
    <w:rsid w:val="00E924AB"/>
    <w:rsid w:val="00E9256C"/>
    <w:rsid w:val="00E92809"/>
    <w:rsid w:val="00E92B04"/>
    <w:rsid w:val="00E93C4A"/>
    <w:rsid w:val="00E93DA2"/>
    <w:rsid w:val="00E9543D"/>
    <w:rsid w:val="00E9564F"/>
    <w:rsid w:val="00E9576B"/>
    <w:rsid w:val="00E960F9"/>
    <w:rsid w:val="00E96482"/>
    <w:rsid w:val="00E96F1D"/>
    <w:rsid w:val="00E97002"/>
    <w:rsid w:val="00E9738A"/>
    <w:rsid w:val="00E974AA"/>
    <w:rsid w:val="00E97A6A"/>
    <w:rsid w:val="00E97A6B"/>
    <w:rsid w:val="00EA036C"/>
    <w:rsid w:val="00EA03DD"/>
    <w:rsid w:val="00EA0885"/>
    <w:rsid w:val="00EA0A64"/>
    <w:rsid w:val="00EA0A8A"/>
    <w:rsid w:val="00EA0C9B"/>
    <w:rsid w:val="00EA116A"/>
    <w:rsid w:val="00EA116C"/>
    <w:rsid w:val="00EA1395"/>
    <w:rsid w:val="00EA1435"/>
    <w:rsid w:val="00EA1737"/>
    <w:rsid w:val="00EA1B2B"/>
    <w:rsid w:val="00EA1BE1"/>
    <w:rsid w:val="00EA1E72"/>
    <w:rsid w:val="00EA2113"/>
    <w:rsid w:val="00EA25BB"/>
    <w:rsid w:val="00EA26DD"/>
    <w:rsid w:val="00EA276C"/>
    <w:rsid w:val="00EA289D"/>
    <w:rsid w:val="00EA2F1D"/>
    <w:rsid w:val="00EA30A4"/>
    <w:rsid w:val="00EA316C"/>
    <w:rsid w:val="00EA3708"/>
    <w:rsid w:val="00EA3B6D"/>
    <w:rsid w:val="00EA3D28"/>
    <w:rsid w:val="00EA401A"/>
    <w:rsid w:val="00EA41AE"/>
    <w:rsid w:val="00EA4456"/>
    <w:rsid w:val="00EA4806"/>
    <w:rsid w:val="00EA4E81"/>
    <w:rsid w:val="00EA5414"/>
    <w:rsid w:val="00EA5515"/>
    <w:rsid w:val="00EA6167"/>
    <w:rsid w:val="00EA6765"/>
    <w:rsid w:val="00EA67D5"/>
    <w:rsid w:val="00EA683C"/>
    <w:rsid w:val="00EA6D8A"/>
    <w:rsid w:val="00EA6ED9"/>
    <w:rsid w:val="00EA731C"/>
    <w:rsid w:val="00EA7738"/>
    <w:rsid w:val="00EB0573"/>
    <w:rsid w:val="00EB07B6"/>
    <w:rsid w:val="00EB0D51"/>
    <w:rsid w:val="00EB1003"/>
    <w:rsid w:val="00EB1300"/>
    <w:rsid w:val="00EB1574"/>
    <w:rsid w:val="00EB158F"/>
    <w:rsid w:val="00EB1906"/>
    <w:rsid w:val="00EB1926"/>
    <w:rsid w:val="00EB1C99"/>
    <w:rsid w:val="00EB1EAB"/>
    <w:rsid w:val="00EB2288"/>
    <w:rsid w:val="00EB2356"/>
    <w:rsid w:val="00EB24CF"/>
    <w:rsid w:val="00EB2895"/>
    <w:rsid w:val="00EB2990"/>
    <w:rsid w:val="00EB2A65"/>
    <w:rsid w:val="00EB3559"/>
    <w:rsid w:val="00EB3CB8"/>
    <w:rsid w:val="00EB41D2"/>
    <w:rsid w:val="00EB430D"/>
    <w:rsid w:val="00EB4465"/>
    <w:rsid w:val="00EB46BF"/>
    <w:rsid w:val="00EB5107"/>
    <w:rsid w:val="00EB5658"/>
    <w:rsid w:val="00EB57EB"/>
    <w:rsid w:val="00EB5B11"/>
    <w:rsid w:val="00EB5C24"/>
    <w:rsid w:val="00EB5CA0"/>
    <w:rsid w:val="00EB62DF"/>
    <w:rsid w:val="00EB6894"/>
    <w:rsid w:val="00EB68FB"/>
    <w:rsid w:val="00EB6CD0"/>
    <w:rsid w:val="00EB7191"/>
    <w:rsid w:val="00EB71CB"/>
    <w:rsid w:val="00EB7281"/>
    <w:rsid w:val="00EC06BD"/>
    <w:rsid w:val="00EC0ACE"/>
    <w:rsid w:val="00EC0B82"/>
    <w:rsid w:val="00EC0DD9"/>
    <w:rsid w:val="00EC0E6A"/>
    <w:rsid w:val="00EC11DE"/>
    <w:rsid w:val="00EC1344"/>
    <w:rsid w:val="00EC1484"/>
    <w:rsid w:val="00EC157B"/>
    <w:rsid w:val="00EC17C0"/>
    <w:rsid w:val="00EC21E1"/>
    <w:rsid w:val="00EC2262"/>
    <w:rsid w:val="00EC22F9"/>
    <w:rsid w:val="00EC237A"/>
    <w:rsid w:val="00EC24C1"/>
    <w:rsid w:val="00EC2D86"/>
    <w:rsid w:val="00EC2FDE"/>
    <w:rsid w:val="00EC3261"/>
    <w:rsid w:val="00EC38DA"/>
    <w:rsid w:val="00EC3DAC"/>
    <w:rsid w:val="00EC3F42"/>
    <w:rsid w:val="00EC3FE2"/>
    <w:rsid w:val="00EC429F"/>
    <w:rsid w:val="00EC4D5F"/>
    <w:rsid w:val="00EC4EED"/>
    <w:rsid w:val="00EC5D0C"/>
    <w:rsid w:val="00EC67E6"/>
    <w:rsid w:val="00EC6CC3"/>
    <w:rsid w:val="00EC71A5"/>
    <w:rsid w:val="00EC7FF6"/>
    <w:rsid w:val="00ED135C"/>
    <w:rsid w:val="00ED1755"/>
    <w:rsid w:val="00ED1AEA"/>
    <w:rsid w:val="00ED1E37"/>
    <w:rsid w:val="00ED1F47"/>
    <w:rsid w:val="00ED2157"/>
    <w:rsid w:val="00ED27AD"/>
    <w:rsid w:val="00ED295B"/>
    <w:rsid w:val="00ED30FD"/>
    <w:rsid w:val="00ED3750"/>
    <w:rsid w:val="00ED3C48"/>
    <w:rsid w:val="00ED3CD3"/>
    <w:rsid w:val="00ED3EA4"/>
    <w:rsid w:val="00ED42E1"/>
    <w:rsid w:val="00ED4481"/>
    <w:rsid w:val="00ED4657"/>
    <w:rsid w:val="00ED46D2"/>
    <w:rsid w:val="00ED548B"/>
    <w:rsid w:val="00ED5E25"/>
    <w:rsid w:val="00ED623B"/>
    <w:rsid w:val="00ED67E2"/>
    <w:rsid w:val="00ED6A05"/>
    <w:rsid w:val="00ED6CDF"/>
    <w:rsid w:val="00ED7237"/>
    <w:rsid w:val="00ED7473"/>
    <w:rsid w:val="00ED7771"/>
    <w:rsid w:val="00ED7DE6"/>
    <w:rsid w:val="00EE00C8"/>
    <w:rsid w:val="00EE04C8"/>
    <w:rsid w:val="00EE0F6D"/>
    <w:rsid w:val="00EE135F"/>
    <w:rsid w:val="00EE1395"/>
    <w:rsid w:val="00EE17D0"/>
    <w:rsid w:val="00EE1823"/>
    <w:rsid w:val="00EE20DF"/>
    <w:rsid w:val="00EE25CA"/>
    <w:rsid w:val="00EE28F0"/>
    <w:rsid w:val="00EE2B0F"/>
    <w:rsid w:val="00EE2EA6"/>
    <w:rsid w:val="00EE3754"/>
    <w:rsid w:val="00EE3CD1"/>
    <w:rsid w:val="00EE42DD"/>
    <w:rsid w:val="00EE46F1"/>
    <w:rsid w:val="00EE4A0F"/>
    <w:rsid w:val="00EE50DD"/>
    <w:rsid w:val="00EE50EA"/>
    <w:rsid w:val="00EE5133"/>
    <w:rsid w:val="00EE5A17"/>
    <w:rsid w:val="00EE5C44"/>
    <w:rsid w:val="00EE62E8"/>
    <w:rsid w:val="00EE6939"/>
    <w:rsid w:val="00EE71F0"/>
    <w:rsid w:val="00EE74F5"/>
    <w:rsid w:val="00EF00BC"/>
    <w:rsid w:val="00EF02AD"/>
    <w:rsid w:val="00EF0393"/>
    <w:rsid w:val="00EF0B50"/>
    <w:rsid w:val="00EF0C17"/>
    <w:rsid w:val="00EF14AE"/>
    <w:rsid w:val="00EF18AF"/>
    <w:rsid w:val="00EF1A5A"/>
    <w:rsid w:val="00EF1EB2"/>
    <w:rsid w:val="00EF228A"/>
    <w:rsid w:val="00EF31E3"/>
    <w:rsid w:val="00EF322A"/>
    <w:rsid w:val="00EF37B0"/>
    <w:rsid w:val="00EF3A54"/>
    <w:rsid w:val="00EF3D7E"/>
    <w:rsid w:val="00EF4431"/>
    <w:rsid w:val="00EF44C3"/>
    <w:rsid w:val="00EF46E4"/>
    <w:rsid w:val="00EF4F2D"/>
    <w:rsid w:val="00EF4FD4"/>
    <w:rsid w:val="00EF51DE"/>
    <w:rsid w:val="00EF57E4"/>
    <w:rsid w:val="00EF5BEA"/>
    <w:rsid w:val="00EF735A"/>
    <w:rsid w:val="00F00397"/>
    <w:rsid w:val="00F008B9"/>
    <w:rsid w:val="00F008D1"/>
    <w:rsid w:val="00F00A70"/>
    <w:rsid w:val="00F01C1A"/>
    <w:rsid w:val="00F01DA9"/>
    <w:rsid w:val="00F023E7"/>
    <w:rsid w:val="00F023F6"/>
    <w:rsid w:val="00F024CC"/>
    <w:rsid w:val="00F02A5D"/>
    <w:rsid w:val="00F02E79"/>
    <w:rsid w:val="00F02E7A"/>
    <w:rsid w:val="00F0317B"/>
    <w:rsid w:val="00F0341B"/>
    <w:rsid w:val="00F04052"/>
    <w:rsid w:val="00F04081"/>
    <w:rsid w:val="00F0432F"/>
    <w:rsid w:val="00F047FA"/>
    <w:rsid w:val="00F0519D"/>
    <w:rsid w:val="00F051E7"/>
    <w:rsid w:val="00F05B63"/>
    <w:rsid w:val="00F05FF9"/>
    <w:rsid w:val="00F0670C"/>
    <w:rsid w:val="00F06D46"/>
    <w:rsid w:val="00F06E9B"/>
    <w:rsid w:val="00F0747B"/>
    <w:rsid w:val="00F07766"/>
    <w:rsid w:val="00F07F71"/>
    <w:rsid w:val="00F1033E"/>
    <w:rsid w:val="00F10431"/>
    <w:rsid w:val="00F10929"/>
    <w:rsid w:val="00F10F00"/>
    <w:rsid w:val="00F1159B"/>
    <w:rsid w:val="00F116D4"/>
    <w:rsid w:val="00F1204C"/>
    <w:rsid w:val="00F12172"/>
    <w:rsid w:val="00F1278E"/>
    <w:rsid w:val="00F12AEF"/>
    <w:rsid w:val="00F13045"/>
    <w:rsid w:val="00F131F2"/>
    <w:rsid w:val="00F13355"/>
    <w:rsid w:val="00F13E84"/>
    <w:rsid w:val="00F140DF"/>
    <w:rsid w:val="00F14546"/>
    <w:rsid w:val="00F148A0"/>
    <w:rsid w:val="00F14923"/>
    <w:rsid w:val="00F14949"/>
    <w:rsid w:val="00F14C52"/>
    <w:rsid w:val="00F14DD5"/>
    <w:rsid w:val="00F150B0"/>
    <w:rsid w:val="00F15D8B"/>
    <w:rsid w:val="00F15F00"/>
    <w:rsid w:val="00F17209"/>
    <w:rsid w:val="00F20209"/>
    <w:rsid w:val="00F209E2"/>
    <w:rsid w:val="00F20FF1"/>
    <w:rsid w:val="00F21116"/>
    <w:rsid w:val="00F2174C"/>
    <w:rsid w:val="00F21925"/>
    <w:rsid w:val="00F224A3"/>
    <w:rsid w:val="00F22771"/>
    <w:rsid w:val="00F22E59"/>
    <w:rsid w:val="00F234FD"/>
    <w:rsid w:val="00F2351E"/>
    <w:rsid w:val="00F23681"/>
    <w:rsid w:val="00F23793"/>
    <w:rsid w:val="00F23C6D"/>
    <w:rsid w:val="00F24B18"/>
    <w:rsid w:val="00F25001"/>
    <w:rsid w:val="00F25104"/>
    <w:rsid w:val="00F2515F"/>
    <w:rsid w:val="00F256FB"/>
    <w:rsid w:val="00F2591B"/>
    <w:rsid w:val="00F25BCD"/>
    <w:rsid w:val="00F261B8"/>
    <w:rsid w:val="00F2631E"/>
    <w:rsid w:val="00F26CE9"/>
    <w:rsid w:val="00F26EF9"/>
    <w:rsid w:val="00F27107"/>
    <w:rsid w:val="00F2730E"/>
    <w:rsid w:val="00F2733D"/>
    <w:rsid w:val="00F273E2"/>
    <w:rsid w:val="00F27AA6"/>
    <w:rsid w:val="00F27C6A"/>
    <w:rsid w:val="00F302F3"/>
    <w:rsid w:val="00F311A8"/>
    <w:rsid w:val="00F31785"/>
    <w:rsid w:val="00F317A6"/>
    <w:rsid w:val="00F31834"/>
    <w:rsid w:val="00F3234A"/>
    <w:rsid w:val="00F3276F"/>
    <w:rsid w:val="00F32CB4"/>
    <w:rsid w:val="00F32E63"/>
    <w:rsid w:val="00F335DC"/>
    <w:rsid w:val="00F33731"/>
    <w:rsid w:val="00F33B32"/>
    <w:rsid w:val="00F33F21"/>
    <w:rsid w:val="00F34245"/>
    <w:rsid w:val="00F349BA"/>
    <w:rsid w:val="00F34B5D"/>
    <w:rsid w:val="00F34BB8"/>
    <w:rsid w:val="00F34C75"/>
    <w:rsid w:val="00F35378"/>
    <w:rsid w:val="00F356F4"/>
    <w:rsid w:val="00F35C4F"/>
    <w:rsid w:val="00F368DB"/>
    <w:rsid w:val="00F36DEC"/>
    <w:rsid w:val="00F36E96"/>
    <w:rsid w:val="00F3708C"/>
    <w:rsid w:val="00F37159"/>
    <w:rsid w:val="00F372DB"/>
    <w:rsid w:val="00F3746F"/>
    <w:rsid w:val="00F37481"/>
    <w:rsid w:val="00F37771"/>
    <w:rsid w:val="00F4031C"/>
    <w:rsid w:val="00F40F0E"/>
    <w:rsid w:val="00F410D0"/>
    <w:rsid w:val="00F411A5"/>
    <w:rsid w:val="00F41429"/>
    <w:rsid w:val="00F4161C"/>
    <w:rsid w:val="00F41791"/>
    <w:rsid w:val="00F41A99"/>
    <w:rsid w:val="00F41AA2"/>
    <w:rsid w:val="00F41AAD"/>
    <w:rsid w:val="00F41CF3"/>
    <w:rsid w:val="00F41EC4"/>
    <w:rsid w:val="00F41F8E"/>
    <w:rsid w:val="00F41FE5"/>
    <w:rsid w:val="00F423FD"/>
    <w:rsid w:val="00F42F66"/>
    <w:rsid w:val="00F4368F"/>
    <w:rsid w:val="00F43732"/>
    <w:rsid w:val="00F43960"/>
    <w:rsid w:val="00F43C50"/>
    <w:rsid w:val="00F43DE1"/>
    <w:rsid w:val="00F44399"/>
    <w:rsid w:val="00F44F05"/>
    <w:rsid w:val="00F45EC3"/>
    <w:rsid w:val="00F460F1"/>
    <w:rsid w:val="00F466D8"/>
    <w:rsid w:val="00F46CD4"/>
    <w:rsid w:val="00F46FF9"/>
    <w:rsid w:val="00F47292"/>
    <w:rsid w:val="00F47530"/>
    <w:rsid w:val="00F47C22"/>
    <w:rsid w:val="00F47D63"/>
    <w:rsid w:val="00F5074E"/>
    <w:rsid w:val="00F50783"/>
    <w:rsid w:val="00F5086C"/>
    <w:rsid w:val="00F51433"/>
    <w:rsid w:val="00F524E0"/>
    <w:rsid w:val="00F52AD0"/>
    <w:rsid w:val="00F52F78"/>
    <w:rsid w:val="00F53290"/>
    <w:rsid w:val="00F533CE"/>
    <w:rsid w:val="00F535C4"/>
    <w:rsid w:val="00F53928"/>
    <w:rsid w:val="00F53BCB"/>
    <w:rsid w:val="00F53C72"/>
    <w:rsid w:val="00F55226"/>
    <w:rsid w:val="00F55A98"/>
    <w:rsid w:val="00F56A0A"/>
    <w:rsid w:val="00F56D63"/>
    <w:rsid w:val="00F576A4"/>
    <w:rsid w:val="00F60485"/>
    <w:rsid w:val="00F60771"/>
    <w:rsid w:val="00F60C9C"/>
    <w:rsid w:val="00F6131D"/>
    <w:rsid w:val="00F61913"/>
    <w:rsid w:val="00F61F02"/>
    <w:rsid w:val="00F62D33"/>
    <w:rsid w:val="00F62F80"/>
    <w:rsid w:val="00F632C4"/>
    <w:rsid w:val="00F63A87"/>
    <w:rsid w:val="00F64280"/>
    <w:rsid w:val="00F6461E"/>
    <w:rsid w:val="00F64AEC"/>
    <w:rsid w:val="00F64ECC"/>
    <w:rsid w:val="00F65327"/>
    <w:rsid w:val="00F65748"/>
    <w:rsid w:val="00F662A5"/>
    <w:rsid w:val="00F6663E"/>
    <w:rsid w:val="00F667D5"/>
    <w:rsid w:val="00F66C18"/>
    <w:rsid w:val="00F66D4F"/>
    <w:rsid w:val="00F66FAB"/>
    <w:rsid w:val="00F67308"/>
    <w:rsid w:val="00F674FD"/>
    <w:rsid w:val="00F70719"/>
    <w:rsid w:val="00F71508"/>
    <w:rsid w:val="00F71509"/>
    <w:rsid w:val="00F71623"/>
    <w:rsid w:val="00F7176C"/>
    <w:rsid w:val="00F717EB"/>
    <w:rsid w:val="00F71986"/>
    <w:rsid w:val="00F720CC"/>
    <w:rsid w:val="00F72538"/>
    <w:rsid w:val="00F725C3"/>
    <w:rsid w:val="00F72679"/>
    <w:rsid w:val="00F7270F"/>
    <w:rsid w:val="00F72805"/>
    <w:rsid w:val="00F72A48"/>
    <w:rsid w:val="00F72F8D"/>
    <w:rsid w:val="00F730ED"/>
    <w:rsid w:val="00F736F1"/>
    <w:rsid w:val="00F73AFF"/>
    <w:rsid w:val="00F73E85"/>
    <w:rsid w:val="00F73EC7"/>
    <w:rsid w:val="00F73F05"/>
    <w:rsid w:val="00F7402D"/>
    <w:rsid w:val="00F743C2"/>
    <w:rsid w:val="00F74678"/>
    <w:rsid w:val="00F74993"/>
    <w:rsid w:val="00F74BD3"/>
    <w:rsid w:val="00F751C6"/>
    <w:rsid w:val="00F75A40"/>
    <w:rsid w:val="00F765BB"/>
    <w:rsid w:val="00F766F9"/>
    <w:rsid w:val="00F76C16"/>
    <w:rsid w:val="00F76EDA"/>
    <w:rsid w:val="00F774B6"/>
    <w:rsid w:val="00F77C79"/>
    <w:rsid w:val="00F802FF"/>
    <w:rsid w:val="00F8051A"/>
    <w:rsid w:val="00F805A4"/>
    <w:rsid w:val="00F807BA"/>
    <w:rsid w:val="00F80C59"/>
    <w:rsid w:val="00F81468"/>
    <w:rsid w:val="00F81B60"/>
    <w:rsid w:val="00F820C3"/>
    <w:rsid w:val="00F82906"/>
    <w:rsid w:val="00F82B4B"/>
    <w:rsid w:val="00F831C4"/>
    <w:rsid w:val="00F83728"/>
    <w:rsid w:val="00F838E5"/>
    <w:rsid w:val="00F841B5"/>
    <w:rsid w:val="00F84290"/>
    <w:rsid w:val="00F8429D"/>
    <w:rsid w:val="00F84CCF"/>
    <w:rsid w:val="00F84F62"/>
    <w:rsid w:val="00F85A92"/>
    <w:rsid w:val="00F85AAC"/>
    <w:rsid w:val="00F85E18"/>
    <w:rsid w:val="00F86295"/>
    <w:rsid w:val="00F8694F"/>
    <w:rsid w:val="00F86C1F"/>
    <w:rsid w:val="00F87555"/>
    <w:rsid w:val="00F87BB0"/>
    <w:rsid w:val="00F87CC2"/>
    <w:rsid w:val="00F901C7"/>
    <w:rsid w:val="00F90DD7"/>
    <w:rsid w:val="00F911C5"/>
    <w:rsid w:val="00F9154F"/>
    <w:rsid w:val="00F91930"/>
    <w:rsid w:val="00F92DB2"/>
    <w:rsid w:val="00F93915"/>
    <w:rsid w:val="00F93E95"/>
    <w:rsid w:val="00F950D1"/>
    <w:rsid w:val="00F953C9"/>
    <w:rsid w:val="00F957F3"/>
    <w:rsid w:val="00F9592B"/>
    <w:rsid w:val="00F95E29"/>
    <w:rsid w:val="00F962B0"/>
    <w:rsid w:val="00F969A9"/>
    <w:rsid w:val="00F96B62"/>
    <w:rsid w:val="00F970BE"/>
    <w:rsid w:val="00F979BF"/>
    <w:rsid w:val="00F97B13"/>
    <w:rsid w:val="00F97B48"/>
    <w:rsid w:val="00F97CB5"/>
    <w:rsid w:val="00FA001F"/>
    <w:rsid w:val="00FA013F"/>
    <w:rsid w:val="00FA0522"/>
    <w:rsid w:val="00FA099F"/>
    <w:rsid w:val="00FA0C75"/>
    <w:rsid w:val="00FA0FE1"/>
    <w:rsid w:val="00FA115B"/>
    <w:rsid w:val="00FA14BA"/>
    <w:rsid w:val="00FA163D"/>
    <w:rsid w:val="00FA17F9"/>
    <w:rsid w:val="00FA1B85"/>
    <w:rsid w:val="00FA1EFA"/>
    <w:rsid w:val="00FA252D"/>
    <w:rsid w:val="00FA2635"/>
    <w:rsid w:val="00FA3789"/>
    <w:rsid w:val="00FA37B9"/>
    <w:rsid w:val="00FA3947"/>
    <w:rsid w:val="00FA3C05"/>
    <w:rsid w:val="00FA48B0"/>
    <w:rsid w:val="00FA48E5"/>
    <w:rsid w:val="00FA4AD4"/>
    <w:rsid w:val="00FA5231"/>
    <w:rsid w:val="00FA56FB"/>
    <w:rsid w:val="00FA5A93"/>
    <w:rsid w:val="00FA5DE4"/>
    <w:rsid w:val="00FA649C"/>
    <w:rsid w:val="00FA67A1"/>
    <w:rsid w:val="00FA693E"/>
    <w:rsid w:val="00FA6A2A"/>
    <w:rsid w:val="00FA6A92"/>
    <w:rsid w:val="00FA6E9A"/>
    <w:rsid w:val="00FA6EDE"/>
    <w:rsid w:val="00FA7094"/>
    <w:rsid w:val="00FA7647"/>
    <w:rsid w:val="00FA76CE"/>
    <w:rsid w:val="00FA7885"/>
    <w:rsid w:val="00FA7A98"/>
    <w:rsid w:val="00FB0879"/>
    <w:rsid w:val="00FB0971"/>
    <w:rsid w:val="00FB1989"/>
    <w:rsid w:val="00FB19A8"/>
    <w:rsid w:val="00FB2341"/>
    <w:rsid w:val="00FB255D"/>
    <w:rsid w:val="00FB2602"/>
    <w:rsid w:val="00FB2772"/>
    <w:rsid w:val="00FB2A88"/>
    <w:rsid w:val="00FB2D78"/>
    <w:rsid w:val="00FB314B"/>
    <w:rsid w:val="00FB32CE"/>
    <w:rsid w:val="00FB3339"/>
    <w:rsid w:val="00FB36D0"/>
    <w:rsid w:val="00FB3E56"/>
    <w:rsid w:val="00FB421E"/>
    <w:rsid w:val="00FB426F"/>
    <w:rsid w:val="00FB4437"/>
    <w:rsid w:val="00FB473F"/>
    <w:rsid w:val="00FB487E"/>
    <w:rsid w:val="00FB4918"/>
    <w:rsid w:val="00FB4CC9"/>
    <w:rsid w:val="00FB4D01"/>
    <w:rsid w:val="00FB4EE1"/>
    <w:rsid w:val="00FB5952"/>
    <w:rsid w:val="00FB5DBC"/>
    <w:rsid w:val="00FB5E5A"/>
    <w:rsid w:val="00FB6297"/>
    <w:rsid w:val="00FB62E0"/>
    <w:rsid w:val="00FB6783"/>
    <w:rsid w:val="00FB685B"/>
    <w:rsid w:val="00FB6CED"/>
    <w:rsid w:val="00FB6F44"/>
    <w:rsid w:val="00FB7DD0"/>
    <w:rsid w:val="00FB7E60"/>
    <w:rsid w:val="00FB7E89"/>
    <w:rsid w:val="00FC08A3"/>
    <w:rsid w:val="00FC08AA"/>
    <w:rsid w:val="00FC148B"/>
    <w:rsid w:val="00FC17BD"/>
    <w:rsid w:val="00FC1BA0"/>
    <w:rsid w:val="00FC1DBA"/>
    <w:rsid w:val="00FC1DCE"/>
    <w:rsid w:val="00FC1E06"/>
    <w:rsid w:val="00FC2258"/>
    <w:rsid w:val="00FC24AB"/>
    <w:rsid w:val="00FC261E"/>
    <w:rsid w:val="00FC2730"/>
    <w:rsid w:val="00FC3209"/>
    <w:rsid w:val="00FC3C7E"/>
    <w:rsid w:val="00FC3CBE"/>
    <w:rsid w:val="00FC405B"/>
    <w:rsid w:val="00FC45EF"/>
    <w:rsid w:val="00FC47CC"/>
    <w:rsid w:val="00FC4B4B"/>
    <w:rsid w:val="00FC4DB8"/>
    <w:rsid w:val="00FC525E"/>
    <w:rsid w:val="00FC5369"/>
    <w:rsid w:val="00FC6042"/>
    <w:rsid w:val="00FC6287"/>
    <w:rsid w:val="00FC6365"/>
    <w:rsid w:val="00FC757A"/>
    <w:rsid w:val="00FC75F7"/>
    <w:rsid w:val="00FC78A4"/>
    <w:rsid w:val="00FC7C51"/>
    <w:rsid w:val="00FD0001"/>
    <w:rsid w:val="00FD014C"/>
    <w:rsid w:val="00FD154E"/>
    <w:rsid w:val="00FD1874"/>
    <w:rsid w:val="00FD1E61"/>
    <w:rsid w:val="00FD1EEE"/>
    <w:rsid w:val="00FD1FCC"/>
    <w:rsid w:val="00FD2141"/>
    <w:rsid w:val="00FD23CA"/>
    <w:rsid w:val="00FD2592"/>
    <w:rsid w:val="00FD263C"/>
    <w:rsid w:val="00FD28CF"/>
    <w:rsid w:val="00FD291A"/>
    <w:rsid w:val="00FD296A"/>
    <w:rsid w:val="00FD2AFD"/>
    <w:rsid w:val="00FD2EE9"/>
    <w:rsid w:val="00FD3702"/>
    <w:rsid w:val="00FD3C49"/>
    <w:rsid w:val="00FD3FF3"/>
    <w:rsid w:val="00FD439D"/>
    <w:rsid w:val="00FD479F"/>
    <w:rsid w:val="00FD4E45"/>
    <w:rsid w:val="00FD4FCE"/>
    <w:rsid w:val="00FD505D"/>
    <w:rsid w:val="00FD5142"/>
    <w:rsid w:val="00FD56AD"/>
    <w:rsid w:val="00FD5BF9"/>
    <w:rsid w:val="00FD6342"/>
    <w:rsid w:val="00FD648B"/>
    <w:rsid w:val="00FD66DC"/>
    <w:rsid w:val="00FD681A"/>
    <w:rsid w:val="00FD76B1"/>
    <w:rsid w:val="00FD7884"/>
    <w:rsid w:val="00FD7A5A"/>
    <w:rsid w:val="00FE04B8"/>
    <w:rsid w:val="00FE05D6"/>
    <w:rsid w:val="00FE06E0"/>
    <w:rsid w:val="00FE0A1D"/>
    <w:rsid w:val="00FE0AE2"/>
    <w:rsid w:val="00FE0B9E"/>
    <w:rsid w:val="00FE0CD0"/>
    <w:rsid w:val="00FE1414"/>
    <w:rsid w:val="00FE21B3"/>
    <w:rsid w:val="00FE2333"/>
    <w:rsid w:val="00FE2789"/>
    <w:rsid w:val="00FE27F4"/>
    <w:rsid w:val="00FE29DB"/>
    <w:rsid w:val="00FE2A6B"/>
    <w:rsid w:val="00FE30F6"/>
    <w:rsid w:val="00FE3ABA"/>
    <w:rsid w:val="00FE3FF7"/>
    <w:rsid w:val="00FE44C9"/>
    <w:rsid w:val="00FE4A60"/>
    <w:rsid w:val="00FE4C3C"/>
    <w:rsid w:val="00FE4CD8"/>
    <w:rsid w:val="00FE4D9B"/>
    <w:rsid w:val="00FE4E8D"/>
    <w:rsid w:val="00FE5540"/>
    <w:rsid w:val="00FE560B"/>
    <w:rsid w:val="00FE5B80"/>
    <w:rsid w:val="00FE5F3B"/>
    <w:rsid w:val="00FE6021"/>
    <w:rsid w:val="00FE634B"/>
    <w:rsid w:val="00FE63FD"/>
    <w:rsid w:val="00FE6EB2"/>
    <w:rsid w:val="00FE7669"/>
    <w:rsid w:val="00FF0A05"/>
    <w:rsid w:val="00FF0CFB"/>
    <w:rsid w:val="00FF1095"/>
    <w:rsid w:val="00FF1163"/>
    <w:rsid w:val="00FF13DC"/>
    <w:rsid w:val="00FF16BE"/>
    <w:rsid w:val="00FF208B"/>
    <w:rsid w:val="00FF2163"/>
    <w:rsid w:val="00FF2237"/>
    <w:rsid w:val="00FF2ADE"/>
    <w:rsid w:val="00FF2D1C"/>
    <w:rsid w:val="00FF2D24"/>
    <w:rsid w:val="00FF360A"/>
    <w:rsid w:val="00FF3B8E"/>
    <w:rsid w:val="00FF4194"/>
    <w:rsid w:val="00FF4661"/>
    <w:rsid w:val="00FF4B37"/>
    <w:rsid w:val="00FF5327"/>
    <w:rsid w:val="00FF65A5"/>
    <w:rsid w:val="00FF65BA"/>
    <w:rsid w:val="00FF6BBB"/>
    <w:rsid w:val="00FF701E"/>
    <w:rsid w:val="00FF734D"/>
    <w:rsid w:val="00FF744F"/>
    <w:rsid w:val="00FF7D47"/>
    <w:rsid w:val="00FF7EB5"/>
    <w:rsid w:val="00FF7F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horizontal:center;mso-width-percent:400;mso-height-percent:200;mso-width-relative:margin;mso-height-relative:margin" fillcolor="white">
      <v:fill color="white"/>
      <v:textbox style="mso-fit-shape-to-text:t"/>
      <o:colormru v:ext="edit" colors="#bd1f2b,#cf1e24,#d90b13,#e31c18"/>
    </o:shapedefaults>
    <o:shapelayout v:ext="edit">
      <o:idmap v:ext="edit" data="1"/>
    </o:shapelayout>
  </w:shapeDefaults>
  <w:decimalSymbol w:val=","/>
  <w:listSeparator w:val=";"/>
  <w14:docId w14:val="22B1C60E"/>
  <w15:docId w15:val="{BC796590-5608-41E9-BF61-D698185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36550"/>
    <w:pPr>
      <w:widowControl w:val="0"/>
      <w:overflowPunct w:val="0"/>
      <w:autoSpaceDE w:val="0"/>
      <w:autoSpaceDN w:val="0"/>
      <w:adjustRightInd w:val="0"/>
      <w:spacing w:before="100" w:after="100"/>
    </w:pPr>
    <w:rPr>
      <w:kern w:val="28"/>
    </w:rPr>
  </w:style>
  <w:style w:type="paragraph" w:styleId="Titolo1">
    <w:name w:val="heading 1"/>
    <w:basedOn w:val="Normale"/>
    <w:next w:val="Normale"/>
    <w:link w:val="Titolo1Carattere"/>
    <w:uiPriority w:val="99"/>
    <w:qFormat/>
    <w:rsid w:val="00BC3FFD"/>
    <w:pPr>
      <w:keepNext/>
      <w:spacing w:before="0" w:after="120"/>
      <w:jc w:val="both"/>
      <w:outlineLvl w:val="0"/>
    </w:pPr>
    <w:rPr>
      <w:rFonts w:ascii="Cambria" w:hAnsi="Cambria"/>
      <w:b/>
      <w:kern w:val="32"/>
      <w:sz w:val="32"/>
    </w:rPr>
  </w:style>
  <w:style w:type="paragraph" w:styleId="Titolo2">
    <w:name w:val="heading 2"/>
    <w:basedOn w:val="Normale"/>
    <w:next w:val="Normale"/>
    <w:link w:val="Titolo2Carattere"/>
    <w:qFormat/>
    <w:locked/>
    <w:rsid w:val="00401F4B"/>
    <w:pPr>
      <w:keepNext/>
      <w:widowControl/>
      <w:overflowPunct/>
      <w:autoSpaceDE/>
      <w:autoSpaceDN/>
      <w:adjustRightInd/>
      <w:spacing w:before="240" w:after="60"/>
      <w:outlineLvl w:val="1"/>
    </w:pPr>
    <w:rPr>
      <w:rFonts w:ascii="Arial" w:hAnsi="Arial" w:cs="Arial"/>
      <w:b/>
      <w:bCs/>
      <w:i/>
      <w:iCs/>
      <w:kern w:val="0"/>
      <w:sz w:val="28"/>
      <w:szCs w:val="28"/>
    </w:rPr>
  </w:style>
  <w:style w:type="paragraph" w:styleId="Titolo3">
    <w:name w:val="heading 3"/>
    <w:basedOn w:val="Normale"/>
    <w:next w:val="Normale"/>
    <w:link w:val="Titolo3Carattere"/>
    <w:qFormat/>
    <w:locked/>
    <w:rsid w:val="003C4C04"/>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locked/>
    <w:rsid w:val="00CD17F5"/>
    <w:pPr>
      <w:keepNext/>
      <w:keepLines/>
      <w:spacing w:before="200" w:after="0"/>
      <w:outlineLvl w:val="3"/>
    </w:pPr>
    <w:rPr>
      <w:rFonts w:ascii="Cambria" w:hAnsi="Cambria"/>
      <w:b/>
      <w:bCs/>
      <w:i/>
      <w:iCs/>
      <w:color w:val="4F81BD"/>
    </w:rPr>
  </w:style>
  <w:style w:type="paragraph" w:styleId="Titolo9">
    <w:name w:val="heading 9"/>
    <w:basedOn w:val="Normale"/>
    <w:next w:val="Normale"/>
    <w:link w:val="Titolo9Carattere"/>
    <w:qFormat/>
    <w:locked/>
    <w:rsid w:val="00401F4B"/>
    <w:pPr>
      <w:widowControl/>
      <w:overflowPunct/>
      <w:autoSpaceDE/>
      <w:autoSpaceDN/>
      <w:adjustRightInd/>
      <w:spacing w:before="240" w:after="60"/>
      <w:outlineLvl w:val="8"/>
    </w:pPr>
    <w:rPr>
      <w:rFonts w:ascii="Arial" w:hAnsi="Arial" w:cs="Arial"/>
      <w:kern w:val="0"/>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226782"/>
    <w:rPr>
      <w:rFonts w:ascii="Cambria" w:hAnsi="Cambria" w:cs="Times New Roman"/>
      <w:b/>
      <w:kern w:val="32"/>
      <w:sz w:val="32"/>
    </w:rPr>
  </w:style>
  <w:style w:type="paragraph" w:styleId="Corpotesto">
    <w:name w:val="Body Text"/>
    <w:basedOn w:val="Normale"/>
    <w:link w:val="CorpotestoCarattere"/>
    <w:rsid w:val="00BC3FFD"/>
    <w:pPr>
      <w:spacing w:before="0" w:after="0" w:line="360" w:lineRule="auto"/>
    </w:pPr>
  </w:style>
  <w:style w:type="character" w:customStyle="1" w:styleId="CorpotestoCarattere">
    <w:name w:val="Corpo testo Carattere"/>
    <w:link w:val="Corpotesto"/>
    <w:locked/>
    <w:rsid w:val="00226782"/>
    <w:rPr>
      <w:rFonts w:cs="Times New Roman"/>
      <w:kern w:val="28"/>
      <w:sz w:val="20"/>
    </w:rPr>
  </w:style>
  <w:style w:type="paragraph" w:styleId="Pidipagina">
    <w:name w:val="footer"/>
    <w:basedOn w:val="Normale"/>
    <w:link w:val="PidipaginaCarattere"/>
    <w:uiPriority w:val="99"/>
    <w:rsid w:val="00BC3FFD"/>
    <w:pPr>
      <w:tabs>
        <w:tab w:val="center" w:pos="4818"/>
        <w:tab w:val="right" w:pos="9637"/>
      </w:tabs>
      <w:spacing w:before="0" w:after="0"/>
      <w:jc w:val="both"/>
    </w:pPr>
  </w:style>
  <w:style w:type="character" w:customStyle="1" w:styleId="PidipaginaCarattere">
    <w:name w:val="Piè di pagina Carattere"/>
    <w:link w:val="Pidipagina"/>
    <w:uiPriority w:val="99"/>
    <w:locked/>
    <w:rsid w:val="00226782"/>
    <w:rPr>
      <w:rFonts w:cs="Times New Roman"/>
      <w:kern w:val="28"/>
      <w:sz w:val="20"/>
    </w:rPr>
  </w:style>
  <w:style w:type="character" w:styleId="Collegamentoipertestuale">
    <w:name w:val="Hyperlink"/>
    <w:uiPriority w:val="99"/>
    <w:rsid w:val="001F7282"/>
    <w:rPr>
      <w:rFonts w:cs="Times New Roman"/>
      <w:color w:val="0000FF"/>
      <w:u w:val="single"/>
    </w:rPr>
  </w:style>
  <w:style w:type="paragraph" w:styleId="Intestazione">
    <w:name w:val="header"/>
    <w:basedOn w:val="Normale"/>
    <w:link w:val="IntestazioneCarattere"/>
    <w:rsid w:val="000F6161"/>
    <w:pPr>
      <w:tabs>
        <w:tab w:val="center" w:pos="4819"/>
        <w:tab w:val="right" w:pos="9638"/>
      </w:tabs>
    </w:pPr>
  </w:style>
  <w:style w:type="character" w:customStyle="1" w:styleId="IntestazioneCarattere">
    <w:name w:val="Intestazione Carattere"/>
    <w:link w:val="Intestazione"/>
    <w:locked/>
    <w:rsid w:val="00226782"/>
    <w:rPr>
      <w:rFonts w:cs="Times New Roman"/>
      <w:kern w:val="28"/>
      <w:sz w:val="20"/>
    </w:rPr>
  </w:style>
  <w:style w:type="character" w:styleId="Numeropagina">
    <w:name w:val="page number"/>
    <w:rsid w:val="0026018C"/>
    <w:rPr>
      <w:rFonts w:cs="Times New Roman"/>
    </w:rPr>
  </w:style>
  <w:style w:type="paragraph" w:styleId="Testofumetto">
    <w:name w:val="Balloon Text"/>
    <w:basedOn w:val="Normale"/>
    <w:link w:val="TestofumettoCarattere"/>
    <w:semiHidden/>
    <w:rsid w:val="00486F36"/>
    <w:rPr>
      <w:sz w:val="2"/>
    </w:rPr>
  </w:style>
  <w:style w:type="character" w:customStyle="1" w:styleId="TestofumettoCarattere">
    <w:name w:val="Testo fumetto Carattere"/>
    <w:link w:val="Testofumetto"/>
    <w:uiPriority w:val="99"/>
    <w:semiHidden/>
    <w:locked/>
    <w:rsid w:val="00226782"/>
    <w:rPr>
      <w:rFonts w:cs="Times New Roman"/>
      <w:kern w:val="28"/>
      <w:sz w:val="2"/>
    </w:rPr>
  </w:style>
  <w:style w:type="paragraph" w:styleId="NormaleWeb">
    <w:name w:val="Normal (Web)"/>
    <w:basedOn w:val="Normale"/>
    <w:uiPriority w:val="99"/>
    <w:rsid w:val="00100058"/>
    <w:pPr>
      <w:widowControl/>
      <w:overflowPunct/>
      <w:autoSpaceDE/>
      <w:autoSpaceDN/>
      <w:adjustRightInd/>
      <w:spacing w:beforeAutospacing="1" w:afterAutospacing="1"/>
    </w:pPr>
    <w:rPr>
      <w:kern w:val="0"/>
      <w:sz w:val="24"/>
      <w:szCs w:val="24"/>
    </w:rPr>
  </w:style>
  <w:style w:type="paragraph" w:styleId="PreformattatoHTML">
    <w:name w:val="HTML Preformatted"/>
    <w:basedOn w:val="Normale"/>
    <w:link w:val="PreformattatoHTMLCarattere"/>
    <w:uiPriority w:val="99"/>
    <w:rsid w:val="009060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after="0"/>
    </w:pPr>
    <w:rPr>
      <w:rFonts w:ascii="Courier New" w:hAnsi="Courier New"/>
    </w:rPr>
  </w:style>
  <w:style w:type="character" w:customStyle="1" w:styleId="PreformattatoHTMLCarattere">
    <w:name w:val="Preformattato HTML Carattere"/>
    <w:link w:val="PreformattatoHTML"/>
    <w:uiPriority w:val="99"/>
    <w:semiHidden/>
    <w:locked/>
    <w:rsid w:val="00226782"/>
    <w:rPr>
      <w:rFonts w:ascii="Courier New" w:hAnsi="Courier New" w:cs="Times New Roman"/>
      <w:kern w:val="28"/>
      <w:sz w:val="20"/>
    </w:rPr>
  </w:style>
  <w:style w:type="character" w:styleId="Enfasigrassetto">
    <w:name w:val="Strong"/>
    <w:uiPriority w:val="99"/>
    <w:qFormat/>
    <w:rsid w:val="008C6EAA"/>
    <w:rPr>
      <w:rFonts w:cs="Times New Roman"/>
      <w:b/>
    </w:rPr>
  </w:style>
  <w:style w:type="table" w:styleId="Grigliatabella">
    <w:name w:val="Table Grid"/>
    <w:basedOn w:val="Tabellanormale"/>
    <w:locked/>
    <w:rsid w:val="00E75D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uiPriority w:val="99"/>
    <w:rsid w:val="00E75DCC"/>
  </w:style>
  <w:style w:type="paragraph" w:styleId="Testonotaapidipagina">
    <w:name w:val="footnote text"/>
    <w:basedOn w:val="Normale"/>
    <w:link w:val="TestonotaapidipaginaCarattere"/>
    <w:uiPriority w:val="99"/>
    <w:rsid w:val="006C145B"/>
  </w:style>
  <w:style w:type="character" w:customStyle="1" w:styleId="TestonotaapidipaginaCarattere">
    <w:name w:val="Testo nota a piè di pagina Carattere"/>
    <w:link w:val="Testonotaapidipagina"/>
    <w:uiPriority w:val="99"/>
    <w:locked/>
    <w:rsid w:val="00F05FF9"/>
    <w:rPr>
      <w:rFonts w:cs="Times New Roman"/>
      <w:kern w:val="28"/>
      <w:sz w:val="20"/>
    </w:rPr>
  </w:style>
  <w:style w:type="character" w:styleId="Rimandonotaapidipagina">
    <w:name w:val="footnote reference"/>
    <w:rsid w:val="006C145B"/>
    <w:rPr>
      <w:rFonts w:cs="Times New Roman"/>
      <w:vertAlign w:val="superscript"/>
    </w:rPr>
  </w:style>
  <w:style w:type="character" w:styleId="Enfasicorsivo">
    <w:name w:val="Emphasis"/>
    <w:uiPriority w:val="20"/>
    <w:qFormat/>
    <w:locked/>
    <w:rsid w:val="00E80FB8"/>
    <w:rPr>
      <w:rFonts w:cs="Times New Roman"/>
      <w:i/>
    </w:rPr>
  </w:style>
  <w:style w:type="paragraph" w:customStyle="1" w:styleId="Grigliamedia1-Colore21">
    <w:name w:val="Griglia media 1 - Colore 21"/>
    <w:basedOn w:val="Normale"/>
    <w:uiPriority w:val="34"/>
    <w:qFormat/>
    <w:rsid w:val="0022535F"/>
    <w:pPr>
      <w:ind w:left="720"/>
      <w:contextualSpacing/>
    </w:pPr>
  </w:style>
  <w:style w:type="character" w:styleId="Rimandocommento">
    <w:name w:val="annotation reference"/>
    <w:uiPriority w:val="99"/>
    <w:semiHidden/>
    <w:unhideWhenUsed/>
    <w:rsid w:val="00407D29"/>
    <w:rPr>
      <w:sz w:val="16"/>
      <w:szCs w:val="16"/>
    </w:rPr>
  </w:style>
  <w:style w:type="paragraph" w:styleId="Testocommento">
    <w:name w:val="annotation text"/>
    <w:basedOn w:val="Normale"/>
    <w:link w:val="TestocommentoCarattere"/>
    <w:uiPriority w:val="99"/>
    <w:semiHidden/>
    <w:unhideWhenUsed/>
    <w:rsid w:val="00407D29"/>
  </w:style>
  <w:style w:type="character" w:customStyle="1" w:styleId="TestocommentoCarattere">
    <w:name w:val="Testo commento Carattere"/>
    <w:link w:val="Testocommento"/>
    <w:uiPriority w:val="99"/>
    <w:semiHidden/>
    <w:rsid w:val="00407D29"/>
    <w:rPr>
      <w:kern w:val="28"/>
      <w:sz w:val="20"/>
      <w:szCs w:val="20"/>
    </w:rPr>
  </w:style>
  <w:style w:type="paragraph" w:styleId="Soggettocommento">
    <w:name w:val="annotation subject"/>
    <w:basedOn w:val="Testocommento"/>
    <w:next w:val="Testocommento"/>
    <w:link w:val="SoggettocommentoCarattere"/>
    <w:uiPriority w:val="99"/>
    <w:semiHidden/>
    <w:unhideWhenUsed/>
    <w:rsid w:val="00407D29"/>
    <w:rPr>
      <w:b/>
      <w:bCs/>
    </w:rPr>
  </w:style>
  <w:style w:type="character" w:customStyle="1" w:styleId="SoggettocommentoCarattere">
    <w:name w:val="Soggetto commento Carattere"/>
    <w:link w:val="Soggettocommento"/>
    <w:uiPriority w:val="99"/>
    <w:semiHidden/>
    <w:rsid w:val="00407D29"/>
    <w:rPr>
      <w:b/>
      <w:bCs/>
      <w:kern w:val="28"/>
      <w:sz w:val="20"/>
      <w:szCs w:val="20"/>
    </w:rPr>
  </w:style>
  <w:style w:type="paragraph" w:styleId="Sottotitolo">
    <w:name w:val="Subtitle"/>
    <w:basedOn w:val="Normale"/>
    <w:next w:val="Normale"/>
    <w:link w:val="SottotitoloCarattere"/>
    <w:qFormat/>
    <w:locked/>
    <w:rsid w:val="006166D3"/>
    <w:pPr>
      <w:numPr>
        <w:ilvl w:val="1"/>
      </w:numPr>
    </w:pPr>
    <w:rPr>
      <w:rFonts w:ascii="Cambria" w:hAnsi="Cambria"/>
      <w:i/>
      <w:iCs/>
      <w:color w:val="4F81BD"/>
      <w:spacing w:val="15"/>
      <w:sz w:val="24"/>
      <w:szCs w:val="24"/>
    </w:rPr>
  </w:style>
  <w:style w:type="character" w:customStyle="1" w:styleId="SottotitoloCarattere">
    <w:name w:val="Sottotitolo Carattere"/>
    <w:link w:val="Sottotitolo"/>
    <w:rsid w:val="006166D3"/>
    <w:rPr>
      <w:rFonts w:ascii="Cambria" w:eastAsia="Times New Roman" w:hAnsi="Cambria" w:cs="Times New Roman"/>
      <w:i/>
      <w:iCs/>
      <w:color w:val="4F81BD"/>
      <w:spacing w:val="15"/>
      <w:kern w:val="28"/>
      <w:sz w:val="24"/>
      <w:szCs w:val="24"/>
    </w:rPr>
  </w:style>
  <w:style w:type="character" w:customStyle="1" w:styleId="Titolo4Carattere">
    <w:name w:val="Titolo 4 Carattere"/>
    <w:link w:val="Titolo4"/>
    <w:uiPriority w:val="9"/>
    <w:rsid w:val="00CD17F5"/>
    <w:rPr>
      <w:rFonts w:ascii="Cambria" w:eastAsia="Times New Roman" w:hAnsi="Cambria" w:cs="Times New Roman"/>
      <w:b/>
      <w:bCs/>
      <w:i/>
      <w:iCs/>
      <w:color w:val="4F81BD"/>
      <w:kern w:val="28"/>
      <w:sz w:val="20"/>
      <w:szCs w:val="20"/>
    </w:rPr>
  </w:style>
  <w:style w:type="paragraph" w:customStyle="1" w:styleId="Default">
    <w:name w:val="Default"/>
    <w:uiPriority w:val="99"/>
    <w:rsid w:val="00417ECD"/>
    <w:pPr>
      <w:autoSpaceDE w:val="0"/>
      <w:autoSpaceDN w:val="0"/>
      <w:adjustRightInd w:val="0"/>
    </w:pPr>
    <w:rPr>
      <w:rFonts w:ascii="Arial Narrow" w:hAnsi="Arial Narrow"/>
      <w:color w:val="000000"/>
      <w:sz w:val="24"/>
      <w:szCs w:val="24"/>
    </w:rPr>
  </w:style>
  <w:style w:type="paragraph" w:customStyle="1" w:styleId="Paragrafobase">
    <w:name w:val="[Paragrafo base]"/>
    <w:basedOn w:val="Normale"/>
    <w:uiPriority w:val="99"/>
    <w:rsid w:val="00083173"/>
    <w:pPr>
      <w:overflowPunct/>
      <w:spacing w:before="0" w:after="0" w:line="288" w:lineRule="auto"/>
      <w:textAlignment w:val="center"/>
    </w:pPr>
    <w:rPr>
      <w:rFonts w:ascii="Times-Roman" w:hAnsi="Times-Roman" w:cs="Times-Roman"/>
      <w:color w:val="000000"/>
      <w:kern w:val="0"/>
      <w:sz w:val="24"/>
      <w:szCs w:val="24"/>
    </w:rPr>
  </w:style>
  <w:style w:type="table" w:customStyle="1" w:styleId="Grigliatabella1">
    <w:name w:val="Griglia tabella1"/>
    <w:basedOn w:val="Tabellanormale"/>
    <w:next w:val="Grigliatabella"/>
    <w:uiPriority w:val="99"/>
    <w:rsid w:val="00A36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1TitoGra">
    <w:name w:val="001TitoGra"/>
    <w:basedOn w:val="Normale"/>
    <w:qFormat/>
    <w:rsid w:val="00FF1163"/>
    <w:pPr>
      <w:spacing w:before="0" w:after="0" w:line="240" w:lineRule="exact"/>
    </w:pPr>
    <w:rPr>
      <w:rFonts w:ascii="Arial Narrow" w:hAnsi="Arial Narrow" w:cs="Arial"/>
      <w:b/>
      <w:color w:val="5F5F5F"/>
      <w:sz w:val="22"/>
      <w:szCs w:val="22"/>
    </w:rPr>
  </w:style>
  <w:style w:type="paragraph" w:customStyle="1" w:styleId="001TitoloBolocco">
    <w:name w:val="001TitoloBolocco"/>
    <w:basedOn w:val="Titolo1"/>
    <w:link w:val="001TitoloBoloccoCarattere"/>
    <w:qFormat/>
    <w:rsid w:val="00E53642"/>
    <w:pPr>
      <w:pBdr>
        <w:bottom w:val="single" w:sz="18" w:space="1" w:color="E31C18"/>
      </w:pBdr>
      <w:spacing w:after="240" w:line="240" w:lineRule="exact"/>
    </w:pPr>
    <w:rPr>
      <w:rFonts w:ascii="Calibri" w:hAnsi="Calibri" w:cs="Arial"/>
      <w:bCs/>
      <w:caps/>
      <w:color w:val="000000"/>
      <w:sz w:val="26"/>
      <w:szCs w:val="28"/>
    </w:rPr>
  </w:style>
  <w:style w:type="character" w:customStyle="1" w:styleId="001TitoloBoloccoCarattere">
    <w:name w:val="001TitoloBolocco Carattere"/>
    <w:link w:val="001TitoloBolocco"/>
    <w:rsid w:val="00E53642"/>
    <w:rPr>
      <w:rFonts w:ascii="Calibri" w:hAnsi="Calibri" w:cs="Arial"/>
      <w:b/>
      <w:bCs/>
      <w:caps/>
      <w:color w:val="000000"/>
      <w:kern w:val="32"/>
      <w:sz w:val="26"/>
      <w:szCs w:val="28"/>
    </w:rPr>
  </w:style>
  <w:style w:type="paragraph" w:customStyle="1" w:styleId="00TitoGra1">
    <w:name w:val="00TitoGra1"/>
    <w:basedOn w:val="Normale"/>
    <w:qFormat/>
    <w:rsid w:val="00E53642"/>
    <w:pPr>
      <w:spacing w:before="0" w:after="0" w:line="280" w:lineRule="exact"/>
    </w:pPr>
    <w:rPr>
      <w:rFonts w:ascii="Calibri" w:hAnsi="Calibri" w:cs="Arial"/>
      <w:b/>
      <w:color w:val="D90B13"/>
      <w:sz w:val="28"/>
      <w:szCs w:val="28"/>
    </w:rPr>
  </w:style>
  <w:style w:type="character" w:customStyle="1" w:styleId="001TitoGraRed">
    <w:name w:val="001TitoGraRed"/>
    <w:uiPriority w:val="1"/>
    <w:qFormat/>
    <w:rsid w:val="00FF1163"/>
    <w:rPr>
      <w:color w:val="E31C18"/>
    </w:rPr>
  </w:style>
  <w:style w:type="paragraph" w:customStyle="1" w:styleId="001SottotitoloGra">
    <w:name w:val="001SottotitoloGra"/>
    <w:basedOn w:val="001TitoGra"/>
    <w:qFormat/>
    <w:rsid w:val="00FF1163"/>
    <w:pPr>
      <w:spacing w:after="120"/>
    </w:pPr>
    <w:rPr>
      <w:b w:val="0"/>
      <w:sz w:val="20"/>
      <w:szCs w:val="20"/>
    </w:rPr>
  </w:style>
  <w:style w:type="paragraph" w:styleId="Rientrocorpodeltesto">
    <w:name w:val="Body Text Indent"/>
    <w:basedOn w:val="Normale"/>
    <w:link w:val="RientrocorpodeltestoCarattere"/>
    <w:unhideWhenUsed/>
    <w:rsid w:val="00A53D09"/>
    <w:pPr>
      <w:spacing w:after="120"/>
      <w:ind w:left="283"/>
    </w:pPr>
  </w:style>
  <w:style w:type="character" w:customStyle="1" w:styleId="RientrocorpodeltestoCarattere">
    <w:name w:val="Rientro corpo del testo Carattere"/>
    <w:link w:val="Rientrocorpodeltesto"/>
    <w:rsid w:val="00A53D09"/>
    <w:rPr>
      <w:kern w:val="28"/>
    </w:rPr>
  </w:style>
  <w:style w:type="character" w:customStyle="1" w:styleId="st">
    <w:name w:val="st"/>
    <w:rsid w:val="00431975"/>
  </w:style>
  <w:style w:type="character" w:customStyle="1" w:styleId="TestonotaapidipaginaCarattere1">
    <w:name w:val="Testo nota a piè di pagina Carattere1"/>
    <w:uiPriority w:val="99"/>
    <w:semiHidden/>
    <w:rsid w:val="008B6B43"/>
    <w:rPr>
      <w:sz w:val="20"/>
    </w:rPr>
  </w:style>
  <w:style w:type="paragraph" w:customStyle="1" w:styleId="A">
    <w:name w:val="A"/>
    <w:basedOn w:val="Normale"/>
    <w:next w:val="Corpotesto"/>
    <w:uiPriority w:val="99"/>
    <w:rsid w:val="008B6B43"/>
    <w:pPr>
      <w:widowControl/>
      <w:overflowPunct/>
      <w:autoSpaceDE/>
      <w:autoSpaceDN/>
      <w:adjustRightInd/>
      <w:spacing w:before="0" w:after="0"/>
      <w:jc w:val="both"/>
    </w:pPr>
    <w:rPr>
      <w:b/>
      <w:kern w:val="0"/>
      <w:lang w:eastAsia="ar-SA"/>
    </w:rPr>
  </w:style>
  <w:style w:type="paragraph" w:styleId="Corpodeltesto2">
    <w:name w:val="Body Text 2"/>
    <w:basedOn w:val="Normale"/>
    <w:link w:val="Corpodeltesto2Carattere"/>
    <w:rsid w:val="00BA3168"/>
    <w:pPr>
      <w:spacing w:after="120" w:line="480" w:lineRule="auto"/>
    </w:pPr>
  </w:style>
  <w:style w:type="character" w:customStyle="1" w:styleId="Corpodeltesto2Carattere">
    <w:name w:val="Corpo del testo 2 Carattere"/>
    <w:link w:val="Corpodeltesto2"/>
    <w:rsid w:val="00BA3168"/>
    <w:rPr>
      <w:kern w:val="28"/>
    </w:rPr>
  </w:style>
  <w:style w:type="character" w:customStyle="1" w:styleId="Titolo3Carattere">
    <w:name w:val="Titolo 3 Carattere"/>
    <w:link w:val="Titolo3"/>
    <w:rsid w:val="003C4C04"/>
    <w:rPr>
      <w:rFonts w:ascii="Arial" w:hAnsi="Arial" w:cs="Arial"/>
      <w:b/>
      <w:bCs/>
      <w:kern w:val="28"/>
      <w:sz w:val="26"/>
      <w:szCs w:val="26"/>
    </w:rPr>
  </w:style>
  <w:style w:type="character" w:customStyle="1" w:styleId="Titolo2Carattere">
    <w:name w:val="Titolo 2 Carattere"/>
    <w:link w:val="Titolo2"/>
    <w:rsid w:val="00401F4B"/>
    <w:rPr>
      <w:rFonts w:ascii="Arial" w:hAnsi="Arial" w:cs="Arial"/>
      <w:b/>
      <w:bCs/>
      <w:i/>
      <w:iCs/>
      <w:sz w:val="28"/>
      <w:szCs w:val="28"/>
    </w:rPr>
  </w:style>
  <w:style w:type="character" w:customStyle="1" w:styleId="Titolo9Carattere">
    <w:name w:val="Titolo 9 Carattere"/>
    <w:link w:val="Titolo9"/>
    <w:rsid w:val="00401F4B"/>
    <w:rPr>
      <w:rFonts w:ascii="Arial" w:hAnsi="Arial" w:cs="Arial"/>
      <w:sz w:val="22"/>
      <w:szCs w:val="22"/>
    </w:rPr>
  </w:style>
  <w:style w:type="paragraph" w:styleId="Titolo">
    <w:name w:val="Title"/>
    <w:basedOn w:val="Normale"/>
    <w:link w:val="TitoloCarattere"/>
    <w:qFormat/>
    <w:locked/>
    <w:rsid w:val="00401F4B"/>
    <w:pPr>
      <w:widowControl/>
      <w:overflowPunct/>
      <w:autoSpaceDE/>
      <w:autoSpaceDN/>
      <w:adjustRightInd/>
      <w:spacing w:before="0" w:after="0"/>
      <w:jc w:val="center"/>
    </w:pPr>
    <w:rPr>
      <w:rFonts w:ascii="Arial Narrow" w:hAnsi="Arial Narrow"/>
      <w:b/>
      <w:kern w:val="0"/>
      <w:sz w:val="28"/>
    </w:rPr>
  </w:style>
  <w:style w:type="character" w:customStyle="1" w:styleId="TitoloCarattere">
    <w:name w:val="Titolo Carattere"/>
    <w:link w:val="Titolo"/>
    <w:rsid w:val="00401F4B"/>
    <w:rPr>
      <w:rFonts w:ascii="Arial Narrow" w:hAnsi="Arial Narrow"/>
      <w:b/>
      <w:sz w:val="28"/>
    </w:rPr>
  </w:style>
  <w:style w:type="character" w:customStyle="1" w:styleId="shorttext1">
    <w:name w:val="short_text1"/>
    <w:rsid w:val="00401F4B"/>
    <w:rPr>
      <w:sz w:val="29"/>
      <w:szCs w:val="29"/>
    </w:rPr>
  </w:style>
  <w:style w:type="paragraph" w:styleId="Paragrafoelenco">
    <w:name w:val="List Paragraph"/>
    <w:basedOn w:val="Normale"/>
    <w:link w:val="ParagrafoelencoCarattere"/>
    <w:uiPriority w:val="34"/>
    <w:qFormat/>
    <w:rsid w:val="00EA0C9B"/>
    <w:pPr>
      <w:widowControl/>
      <w:overflowPunct/>
      <w:autoSpaceDE/>
      <w:autoSpaceDN/>
      <w:adjustRightInd/>
      <w:spacing w:before="0" w:after="0"/>
      <w:ind w:left="720"/>
      <w:contextualSpacing/>
    </w:pPr>
    <w:rPr>
      <w:kern w:val="0"/>
      <w:sz w:val="24"/>
      <w:szCs w:val="24"/>
    </w:rPr>
  </w:style>
  <w:style w:type="character" w:customStyle="1" w:styleId="ParagrafoelencoCarattere">
    <w:name w:val="Paragrafo elenco Carattere"/>
    <w:link w:val="Paragrafoelenco"/>
    <w:uiPriority w:val="34"/>
    <w:rsid w:val="00E402B0"/>
    <w:rPr>
      <w:sz w:val="24"/>
      <w:szCs w:val="24"/>
    </w:rPr>
  </w:style>
  <w:style w:type="paragraph" w:styleId="Revisione">
    <w:name w:val="Revision"/>
    <w:hidden/>
    <w:uiPriority w:val="71"/>
    <w:rsid w:val="00BB17CC"/>
    <w:rPr>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486">
      <w:bodyDiv w:val="1"/>
      <w:marLeft w:val="0"/>
      <w:marRight w:val="0"/>
      <w:marTop w:val="0"/>
      <w:marBottom w:val="0"/>
      <w:divBdr>
        <w:top w:val="none" w:sz="0" w:space="0" w:color="auto"/>
        <w:left w:val="none" w:sz="0" w:space="0" w:color="auto"/>
        <w:bottom w:val="none" w:sz="0" w:space="0" w:color="auto"/>
        <w:right w:val="none" w:sz="0" w:space="0" w:color="auto"/>
      </w:divBdr>
    </w:div>
    <w:div w:id="6180447">
      <w:bodyDiv w:val="1"/>
      <w:marLeft w:val="0"/>
      <w:marRight w:val="0"/>
      <w:marTop w:val="0"/>
      <w:marBottom w:val="0"/>
      <w:divBdr>
        <w:top w:val="none" w:sz="0" w:space="0" w:color="auto"/>
        <w:left w:val="none" w:sz="0" w:space="0" w:color="auto"/>
        <w:bottom w:val="none" w:sz="0" w:space="0" w:color="auto"/>
        <w:right w:val="none" w:sz="0" w:space="0" w:color="auto"/>
      </w:divBdr>
    </w:div>
    <w:div w:id="29649862">
      <w:bodyDiv w:val="1"/>
      <w:marLeft w:val="0"/>
      <w:marRight w:val="0"/>
      <w:marTop w:val="0"/>
      <w:marBottom w:val="0"/>
      <w:divBdr>
        <w:top w:val="none" w:sz="0" w:space="0" w:color="auto"/>
        <w:left w:val="none" w:sz="0" w:space="0" w:color="auto"/>
        <w:bottom w:val="none" w:sz="0" w:space="0" w:color="auto"/>
        <w:right w:val="none" w:sz="0" w:space="0" w:color="auto"/>
      </w:divBdr>
    </w:div>
    <w:div w:id="69041894">
      <w:bodyDiv w:val="1"/>
      <w:marLeft w:val="0"/>
      <w:marRight w:val="0"/>
      <w:marTop w:val="0"/>
      <w:marBottom w:val="0"/>
      <w:divBdr>
        <w:top w:val="none" w:sz="0" w:space="0" w:color="auto"/>
        <w:left w:val="none" w:sz="0" w:space="0" w:color="auto"/>
        <w:bottom w:val="none" w:sz="0" w:space="0" w:color="auto"/>
        <w:right w:val="none" w:sz="0" w:space="0" w:color="auto"/>
      </w:divBdr>
    </w:div>
    <w:div w:id="72625743">
      <w:bodyDiv w:val="1"/>
      <w:marLeft w:val="0"/>
      <w:marRight w:val="0"/>
      <w:marTop w:val="0"/>
      <w:marBottom w:val="0"/>
      <w:divBdr>
        <w:top w:val="none" w:sz="0" w:space="0" w:color="auto"/>
        <w:left w:val="none" w:sz="0" w:space="0" w:color="auto"/>
        <w:bottom w:val="none" w:sz="0" w:space="0" w:color="auto"/>
        <w:right w:val="none" w:sz="0" w:space="0" w:color="auto"/>
      </w:divBdr>
    </w:div>
    <w:div w:id="111638430">
      <w:bodyDiv w:val="1"/>
      <w:marLeft w:val="0"/>
      <w:marRight w:val="0"/>
      <w:marTop w:val="0"/>
      <w:marBottom w:val="0"/>
      <w:divBdr>
        <w:top w:val="none" w:sz="0" w:space="0" w:color="auto"/>
        <w:left w:val="none" w:sz="0" w:space="0" w:color="auto"/>
        <w:bottom w:val="none" w:sz="0" w:space="0" w:color="auto"/>
        <w:right w:val="none" w:sz="0" w:space="0" w:color="auto"/>
      </w:divBdr>
    </w:div>
    <w:div w:id="190531945">
      <w:bodyDiv w:val="1"/>
      <w:marLeft w:val="0"/>
      <w:marRight w:val="0"/>
      <w:marTop w:val="0"/>
      <w:marBottom w:val="0"/>
      <w:divBdr>
        <w:top w:val="none" w:sz="0" w:space="0" w:color="auto"/>
        <w:left w:val="none" w:sz="0" w:space="0" w:color="auto"/>
        <w:bottom w:val="none" w:sz="0" w:space="0" w:color="auto"/>
        <w:right w:val="none" w:sz="0" w:space="0" w:color="auto"/>
      </w:divBdr>
    </w:div>
    <w:div w:id="193345705">
      <w:bodyDiv w:val="1"/>
      <w:marLeft w:val="0"/>
      <w:marRight w:val="0"/>
      <w:marTop w:val="0"/>
      <w:marBottom w:val="0"/>
      <w:divBdr>
        <w:top w:val="none" w:sz="0" w:space="0" w:color="auto"/>
        <w:left w:val="none" w:sz="0" w:space="0" w:color="auto"/>
        <w:bottom w:val="none" w:sz="0" w:space="0" w:color="auto"/>
        <w:right w:val="none" w:sz="0" w:space="0" w:color="auto"/>
      </w:divBdr>
    </w:div>
    <w:div w:id="217282464">
      <w:bodyDiv w:val="1"/>
      <w:marLeft w:val="0"/>
      <w:marRight w:val="0"/>
      <w:marTop w:val="0"/>
      <w:marBottom w:val="0"/>
      <w:divBdr>
        <w:top w:val="none" w:sz="0" w:space="0" w:color="auto"/>
        <w:left w:val="none" w:sz="0" w:space="0" w:color="auto"/>
        <w:bottom w:val="none" w:sz="0" w:space="0" w:color="auto"/>
        <w:right w:val="none" w:sz="0" w:space="0" w:color="auto"/>
      </w:divBdr>
    </w:div>
    <w:div w:id="224222885">
      <w:bodyDiv w:val="1"/>
      <w:marLeft w:val="0"/>
      <w:marRight w:val="0"/>
      <w:marTop w:val="0"/>
      <w:marBottom w:val="0"/>
      <w:divBdr>
        <w:top w:val="none" w:sz="0" w:space="0" w:color="auto"/>
        <w:left w:val="none" w:sz="0" w:space="0" w:color="auto"/>
        <w:bottom w:val="none" w:sz="0" w:space="0" w:color="auto"/>
        <w:right w:val="none" w:sz="0" w:space="0" w:color="auto"/>
      </w:divBdr>
    </w:div>
    <w:div w:id="237443218">
      <w:bodyDiv w:val="1"/>
      <w:marLeft w:val="0"/>
      <w:marRight w:val="0"/>
      <w:marTop w:val="0"/>
      <w:marBottom w:val="0"/>
      <w:divBdr>
        <w:top w:val="none" w:sz="0" w:space="0" w:color="auto"/>
        <w:left w:val="none" w:sz="0" w:space="0" w:color="auto"/>
        <w:bottom w:val="none" w:sz="0" w:space="0" w:color="auto"/>
        <w:right w:val="none" w:sz="0" w:space="0" w:color="auto"/>
      </w:divBdr>
    </w:div>
    <w:div w:id="253520606">
      <w:bodyDiv w:val="1"/>
      <w:marLeft w:val="0"/>
      <w:marRight w:val="0"/>
      <w:marTop w:val="0"/>
      <w:marBottom w:val="0"/>
      <w:divBdr>
        <w:top w:val="none" w:sz="0" w:space="0" w:color="auto"/>
        <w:left w:val="none" w:sz="0" w:space="0" w:color="auto"/>
        <w:bottom w:val="none" w:sz="0" w:space="0" w:color="auto"/>
        <w:right w:val="none" w:sz="0" w:space="0" w:color="auto"/>
      </w:divBdr>
    </w:div>
    <w:div w:id="309137912">
      <w:bodyDiv w:val="1"/>
      <w:marLeft w:val="0"/>
      <w:marRight w:val="0"/>
      <w:marTop w:val="0"/>
      <w:marBottom w:val="0"/>
      <w:divBdr>
        <w:top w:val="none" w:sz="0" w:space="0" w:color="auto"/>
        <w:left w:val="none" w:sz="0" w:space="0" w:color="auto"/>
        <w:bottom w:val="none" w:sz="0" w:space="0" w:color="auto"/>
        <w:right w:val="none" w:sz="0" w:space="0" w:color="auto"/>
      </w:divBdr>
    </w:div>
    <w:div w:id="391120268">
      <w:bodyDiv w:val="1"/>
      <w:marLeft w:val="0"/>
      <w:marRight w:val="0"/>
      <w:marTop w:val="0"/>
      <w:marBottom w:val="0"/>
      <w:divBdr>
        <w:top w:val="none" w:sz="0" w:space="0" w:color="auto"/>
        <w:left w:val="none" w:sz="0" w:space="0" w:color="auto"/>
        <w:bottom w:val="none" w:sz="0" w:space="0" w:color="auto"/>
        <w:right w:val="none" w:sz="0" w:space="0" w:color="auto"/>
      </w:divBdr>
    </w:div>
    <w:div w:id="402219072">
      <w:bodyDiv w:val="1"/>
      <w:marLeft w:val="0"/>
      <w:marRight w:val="0"/>
      <w:marTop w:val="0"/>
      <w:marBottom w:val="0"/>
      <w:divBdr>
        <w:top w:val="none" w:sz="0" w:space="0" w:color="auto"/>
        <w:left w:val="none" w:sz="0" w:space="0" w:color="auto"/>
        <w:bottom w:val="none" w:sz="0" w:space="0" w:color="auto"/>
        <w:right w:val="none" w:sz="0" w:space="0" w:color="auto"/>
      </w:divBdr>
    </w:div>
    <w:div w:id="454982192">
      <w:bodyDiv w:val="1"/>
      <w:marLeft w:val="0"/>
      <w:marRight w:val="0"/>
      <w:marTop w:val="0"/>
      <w:marBottom w:val="0"/>
      <w:divBdr>
        <w:top w:val="none" w:sz="0" w:space="0" w:color="auto"/>
        <w:left w:val="none" w:sz="0" w:space="0" w:color="auto"/>
        <w:bottom w:val="none" w:sz="0" w:space="0" w:color="auto"/>
        <w:right w:val="none" w:sz="0" w:space="0" w:color="auto"/>
      </w:divBdr>
    </w:div>
    <w:div w:id="474226301">
      <w:bodyDiv w:val="1"/>
      <w:marLeft w:val="0"/>
      <w:marRight w:val="0"/>
      <w:marTop w:val="0"/>
      <w:marBottom w:val="0"/>
      <w:divBdr>
        <w:top w:val="none" w:sz="0" w:space="0" w:color="auto"/>
        <w:left w:val="none" w:sz="0" w:space="0" w:color="auto"/>
        <w:bottom w:val="none" w:sz="0" w:space="0" w:color="auto"/>
        <w:right w:val="none" w:sz="0" w:space="0" w:color="auto"/>
      </w:divBdr>
    </w:div>
    <w:div w:id="498884580">
      <w:bodyDiv w:val="1"/>
      <w:marLeft w:val="0"/>
      <w:marRight w:val="0"/>
      <w:marTop w:val="0"/>
      <w:marBottom w:val="0"/>
      <w:divBdr>
        <w:top w:val="none" w:sz="0" w:space="0" w:color="auto"/>
        <w:left w:val="none" w:sz="0" w:space="0" w:color="auto"/>
        <w:bottom w:val="none" w:sz="0" w:space="0" w:color="auto"/>
        <w:right w:val="none" w:sz="0" w:space="0" w:color="auto"/>
      </w:divBdr>
    </w:div>
    <w:div w:id="521630806">
      <w:bodyDiv w:val="1"/>
      <w:marLeft w:val="0"/>
      <w:marRight w:val="0"/>
      <w:marTop w:val="0"/>
      <w:marBottom w:val="0"/>
      <w:divBdr>
        <w:top w:val="none" w:sz="0" w:space="0" w:color="auto"/>
        <w:left w:val="none" w:sz="0" w:space="0" w:color="auto"/>
        <w:bottom w:val="none" w:sz="0" w:space="0" w:color="auto"/>
        <w:right w:val="none" w:sz="0" w:space="0" w:color="auto"/>
      </w:divBdr>
    </w:div>
    <w:div w:id="530411729">
      <w:bodyDiv w:val="1"/>
      <w:marLeft w:val="0"/>
      <w:marRight w:val="0"/>
      <w:marTop w:val="0"/>
      <w:marBottom w:val="0"/>
      <w:divBdr>
        <w:top w:val="none" w:sz="0" w:space="0" w:color="auto"/>
        <w:left w:val="none" w:sz="0" w:space="0" w:color="auto"/>
        <w:bottom w:val="none" w:sz="0" w:space="0" w:color="auto"/>
        <w:right w:val="none" w:sz="0" w:space="0" w:color="auto"/>
      </w:divBdr>
    </w:div>
    <w:div w:id="546995541">
      <w:bodyDiv w:val="1"/>
      <w:marLeft w:val="0"/>
      <w:marRight w:val="0"/>
      <w:marTop w:val="0"/>
      <w:marBottom w:val="0"/>
      <w:divBdr>
        <w:top w:val="none" w:sz="0" w:space="0" w:color="auto"/>
        <w:left w:val="none" w:sz="0" w:space="0" w:color="auto"/>
        <w:bottom w:val="none" w:sz="0" w:space="0" w:color="auto"/>
        <w:right w:val="none" w:sz="0" w:space="0" w:color="auto"/>
      </w:divBdr>
    </w:div>
    <w:div w:id="588998793">
      <w:bodyDiv w:val="1"/>
      <w:marLeft w:val="0"/>
      <w:marRight w:val="0"/>
      <w:marTop w:val="0"/>
      <w:marBottom w:val="0"/>
      <w:divBdr>
        <w:top w:val="none" w:sz="0" w:space="0" w:color="auto"/>
        <w:left w:val="none" w:sz="0" w:space="0" w:color="auto"/>
        <w:bottom w:val="none" w:sz="0" w:space="0" w:color="auto"/>
        <w:right w:val="none" w:sz="0" w:space="0" w:color="auto"/>
      </w:divBdr>
    </w:div>
    <w:div w:id="622662056">
      <w:bodyDiv w:val="1"/>
      <w:marLeft w:val="0"/>
      <w:marRight w:val="0"/>
      <w:marTop w:val="0"/>
      <w:marBottom w:val="0"/>
      <w:divBdr>
        <w:top w:val="none" w:sz="0" w:space="0" w:color="auto"/>
        <w:left w:val="none" w:sz="0" w:space="0" w:color="auto"/>
        <w:bottom w:val="none" w:sz="0" w:space="0" w:color="auto"/>
        <w:right w:val="none" w:sz="0" w:space="0" w:color="auto"/>
      </w:divBdr>
    </w:div>
    <w:div w:id="631524876">
      <w:bodyDiv w:val="1"/>
      <w:marLeft w:val="0"/>
      <w:marRight w:val="0"/>
      <w:marTop w:val="0"/>
      <w:marBottom w:val="0"/>
      <w:divBdr>
        <w:top w:val="none" w:sz="0" w:space="0" w:color="auto"/>
        <w:left w:val="none" w:sz="0" w:space="0" w:color="auto"/>
        <w:bottom w:val="none" w:sz="0" w:space="0" w:color="auto"/>
        <w:right w:val="none" w:sz="0" w:space="0" w:color="auto"/>
      </w:divBdr>
    </w:div>
    <w:div w:id="633680423">
      <w:bodyDiv w:val="1"/>
      <w:marLeft w:val="0"/>
      <w:marRight w:val="0"/>
      <w:marTop w:val="0"/>
      <w:marBottom w:val="0"/>
      <w:divBdr>
        <w:top w:val="none" w:sz="0" w:space="0" w:color="auto"/>
        <w:left w:val="none" w:sz="0" w:space="0" w:color="auto"/>
        <w:bottom w:val="none" w:sz="0" w:space="0" w:color="auto"/>
        <w:right w:val="none" w:sz="0" w:space="0" w:color="auto"/>
      </w:divBdr>
    </w:div>
    <w:div w:id="636954640">
      <w:bodyDiv w:val="1"/>
      <w:marLeft w:val="0"/>
      <w:marRight w:val="0"/>
      <w:marTop w:val="0"/>
      <w:marBottom w:val="0"/>
      <w:divBdr>
        <w:top w:val="none" w:sz="0" w:space="0" w:color="auto"/>
        <w:left w:val="none" w:sz="0" w:space="0" w:color="auto"/>
        <w:bottom w:val="none" w:sz="0" w:space="0" w:color="auto"/>
        <w:right w:val="none" w:sz="0" w:space="0" w:color="auto"/>
      </w:divBdr>
    </w:div>
    <w:div w:id="646596715">
      <w:bodyDiv w:val="1"/>
      <w:marLeft w:val="0"/>
      <w:marRight w:val="0"/>
      <w:marTop w:val="0"/>
      <w:marBottom w:val="0"/>
      <w:divBdr>
        <w:top w:val="none" w:sz="0" w:space="0" w:color="auto"/>
        <w:left w:val="none" w:sz="0" w:space="0" w:color="auto"/>
        <w:bottom w:val="none" w:sz="0" w:space="0" w:color="auto"/>
        <w:right w:val="none" w:sz="0" w:space="0" w:color="auto"/>
      </w:divBdr>
    </w:div>
    <w:div w:id="669018745">
      <w:bodyDiv w:val="1"/>
      <w:marLeft w:val="0"/>
      <w:marRight w:val="0"/>
      <w:marTop w:val="0"/>
      <w:marBottom w:val="0"/>
      <w:divBdr>
        <w:top w:val="none" w:sz="0" w:space="0" w:color="auto"/>
        <w:left w:val="none" w:sz="0" w:space="0" w:color="auto"/>
        <w:bottom w:val="none" w:sz="0" w:space="0" w:color="auto"/>
        <w:right w:val="none" w:sz="0" w:space="0" w:color="auto"/>
      </w:divBdr>
    </w:div>
    <w:div w:id="679351289">
      <w:bodyDiv w:val="1"/>
      <w:marLeft w:val="0"/>
      <w:marRight w:val="0"/>
      <w:marTop w:val="0"/>
      <w:marBottom w:val="0"/>
      <w:divBdr>
        <w:top w:val="none" w:sz="0" w:space="0" w:color="auto"/>
        <w:left w:val="none" w:sz="0" w:space="0" w:color="auto"/>
        <w:bottom w:val="none" w:sz="0" w:space="0" w:color="auto"/>
        <w:right w:val="none" w:sz="0" w:space="0" w:color="auto"/>
      </w:divBdr>
    </w:div>
    <w:div w:id="709768472">
      <w:bodyDiv w:val="1"/>
      <w:marLeft w:val="0"/>
      <w:marRight w:val="0"/>
      <w:marTop w:val="0"/>
      <w:marBottom w:val="0"/>
      <w:divBdr>
        <w:top w:val="none" w:sz="0" w:space="0" w:color="auto"/>
        <w:left w:val="none" w:sz="0" w:space="0" w:color="auto"/>
        <w:bottom w:val="none" w:sz="0" w:space="0" w:color="auto"/>
        <w:right w:val="none" w:sz="0" w:space="0" w:color="auto"/>
      </w:divBdr>
    </w:div>
    <w:div w:id="727991793">
      <w:bodyDiv w:val="1"/>
      <w:marLeft w:val="0"/>
      <w:marRight w:val="0"/>
      <w:marTop w:val="0"/>
      <w:marBottom w:val="0"/>
      <w:divBdr>
        <w:top w:val="none" w:sz="0" w:space="0" w:color="auto"/>
        <w:left w:val="none" w:sz="0" w:space="0" w:color="auto"/>
        <w:bottom w:val="none" w:sz="0" w:space="0" w:color="auto"/>
        <w:right w:val="none" w:sz="0" w:space="0" w:color="auto"/>
      </w:divBdr>
    </w:div>
    <w:div w:id="772897932">
      <w:bodyDiv w:val="1"/>
      <w:marLeft w:val="0"/>
      <w:marRight w:val="0"/>
      <w:marTop w:val="0"/>
      <w:marBottom w:val="0"/>
      <w:divBdr>
        <w:top w:val="none" w:sz="0" w:space="0" w:color="auto"/>
        <w:left w:val="none" w:sz="0" w:space="0" w:color="auto"/>
        <w:bottom w:val="none" w:sz="0" w:space="0" w:color="auto"/>
        <w:right w:val="none" w:sz="0" w:space="0" w:color="auto"/>
      </w:divBdr>
    </w:div>
    <w:div w:id="777142644">
      <w:bodyDiv w:val="1"/>
      <w:marLeft w:val="0"/>
      <w:marRight w:val="0"/>
      <w:marTop w:val="0"/>
      <w:marBottom w:val="0"/>
      <w:divBdr>
        <w:top w:val="none" w:sz="0" w:space="0" w:color="auto"/>
        <w:left w:val="none" w:sz="0" w:space="0" w:color="auto"/>
        <w:bottom w:val="none" w:sz="0" w:space="0" w:color="auto"/>
        <w:right w:val="none" w:sz="0" w:space="0" w:color="auto"/>
      </w:divBdr>
    </w:div>
    <w:div w:id="789978370">
      <w:marLeft w:val="0"/>
      <w:marRight w:val="0"/>
      <w:marTop w:val="0"/>
      <w:marBottom w:val="0"/>
      <w:divBdr>
        <w:top w:val="none" w:sz="0" w:space="0" w:color="auto"/>
        <w:left w:val="none" w:sz="0" w:space="0" w:color="auto"/>
        <w:bottom w:val="none" w:sz="0" w:space="0" w:color="auto"/>
        <w:right w:val="none" w:sz="0" w:space="0" w:color="auto"/>
      </w:divBdr>
    </w:div>
    <w:div w:id="789978371">
      <w:marLeft w:val="0"/>
      <w:marRight w:val="0"/>
      <w:marTop w:val="0"/>
      <w:marBottom w:val="0"/>
      <w:divBdr>
        <w:top w:val="none" w:sz="0" w:space="0" w:color="auto"/>
        <w:left w:val="none" w:sz="0" w:space="0" w:color="auto"/>
        <w:bottom w:val="none" w:sz="0" w:space="0" w:color="auto"/>
        <w:right w:val="none" w:sz="0" w:space="0" w:color="auto"/>
      </w:divBdr>
    </w:div>
    <w:div w:id="789978372">
      <w:marLeft w:val="0"/>
      <w:marRight w:val="0"/>
      <w:marTop w:val="0"/>
      <w:marBottom w:val="0"/>
      <w:divBdr>
        <w:top w:val="none" w:sz="0" w:space="0" w:color="auto"/>
        <w:left w:val="none" w:sz="0" w:space="0" w:color="auto"/>
        <w:bottom w:val="none" w:sz="0" w:space="0" w:color="auto"/>
        <w:right w:val="none" w:sz="0" w:space="0" w:color="auto"/>
      </w:divBdr>
    </w:div>
    <w:div w:id="789978373">
      <w:marLeft w:val="0"/>
      <w:marRight w:val="0"/>
      <w:marTop w:val="0"/>
      <w:marBottom w:val="0"/>
      <w:divBdr>
        <w:top w:val="none" w:sz="0" w:space="0" w:color="auto"/>
        <w:left w:val="none" w:sz="0" w:space="0" w:color="auto"/>
        <w:bottom w:val="none" w:sz="0" w:space="0" w:color="auto"/>
        <w:right w:val="none" w:sz="0" w:space="0" w:color="auto"/>
      </w:divBdr>
    </w:div>
    <w:div w:id="789978374">
      <w:marLeft w:val="0"/>
      <w:marRight w:val="0"/>
      <w:marTop w:val="0"/>
      <w:marBottom w:val="0"/>
      <w:divBdr>
        <w:top w:val="none" w:sz="0" w:space="0" w:color="auto"/>
        <w:left w:val="none" w:sz="0" w:space="0" w:color="auto"/>
        <w:bottom w:val="none" w:sz="0" w:space="0" w:color="auto"/>
        <w:right w:val="none" w:sz="0" w:space="0" w:color="auto"/>
      </w:divBdr>
    </w:div>
    <w:div w:id="789978375">
      <w:marLeft w:val="0"/>
      <w:marRight w:val="0"/>
      <w:marTop w:val="0"/>
      <w:marBottom w:val="0"/>
      <w:divBdr>
        <w:top w:val="none" w:sz="0" w:space="0" w:color="auto"/>
        <w:left w:val="none" w:sz="0" w:space="0" w:color="auto"/>
        <w:bottom w:val="none" w:sz="0" w:space="0" w:color="auto"/>
        <w:right w:val="none" w:sz="0" w:space="0" w:color="auto"/>
      </w:divBdr>
    </w:div>
    <w:div w:id="789978376">
      <w:marLeft w:val="0"/>
      <w:marRight w:val="0"/>
      <w:marTop w:val="0"/>
      <w:marBottom w:val="0"/>
      <w:divBdr>
        <w:top w:val="none" w:sz="0" w:space="0" w:color="auto"/>
        <w:left w:val="none" w:sz="0" w:space="0" w:color="auto"/>
        <w:bottom w:val="none" w:sz="0" w:space="0" w:color="auto"/>
        <w:right w:val="none" w:sz="0" w:space="0" w:color="auto"/>
      </w:divBdr>
    </w:div>
    <w:div w:id="789978377">
      <w:marLeft w:val="0"/>
      <w:marRight w:val="0"/>
      <w:marTop w:val="0"/>
      <w:marBottom w:val="0"/>
      <w:divBdr>
        <w:top w:val="none" w:sz="0" w:space="0" w:color="auto"/>
        <w:left w:val="none" w:sz="0" w:space="0" w:color="auto"/>
        <w:bottom w:val="none" w:sz="0" w:space="0" w:color="auto"/>
        <w:right w:val="none" w:sz="0" w:space="0" w:color="auto"/>
      </w:divBdr>
    </w:div>
    <w:div w:id="789978378">
      <w:marLeft w:val="0"/>
      <w:marRight w:val="0"/>
      <w:marTop w:val="0"/>
      <w:marBottom w:val="0"/>
      <w:divBdr>
        <w:top w:val="none" w:sz="0" w:space="0" w:color="auto"/>
        <w:left w:val="none" w:sz="0" w:space="0" w:color="auto"/>
        <w:bottom w:val="none" w:sz="0" w:space="0" w:color="auto"/>
        <w:right w:val="none" w:sz="0" w:space="0" w:color="auto"/>
      </w:divBdr>
    </w:div>
    <w:div w:id="789978379">
      <w:marLeft w:val="0"/>
      <w:marRight w:val="0"/>
      <w:marTop w:val="0"/>
      <w:marBottom w:val="0"/>
      <w:divBdr>
        <w:top w:val="none" w:sz="0" w:space="0" w:color="auto"/>
        <w:left w:val="none" w:sz="0" w:space="0" w:color="auto"/>
        <w:bottom w:val="none" w:sz="0" w:space="0" w:color="auto"/>
        <w:right w:val="none" w:sz="0" w:space="0" w:color="auto"/>
      </w:divBdr>
    </w:div>
    <w:div w:id="789978380">
      <w:marLeft w:val="0"/>
      <w:marRight w:val="0"/>
      <w:marTop w:val="0"/>
      <w:marBottom w:val="0"/>
      <w:divBdr>
        <w:top w:val="none" w:sz="0" w:space="0" w:color="auto"/>
        <w:left w:val="none" w:sz="0" w:space="0" w:color="auto"/>
        <w:bottom w:val="none" w:sz="0" w:space="0" w:color="auto"/>
        <w:right w:val="none" w:sz="0" w:space="0" w:color="auto"/>
      </w:divBdr>
    </w:div>
    <w:div w:id="789978381">
      <w:marLeft w:val="0"/>
      <w:marRight w:val="0"/>
      <w:marTop w:val="0"/>
      <w:marBottom w:val="0"/>
      <w:divBdr>
        <w:top w:val="none" w:sz="0" w:space="0" w:color="auto"/>
        <w:left w:val="none" w:sz="0" w:space="0" w:color="auto"/>
        <w:bottom w:val="none" w:sz="0" w:space="0" w:color="auto"/>
        <w:right w:val="none" w:sz="0" w:space="0" w:color="auto"/>
      </w:divBdr>
    </w:div>
    <w:div w:id="789978382">
      <w:marLeft w:val="0"/>
      <w:marRight w:val="0"/>
      <w:marTop w:val="0"/>
      <w:marBottom w:val="0"/>
      <w:divBdr>
        <w:top w:val="none" w:sz="0" w:space="0" w:color="auto"/>
        <w:left w:val="none" w:sz="0" w:space="0" w:color="auto"/>
        <w:bottom w:val="none" w:sz="0" w:space="0" w:color="auto"/>
        <w:right w:val="none" w:sz="0" w:space="0" w:color="auto"/>
      </w:divBdr>
    </w:div>
    <w:div w:id="789978383">
      <w:marLeft w:val="0"/>
      <w:marRight w:val="0"/>
      <w:marTop w:val="0"/>
      <w:marBottom w:val="0"/>
      <w:divBdr>
        <w:top w:val="none" w:sz="0" w:space="0" w:color="auto"/>
        <w:left w:val="none" w:sz="0" w:space="0" w:color="auto"/>
        <w:bottom w:val="none" w:sz="0" w:space="0" w:color="auto"/>
        <w:right w:val="none" w:sz="0" w:space="0" w:color="auto"/>
      </w:divBdr>
    </w:div>
    <w:div w:id="789978384">
      <w:marLeft w:val="0"/>
      <w:marRight w:val="0"/>
      <w:marTop w:val="0"/>
      <w:marBottom w:val="0"/>
      <w:divBdr>
        <w:top w:val="none" w:sz="0" w:space="0" w:color="auto"/>
        <w:left w:val="none" w:sz="0" w:space="0" w:color="auto"/>
        <w:bottom w:val="none" w:sz="0" w:space="0" w:color="auto"/>
        <w:right w:val="none" w:sz="0" w:space="0" w:color="auto"/>
      </w:divBdr>
    </w:div>
    <w:div w:id="789978385">
      <w:marLeft w:val="0"/>
      <w:marRight w:val="0"/>
      <w:marTop w:val="0"/>
      <w:marBottom w:val="0"/>
      <w:divBdr>
        <w:top w:val="none" w:sz="0" w:space="0" w:color="auto"/>
        <w:left w:val="none" w:sz="0" w:space="0" w:color="auto"/>
        <w:bottom w:val="none" w:sz="0" w:space="0" w:color="auto"/>
        <w:right w:val="none" w:sz="0" w:space="0" w:color="auto"/>
      </w:divBdr>
    </w:div>
    <w:div w:id="789978386">
      <w:marLeft w:val="0"/>
      <w:marRight w:val="0"/>
      <w:marTop w:val="0"/>
      <w:marBottom w:val="0"/>
      <w:divBdr>
        <w:top w:val="none" w:sz="0" w:space="0" w:color="auto"/>
        <w:left w:val="none" w:sz="0" w:space="0" w:color="auto"/>
        <w:bottom w:val="none" w:sz="0" w:space="0" w:color="auto"/>
        <w:right w:val="none" w:sz="0" w:space="0" w:color="auto"/>
      </w:divBdr>
    </w:div>
    <w:div w:id="789978387">
      <w:marLeft w:val="0"/>
      <w:marRight w:val="0"/>
      <w:marTop w:val="0"/>
      <w:marBottom w:val="0"/>
      <w:divBdr>
        <w:top w:val="none" w:sz="0" w:space="0" w:color="auto"/>
        <w:left w:val="none" w:sz="0" w:space="0" w:color="auto"/>
        <w:bottom w:val="none" w:sz="0" w:space="0" w:color="auto"/>
        <w:right w:val="none" w:sz="0" w:space="0" w:color="auto"/>
      </w:divBdr>
    </w:div>
    <w:div w:id="789978388">
      <w:marLeft w:val="0"/>
      <w:marRight w:val="0"/>
      <w:marTop w:val="0"/>
      <w:marBottom w:val="0"/>
      <w:divBdr>
        <w:top w:val="none" w:sz="0" w:space="0" w:color="auto"/>
        <w:left w:val="none" w:sz="0" w:space="0" w:color="auto"/>
        <w:bottom w:val="none" w:sz="0" w:space="0" w:color="auto"/>
        <w:right w:val="none" w:sz="0" w:space="0" w:color="auto"/>
      </w:divBdr>
    </w:div>
    <w:div w:id="789978389">
      <w:marLeft w:val="0"/>
      <w:marRight w:val="0"/>
      <w:marTop w:val="0"/>
      <w:marBottom w:val="0"/>
      <w:divBdr>
        <w:top w:val="none" w:sz="0" w:space="0" w:color="auto"/>
        <w:left w:val="none" w:sz="0" w:space="0" w:color="auto"/>
        <w:bottom w:val="none" w:sz="0" w:space="0" w:color="auto"/>
        <w:right w:val="none" w:sz="0" w:space="0" w:color="auto"/>
      </w:divBdr>
    </w:div>
    <w:div w:id="789978390">
      <w:marLeft w:val="0"/>
      <w:marRight w:val="0"/>
      <w:marTop w:val="0"/>
      <w:marBottom w:val="0"/>
      <w:divBdr>
        <w:top w:val="none" w:sz="0" w:space="0" w:color="auto"/>
        <w:left w:val="none" w:sz="0" w:space="0" w:color="auto"/>
        <w:bottom w:val="none" w:sz="0" w:space="0" w:color="auto"/>
        <w:right w:val="none" w:sz="0" w:space="0" w:color="auto"/>
      </w:divBdr>
    </w:div>
    <w:div w:id="789978391">
      <w:marLeft w:val="0"/>
      <w:marRight w:val="0"/>
      <w:marTop w:val="0"/>
      <w:marBottom w:val="0"/>
      <w:divBdr>
        <w:top w:val="none" w:sz="0" w:space="0" w:color="auto"/>
        <w:left w:val="none" w:sz="0" w:space="0" w:color="auto"/>
        <w:bottom w:val="none" w:sz="0" w:space="0" w:color="auto"/>
        <w:right w:val="none" w:sz="0" w:space="0" w:color="auto"/>
      </w:divBdr>
    </w:div>
    <w:div w:id="789978392">
      <w:marLeft w:val="0"/>
      <w:marRight w:val="0"/>
      <w:marTop w:val="0"/>
      <w:marBottom w:val="0"/>
      <w:divBdr>
        <w:top w:val="none" w:sz="0" w:space="0" w:color="auto"/>
        <w:left w:val="none" w:sz="0" w:space="0" w:color="auto"/>
        <w:bottom w:val="none" w:sz="0" w:space="0" w:color="auto"/>
        <w:right w:val="none" w:sz="0" w:space="0" w:color="auto"/>
      </w:divBdr>
    </w:div>
    <w:div w:id="789978393">
      <w:marLeft w:val="0"/>
      <w:marRight w:val="0"/>
      <w:marTop w:val="0"/>
      <w:marBottom w:val="0"/>
      <w:divBdr>
        <w:top w:val="none" w:sz="0" w:space="0" w:color="auto"/>
        <w:left w:val="none" w:sz="0" w:space="0" w:color="auto"/>
        <w:bottom w:val="none" w:sz="0" w:space="0" w:color="auto"/>
        <w:right w:val="none" w:sz="0" w:space="0" w:color="auto"/>
      </w:divBdr>
    </w:div>
    <w:div w:id="789978394">
      <w:marLeft w:val="0"/>
      <w:marRight w:val="0"/>
      <w:marTop w:val="0"/>
      <w:marBottom w:val="0"/>
      <w:divBdr>
        <w:top w:val="none" w:sz="0" w:space="0" w:color="auto"/>
        <w:left w:val="none" w:sz="0" w:space="0" w:color="auto"/>
        <w:bottom w:val="none" w:sz="0" w:space="0" w:color="auto"/>
        <w:right w:val="none" w:sz="0" w:space="0" w:color="auto"/>
      </w:divBdr>
    </w:div>
    <w:div w:id="789978395">
      <w:marLeft w:val="0"/>
      <w:marRight w:val="0"/>
      <w:marTop w:val="0"/>
      <w:marBottom w:val="0"/>
      <w:divBdr>
        <w:top w:val="none" w:sz="0" w:space="0" w:color="auto"/>
        <w:left w:val="none" w:sz="0" w:space="0" w:color="auto"/>
        <w:bottom w:val="none" w:sz="0" w:space="0" w:color="auto"/>
        <w:right w:val="none" w:sz="0" w:space="0" w:color="auto"/>
      </w:divBdr>
    </w:div>
    <w:div w:id="789978396">
      <w:marLeft w:val="0"/>
      <w:marRight w:val="0"/>
      <w:marTop w:val="0"/>
      <w:marBottom w:val="0"/>
      <w:divBdr>
        <w:top w:val="none" w:sz="0" w:space="0" w:color="auto"/>
        <w:left w:val="none" w:sz="0" w:space="0" w:color="auto"/>
        <w:bottom w:val="none" w:sz="0" w:space="0" w:color="auto"/>
        <w:right w:val="none" w:sz="0" w:space="0" w:color="auto"/>
      </w:divBdr>
    </w:div>
    <w:div w:id="789978397">
      <w:marLeft w:val="0"/>
      <w:marRight w:val="0"/>
      <w:marTop w:val="0"/>
      <w:marBottom w:val="0"/>
      <w:divBdr>
        <w:top w:val="none" w:sz="0" w:space="0" w:color="auto"/>
        <w:left w:val="none" w:sz="0" w:space="0" w:color="auto"/>
        <w:bottom w:val="none" w:sz="0" w:space="0" w:color="auto"/>
        <w:right w:val="none" w:sz="0" w:space="0" w:color="auto"/>
      </w:divBdr>
    </w:div>
    <w:div w:id="789978398">
      <w:marLeft w:val="0"/>
      <w:marRight w:val="0"/>
      <w:marTop w:val="0"/>
      <w:marBottom w:val="0"/>
      <w:divBdr>
        <w:top w:val="none" w:sz="0" w:space="0" w:color="auto"/>
        <w:left w:val="none" w:sz="0" w:space="0" w:color="auto"/>
        <w:bottom w:val="none" w:sz="0" w:space="0" w:color="auto"/>
        <w:right w:val="none" w:sz="0" w:space="0" w:color="auto"/>
      </w:divBdr>
    </w:div>
    <w:div w:id="789978399">
      <w:marLeft w:val="0"/>
      <w:marRight w:val="0"/>
      <w:marTop w:val="0"/>
      <w:marBottom w:val="0"/>
      <w:divBdr>
        <w:top w:val="none" w:sz="0" w:space="0" w:color="auto"/>
        <w:left w:val="none" w:sz="0" w:space="0" w:color="auto"/>
        <w:bottom w:val="none" w:sz="0" w:space="0" w:color="auto"/>
        <w:right w:val="none" w:sz="0" w:space="0" w:color="auto"/>
      </w:divBdr>
    </w:div>
    <w:div w:id="789978400">
      <w:marLeft w:val="0"/>
      <w:marRight w:val="0"/>
      <w:marTop w:val="0"/>
      <w:marBottom w:val="0"/>
      <w:divBdr>
        <w:top w:val="none" w:sz="0" w:space="0" w:color="auto"/>
        <w:left w:val="none" w:sz="0" w:space="0" w:color="auto"/>
        <w:bottom w:val="none" w:sz="0" w:space="0" w:color="auto"/>
        <w:right w:val="none" w:sz="0" w:space="0" w:color="auto"/>
      </w:divBdr>
    </w:div>
    <w:div w:id="789978401">
      <w:marLeft w:val="0"/>
      <w:marRight w:val="0"/>
      <w:marTop w:val="0"/>
      <w:marBottom w:val="0"/>
      <w:divBdr>
        <w:top w:val="none" w:sz="0" w:space="0" w:color="auto"/>
        <w:left w:val="none" w:sz="0" w:space="0" w:color="auto"/>
        <w:bottom w:val="none" w:sz="0" w:space="0" w:color="auto"/>
        <w:right w:val="none" w:sz="0" w:space="0" w:color="auto"/>
      </w:divBdr>
    </w:div>
    <w:div w:id="789978402">
      <w:marLeft w:val="0"/>
      <w:marRight w:val="0"/>
      <w:marTop w:val="0"/>
      <w:marBottom w:val="0"/>
      <w:divBdr>
        <w:top w:val="none" w:sz="0" w:space="0" w:color="auto"/>
        <w:left w:val="none" w:sz="0" w:space="0" w:color="auto"/>
        <w:bottom w:val="none" w:sz="0" w:space="0" w:color="auto"/>
        <w:right w:val="none" w:sz="0" w:space="0" w:color="auto"/>
      </w:divBdr>
    </w:div>
    <w:div w:id="789978403">
      <w:marLeft w:val="0"/>
      <w:marRight w:val="0"/>
      <w:marTop w:val="0"/>
      <w:marBottom w:val="0"/>
      <w:divBdr>
        <w:top w:val="none" w:sz="0" w:space="0" w:color="auto"/>
        <w:left w:val="none" w:sz="0" w:space="0" w:color="auto"/>
        <w:bottom w:val="none" w:sz="0" w:space="0" w:color="auto"/>
        <w:right w:val="none" w:sz="0" w:space="0" w:color="auto"/>
      </w:divBdr>
    </w:div>
    <w:div w:id="789978404">
      <w:marLeft w:val="0"/>
      <w:marRight w:val="0"/>
      <w:marTop w:val="0"/>
      <w:marBottom w:val="0"/>
      <w:divBdr>
        <w:top w:val="none" w:sz="0" w:space="0" w:color="auto"/>
        <w:left w:val="none" w:sz="0" w:space="0" w:color="auto"/>
        <w:bottom w:val="none" w:sz="0" w:space="0" w:color="auto"/>
        <w:right w:val="none" w:sz="0" w:space="0" w:color="auto"/>
      </w:divBdr>
    </w:div>
    <w:div w:id="789978405">
      <w:marLeft w:val="0"/>
      <w:marRight w:val="0"/>
      <w:marTop w:val="0"/>
      <w:marBottom w:val="0"/>
      <w:divBdr>
        <w:top w:val="none" w:sz="0" w:space="0" w:color="auto"/>
        <w:left w:val="none" w:sz="0" w:space="0" w:color="auto"/>
        <w:bottom w:val="none" w:sz="0" w:space="0" w:color="auto"/>
        <w:right w:val="none" w:sz="0" w:space="0" w:color="auto"/>
      </w:divBdr>
    </w:div>
    <w:div w:id="789978406">
      <w:marLeft w:val="0"/>
      <w:marRight w:val="0"/>
      <w:marTop w:val="0"/>
      <w:marBottom w:val="0"/>
      <w:divBdr>
        <w:top w:val="none" w:sz="0" w:space="0" w:color="auto"/>
        <w:left w:val="none" w:sz="0" w:space="0" w:color="auto"/>
        <w:bottom w:val="none" w:sz="0" w:space="0" w:color="auto"/>
        <w:right w:val="none" w:sz="0" w:space="0" w:color="auto"/>
      </w:divBdr>
    </w:div>
    <w:div w:id="789978407">
      <w:marLeft w:val="0"/>
      <w:marRight w:val="0"/>
      <w:marTop w:val="0"/>
      <w:marBottom w:val="0"/>
      <w:divBdr>
        <w:top w:val="none" w:sz="0" w:space="0" w:color="auto"/>
        <w:left w:val="none" w:sz="0" w:space="0" w:color="auto"/>
        <w:bottom w:val="none" w:sz="0" w:space="0" w:color="auto"/>
        <w:right w:val="none" w:sz="0" w:space="0" w:color="auto"/>
      </w:divBdr>
    </w:div>
    <w:div w:id="789978408">
      <w:marLeft w:val="0"/>
      <w:marRight w:val="0"/>
      <w:marTop w:val="0"/>
      <w:marBottom w:val="0"/>
      <w:divBdr>
        <w:top w:val="none" w:sz="0" w:space="0" w:color="auto"/>
        <w:left w:val="none" w:sz="0" w:space="0" w:color="auto"/>
        <w:bottom w:val="none" w:sz="0" w:space="0" w:color="auto"/>
        <w:right w:val="none" w:sz="0" w:space="0" w:color="auto"/>
      </w:divBdr>
    </w:div>
    <w:div w:id="789978409">
      <w:marLeft w:val="0"/>
      <w:marRight w:val="0"/>
      <w:marTop w:val="0"/>
      <w:marBottom w:val="0"/>
      <w:divBdr>
        <w:top w:val="none" w:sz="0" w:space="0" w:color="auto"/>
        <w:left w:val="none" w:sz="0" w:space="0" w:color="auto"/>
        <w:bottom w:val="none" w:sz="0" w:space="0" w:color="auto"/>
        <w:right w:val="none" w:sz="0" w:space="0" w:color="auto"/>
      </w:divBdr>
    </w:div>
    <w:div w:id="789978410">
      <w:marLeft w:val="0"/>
      <w:marRight w:val="0"/>
      <w:marTop w:val="0"/>
      <w:marBottom w:val="0"/>
      <w:divBdr>
        <w:top w:val="none" w:sz="0" w:space="0" w:color="auto"/>
        <w:left w:val="none" w:sz="0" w:space="0" w:color="auto"/>
        <w:bottom w:val="none" w:sz="0" w:space="0" w:color="auto"/>
        <w:right w:val="none" w:sz="0" w:space="0" w:color="auto"/>
      </w:divBdr>
    </w:div>
    <w:div w:id="789978411">
      <w:marLeft w:val="0"/>
      <w:marRight w:val="0"/>
      <w:marTop w:val="0"/>
      <w:marBottom w:val="0"/>
      <w:divBdr>
        <w:top w:val="none" w:sz="0" w:space="0" w:color="auto"/>
        <w:left w:val="none" w:sz="0" w:space="0" w:color="auto"/>
        <w:bottom w:val="none" w:sz="0" w:space="0" w:color="auto"/>
        <w:right w:val="none" w:sz="0" w:space="0" w:color="auto"/>
      </w:divBdr>
    </w:div>
    <w:div w:id="789978412">
      <w:marLeft w:val="0"/>
      <w:marRight w:val="0"/>
      <w:marTop w:val="0"/>
      <w:marBottom w:val="0"/>
      <w:divBdr>
        <w:top w:val="none" w:sz="0" w:space="0" w:color="auto"/>
        <w:left w:val="none" w:sz="0" w:space="0" w:color="auto"/>
        <w:bottom w:val="none" w:sz="0" w:space="0" w:color="auto"/>
        <w:right w:val="none" w:sz="0" w:space="0" w:color="auto"/>
      </w:divBdr>
    </w:div>
    <w:div w:id="789978413">
      <w:marLeft w:val="0"/>
      <w:marRight w:val="0"/>
      <w:marTop w:val="0"/>
      <w:marBottom w:val="0"/>
      <w:divBdr>
        <w:top w:val="none" w:sz="0" w:space="0" w:color="auto"/>
        <w:left w:val="none" w:sz="0" w:space="0" w:color="auto"/>
        <w:bottom w:val="none" w:sz="0" w:space="0" w:color="auto"/>
        <w:right w:val="none" w:sz="0" w:space="0" w:color="auto"/>
      </w:divBdr>
    </w:div>
    <w:div w:id="789978414">
      <w:marLeft w:val="0"/>
      <w:marRight w:val="0"/>
      <w:marTop w:val="0"/>
      <w:marBottom w:val="0"/>
      <w:divBdr>
        <w:top w:val="none" w:sz="0" w:space="0" w:color="auto"/>
        <w:left w:val="none" w:sz="0" w:space="0" w:color="auto"/>
        <w:bottom w:val="none" w:sz="0" w:space="0" w:color="auto"/>
        <w:right w:val="none" w:sz="0" w:space="0" w:color="auto"/>
      </w:divBdr>
    </w:div>
    <w:div w:id="789978415">
      <w:marLeft w:val="0"/>
      <w:marRight w:val="0"/>
      <w:marTop w:val="0"/>
      <w:marBottom w:val="0"/>
      <w:divBdr>
        <w:top w:val="none" w:sz="0" w:space="0" w:color="auto"/>
        <w:left w:val="none" w:sz="0" w:space="0" w:color="auto"/>
        <w:bottom w:val="none" w:sz="0" w:space="0" w:color="auto"/>
        <w:right w:val="none" w:sz="0" w:space="0" w:color="auto"/>
      </w:divBdr>
    </w:div>
    <w:div w:id="789978416">
      <w:marLeft w:val="0"/>
      <w:marRight w:val="0"/>
      <w:marTop w:val="0"/>
      <w:marBottom w:val="0"/>
      <w:divBdr>
        <w:top w:val="none" w:sz="0" w:space="0" w:color="auto"/>
        <w:left w:val="none" w:sz="0" w:space="0" w:color="auto"/>
        <w:bottom w:val="none" w:sz="0" w:space="0" w:color="auto"/>
        <w:right w:val="none" w:sz="0" w:space="0" w:color="auto"/>
      </w:divBdr>
    </w:div>
    <w:div w:id="789978417">
      <w:marLeft w:val="0"/>
      <w:marRight w:val="0"/>
      <w:marTop w:val="0"/>
      <w:marBottom w:val="0"/>
      <w:divBdr>
        <w:top w:val="none" w:sz="0" w:space="0" w:color="auto"/>
        <w:left w:val="none" w:sz="0" w:space="0" w:color="auto"/>
        <w:bottom w:val="none" w:sz="0" w:space="0" w:color="auto"/>
        <w:right w:val="none" w:sz="0" w:space="0" w:color="auto"/>
      </w:divBdr>
    </w:div>
    <w:div w:id="789978418">
      <w:marLeft w:val="0"/>
      <w:marRight w:val="0"/>
      <w:marTop w:val="0"/>
      <w:marBottom w:val="0"/>
      <w:divBdr>
        <w:top w:val="none" w:sz="0" w:space="0" w:color="auto"/>
        <w:left w:val="none" w:sz="0" w:space="0" w:color="auto"/>
        <w:bottom w:val="none" w:sz="0" w:space="0" w:color="auto"/>
        <w:right w:val="none" w:sz="0" w:space="0" w:color="auto"/>
      </w:divBdr>
    </w:div>
    <w:div w:id="789978419">
      <w:marLeft w:val="0"/>
      <w:marRight w:val="0"/>
      <w:marTop w:val="0"/>
      <w:marBottom w:val="0"/>
      <w:divBdr>
        <w:top w:val="none" w:sz="0" w:space="0" w:color="auto"/>
        <w:left w:val="none" w:sz="0" w:space="0" w:color="auto"/>
        <w:bottom w:val="none" w:sz="0" w:space="0" w:color="auto"/>
        <w:right w:val="none" w:sz="0" w:space="0" w:color="auto"/>
      </w:divBdr>
    </w:div>
    <w:div w:id="789978420">
      <w:marLeft w:val="0"/>
      <w:marRight w:val="0"/>
      <w:marTop w:val="0"/>
      <w:marBottom w:val="0"/>
      <w:divBdr>
        <w:top w:val="none" w:sz="0" w:space="0" w:color="auto"/>
        <w:left w:val="none" w:sz="0" w:space="0" w:color="auto"/>
        <w:bottom w:val="none" w:sz="0" w:space="0" w:color="auto"/>
        <w:right w:val="none" w:sz="0" w:space="0" w:color="auto"/>
      </w:divBdr>
    </w:div>
    <w:div w:id="789978421">
      <w:marLeft w:val="0"/>
      <w:marRight w:val="0"/>
      <w:marTop w:val="0"/>
      <w:marBottom w:val="0"/>
      <w:divBdr>
        <w:top w:val="none" w:sz="0" w:space="0" w:color="auto"/>
        <w:left w:val="none" w:sz="0" w:space="0" w:color="auto"/>
        <w:bottom w:val="none" w:sz="0" w:space="0" w:color="auto"/>
        <w:right w:val="none" w:sz="0" w:space="0" w:color="auto"/>
      </w:divBdr>
    </w:div>
    <w:div w:id="789978422">
      <w:marLeft w:val="0"/>
      <w:marRight w:val="0"/>
      <w:marTop w:val="0"/>
      <w:marBottom w:val="0"/>
      <w:divBdr>
        <w:top w:val="none" w:sz="0" w:space="0" w:color="auto"/>
        <w:left w:val="none" w:sz="0" w:space="0" w:color="auto"/>
        <w:bottom w:val="none" w:sz="0" w:space="0" w:color="auto"/>
        <w:right w:val="none" w:sz="0" w:space="0" w:color="auto"/>
      </w:divBdr>
    </w:div>
    <w:div w:id="789978423">
      <w:marLeft w:val="0"/>
      <w:marRight w:val="0"/>
      <w:marTop w:val="0"/>
      <w:marBottom w:val="0"/>
      <w:divBdr>
        <w:top w:val="none" w:sz="0" w:space="0" w:color="auto"/>
        <w:left w:val="none" w:sz="0" w:space="0" w:color="auto"/>
        <w:bottom w:val="none" w:sz="0" w:space="0" w:color="auto"/>
        <w:right w:val="none" w:sz="0" w:space="0" w:color="auto"/>
      </w:divBdr>
    </w:div>
    <w:div w:id="789978424">
      <w:marLeft w:val="0"/>
      <w:marRight w:val="0"/>
      <w:marTop w:val="0"/>
      <w:marBottom w:val="0"/>
      <w:divBdr>
        <w:top w:val="none" w:sz="0" w:space="0" w:color="auto"/>
        <w:left w:val="none" w:sz="0" w:space="0" w:color="auto"/>
        <w:bottom w:val="none" w:sz="0" w:space="0" w:color="auto"/>
        <w:right w:val="none" w:sz="0" w:space="0" w:color="auto"/>
      </w:divBdr>
    </w:div>
    <w:div w:id="789978425">
      <w:marLeft w:val="0"/>
      <w:marRight w:val="0"/>
      <w:marTop w:val="0"/>
      <w:marBottom w:val="0"/>
      <w:divBdr>
        <w:top w:val="none" w:sz="0" w:space="0" w:color="auto"/>
        <w:left w:val="none" w:sz="0" w:space="0" w:color="auto"/>
        <w:bottom w:val="none" w:sz="0" w:space="0" w:color="auto"/>
        <w:right w:val="none" w:sz="0" w:space="0" w:color="auto"/>
      </w:divBdr>
    </w:div>
    <w:div w:id="789978426">
      <w:marLeft w:val="0"/>
      <w:marRight w:val="0"/>
      <w:marTop w:val="0"/>
      <w:marBottom w:val="0"/>
      <w:divBdr>
        <w:top w:val="none" w:sz="0" w:space="0" w:color="auto"/>
        <w:left w:val="none" w:sz="0" w:space="0" w:color="auto"/>
        <w:bottom w:val="none" w:sz="0" w:space="0" w:color="auto"/>
        <w:right w:val="none" w:sz="0" w:space="0" w:color="auto"/>
      </w:divBdr>
    </w:div>
    <w:div w:id="789978427">
      <w:marLeft w:val="0"/>
      <w:marRight w:val="0"/>
      <w:marTop w:val="0"/>
      <w:marBottom w:val="0"/>
      <w:divBdr>
        <w:top w:val="none" w:sz="0" w:space="0" w:color="auto"/>
        <w:left w:val="none" w:sz="0" w:space="0" w:color="auto"/>
        <w:bottom w:val="none" w:sz="0" w:space="0" w:color="auto"/>
        <w:right w:val="none" w:sz="0" w:space="0" w:color="auto"/>
      </w:divBdr>
    </w:div>
    <w:div w:id="789978428">
      <w:marLeft w:val="0"/>
      <w:marRight w:val="0"/>
      <w:marTop w:val="0"/>
      <w:marBottom w:val="0"/>
      <w:divBdr>
        <w:top w:val="none" w:sz="0" w:space="0" w:color="auto"/>
        <w:left w:val="none" w:sz="0" w:space="0" w:color="auto"/>
        <w:bottom w:val="none" w:sz="0" w:space="0" w:color="auto"/>
        <w:right w:val="none" w:sz="0" w:space="0" w:color="auto"/>
      </w:divBdr>
    </w:div>
    <w:div w:id="789978429">
      <w:marLeft w:val="0"/>
      <w:marRight w:val="0"/>
      <w:marTop w:val="0"/>
      <w:marBottom w:val="0"/>
      <w:divBdr>
        <w:top w:val="none" w:sz="0" w:space="0" w:color="auto"/>
        <w:left w:val="none" w:sz="0" w:space="0" w:color="auto"/>
        <w:bottom w:val="none" w:sz="0" w:space="0" w:color="auto"/>
        <w:right w:val="none" w:sz="0" w:space="0" w:color="auto"/>
      </w:divBdr>
    </w:div>
    <w:div w:id="789978430">
      <w:marLeft w:val="0"/>
      <w:marRight w:val="0"/>
      <w:marTop w:val="0"/>
      <w:marBottom w:val="0"/>
      <w:divBdr>
        <w:top w:val="none" w:sz="0" w:space="0" w:color="auto"/>
        <w:left w:val="none" w:sz="0" w:space="0" w:color="auto"/>
        <w:bottom w:val="none" w:sz="0" w:space="0" w:color="auto"/>
        <w:right w:val="none" w:sz="0" w:space="0" w:color="auto"/>
      </w:divBdr>
    </w:div>
    <w:div w:id="789978431">
      <w:marLeft w:val="0"/>
      <w:marRight w:val="0"/>
      <w:marTop w:val="0"/>
      <w:marBottom w:val="0"/>
      <w:divBdr>
        <w:top w:val="none" w:sz="0" w:space="0" w:color="auto"/>
        <w:left w:val="none" w:sz="0" w:space="0" w:color="auto"/>
        <w:bottom w:val="none" w:sz="0" w:space="0" w:color="auto"/>
        <w:right w:val="none" w:sz="0" w:space="0" w:color="auto"/>
      </w:divBdr>
    </w:div>
    <w:div w:id="789978432">
      <w:marLeft w:val="0"/>
      <w:marRight w:val="0"/>
      <w:marTop w:val="0"/>
      <w:marBottom w:val="0"/>
      <w:divBdr>
        <w:top w:val="none" w:sz="0" w:space="0" w:color="auto"/>
        <w:left w:val="none" w:sz="0" w:space="0" w:color="auto"/>
        <w:bottom w:val="none" w:sz="0" w:space="0" w:color="auto"/>
        <w:right w:val="none" w:sz="0" w:space="0" w:color="auto"/>
      </w:divBdr>
    </w:div>
    <w:div w:id="789978433">
      <w:marLeft w:val="0"/>
      <w:marRight w:val="0"/>
      <w:marTop w:val="0"/>
      <w:marBottom w:val="0"/>
      <w:divBdr>
        <w:top w:val="none" w:sz="0" w:space="0" w:color="auto"/>
        <w:left w:val="none" w:sz="0" w:space="0" w:color="auto"/>
        <w:bottom w:val="none" w:sz="0" w:space="0" w:color="auto"/>
        <w:right w:val="none" w:sz="0" w:space="0" w:color="auto"/>
      </w:divBdr>
    </w:div>
    <w:div w:id="789978434">
      <w:marLeft w:val="0"/>
      <w:marRight w:val="0"/>
      <w:marTop w:val="0"/>
      <w:marBottom w:val="0"/>
      <w:divBdr>
        <w:top w:val="none" w:sz="0" w:space="0" w:color="auto"/>
        <w:left w:val="none" w:sz="0" w:space="0" w:color="auto"/>
        <w:bottom w:val="none" w:sz="0" w:space="0" w:color="auto"/>
        <w:right w:val="none" w:sz="0" w:space="0" w:color="auto"/>
      </w:divBdr>
    </w:div>
    <w:div w:id="789978435">
      <w:marLeft w:val="0"/>
      <w:marRight w:val="0"/>
      <w:marTop w:val="0"/>
      <w:marBottom w:val="0"/>
      <w:divBdr>
        <w:top w:val="none" w:sz="0" w:space="0" w:color="auto"/>
        <w:left w:val="none" w:sz="0" w:space="0" w:color="auto"/>
        <w:bottom w:val="none" w:sz="0" w:space="0" w:color="auto"/>
        <w:right w:val="none" w:sz="0" w:space="0" w:color="auto"/>
      </w:divBdr>
    </w:div>
    <w:div w:id="789978436">
      <w:marLeft w:val="0"/>
      <w:marRight w:val="0"/>
      <w:marTop w:val="0"/>
      <w:marBottom w:val="0"/>
      <w:divBdr>
        <w:top w:val="none" w:sz="0" w:space="0" w:color="auto"/>
        <w:left w:val="none" w:sz="0" w:space="0" w:color="auto"/>
        <w:bottom w:val="none" w:sz="0" w:space="0" w:color="auto"/>
        <w:right w:val="none" w:sz="0" w:space="0" w:color="auto"/>
      </w:divBdr>
    </w:div>
    <w:div w:id="789978437">
      <w:marLeft w:val="0"/>
      <w:marRight w:val="0"/>
      <w:marTop w:val="0"/>
      <w:marBottom w:val="0"/>
      <w:divBdr>
        <w:top w:val="none" w:sz="0" w:space="0" w:color="auto"/>
        <w:left w:val="none" w:sz="0" w:space="0" w:color="auto"/>
        <w:bottom w:val="none" w:sz="0" w:space="0" w:color="auto"/>
        <w:right w:val="none" w:sz="0" w:space="0" w:color="auto"/>
      </w:divBdr>
    </w:div>
    <w:div w:id="789978438">
      <w:marLeft w:val="0"/>
      <w:marRight w:val="0"/>
      <w:marTop w:val="0"/>
      <w:marBottom w:val="0"/>
      <w:divBdr>
        <w:top w:val="none" w:sz="0" w:space="0" w:color="auto"/>
        <w:left w:val="none" w:sz="0" w:space="0" w:color="auto"/>
        <w:bottom w:val="none" w:sz="0" w:space="0" w:color="auto"/>
        <w:right w:val="none" w:sz="0" w:space="0" w:color="auto"/>
      </w:divBdr>
    </w:div>
    <w:div w:id="789978439">
      <w:marLeft w:val="0"/>
      <w:marRight w:val="0"/>
      <w:marTop w:val="0"/>
      <w:marBottom w:val="0"/>
      <w:divBdr>
        <w:top w:val="none" w:sz="0" w:space="0" w:color="auto"/>
        <w:left w:val="none" w:sz="0" w:space="0" w:color="auto"/>
        <w:bottom w:val="none" w:sz="0" w:space="0" w:color="auto"/>
        <w:right w:val="none" w:sz="0" w:space="0" w:color="auto"/>
      </w:divBdr>
    </w:div>
    <w:div w:id="789978440">
      <w:marLeft w:val="0"/>
      <w:marRight w:val="0"/>
      <w:marTop w:val="0"/>
      <w:marBottom w:val="0"/>
      <w:divBdr>
        <w:top w:val="none" w:sz="0" w:space="0" w:color="auto"/>
        <w:left w:val="none" w:sz="0" w:space="0" w:color="auto"/>
        <w:bottom w:val="none" w:sz="0" w:space="0" w:color="auto"/>
        <w:right w:val="none" w:sz="0" w:space="0" w:color="auto"/>
      </w:divBdr>
    </w:div>
    <w:div w:id="789978441">
      <w:marLeft w:val="0"/>
      <w:marRight w:val="0"/>
      <w:marTop w:val="0"/>
      <w:marBottom w:val="0"/>
      <w:divBdr>
        <w:top w:val="none" w:sz="0" w:space="0" w:color="auto"/>
        <w:left w:val="none" w:sz="0" w:space="0" w:color="auto"/>
        <w:bottom w:val="none" w:sz="0" w:space="0" w:color="auto"/>
        <w:right w:val="none" w:sz="0" w:space="0" w:color="auto"/>
      </w:divBdr>
    </w:div>
    <w:div w:id="789978442">
      <w:marLeft w:val="0"/>
      <w:marRight w:val="0"/>
      <w:marTop w:val="0"/>
      <w:marBottom w:val="0"/>
      <w:divBdr>
        <w:top w:val="none" w:sz="0" w:space="0" w:color="auto"/>
        <w:left w:val="none" w:sz="0" w:space="0" w:color="auto"/>
        <w:bottom w:val="none" w:sz="0" w:space="0" w:color="auto"/>
        <w:right w:val="none" w:sz="0" w:space="0" w:color="auto"/>
      </w:divBdr>
    </w:div>
    <w:div w:id="789978443">
      <w:marLeft w:val="0"/>
      <w:marRight w:val="0"/>
      <w:marTop w:val="0"/>
      <w:marBottom w:val="0"/>
      <w:divBdr>
        <w:top w:val="none" w:sz="0" w:space="0" w:color="auto"/>
        <w:left w:val="none" w:sz="0" w:space="0" w:color="auto"/>
        <w:bottom w:val="none" w:sz="0" w:space="0" w:color="auto"/>
        <w:right w:val="none" w:sz="0" w:space="0" w:color="auto"/>
      </w:divBdr>
    </w:div>
    <w:div w:id="789978444">
      <w:marLeft w:val="0"/>
      <w:marRight w:val="0"/>
      <w:marTop w:val="0"/>
      <w:marBottom w:val="0"/>
      <w:divBdr>
        <w:top w:val="none" w:sz="0" w:space="0" w:color="auto"/>
        <w:left w:val="none" w:sz="0" w:space="0" w:color="auto"/>
        <w:bottom w:val="none" w:sz="0" w:space="0" w:color="auto"/>
        <w:right w:val="none" w:sz="0" w:space="0" w:color="auto"/>
      </w:divBdr>
    </w:div>
    <w:div w:id="789978445">
      <w:marLeft w:val="0"/>
      <w:marRight w:val="0"/>
      <w:marTop w:val="0"/>
      <w:marBottom w:val="0"/>
      <w:divBdr>
        <w:top w:val="none" w:sz="0" w:space="0" w:color="auto"/>
        <w:left w:val="none" w:sz="0" w:space="0" w:color="auto"/>
        <w:bottom w:val="none" w:sz="0" w:space="0" w:color="auto"/>
        <w:right w:val="none" w:sz="0" w:space="0" w:color="auto"/>
      </w:divBdr>
    </w:div>
    <w:div w:id="789978446">
      <w:marLeft w:val="0"/>
      <w:marRight w:val="0"/>
      <w:marTop w:val="0"/>
      <w:marBottom w:val="0"/>
      <w:divBdr>
        <w:top w:val="none" w:sz="0" w:space="0" w:color="auto"/>
        <w:left w:val="none" w:sz="0" w:space="0" w:color="auto"/>
        <w:bottom w:val="none" w:sz="0" w:space="0" w:color="auto"/>
        <w:right w:val="none" w:sz="0" w:space="0" w:color="auto"/>
      </w:divBdr>
    </w:div>
    <w:div w:id="789978447">
      <w:marLeft w:val="0"/>
      <w:marRight w:val="0"/>
      <w:marTop w:val="0"/>
      <w:marBottom w:val="0"/>
      <w:divBdr>
        <w:top w:val="none" w:sz="0" w:space="0" w:color="auto"/>
        <w:left w:val="none" w:sz="0" w:space="0" w:color="auto"/>
        <w:bottom w:val="none" w:sz="0" w:space="0" w:color="auto"/>
        <w:right w:val="none" w:sz="0" w:space="0" w:color="auto"/>
      </w:divBdr>
    </w:div>
    <w:div w:id="789978448">
      <w:marLeft w:val="0"/>
      <w:marRight w:val="0"/>
      <w:marTop w:val="0"/>
      <w:marBottom w:val="0"/>
      <w:divBdr>
        <w:top w:val="none" w:sz="0" w:space="0" w:color="auto"/>
        <w:left w:val="none" w:sz="0" w:space="0" w:color="auto"/>
        <w:bottom w:val="none" w:sz="0" w:space="0" w:color="auto"/>
        <w:right w:val="none" w:sz="0" w:space="0" w:color="auto"/>
      </w:divBdr>
    </w:div>
    <w:div w:id="789978449">
      <w:marLeft w:val="0"/>
      <w:marRight w:val="0"/>
      <w:marTop w:val="0"/>
      <w:marBottom w:val="0"/>
      <w:divBdr>
        <w:top w:val="none" w:sz="0" w:space="0" w:color="auto"/>
        <w:left w:val="none" w:sz="0" w:space="0" w:color="auto"/>
        <w:bottom w:val="none" w:sz="0" w:space="0" w:color="auto"/>
        <w:right w:val="none" w:sz="0" w:space="0" w:color="auto"/>
      </w:divBdr>
    </w:div>
    <w:div w:id="789978450">
      <w:marLeft w:val="0"/>
      <w:marRight w:val="0"/>
      <w:marTop w:val="0"/>
      <w:marBottom w:val="0"/>
      <w:divBdr>
        <w:top w:val="none" w:sz="0" w:space="0" w:color="auto"/>
        <w:left w:val="none" w:sz="0" w:space="0" w:color="auto"/>
        <w:bottom w:val="none" w:sz="0" w:space="0" w:color="auto"/>
        <w:right w:val="none" w:sz="0" w:space="0" w:color="auto"/>
      </w:divBdr>
    </w:div>
    <w:div w:id="789978451">
      <w:marLeft w:val="0"/>
      <w:marRight w:val="0"/>
      <w:marTop w:val="0"/>
      <w:marBottom w:val="0"/>
      <w:divBdr>
        <w:top w:val="none" w:sz="0" w:space="0" w:color="auto"/>
        <w:left w:val="none" w:sz="0" w:space="0" w:color="auto"/>
        <w:bottom w:val="none" w:sz="0" w:space="0" w:color="auto"/>
        <w:right w:val="none" w:sz="0" w:space="0" w:color="auto"/>
      </w:divBdr>
    </w:div>
    <w:div w:id="789978452">
      <w:marLeft w:val="0"/>
      <w:marRight w:val="0"/>
      <w:marTop w:val="0"/>
      <w:marBottom w:val="0"/>
      <w:divBdr>
        <w:top w:val="none" w:sz="0" w:space="0" w:color="auto"/>
        <w:left w:val="none" w:sz="0" w:space="0" w:color="auto"/>
        <w:bottom w:val="none" w:sz="0" w:space="0" w:color="auto"/>
        <w:right w:val="none" w:sz="0" w:space="0" w:color="auto"/>
      </w:divBdr>
    </w:div>
    <w:div w:id="789978453">
      <w:marLeft w:val="0"/>
      <w:marRight w:val="0"/>
      <w:marTop w:val="0"/>
      <w:marBottom w:val="0"/>
      <w:divBdr>
        <w:top w:val="none" w:sz="0" w:space="0" w:color="auto"/>
        <w:left w:val="none" w:sz="0" w:space="0" w:color="auto"/>
        <w:bottom w:val="none" w:sz="0" w:space="0" w:color="auto"/>
        <w:right w:val="none" w:sz="0" w:space="0" w:color="auto"/>
      </w:divBdr>
    </w:div>
    <w:div w:id="789978454">
      <w:marLeft w:val="0"/>
      <w:marRight w:val="0"/>
      <w:marTop w:val="0"/>
      <w:marBottom w:val="0"/>
      <w:divBdr>
        <w:top w:val="none" w:sz="0" w:space="0" w:color="auto"/>
        <w:left w:val="none" w:sz="0" w:space="0" w:color="auto"/>
        <w:bottom w:val="none" w:sz="0" w:space="0" w:color="auto"/>
        <w:right w:val="none" w:sz="0" w:space="0" w:color="auto"/>
      </w:divBdr>
    </w:div>
    <w:div w:id="789978455">
      <w:marLeft w:val="0"/>
      <w:marRight w:val="0"/>
      <w:marTop w:val="0"/>
      <w:marBottom w:val="0"/>
      <w:divBdr>
        <w:top w:val="none" w:sz="0" w:space="0" w:color="auto"/>
        <w:left w:val="none" w:sz="0" w:space="0" w:color="auto"/>
        <w:bottom w:val="none" w:sz="0" w:space="0" w:color="auto"/>
        <w:right w:val="none" w:sz="0" w:space="0" w:color="auto"/>
      </w:divBdr>
    </w:div>
    <w:div w:id="789978456">
      <w:marLeft w:val="0"/>
      <w:marRight w:val="0"/>
      <w:marTop w:val="0"/>
      <w:marBottom w:val="0"/>
      <w:divBdr>
        <w:top w:val="none" w:sz="0" w:space="0" w:color="auto"/>
        <w:left w:val="none" w:sz="0" w:space="0" w:color="auto"/>
        <w:bottom w:val="none" w:sz="0" w:space="0" w:color="auto"/>
        <w:right w:val="none" w:sz="0" w:space="0" w:color="auto"/>
      </w:divBdr>
    </w:div>
    <w:div w:id="789978457">
      <w:marLeft w:val="0"/>
      <w:marRight w:val="0"/>
      <w:marTop w:val="0"/>
      <w:marBottom w:val="0"/>
      <w:divBdr>
        <w:top w:val="none" w:sz="0" w:space="0" w:color="auto"/>
        <w:left w:val="none" w:sz="0" w:space="0" w:color="auto"/>
        <w:bottom w:val="none" w:sz="0" w:space="0" w:color="auto"/>
        <w:right w:val="none" w:sz="0" w:space="0" w:color="auto"/>
      </w:divBdr>
    </w:div>
    <w:div w:id="789978458">
      <w:marLeft w:val="0"/>
      <w:marRight w:val="0"/>
      <w:marTop w:val="0"/>
      <w:marBottom w:val="0"/>
      <w:divBdr>
        <w:top w:val="none" w:sz="0" w:space="0" w:color="auto"/>
        <w:left w:val="none" w:sz="0" w:space="0" w:color="auto"/>
        <w:bottom w:val="none" w:sz="0" w:space="0" w:color="auto"/>
        <w:right w:val="none" w:sz="0" w:space="0" w:color="auto"/>
      </w:divBdr>
    </w:div>
    <w:div w:id="789978459">
      <w:marLeft w:val="0"/>
      <w:marRight w:val="0"/>
      <w:marTop w:val="0"/>
      <w:marBottom w:val="0"/>
      <w:divBdr>
        <w:top w:val="none" w:sz="0" w:space="0" w:color="auto"/>
        <w:left w:val="none" w:sz="0" w:space="0" w:color="auto"/>
        <w:bottom w:val="none" w:sz="0" w:space="0" w:color="auto"/>
        <w:right w:val="none" w:sz="0" w:space="0" w:color="auto"/>
      </w:divBdr>
    </w:div>
    <w:div w:id="789978460">
      <w:marLeft w:val="0"/>
      <w:marRight w:val="0"/>
      <w:marTop w:val="0"/>
      <w:marBottom w:val="0"/>
      <w:divBdr>
        <w:top w:val="none" w:sz="0" w:space="0" w:color="auto"/>
        <w:left w:val="none" w:sz="0" w:space="0" w:color="auto"/>
        <w:bottom w:val="none" w:sz="0" w:space="0" w:color="auto"/>
        <w:right w:val="none" w:sz="0" w:space="0" w:color="auto"/>
      </w:divBdr>
    </w:div>
    <w:div w:id="789978461">
      <w:marLeft w:val="0"/>
      <w:marRight w:val="0"/>
      <w:marTop w:val="0"/>
      <w:marBottom w:val="0"/>
      <w:divBdr>
        <w:top w:val="none" w:sz="0" w:space="0" w:color="auto"/>
        <w:left w:val="none" w:sz="0" w:space="0" w:color="auto"/>
        <w:bottom w:val="none" w:sz="0" w:space="0" w:color="auto"/>
        <w:right w:val="none" w:sz="0" w:space="0" w:color="auto"/>
      </w:divBdr>
    </w:div>
    <w:div w:id="789978462">
      <w:marLeft w:val="0"/>
      <w:marRight w:val="0"/>
      <w:marTop w:val="0"/>
      <w:marBottom w:val="0"/>
      <w:divBdr>
        <w:top w:val="none" w:sz="0" w:space="0" w:color="auto"/>
        <w:left w:val="none" w:sz="0" w:space="0" w:color="auto"/>
        <w:bottom w:val="none" w:sz="0" w:space="0" w:color="auto"/>
        <w:right w:val="none" w:sz="0" w:space="0" w:color="auto"/>
      </w:divBdr>
    </w:div>
    <w:div w:id="789978463">
      <w:marLeft w:val="0"/>
      <w:marRight w:val="0"/>
      <w:marTop w:val="0"/>
      <w:marBottom w:val="0"/>
      <w:divBdr>
        <w:top w:val="none" w:sz="0" w:space="0" w:color="auto"/>
        <w:left w:val="none" w:sz="0" w:space="0" w:color="auto"/>
        <w:bottom w:val="none" w:sz="0" w:space="0" w:color="auto"/>
        <w:right w:val="none" w:sz="0" w:space="0" w:color="auto"/>
      </w:divBdr>
    </w:div>
    <w:div w:id="789978464">
      <w:marLeft w:val="0"/>
      <w:marRight w:val="0"/>
      <w:marTop w:val="0"/>
      <w:marBottom w:val="0"/>
      <w:divBdr>
        <w:top w:val="none" w:sz="0" w:space="0" w:color="auto"/>
        <w:left w:val="none" w:sz="0" w:space="0" w:color="auto"/>
        <w:bottom w:val="none" w:sz="0" w:space="0" w:color="auto"/>
        <w:right w:val="none" w:sz="0" w:space="0" w:color="auto"/>
      </w:divBdr>
    </w:div>
    <w:div w:id="789978465">
      <w:marLeft w:val="0"/>
      <w:marRight w:val="0"/>
      <w:marTop w:val="0"/>
      <w:marBottom w:val="0"/>
      <w:divBdr>
        <w:top w:val="none" w:sz="0" w:space="0" w:color="auto"/>
        <w:left w:val="none" w:sz="0" w:space="0" w:color="auto"/>
        <w:bottom w:val="none" w:sz="0" w:space="0" w:color="auto"/>
        <w:right w:val="none" w:sz="0" w:space="0" w:color="auto"/>
      </w:divBdr>
    </w:div>
    <w:div w:id="789978466">
      <w:marLeft w:val="0"/>
      <w:marRight w:val="0"/>
      <w:marTop w:val="0"/>
      <w:marBottom w:val="0"/>
      <w:divBdr>
        <w:top w:val="none" w:sz="0" w:space="0" w:color="auto"/>
        <w:left w:val="none" w:sz="0" w:space="0" w:color="auto"/>
        <w:bottom w:val="none" w:sz="0" w:space="0" w:color="auto"/>
        <w:right w:val="none" w:sz="0" w:space="0" w:color="auto"/>
      </w:divBdr>
    </w:div>
    <w:div w:id="789978467">
      <w:marLeft w:val="0"/>
      <w:marRight w:val="0"/>
      <w:marTop w:val="0"/>
      <w:marBottom w:val="0"/>
      <w:divBdr>
        <w:top w:val="none" w:sz="0" w:space="0" w:color="auto"/>
        <w:left w:val="none" w:sz="0" w:space="0" w:color="auto"/>
        <w:bottom w:val="none" w:sz="0" w:space="0" w:color="auto"/>
        <w:right w:val="none" w:sz="0" w:space="0" w:color="auto"/>
      </w:divBdr>
    </w:div>
    <w:div w:id="795757659">
      <w:bodyDiv w:val="1"/>
      <w:marLeft w:val="0"/>
      <w:marRight w:val="0"/>
      <w:marTop w:val="0"/>
      <w:marBottom w:val="0"/>
      <w:divBdr>
        <w:top w:val="none" w:sz="0" w:space="0" w:color="auto"/>
        <w:left w:val="none" w:sz="0" w:space="0" w:color="auto"/>
        <w:bottom w:val="none" w:sz="0" w:space="0" w:color="auto"/>
        <w:right w:val="none" w:sz="0" w:space="0" w:color="auto"/>
      </w:divBdr>
    </w:div>
    <w:div w:id="814880752">
      <w:bodyDiv w:val="1"/>
      <w:marLeft w:val="0"/>
      <w:marRight w:val="0"/>
      <w:marTop w:val="0"/>
      <w:marBottom w:val="0"/>
      <w:divBdr>
        <w:top w:val="none" w:sz="0" w:space="0" w:color="auto"/>
        <w:left w:val="none" w:sz="0" w:space="0" w:color="auto"/>
        <w:bottom w:val="none" w:sz="0" w:space="0" w:color="auto"/>
        <w:right w:val="none" w:sz="0" w:space="0" w:color="auto"/>
      </w:divBdr>
    </w:div>
    <w:div w:id="816804025">
      <w:bodyDiv w:val="1"/>
      <w:marLeft w:val="0"/>
      <w:marRight w:val="0"/>
      <w:marTop w:val="0"/>
      <w:marBottom w:val="0"/>
      <w:divBdr>
        <w:top w:val="none" w:sz="0" w:space="0" w:color="auto"/>
        <w:left w:val="none" w:sz="0" w:space="0" w:color="auto"/>
        <w:bottom w:val="none" w:sz="0" w:space="0" w:color="auto"/>
        <w:right w:val="none" w:sz="0" w:space="0" w:color="auto"/>
      </w:divBdr>
    </w:div>
    <w:div w:id="841511630">
      <w:bodyDiv w:val="1"/>
      <w:marLeft w:val="0"/>
      <w:marRight w:val="0"/>
      <w:marTop w:val="0"/>
      <w:marBottom w:val="0"/>
      <w:divBdr>
        <w:top w:val="none" w:sz="0" w:space="0" w:color="auto"/>
        <w:left w:val="none" w:sz="0" w:space="0" w:color="auto"/>
        <w:bottom w:val="none" w:sz="0" w:space="0" w:color="auto"/>
        <w:right w:val="none" w:sz="0" w:space="0" w:color="auto"/>
      </w:divBdr>
    </w:div>
    <w:div w:id="860320878">
      <w:bodyDiv w:val="1"/>
      <w:marLeft w:val="0"/>
      <w:marRight w:val="0"/>
      <w:marTop w:val="0"/>
      <w:marBottom w:val="0"/>
      <w:divBdr>
        <w:top w:val="none" w:sz="0" w:space="0" w:color="auto"/>
        <w:left w:val="none" w:sz="0" w:space="0" w:color="auto"/>
        <w:bottom w:val="none" w:sz="0" w:space="0" w:color="auto"/>
        <w:right w:val="none" w:sz="0" w:space="0" w:color="auto"/>
      </w:divBdr>
    </w:div>
    <w:div w:id="863788067">
      <w:bodyDiv w:val="1"/>
      <w:marLeft w:val="0"/>
      <w:marRight w:val="0"/>
      <w:marTop w:val="0"/>
      <w:marBottom w:val="0"/>
      <w:divBdr>
        <w:top w:val="none" w:sz="0" w:space="0" w:color="auto"/>
        <w:left w:val="none" w:sz="0" w:space="0" w:color="auto"/>
        <w:bottom w:val="none" w:sz="0" w:space="0" w:color="auto"/>
        <w:right w:val="none" w:sz="0" w:space="0" w:color="auto"/>
      </w:divBdr>
    </w:div>
    <w:div w:id="905456798">
      <w:bodyDiv w:val="1"/>
      <w:marLeft w:val="0"/>
      <w:marRight w:val="0"/>
      <w:marTop w:val="0"/>
      <w:marBottom w:val="0"/>
      <w:divBdr>
        <w:top w:val="none" w:sz="0" w:space="0" w:color="auto"/>
        <w:left w:val="none" w:sz="0" w:space="0" w:color="auto"/>
        <w:bottom w:val="none" w:sz="0" w:space="0" w:color="auto"/>
        <w:right w:val="none" w:sz="0" w:space="0" w:color="auto"/>
      </w:divBdr>
    </w:div>
    <w:div w:id="950010919">
      <w:bodyDiv w:val="1"/>
      <w:marLeft w:val="0"/>
      <w:marRight w:val="0"/>
      <w:marTop w:val="0"/>
      <w:marBottom w:val="0"/>
      <w:divBdr>
        <w:top w:val="none" w:sz="0" w:space="0" w:color="auto"/>
        <w:left w:val="none" w:sz="0" w:space="0" w:color="auto"/>
        <w:bottom w:val="none" w:sz="0" w:space="0" w:color="auto"/>
        <w:right w:val="none" w:sz="0" w:space="0" w:color="auto"/>
      </w:divBdr>
    </w:div>
    <w:div w:id="954796405">
      <w:bodyDiv w:val="1"/>
      <w:marLeft w:val="0"/>
      <w:marRight w:val="0"/>
      <w:marTop w:val="0"/>
      <w:marBottom w:val="0"/>
      <w:divBdr>
        <w:top w:val="none" w:sz="0" w:space="0" w:color="auto"/>
        <w:left w:val="none" w:sz="0" w:space="0" w:color="auto"/>
        <w:bottom w:val="none" w:sz="0" w:space="0" w:color="auto"/>
        <w:right w:val="none" w:sz="0" w:space="0" w:color="auto"/>
      </w:divBdr>
    </w:div>
    <w:div w:id="975910780">
      <w:bodyDiv w:val="1"/>
      <w:marLeft w:val="0"/>
      <w:marRight w:val="0"/>
      <w:marTop w:val="0"/>
      <w:marBottom w:val="0"/>
      <w:divBdr>
        <w:top w:val="none" w:sz="0" w:space="0" w:color="auto"/>
        <w:left w:val="none" w:sz="0" w:space="0" w:color="auto"/>
        <w:bottom w:val="none" w:sz="0" w:space="0" w:color="auto"/>
        <w:right w:val="none" w:sz="0" w:space="0" w:color="auto"/>
      </w:divBdr>
    </w:div>
    <w:div w:id="980883531">
      <w:bodyDiv w:val="1"/>
      <w:marLeft w:val="0"/>
      <w:marRight w:val="0"/>
      <w:marTop w:val="0"/>
      <w:marBottom w:val="0"/>
      <w:divBdr>
        <w:top w:val="none" w:sz="0" w:space="0" w:color="auto"/>
        <w:left w:val="none" w:sz="0" w:space="0" w:color="auto"/>
        <w:bottom w:val="none" w:sz="0" w:space="0" w:color="auto"/>
        <w:right w:val="none" w:sz="0" w:space="0" w:color="auto"/>
      </w:divBdr>
    </w:div>
    <w:div w:id="988023736">
      <w:bodyDiv w:val="1"/>
      <w:marLeft w:val="0"/>
      <w:marRight w:val="0"/>
      <w:marTop w:val="0"/>
      <w:marBottom w:val="0"/>
      <w:divBdr>
        <w:top w:val="none" w:sz="0" w:space="0" w:color="auto"/>
        <w:left w:val="none" w:sz="0" w:space="0" w:color="auto"/>
        <w:bottom w:val="none" w:sz="0" w:space="0" w:color="auto"/>
        <w:right w:val="none" w:sz="0" w:space="0" w:color="auto"/>
      </w:divBdr>
    </w:div>
    <w:div w:id="1056049388">
      <w:bodyDiv w:val="1"/>
      <w:marLeft w:val="0"/>
      <w:marRight w:val="0"/>
      <w:marTop w:val="0"/>
      <w:marBottom w:val="0"/>
      <w:divBdr>
        <w:top w:val="none" w:sz="0" w:space="0" w:color="auto"/>
        <w:left w:val="none" w:sz="0" w:space="0" w:color="auto"/>
        <w:bottom w:val="none" w:sz="0" w:space="0" w:color="auto"/>
        <w:right w:val="none" w:sz="0" w:space="0" w:color="auto"/>
      </w:divBdr>
    </w:div>
    <w:div w:id="1062564905">
      <w:bodyDiv w:val="1"/>
      <w:marLeft w:val="0"/>
      <w:marRight w:val="0"/>
      <w:marTop w:val="0"/>
      <w:marBottom w:val="0"/>
      <w:divBdr>
        <w:top w:val="none" w:sz="0" w:space="0" w:color="auto"/>
        <w:left w:val="none" w:sz="0" w:space="0" w:color="auto"/>
        <w:bottom w:val="none" w:sz="0" w:space="0" w:color="auto"/>
        <w:right w:val="none" w:sz="0" w:space="0" w:color="auto"/>
      </w:divBdr>
    </w:div>
    <w:div w:id="1183520987">
      <w:bodyDiv w:val="1"/>
      <w:marLeft w:val="0"/>
      <w:marRight w:val="0"/>
      <w:marTop w:val="0"/>
      <w:marBottom w:val="0"/>
      <w:divBdr>
        <w:top w:val="none" w:sz="0" w:space="0" w:color="auto"/>
        <w:left w:val="none" w:sz="0" w:space="0" w:color="auto"/>
        <w:bottom w:val="none" w:sz="0" w:space="0" w:color="auto"/>
        <w:right w:val="none" w:sz="0" w:space="0" w:color="auto"/>
      </w:divBdr>
    </w:div>
    <w:div w:id="1213075025">
      <w:bodyDiv w:val="1"/>
      <w:marLeft w:val="0"/>
      <w:marRight w:val="0"/>
      <w:marTop w:val="0"/>
      <w:marBottom w:val="0"/>
      <w:divBdr>
        <w:top w:val="none" w:sz="0" w:space="0" w:color="auto"/>
        <w:left w:val="none" w:sz="0" w:space="0" w:color="auto"/>
        <w:bottom w:val="none" w:sz="0" w:space="0" w:color="auto"/>
        <w:right w:val="none" w:sz="0" w:space="0" w:color="auto"/>
      </w:divBdr>
    </w:div>
    <w:div w:id="1223516784">
      <w:bodyDiv w:val="1"/>
      <w:marLeft w:val="0"/>
      <w:marRight w:val="0"/>
      <w:marTop w:val="0"/>
      <w:marBottom w:val="0"/>
      <w:divBdr>
        <w:top w:val="none" w:sz="0" w:space="0" w:color="auto"/>
        <w:left w:val="none" w:sz="0" w:space="0" w:color="auto"/>
        <w:bottom w:val="none" w:sz="0" w:space="0" w:color="auto"/>
        <w:right w:val="none" w:sz="0" w:space="0" w:color="auto"/>
      </w:divBdr>
    </w:div>
    <w:div w:id="1230384266">
      <w:bodyDiv w:val="1"/>
      <w:marLeft w:val="0"/>
      <w:marRight w:val="0"/>
      <w:marTop w:val="0"/>
      <w:marBottom w:val="0"/>
      <w:divBdr>
        <w:top w:val="none" w:sz="0" w:space="0" w:color="auto"/>
        <w:left w:val="none" w:sz="0" w:space="0" w:color="auto"/>
        <w:bottom w:val="none" w:sz="0" w:space="0" w:color="auto"/>
        <w:right w:val="none" w:sz="0" w:space="0" w:color="auto"/>
      </w:divBdr>
    </w:div>
    <w:div w:id="1233662563">
      <w:bodyDiv w:val="1"/>
      <w:marLeft w:val="0"/>
      <w:marRight w:val="0"/>
      <w:marTop w:val="0"/>
      <w:marBottom w:val="0"/>
      <w:divBdr>
        <w:top w:val="none" w:sz="0" w:space="0" w:color="auto"/>
        <w:left w:val="none" w:sz="0" w:space="0" w:color="auto"/>
        <w:bottom w:val="none" w:sz="0" w:space="0" w:color="auto"/>
        <w:right w:val="none" w:sz="0" w:space="0" w:color="auto"/>
      </w:divBdr>
    </w:div>
    <w:div w:id="1255699842">
      <w:bodyDiv w:val="1"/>
      <w:marLeft w:val="0"/>
      <w:marRight w:val="0"/>
      <w:marTop w:val="0"/>
      <w:marBottom w:val="0"/>
      <w:divBdr>
        <w:top w:val="none" w:sz="0" w:space="0" w:color="auto"/>
        <w:left w:val="none" w:sz="0" w:space="0" w:color="auto"/>
        <w:bottom w:val="none" w:sz="0" w:space="0" w:color="auto"/>
        <w:right w:val="none" w:sz="0" w:space="0" w:color="auto"/>
      </w:divBdr>
    </w:div>
    <w:div w:id="1264651650">
      <w:bodyDiv w:val="1"/>
      <w:marLeft w:val="0"/>
      <w:marRight w:val="0"/>
      <w:marTop w:val="0"/>
      <w:marBottom w:val="0"/>
      <w:divBdr>
        <w:top w:val="none" w:sz="0" w:space="0" w:color="auto"/>
        <w:left w:val="none" w:sz="0" w:space="0" w:color="auto"/>
        <w:bottom w:val="none" w:sz="0" w:space="0" w:color="auto"/>
        <w:right w:val="none" w:sz="0" w:space="0" w:color="auto"/>
      </w:divBdr>
    </w:div>
    <w:div w:id="1331058562">
      <w:bodyDiv w:val="1"/>
      <w:marLeft w:val="0"/>
      <w:marRight w:val="0"/>
      <w:marTop w:val="0"/>
      <w:marBottom w:val="0"/>
      <w:divBdr>
        <w:top w:val="none" w:sz="0" w:space="0" w:color="auto"/>
        <w:left w:val="none" w:sz="0" w:space="0" w:color="auto"/>
        <w:bottom w:val="none" w:sz="0" w:space="0" w:color="auto"/>
        <w:right w:val="none" w:sz="0" w:space="0" w:color="auto"/>
      </w:divBdr>
    </w:div>
    <w:div w:id="1344865989">
      <w:bodyDiv w:val="1"/>
      <w:marLeft w:val="0"/>
      <w:marRight w:val="0"/>
      <w:marTop w:val="0"/>
      <w:marBottom w:val="0"/>
      <w:divBdr>
        <w:top w:val="none" w:sz="0" w:space="0" w:color="auto"/>
        <w:left w:val="none" w:sz="0" w:space="0" w:color="auto"/>
        <w:bottom w:val="none" w:sz="0" w:space="0" w:color="auto"/>
        <w:right w:val="none" w:sz="0" w:space="0" w:color="auto"/>
      </w:divBdr>
    </w:div>
    <w:div w:id="1383098536">
      <w:bodyDiv w:val="1"/>
      <w:marLeft w:val="0"/>
      <w:marRight w:val="0"/>
      <w:marTop w:val="0"/>
      <w:marBottom w:val="0"/>
      <w:divBdr>
        <w:top w:val="none" w:sz="0" w:space="0" w:color="auto"/>
        <w:left w:val="none" w:sz="0" w:space="0" w:color="auto"/>
        <w:bottom w:val="none" w:sz="0" w:space="0" w:color="auto"/>
        <w:right w:val="none" w:sz="0" w:space="0" w:color="auto"/>
      </w:divBdr>
    </w:div>
    <w:div w:id="1452359703">
      <w:bodyDiv w:val="1"/>
      <w:marLeft w:val="0"/>
      <w:marRight w:val="0"/>
      <w:marTop w:val="0"/>
      <w:marBottom w:val="0"/>
      <w:divBdr>
        <w:top w:val="none" w:sz="0" w:space="0" w:color="auto"/>
        <w:left w:val="none" w:sz="0" w:space="0" w:color="auto"/>
        <w:bottom w:val="none" w:sz="0" w:space="0" w:color="auto"/>
        <w:right w:val="none" w:sz="0" w:space="0" w:color="auto"/>
      </w:divBdr>
    </w:div>
    <w:div w:id="1461997288">
      <w:bodyDiv w:val="1"/>
      <w:marLeft w:val="0"/>
      <w:marRight w:val="0"/>
      <w:marTop w:val="0"/>
      <w:marBottom w:val="0"/>
      <w:divBdr>
        <w:top w:val="none" w:sz="0" w:space="0" w:color="auto"/>
        <w:left w:val="none" w:sz="0" w:space="0" w:color="auto"/>
        <w:bottom w:val="none" w:sz="0" w:space="0" w:color="auto"/>
        <w:right w:val="none" w:sz="0" w:space="0" w:color="auto"/>
      </w:divBdr>
    </w:div>
    <w:div w:id="1479565532">
      <w:bodyDiv w:val="1"/>
      <w:marLeft w:val="0"/>
      <w:marRight w:val="0"/>
      <w:marTop w:val="0"/>
      <w:marBottom w:val="0"/>
      <w:divBdr>
        <w:top w:val="none" w:sz="0" w:space="0" w:color="auto"/>
        <w:left w:val="none" w:sz="0" w:space="0" w:color="auto"/>
        <w:bottom w:val="none" w:sz="0" w:space="0" w:color="auto"/>
        <w:right w:val="none" w:sz="0" w:space="0" w:color="auto"/>
      </w:divBdr>
    </w:div>
    <w:div w:id="1514107287">
      <w:bodyDiv w:val="1"/>
      <w:marLeft w:val="0"/>
      <w:marRight w:val="0"/>
      <w:marTop w:val="0"/>
      <w:marBottom w:val="0"/>
      <w:divBdr>
        <w:top w:val="none" w:sz="0" w:space="0" w:color="auto"/>
        <w:left w:val="none" w:sz="0" w:space="0" w:color="auto"/>
        <w:bottom w:val="none" w:sz="0" w:space="0" w:color="auto"/>
        <w:right w:val="none" w:sz="0" w:space="0" w:color="auto"/>
      </w:divBdr>
    </w:div>
    <w:div w:id="1542859679">
      <w:bodyDiv w:val="1"/>
      <w:marLeft w:val="0"/>
      <w:marRight w:val="0"/>
      <w:marTop w:val="0"/>
      <w:marBottom w:val="0"/>
      <w:divBdr>
        <w:top w:val="none" w:sz="0" w:space="0" w:color="auto"/>
        <w:left w:val="none" w:sz="0" w:space="0" w:color="auto"/>
        <w:bottom w:val="none" w:sz="0" w:space="0" w:color="auto"/>
        <w:right w:val="none" w:sz="0" w:space="0" w:color="auto"/>
      </w:divBdr>
    </w:div>
    <w:div w:id="1556551405">
      <w:bodyDiv w:val="1"/>
      <w:marLeft w:val="0"/>
      <w:marRight w:val="0"/>
      <w:marTop w:val="0"/>
      <w:marBottom w:val="0"/>
      <w:divBdr>
        <w:top w:val="none" w:sz="0" w:space="0" w:color="auto"/>
        <w:left w:val="none" w:sz="0" w:space="0" w:color="auto"/>
        <w:bottom w:val="none" w:sz="0" w:space="0" w:color="auto"/>
        <w:right w:val="none" w:sz="0" w:space="0" w:color="auto"/>
      </w:divBdr>
    </w:div>
    <w:div w:id="1556771593">
      <w:bodyDiv w:val="1"/>
      <w:marLeft w:val="0"/>
      <w:marRight w:val="0"/>
      <w:marTop w:val="0"/>
      <w:marBottom w:val="0"/>
      <w:divBdr>
        <w:top w:val="none" w:sz="0" w:space="0" w:color="auto"/>
        <w:left w:val="none" w:sz="0" w:space="0" w:color="auto"/>
        <w:bottom w:val="none" w:sz="0" w:space="0" w:color="auto"/>
        <w:right w:val="none" w:sz="0" w:space="0" w:color="auto"/>
      </w:divBdr>
    </w:div>
    <w:div w:id="1557469869">
      <w:bodyDiv w:val="1"/>
      <w:marLeft w:val="0"/>
      <w:marRight w:val="0"/>
      <w:marTop w:val="0"/>
      <w:marBottom w:val="0"/>
      <w:divBdr>
        <w:top w:val="none" w:sz="0" w:space="0" w:color="auto"/>
        <w:left w:val="none" w:sz="0" w:space="0" w:color="auto"/>
        <w:bottom w:val="none" w:sz="0" w:space="0" w:color="auto"/>
        <w:right w:val="none" w:sz="0" w:space="0" w:color="auto"/>
      </w:divBdr>
    </w:div>
    <w:div w:id="1566377109">
      <w:bodyDiv w:val="1"/>
      <w:marLeft w:val="0"/>
      <w:marRight w:val="0"/>
      <w:marTop w:val="0"/>
      <w:marBottom w:val="0"/>
      <w:divBdr>
        <w:top w:val="none" w:sz="0" w:space="0" w:color="auto"/>
        <w:left w:val="none" w:sz="0" w:space="0" w:color="auto"/>
        <w:bottom w:val="none" w:sz="0" w:space="0" w:color="auto"/>
        <w:right w:val="none" w:sz="0" w:space="0" w:color="auto"/>
      </w:divBdr>
    </w:div>
    <w:div w:id="1581212622">
      <w:bodyDiv w:val="1"/>
      <w:marLeft w:val="0"/>
      <w:marRight w:val="0"/>
      <w:marTop w:val="0"/>
      <w:marBottom w:val="0"/>
      <w:divBdr>
        <w:top w:val="none" w:sz="0" w:space="0" w:color="auto"/>
        <w:left w:val="none" w:sz="0" w:space="0" w:color="auto"/>
        <w:bottom w:val="none" w:sz="0" w:space="0" w:color="auto"/>
        <w:right w:val="none" w:sz="0" w:space="0" w:color="auto"/>
      </w:divBdr>
    </w:div>
    <w:div w:id="1622348086">
      <w:bodyDiv w:val="1"/>
      <w:marLeft w:val="0"/>
      <w:marRight w:val="0"/>
      <w:marTop w:val="0"/>
      <w:marBottom w:val="0"/>
      <w:divBdr>
        <w:top w:val="none" w:sz="0" w:space="0" w:color="auto"/>
        <w:left w:val="none" w:sz="0" w:space="0" w:color="auto"/>
        <w:bottom w:val="none" w:sz="0" w:space="0" w:color="auto"/>
        <w:right w:val="none" w:sz="0" w:space="0" w:color="auto"/>
      </w:divBdr>
    </w:div>
    <w:div w:id="1686714692">
      <w:bodyDiv w:val="1"/>
      <w:marLeft w:val="0"/>
      <w:marRight w:val="0"/>
      <w:marTop w:val="0"/>
      <w:marBottom w:val="0"/>
      <w:divBdr>
        <w:top w:val="none" w:sz="0" w:space="0" w:color="auto"/>
        <w:left w:val="none" w:sz="0" w:space="0" w:color="auto"/>
        <w:bottom w:val="none" w:sz="0" w:space="0" w:color="auto"/>
        <w:right w:val="none" w:sz="0" w:space="0" w:color="auto"/>
      </w:divBdr>
    </w:div>
    <w:div w:id="1694845000">
      <w:bodyDiv w:val="1"/>
      <w:marLeft w:val="0"/>
      <w:marRight w:val="0"/>
      <w:marTop w:val="0"/>
      <w:marBottom w:val="0"/>
      <w:divBdr>
        <w:top w:val="none" w:sz="0" w:space="0" w:color="auto"/>
        <w:left w:val="none" w:sz="0" w:space="0" w:color="auto"/>
        <w:bottom w:val="none" w:sz="0" w:space="0" w:color="auto"/>
        <w:right w:val="none" w:sz="0" w:space="0" w:color="auto"/>
      </w:divBdr>
    </w:div>
    <w:div w:id="1732993946">
      <w:bodyDiv w:val="1"/>
      <w:marLeft w:val="0"/>
      <w:marRight w:val="0"/>
      <w:marTop w:val="0"/>
      <w:marBottom w:val="0"/>
      <w:divBdr>
        <w:top w:val="none" w:sz="0" w:space="0" w:color="auto"/>
        <w:left w:val="none" w:sz="0" w:space="0" w:color="auto"/>
        <w:bottom w:val="none" w:sz="0" w:space="0" w:color="auto"/>
        <w:right w:val="none" w:sz="0" w:space="0" w:color="auto"/>
      </w:divBdr>
    </w:div>
    <w:div w:id="1763067765">
      <w:bodyDiv w:val="1"/>
      <w:marLeft w:val="0"/>
      <w:marRight w:val="0"/>
      <w:marTop w:val="0"/>
      <w:marBottom w:val="0"/>
      <w:divBdr>
        <w:top w:val="none" w:sz="0" w:space="0" w:color="auto"/>
        <w:left w:val="none" w:sz="0" w:space="0" w:color="auto"/>
        <w:bottom w:val="none" w:sz="0" w:space="0" w:color="auto"/>
        <w:right w:val="none" w:sz="0" w:space="0" w:color="auto"/>
      </w:divBdr>
    </w:div>
    <w:div w:id="1779442476">
      <w:bodyDiv w:val="1"/>
      <w:marLeft w:val="0"/>
      <w:marRight w:val="0"/>
      <w:marTop w:val="0"/>
      <w:marBottom w:val="0"/>
      <w:divBdr>
        <w:top w:val="none" w:sz="0" w:space="0" w:color="auto"/>
        <w:left w:val="none" w:sz="0" w:space="0" w:color="auto"/>
        <w:bottom w:val="none" w:sz="0" w:space="0" w:color="auto"/>
        <w:right w:val="none" w:sz="0" w:space="0" w:color="auto"/>
      </w:divBdr>
    </w:div>
    <w:div w:id="1781560111">
      <w:bodyDiv w:val="1"/>
      <w:marLeft w:val="0"/>
      <w:marRight w:val="0"/>
      <w:marTop w:val="0"/>
      <w:marBottom w:val="0"/>
      <w:divBdr>
        <w:top w:val="none" w:sz="0" w:space="0" w:color="auto"/>
        <w:left w:val="none" w:sz="0" w:space="0" w:color="auto"/>
        <w:bottom w:val="none" w:sz="0" w:space="0" w:color="auto"/>
        <w:right w:val="none" w:sz="0" w:space="0" w:color="auto"/>
      </w:divBdr>
    </w:div>
    <w:div w:id="1846632407">
      <w:bodyDiv w:val="1"/>
      <w:marLeft w:val="0"/>
      <w:marRight w:val="0"/>
      <w:marTop w:val="0"/>
      <w:marBottom w:val="0"/>
      <w:divBdr>
        <w:top w:val="none" w:sz="0" w:space="0" w:color="auto"/>
        <w:left w:val="none" w:sz="0" w:space="0" w:color="auto"/>
        <w:bottom w:val="none" w:sz="0" w:space="0" w:color="auto"/>
        <w:right w:val="none" w:sz="0" w:space="0" w:color="auto"/>
      </w:divBdr>
    </w:div>
    <w:div w:id="1886720462">
      <w:bodyDiv w:val="1"/>
      <w:marLeft w:val="0"/>
      <w:marRight w:val="0"/>
      <w:marTop w:val="0"/>
      <w:marBottom w:val="0"/>
      <w:divBdr>
        <w:top w:val="none" w:sz="0" w:space="0" w:color="auto"/>
        <w:left w:val="none" w:sz="0" w:space="0" w:color="auto"/>
        <w:bottom w:val="none" w:sz="0" w:space="0" w:color="auto"/>
        <w:right w:val="none" w:sz="0" w:space="0" w:color="auto"/>
      </w:divBdr>
    </w:div>
    <w:div w:id="1887524226">
      <w:bodyDiv w:val="1"/>
      <w:marLeft w:val="0"/>
      <w:marRight w:val="0"/>
      <w:marTop w:val="0"/>
      <w:marBottom w:val="0"/>
      <w:divBdr>
        <w:top w:val="none" w:sz="0" w:space="0" w:color="auto"/>
        <w:left w:val="none" w:sz="0" w:space="0" w:color="auto"/>
        <w:bottom w:val="none" w:sz="0" w:space="0" w:color="auto"/>
        <w:right w:val="none" w:sz="0" w:space="0" w:color="auto"/>
      </w:divBdr>
    </w:div>
    <w:div w:id="1893539418">
      <w:bodyDiv w:val="1"/>
      <w:marLeft w:val="0"/>
      <w:marRight w:val="0"/>
      <w:marTop w:val="0"/>
      <w:marBottom w:val="0"/>
      <w:divBdr>
        <w:top w:val="none" w:sz="0" w:space="0" w:color="auto"/>
        <w:left w:val="none" w:sz="0" w:space="0" w:color="auto"/>
        <w:bottom w:val="none" w:sz="0" w:space="0" w:color="auto"/>
        <w:right w:val="none" w:sz="0" w:space="0" w:color="auto"/>
      </w:divBdr>
    </w:div>
    <w:div w:id="1916237994">
      <w:bodyDiv w:val="1"/>
      <w:marLeft w:val="0"/>
      <w:marRight w:val="0"/>
      <w:marTop w:val="0"/>
      <w:marBottom w:val="0"/>
      <w:divBdr>
        <w:top w:val="none" w:sz="0" w:space="0" w:color="auto"/>
        <w:left w:val="none" w:sz="0" w:space="0" w:color="auto"/>
        <w:bottom w:val="none" w:sz="0" w:space="0" w:color="auto"/>
        <w:right w:val="none" w:sz="0" w:space="0" w:color="auto"/>
      </w:divBdr>
    </w:div>
    <w:div w:id="1918854835">
      <w:bodyDiv w:val="1"/>
      <w:marLeft w:val="0"/>
      <w:marRight w:val="0"/>
      <w:marTop w:val="0"/>
      <w:marBottom w:val="0"/>
      <w:divBdr>
        <w:top w:val="none" w:sz="0" w:space="0" w:color="auto"/>
        <w:left w:val="none" w:sz="0" w:space="0" w:color="auto"/>
        <w:bottom w:val="none" w:sz="0" w:space="0" w:color="auto"/>
        <w:right w:val="none" w:sz="0" w:space="0" w:color="auto"/>
      </w:divBdr>
    </w:div>
    <w:div w:id="1933514611">
      <w:bodyDiv w:val="1"/>
      <w:marLeft w:val="0"/>
      <w:marRight w:val="0"/>
      <w:marTop w:val="0"/>
      <w:marBottom w:val="0"/>
      <w:divBdr>
        <w:top w:val="none" w:sz="0" w:space="0" w:color="auto"/>
        <w:left w:val="none" w:sz="0" w:space="0" w:color="auto"/>
        <w:bottom w:val="none" w:sz="0" w:space="0" w:color="auto"/>
        <w:right w:val="none" w:sz="0" w:space="0" w:color="auto"/>
      </w:divBdr>
    </w:div>
    <w:div w:id="1936015805">
      <w:bodyDiv w:val="1"/>
      <w:marLeft w:val="0"/>
      <w:marRight w:val="0"/>
      <w:marTop w:val="0"/>
      <w:marBottom w:val="0"/>
      <w:divBdr>
        <w:top w:val="none" w:sz="0" w:space="0" w:color="auto"/>
        <w:left w:val="none" w:sz="0" w:space="0" w:color="auto"/>
        <w:bottom w:val="none" w:sz="0" w:space="0" w:color="auto"/>
        <w:right w:val="none" w:sz="0" w:space="0" w:color="auto"/>
      </w:divBdr>
      <w:divsChild>
        <w:div w:id="156268086">
          <w:marLeft w:val="0"/>
          <w:marRight w:val="0"/>
          <w:marTop w:val="0"/>
          <w:marBottom w:val="0"/>
          <w:divBdr>
            <w:top w:val="none" w:sz="0" w:space="0" w:color="auto"/>
            <w:left w:val="none" w:sz="0" w:space="0" w:color="auto"/>
            <w:bottom w:val="none" w:sz="0" w:space="0" w:color="auto"/>
            <w:right w:val="none" w:sz="0" w:space="0" w:color="auto"/>
          </w:divBdr>
        </w:div>
        <w:div w:id="295526920">
          <w:marLeft w:val="0"/>
          <w:marRight w:val="0"/>
          <w:marTop w:val="0"/>
          <w:marBottom w:val="0"/>
          <w:divBdr>
            <w:top w:val="none" w:sz="0" w:space="0" w:color="auto"/>
            <w:left w:val="none" w:sz="0" w:space="0" w:color="auto"/>
            <w:bottom w:val="none" w:sz="0" w:space="0" w:color="auto"/>
            <w:right w:val="none" w:sz="0" w:space="0" w:color="auto"/>
          </w:divBdr>
        </w:div>
        <w:div w:id="308294579">
          <w:marLeft w:val="0"/>
          <w:marRight w:val="0"/>
          <w:marTop w:val="0"/>
          <w:marBottom w:val="0"/>
          <w:divBdr>
            <w:top w:val="none" w:sz="0" w:space="0" w:color="auto"/>
            <w:left w:val="none" w:sz="0" w:space="0" w:color="auto"/>
            <w:bottom w:val="none" w:sz="0" w:space="0" w:color="auto"/>
            <w:right w:val="none" w:sz="0" w:space="0" w:color="auto"/>
          </w:divBdr>
        </w:div>
        <w:div w:id="455173871">
          <w:marLeft w:val="0"/>
          <w:marRight w:val="0"/>
          <w:marTop w:val="0"/>
          <w:marBottom w:val="0"/>
          <w:divBdr>
            <w:top w:val="none" w:sz="0" w:space="0" w:color="auto"/>
            <w:left w:val="none" w:sz="0" w:space="0" w:color="auto"/>
            <w:bottom w:val="none" w:sz="0" w:space="0" w:color="auto"/>
            <w:right w:val="none" w:sz="0" w:space="0" w:color="auto"/>
          </w:divBdr>
        </w:div>
        <w:div w:id="557085231">
          <w:marLeft w:val="0"/>
          <w:marRight w:val="0"/>
          <w:marTop w:val="0"/>
          <w:marBottom w:val="0"/>
          <w:divBdr>
            <w:top w:val="none" w:sz="0" w:space="0" w:color="auto"/>
            <w:left w:val="none" w:sz="0" w:space="0" w:color="auto"/>
            <w:bottom w:val="none" w:sz="0" w:space="0" w:color="auto"/>
            <w:right w:val="none" w:sz="0" w:space="0" w:color="auto"/>
          </w:divBdr>
        </w:div>
        <w:div w:id="624235643">
          <w:marLeft w:val="0"/>
          <w:marRight w:val="0"/>
          <w:marTop w:val="0"/>
          <w:marBottom w:val="0"/>
          <w:divBdr>
            <w:top w:val="none" w:sz="0" w:space="0" w:color="auto"/>
            <w:left w:val="none" w:sz="0" w:space="0" w:color="auto"/>
            <w:bottom w:val="none" w:sz="0" w:space="0" w:color="auto"/>
            <w:right w:val="none" w:sz="0" w:space="0" w:color="auto"/>
          </w:divBdr>
        </w:div>
        <w:div w:id="837959439">
          <w:marLeft w:val="0"/>
          <w:marRight w:val="0"/>
          <w:marTop w:val="0"/>
          <w:marBottom w:val="0"/>
          <w:divBdr>
            <w:top w:val="none" w:sz="0" w:space="0" w:color="auto"/>
            <w:left w:val="none" w:sz="0" w:space="0" w:color="auto"/>
            <w:bottom w:val="none" w:sz="0" w:space="0" w:color="auto"/>
            <w:right w:val="none" w:sz="0" w:space="0" w:color="auto"/>
          </w:divBdr>
        </w:div>
        <w:div w:id="1014040032">
          <w:marLeft w:val="0"/>
          <w:marRight w:val="0"/>
          <w:marTop w:val="0"/>
          <w:marBottom w:val="0"/>
          <w:divBdr>
            <w:top w:val="none" w:sz="0" w:space="0" w:color="auto"/>
            <w:left w:val="none" w:sz="0" w:space="0" w:color="auto"/>
            <w:bottom w:val="none" w:sz="0" w:space="0" w:color="auto"/>
            <w:right w:val="none" w:sz="0" w:space="0" w:color="auto"/>
          </w:divBdr>
        </w:div>
        <w:div w:id="1245727925">
          <w:marLeft w:val="0"/>
          <w:marRight w:val="0"/>
          <w:marTop w:val="0"/>
          <w:marBottom w:val="0"/>
          <w:divBdr>
            <w:top w:val="none" w:sz="0" w:space="0" w:color="auto"/>
            <w:left w:val="none" w:sz="0" w:space="0" w:color="auto"/>
            <w:bottom w:val="none" w:sz="0" w:space="0" w:color="auto"/>
            <w:right w:val="none" w:sz="0" w:space="0" w:color="auto"/>
          </w:divBdr>
        </w:div>
        <w:div w:id="1264849003">
          <w:marLeft w:val="0"/>
          <w:marRight w:val="0"/>
          <w:marTop w:val="0"/>
          <w:marBottom w:val="0"/>
          <w:divBdr>
            <w:top w:val="none" w:sz="0" w:space="0" w:color="auto"/>
            <w:left w:val="none" w:sz="0" w:space="0" w:color="auto"/>
            <w:bottom w:val="none" w:sz="0" w:space="0" w:color="auto"/>
            <w:right w:val="none" w:sz="0" w:space="0" w:color="auto"/>
          </w:divBdr>
        </w:div>
        <w:div w:id="1367677925">
          <w:marLeft w:val="0"/>
          <w:marRight w:val="0"/>
          <w:marTop w:val="0"/>
          <w:marBottom w:val="0"/>
          <w:divBdr>
            <w:top w:val="none" w:sz="0" w:space="0" w:color="auto"/>
            <w:left w:val="none" w:sz="0" w:space="0" w:color="auto"/>
            <w:bottom w:val="none" w:sz="0" w:space="0" w:color="auto"/>
            <w:right w:val="none" w:sz="0" w:space="0" w:color="auto"/>
          </w:divBdr>
        </w:div>
        <w:div w:id="1514299861">
          <w:marLeft w:val="0"/>
          <w:marRight w:val="0"/>
          <w:marTop w:val="0"/>
          <w:marBottom w:val="0"/>
          <w:divBdr>
            <w:top w:val="none" w:sz="0" w:space="0" w:color="auto"/>
            <w:left w:val="none" w:sz="0" w:space="0" w:color="auto"/>
            <w:bottom w:val="none" w:sz="0" w:space="0" w:color="auto"/>
            <w:right w:val="none" w:sz="0" w:space="0" w:color="auto"/>
          </w:divBdr>
        </w:div>
        <w:div w:id="1547179391">
          <w:marLeft w:val="0"/>
          <w:marRight w:val="0"/>
          <w:marTop w:val="0"/>
          <w:marBottom w:val="0"/>
          <w:divBdr>
            <w:top w:val="none" w:sz="0" w:space="0" w:color="auto"/>
            <w:left w:val="none" w:sz="0" w:space="0" w:color="auto"/>
            <w:bottom w:val="none" w:sz="0" w:space="0" w:color="auto"/>
            <w:right w:val="none" w:sz="0" w:space="0" w:color="auto"/>
          </w:divBdr>
        </w:div>
        <w:div w:id="1728531406">
          <w:marLeft w:val="0"/>
          <w:marRight w:val="0"/>
          <w:marTop w:val="0"/>
          <w:marBottom w:val="0"/>
          <w:divBdr>
            <w:top w:val="none" w:sz="0" w:space="0" w:color="auto"/>
            <w:left w:val="none" w:sz="0" w:space="0" w:color="auto"/>
            <w:bottom w:val="none" w:sz="0" w:space="0" w:color="auto"/>
            <w:right w:val="none" w:sz="0" w:space="0" w:color="auto"/>
          </w:divBdr>
        </w:div>
        <w:div w:id="1847548220">
          <w:marLeft w:val="0"/>
          <w:marRight w:val="0"/>
          <w:marTop w:val="0"/>
          <w:marBottom w:val="0"/>
          <w:divBdr>
            <w:top w:val="none" w:sz="0" w:space="0" w:color="auto"/>
            <w:left w:val="none" w:sz="0" w:space="0" w:color="auto"/>
            <w:bottom w:val="none" w:sz="0" w:space="0" w:color="auto"/>
            <w:right w:val="none" w:sz="0" w:space="0" w:color="auto"/>
          </w:divBdr>
        </w:div>
        <w:div w:id="1912619468">
          <w:marLeft w:val="0"/>
          <w:marRight w:val="0"/>
          <w:marTop w:val="0"/>
          <w:marBottom w:val="0"/>
          <w:divBdr>
            <w:top w:val="none" w:sz="0" w:space="0" w:color="auto"/>
            <w:left w:val="none" w:sz="0" w:space="0" w:color="auto"/>
            <w:bottom w:val="none" w:sz="0" w:space="0" w:color="auto"/>
            <w:right w:val="none" w:sz="0" w:space="0" w:color="auto"/>
          </w:divBdr>
        </w:div>
      </w:divsChild>
    </w:div>
    <w:div w:id="1957561391">
      <w:bodyDiv w:val="1"/>
      <w:marLeft w:val="0"/>
      <w:marRight w:val="0"/>
      <w:marTop w:val="0"/>
      <w:marBottom w:val="0"/>
      <w:divBdr>
        <w:top w:val="none" w:sz="0" w:space="0" w:color="auto"/>
        <w:left w:val="none" w:sz="0" w:space="0" w:color="auto"/>
        <w:bottom w:val="none" w:sz="0" w:space="0" w:color="auto"/>
        <w:right w:val="none" w:sz="0" w:space="0" w:color="auto"/>
      </w:divBdr>
    </w:div>
    <w:div w:id="1964730239">
      <w:bodyDiv w:val="1"/>
      <w:marLeft w:val="0"/>
      <w:marRight w:val="0"/>
      <w:marTop w:val="0"/>
      <w:marBottom w:val="0"/>
      <w:divBdr>
        <w:top w:val="none" w:sz="0" w:space="0" w:color="auto"/>
        <w:left w:val="none" w:sz="0" w:space="0" w:color="auto"/>
        <w:bottom w:val="none" w:sz="0" w:space="0" w:color="auto"/>
        <w:right w:val="none" w:sz="0" w:space="0" w:color="auto"/>
      </w:divBdr>
    </w:div>
    <w:div w:id="1984846649">
      <w:bodyDiv w:val="1"/>
      <w:marLeft w:val="0"/>
      <w:marRight w:val="0"/>
      <w:marTop w:val="0"/>
      <w:marBottom w:val="0"/>
      <w:divBdr>
        <w:top w:val="none" w:sz="0" w:space="0" w:color="auto"/>
        <w:left w:val="none" w:sz="0" w:space="0" w:color="auto"/>
        <w:bottom w:val="none" w:sz="0" w:space="0" w:color="auto"/>
        <w:right w:val="none" w:sz="0" w:space="0" w:color="auto"/>
      </w:divBdr>
    </w:div>
    <w:div w:id="2009483018">
      <w:bodyDiv w:val="1"/>
      <w:marLeft w:val="0"/>
      <w:marRight w:val="0"/>
      <w:marTop w:val="0"/>
      <w:marBottom w:val="0"/>
      <w:divBdr>
        <w:top w:val="none" w:sz="0" w:space="0" w:color="auto"/>
        <w:left w:val="none" w:sz="0" w:space="0" w:color="auto"/>
        <w:bottom w:val="none" w:sz="0" w:space="0" w:color="auto"/>
        <w:right w:val="none" w:sz="0" w:space="0" w:color="auto"/>
      </w:divBdr>
    </w:div>
    <w:div w:id="2040888814">
      <w:bodyDiv w:val="1"/>
      <w:marLeft w:val="0"/>
      <w:marRight w:val="0"/>
      <w:marTop w:val="0"/>
      <w:marBottom w:val="0"/>
      <w:divBdr>
        <w:top w:val="none" w:sz="0" w:space="0" w:color="auto"/>
        <w:left w:val="none" w:sz="0" w:space="0" w:color="auto"/>
        <w:bottom w:val="none" w:sz="0" w:space="0" w:color="auto"/>
        <w:right w:val="none" w:sz="0" w:space="0" w:color="auto"/>
      </w:divBdr>
    </w:div>
    <w:div w:id="2063209383">
      <w:bodyDiv w:val="1"/>
      <w:marLeft w:val="0"/>
      <w:marRight w:val="0"/>
      <w:marTop w:val="0"/>
      <w:marBottom w:val="0"/>
      <w:divBdr>
        <w:top w:val="none" w:sz="0" w:space="0" w:color="auto"/>
        <w:left w:val="none" w:sz="0" w:space="0" w:color="auto"/>
        <w:bottom w:val="none" w:sz="0" w:space="0" w:color="auto"/>
        <w:right w:val="none" w:sz="0" w:space="0" w:color="auto"/>
      </w:divBdr>
    </w:div>
    <w:div w:id="2068020546">
      <w:bodyDiv w:val="1"/>
      <w:marLeft w:val="0"/>
      <w:marRight w:val="0"/>
      <w:marTop w:val="0"/>
      <w:marBottom w:val="0"/>
      <w:divBdr>
        <w:top w:val="none" w:sz="0" w:space="0" w:color="auto"/>
        <w:left w:val="none" w:sz="0" w:space="0" w:color="auto"/>
        <w:bottom w:val="none" w:sz="0" w:space="0" w:color="auto"/>
        <w:right w:val="none" w:sz="0" w:space="0" w:color="auto"/>
      </w:divBdr>
    </w:div>
    <w:div w:id="2068140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eur-lex.europa.eu/legal-content/EN/TXT/HTML/?uri=CELEX:32009R0330&amp;qid=1515590966931&amp;from=EN" TargetMode="Externa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hyperlink" Target="http://seriestoriche.istat.it/index.php?id=1&amp;no_cache=1&amp;L=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6.png"/><Relationship Id="rId25" Type="http://schemas.openxmlformats.org/officeDocument/2006/relationships/hyperlink" Target="https://eur-lex.europa.eu/legal-content/EN/TXT/?uri=CELEX:32020R1148" TargetMode="External"/><Relationship Id="rId33" Type="http://schemas.openxmlformats.org/officeDocument/2006/relationships/hyperlink" Target="http://dati-congiuntura.istat.it/?lang=e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ec.europa.eu/eurostat/ramon/nomenclatures/index.cfm?TargetUrl=DSP_GEN_DESC_VIEW_NOHDR&amp;StrNom=COICOP_5&amp;StrLanguageCode=EN" TargetMode="External"/><Relationship Id="rId29" Type="http://schemas.openxmlformats.org/officeDocument/2006/relationships/hyperlink" Target="https://www.istat.it/it/informazioni-e-servizi/per-i-giornalisti/appuntamenti/calendario-diffusioni-ed-event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eur-lex.europa.eu/legal-content/EN/TXT/HTML/?uri=CELEX:32016R0792&amp;rid=1" TargetMode="External"/><Relationship Id="rId32" Type="http://schemas.openxmlformats.org/officeDocument/2006/relationships/hyperlink" Target="http://dati.istat.it/?lang=en" TargetMode="External"/><Relationship Id="rId37" Type="http://schemas.openxmlformats.org/officeDocument/2006/relationships/hyperlink" Target="mailto:manuela.morricone@istat.it"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istat.it/it/files/2011/04/dlgs322.pdf" TargetMode="External"/><Relationship Id="rId28" Type="http://schemas.openxmlformats.org/officeDocument/2006/relationships/image" Target="media/image9.png"/><Relationship Id="rId36"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www.istat.it/it/prezzi"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eur-lex.europa.eu/legal-content/EN/TXT/HTML/?uri=CELEX:32016R0792&amp;rid=1" TargetMode="External"/><Relationship Id="rId27" Type="http://schemas.openxmlformats.org/officeDocument/2006/relationships/hyperlink" Target="https://eur-lex.europa.eu/legal-content/EN/TXT/?uri=CELEX:32020R1148" TargetMode="External"/><Relationship Id="rId30" Type="http://schemas.openxmlformats.org/officeDocument/2006/relationships/hyperlink" Target="http://www.istat.it/it/informazioni/per-i-giornalisti/appuntamenti" TargetMode="External"/><Relationship Id="rId35" Type="http://schemas.openxmlformats.org/officeDocument/2006/relationships/hyperlink" Target="http://ec.europa.eu/eurostat/data/database%20" TargetMode="External"/><Relationship Id="rId8" Type="http://schemas.openxmlformats.org/officeDocument/2006/relationships/styles" Target="styl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3" Type="http://schemas.openxmlformats.org/officeDocument/2006/relationships/hyperlink" Target="http://dati.istat.it" TargetMode="External"/><Relationship Id="rId2" Type="http://schemas.openxmlformats.org/officeDocument/2006/relationships/hyperlink" Target="http://ec.europa.eu/eurostat/documents/3859598/5926625/KS-RA-13-017-EN.PDF/59eb2c1c-da1f-472c-b191-3d0c76521f9b?version=1.0" TargetMode="External"/><Relationship Id="rId1" Type="http://schemas.openxmlformats.org/officeDocument/2006/relationships/hyperlink" Target="http://ec.europa.eu/eurostat/ramon/nomenclatures/index.cfm?TargetUrl=LST_NOM_DTL&amp;StrNom=HICP_2000&amp;StrLanguageCode=EN&amp;IntPcKey=22476519&amp;StrLayoutCode=HIERARCHI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file:///G:\Users\enzalucia.vaccaro\My%20Documents\TESTATINE\ufficiostampa@istat.it" TargetMode="External"/><Relationship Id="rId7" Type="http://schemas.openxmlformats.org/officeDocument/2006/relationships/image" Target="media/image4.png"/><Relationship Id="rId2" Type="http://schemas.openxmlformats.org/officeDocument/2006/relationships/hyperlink" Target="https://contact.istat.it/s/?language=en_US" TargetMode="External"/><Relationship Id="rId1" Type="http://schemas.openxmlformats.org/officeDocument/2006/relationships/hyperlink" Target="http://www.istat.it" TargetMode="External"/><Relationship Id="rId6" Type="http://schemas.openxmlformats.org/officeDocument/2006/relationships/hyperlink" Target="file:///G:\Users\enzalucia.vaccaro\My%20Documents\TESTATINE\ufficiostampa@istat.it" TargetMode="External"/><Relationship Id="rId5" Type="http://schemas.openxmlformats.org/officeDocument/2006/relationships/hyperlink" Target="https://contact.istat.it/s/?language=en_US" TargetMode="External"/><Relationship Id="rId4" Type="http://schemas.openxmlformats.org/officeDocument/2006/relationships/hyperlink" Target="http://www.istat.i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Nota o comunicato" ma:contentTypeID="0x010100B795A82E90F7744F8BBD5BCEA1E47B9D00412BB8B24175FB4599016A296A388103" ma:contentTypeVersion="2" ma:contentTypeDescription="" ma:contentTypeScope="" ma:versionID="fef993d87c238cc71779350178681a56">
  <xsd:schema xmlns:xsd="http://www.w3.org/2001/XMLSchema" xmlns:xs="http://www.w3.org/2001/XMLSchema" xmlns:p="http://schemas.microsoft.com/office/2006/metadata/properties" xmlns:ns2="2886d22a-1eb9-406b-961e-e52bb60f5915" targetNamespace="http://schemas.microsoft.com/office/2006/metadata/properties" ma:root="true" ma:fieldsID="6a986a9c8108b3d7a67e5da413ff238a" ns2:_="">
    <xsd:import namespace="2886d22a-1eb9-406b-961e-e52bb60f59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6d22a-1eb9-406b-961e-e52bb60f5915"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8E0F5-7959-43D5-8BAE-AD7F4B552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6d22a-1eb9-406b-961e-e52bb60f5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7F3BF-CE09-4C1A-A051-AA33B0955CE9}">
  <ds:schemaRefs>
    <ds:schemaRef ds:uri="http://schemas.microsoft.com/office/2006/documentManagement/types"/>
    <ds:schemaRef ds:uri="http://purl.org/dc/elements/1.1/"/>
    <ds:schemaRef ds:uri="2886d22a-1eb9-406b-961e-e52bb60f5915"/>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01FEE51-F27C-4B1C-868A-E52A67067FBC}">
  <ds:schemaRefs>
    <ds:schemaRef ds:uri="http://schemas.microsoft.com/office/2006/metadata/longProperties"/>
  </ds:schemaRefs>
</ds:datastoreItem>
</file>

<file path=customXml/itemProps4.xml><?xml version="1.0" encoding="utf-8"?>
<ds:datastoreItem xmlns:ds="http://schemas.openxmlformats.org/officeDocument/2006/customXml" ds:itemID="{8457C05D-CBE7-434C-B07E-49F90D35983D}">
  <ds:schemaRefs>
    <ds:schemaRef ds:uri="http://schemas.microsoft.com/sharepoint/events"/>
  </ds:schemaRefs>
</ds:datastoreItem>
</file>

<file path=customXml/itemProps5.xml><?xml version="1.0" encoding="utf-8"?>
<ds:datastoreItem xmlns:ds="http://schemas.openxmlformats.org/officeDocument/2006/customXml" ds:itemID="{B576ECDC-0A84-4219-8C08-F9B34EC46C45}">
  <ds:schemaRefs>
    <ds:schemaRef ds:uri="http://schemas.microsoft.com/sharepoint/v3/contenttype/forms"/>
  </ds:schemaRefs>
</ds:datastoreItem>
</file>

<file path=customXml/itemProps6.xml><?xml version="1.0" encoding="utf-8"?>
<ds:datastoreItem xmlns:ds="http://schemas.openxmlformats.org/officeDocument/2006/customXml" ds:itemID="{7D79ABDB-22FE-461C-8C8F-642CF1402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13</Pages>
  <Words>6714</Words>
  <Characters>38275</Characters>
  <Application>Microsoft Office Word</Application>
  <DocSecurity>0</DocSecurity>
  <Lines>318</Lines>
  <Paragraphs>89</Paragraphs>
  <ScaleCrop>false</ScaleCrop>
  <HeadingPairs>
    <vt:vector size="2" baseType="variant">
      <vt:variant>
        <vt:lpstr>Titolo</vt:lpstr>
      </vt:variant>
      <vt:variant>
        <vt:i4>1</vt:i4>
      </vt:variant>
    </vt:vector>
  </HeadingPairs>
  <TitlesOfParts>
    <vt:vector size="1" baseType="lpstr">
      <vt:lpstr>Prezzi al consumo</vt:lpstr>
    </vt:vector>
  </TitlesOfParts>
  <Company>HP</Company>
  <LinksUpToDate>false</LinksUpToDate>
  <CharactersWithSpaces>44900</CharactersWithSpaces>
  <SharedDoc>false</SharedDoc>
  <HLinks>
    <vt:vector size="90" baseType="variant">
      <vt:variant>
        <vt:i4>7340157</vt:i4>
      </vt:variant>
      <vt:variant>
        <vt:i4>33</vt:i4>
      </vt:variant>
      <vt:variant>
        <vt:i4>0</vt:i4>
      </vt:variant>
      <vt:variant>
        <vt:i4>5</vt:i4>
      </vt:variant>
      <vt:variant>
        <vt:lpwstr>http://ec.europa.eu/eurostat/data/database</vt:lpwstr>
      </vt:variant>
      <vt:variant>
        <vt:lpwstr/>
      </vt:variant>
      <vt:variant>
        <vt:i4>5832750</vt:i4>
      </vt:variant>
      <vt:variant>
        <vt:i4>30</vt:i4>
      </vt:variant>
      <vt:variant>
        <vt:i4>0</vt:i4>
      </vt:variant>
      <vt:variant>
        <vt:i4>5</vt:i4>
      </vt:variant>
      <vt:variant>
        <vt:lpwstr>http://seriestoriche.istat.it/index.php?id=1&amp;no_cache=1&amp;L=1</vt:lpwstr>
      </vt:variant>
      <vt:variant>
        <vt:lpwstr/>
      </vt:variant>
      <vt:variant>
        <vt:i4>5701647</vt:i4>
      </vt:variant>
      <vt:variant>
        <vt:i4>27</vt:i4>
      </vt:variant>
      <vt:variant>
        <vt:i4>0</vt:i4>
      </vt:variant>
      <vt:variant>
        <vt:i4>5</vt:i4>
      </vt:variant>
      <vt:variant>
        <vt:lpwstr>http://dati-congiuntura.istat.it/?lang=en</vt:lpwstr>
      </vt:variant>
      <vt:variant>
        <vt:lpwstr/>
      </vt:variant>
      <vt:variant>
        <vt:i4>65553</vt:i4>
      </vt:variant>
      <vt:variant>
        <vt:i4>24</vt:i4>
      </vt:variant>
      <vt:variant>
        <vt:i4>0</vt:i4>
      </vt:variant>
      <vt:variant>
        <vt:i4>5</vt:i4>
      </vt:variant>
      <vt:variant>
        <vt:lpwstr>http://dati.istat.it/?lang=en</vt:lpwstr>
      </vt:variant>
      <vt:variant>
        <vt:lpwstr/>
      </vt:variant>
      <vt:variant>
        <vt:i4>2031702</vt:i4>
      </vt:variant>
      <vt:variant>
        <vt:i4>21</vt:i4>
      </vt:variant>
      <vt:variant>
        <vt:i4>0</vt:i4>
      </vt:variant>
      <vt:variant>
        <vt:i4>5</vt:i4>
      </vt:variant>
      <vt:variant>
        <vt:lpwstr>http://www.istat.it/it/prezzi</vt:lpwstr>
      </vt:variant>
      <vt:variant>
        <vt:lpwstr/>
      </vt:variant>
      <vt:variant>
        <vt:i4>7471162</vt:i4>
      </vt:variant>
      <vt:variant>
        <vt:i4>18</vt:i4>
      </vt:variant>
      <vt:variant>
        <vt:i4>0</vt:i4>
      </vt:variant>
      <vt:variant>
        <vt:i4>5</vt:i4>
      </vt:variant>
      <vt:variant>
        <vt:lpwstr>http://www.istat.it/it/informazioni/per-i-giornalisti/appuntamenti</vt:lpwstr>
      </vt:variant>
      <vt:variant>
        <vt:lpwstr/>
      </vt:variant>
      <vt:variant>
        <vt:i4>5832734</vt:i4>
      </vt:variant>
      <vt:variant>
        <vt:i4>15</vt:i4>
      </vt:variant>
      <vt:variant>
        <vt:i4>0</vt:i4>
      </vt:variant>
      <vt:variant>
        <vt:i4>5</vt:i4>
      </vt:variant>
      <vt:variant>
        <vt:lpwstr>https://www.istat.it/it/informazioni-e-servizi/per-i-giornalisti/appuntamenti/calendario-diffusioni-ed-eventi</vt:lpwstr>
      </vt:variant>
      <vt:variant>
        <vt:lpwstr/>
      </vt:variant>
      <vt:variant>
        <vt:i4>2556005</vt:i4>
      </vt:variant>
      <vt:variant>
        <vt:i4>12</vt:i4>
      </vt:variant>
      <vt:variant>
        <vt:i4>0</vt:i4>
      </vt:variant>
      <vt:variant>
        <vt:i4>5</vt:i4>
      </vt:variant>
      <vt:variant>
        <vt:lpwstr>http://eur-lex.europa.eu/legal-content/EN/TXT/HTML/?uri=CELEX:32009R0330&amp;qid=1515590966931&amp;from=EN</vt:lpwstr>
      </vt:variant>
      <vt:variant>
        <vt:lpwstr/>
      </vt:variant>
      <vt:variant>
        <vt:i4>7536697</vt:i4>
      </vt:variant>
      <vt:variant>
        <vt:i4>9</vt:i4>
      </vt:variant>
      <vt:variant>
        <vt:i4>0</vt:i4>
      </vt:variant>
      <vt:variant>
        <vt:i4>5</vt:i4>
      </vt:variant>
      <vt:variant>
        <vt:lpwstr>http://eur-lex.europa.eu/legal-content/EN/TXT/HTML/?uri=CELEX:32016R0792&amp;rid=1</vt:lpwstr>
      </vt:variant>
      <vt:variant>
        <vt:lpwstr/>
      </vt:variant>
      <vt:variant>
        <vt:i4>1835016</vt:i4>
      </vt:variant>
      <vt:variant>
        <vt:i4>6</vt:i4>
      </vt:variant>
      <vt:variant>
        <vt:i4>0</vt:i4>
      </vt:variant>
      <vt:variant>
        <vt:i4>5</vt:i4>
      </vt:variant>
      <vt:variant>
        <vt:lpwstr>https://www.istat.it/it/files/2011/04/dlgs322.pdf</vt:lpwstr>
      </vt:variant>
      <vt:variant>
        <vt:lpwstr/>
      </vt:variant>
      <vt:variant>
        <vt:i4>7536697</vt:i4>
      </vt:variant>
      <vt:variant>
        <vt:i4>3</vt:i4>
      </vt:variant>
      <vt:variant>
        <vt:i4>0</vt:i4>
      </vt:variant>
      <vt:variant>
        <vt:i4>5</vt:i4>
      </vt:variant>
      <vt:variant>
        <vt:lpwstr>http://eur-lex.europa.eu/legal-content/EN/TXT/HTML/?uri=CELEX:32016R0792&amp;rid=1</vt:lpwstr>
      </vt:variant>
      <vt:variant>
        <vt:lpwstr/>
      </vt:variant>
      <vt:variant>
        <vt:i4>393327</vt:i4>
      </vt:variant>
      <vt:variant>
        <vt:i4>0</vt:i4>
      </vt:variant>
      <vt:variant>
        <vt:i4>0</vt:i4>
      </vt:variant>
      <vt:variant>
        <vt:i4>5</vt:i4>
      </vt:variant>
      <vt:variant>
        <vt:lpwstr>http://ec.europa.eu/eurostat/ramon/nomenclatures/index.cfm?TargetUrl=DSP_GEN_DESC_VIEW_NOHDR&amp;StrNom=COICOP_5&amp;StrLanguageCode=EN</vt:lpwstr>
      </vt:variant>
      <vt:variant>
        <vt:lpwstr/>
      </vt:variant>
      <vt:variant>
        <vt:i4>6094849</vt:i4>
      </vt:variant>
      <vt:variant>
        <vt:i4>6</vt:i4>
      </vt:variant>
      <vt:variant>
        <vt:i4>0</vt:i4>
      </vt:variant>
      <vt:variant>
        <vt:i4>5</vt:i4>
      </vt:variant>
      <vt:variant>
        <vt:lpwstr>http://dati.istat.it/</vt:lpwstr>
      </vt:variant>
      <vt:variant>
        <vt:lpwstr/>
      </vt:variant>
      <vt:variant>
        <vt:i4>6422641</vt:i4>
      </vt:variant>
      <vt:variant>
        <vt:i4>3</vt:i4>
      </vt:variant>
      <vt:variant>
        <vt:i4>0</vt:i4>
      </vt:variant>
      <vt:variant>
        <vt:i4>5</vt:i4>
      </vt:variant>
      <vt:variant>
        <vt:lpwstr>http://ec.europa.eu/eurostat/documents/3859598/5926625/KS-RA-13-017-EN.PDF/59eb2c1c-da1f-472c-b191-3d0c76521f9b?version=1.0</vt:lpwstr>
      </vt:variant>
      <vt:variant>
        <vt:lpwstr/>
      </vt:variant>
      <vt:variant>
        <vt:i4>3801096</vt:i4>
      </vt:variant>
      <vt:variant>
        <vt:i4>0</vt:i4>
      </vt:variant>
      <vt:variant>
        <vt:i4>0</vt:i4>
      </vt:variant>
      <vt:variant>
        <vt:i4>5</vt:i4>
      </vt:variant>
      <vt:variant>
        <vt:lpwstr>http://ec.europa.eu/eurostat/ramon/nomenclatures/index.cfm?TargetUrl=LST_NOM_DTL&amp;StrNom=HICP_2000&amp;StrLanguageCode=EN&amp;IntPcKey=22476519&amp;StrLayoutCode=HIERARCHIC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Prezzi al consumo</dc:title>
  <dc:creator>ISTAT</dc:creator>
  <cp:lastModifiedBy>Manuela Morricone</cp:lastModifiedBy>
  <cp:revision>82</cp:revision>
  <cp:lastPrinted>2024-03-01T06:37:00Z</cp:lastPrinted>
  <dcterms:created xsi:type="dcterms:W3CDTF">2024-04-29T08:55:00Z</dcterms:created>
  <dcterms:modified xsi:type="dcterms:W3CDTF">2024-07-31T06:10:00Z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2QYKZWF4TN2A-29-1293</vt:lpwstr>
  </property>
  <property fmtid="{D5CDD505-2E9C-101B-9397-08002B2CF9AE}" pid="3" name="_dlc_DocIdItemGuid">
    <vt:lpwstr>39fd900f-3861-4b4e-af1b-88ba79d19f4b</vt:lpwstr>
  </property>
  <property fmtid="{D5CDD505-2E9C-101B-9397-08002B2CF9AE}" pid="4" name="_dlc_DocIdUrl">
    <vt:lpwstr>https://collaborazione.istat.it/siti/ed/ufficio_stampa/_layouts/DocIdRedir.aspx?ID=2QYKZWF4TN2A-29-1293, 2QYKZWF4TN2A-29-1293</vt:lpwstr>
  </property>
</Properties>
</file>