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57D" w:rsidRPr="00E322CD" w:rsidRDefault="006F2241" w:rsidP="0038662D">
      <w:pPr>
        <w:spacing w:before="0" w:after="0"/>
        <w:ind w:left="1814"/>
        <w:rPr>
          <w:rFonts w:ascii="Arial" w:hAnsi="Arial" w:cs="Arial"/>
          <w:color w:val="5F5F5F"/>
          <w:sz w:val="28"/>
          <w:szCs w:val="28"/>
        </w:rPr>
      </w:pPr>
      <w:r w:rsidRPr="00E322CD">
        <w:rPr>
          <w:rFonts w:ascii="Arial" w:hAnsi="Arial" w:cs="Arial"/>
          <w:noProof/>
          <w:color w:val="5F5F5F"/>
          <w:sz w:val="28"/>
          <w:szCs w:val="28"/>
        </w:rPr>
        <mc:AlternateContent>
          <mc:Choice Requires="wps">
            <w:drawing>
              <wp:anchor distT="0" distB="0" distL="114300" distR="114300" simplePos="0" relativeHeight="251657728" behindDoc="0" locked="0" layoutInCell="1" allowOverlap="1">
                <wp:simplePos x="0" y="0"/>
                <wp:positionH relativeFrom="column">
                  <wp:posOffset>4079240</wp:posOffset>
                </wp:positionH>
                <wp:positionV relativeFrom="paragraph">
                  <wp:posOffset>-899795</wp:posOffset>
                </wp:positionV>
                <wp:extent cx="1160145" cy="325755"/>
                <wp:effectExtent l="12065" t="5080" r="8890" b="12065"/>
                <wp:wrapNone/>
                <wp:docPr id="1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145" cy="325755"/>
                        </a:xfrm>
                        <a:prstGeom prst="rect">
                          <a:avLst/>
                        </a:prstGeom>
                        <a:solidFill>
                          <a:srgbClr val="FFFFFF"/>
                        </a:solidFill>
                        <a:ln w="9525">
                          <a:solidFill>
                            <a:srgbClr val="FFFFFF"/>
                          </a:solidFill>
                          <a:miter lim="800000"/>
                          <a:headEnd/>
                          <a:tailEnd/>
                        </a:ln>
                      </wps:spPr>
                      <wps:txbx>
                        <w:txbxContent>
                          <w:p w:rsidR="00D87207" w:rsidRPr="00141524" w:rsidRDefault="001B1782" w:rsidP="00EC67E6">
                            <w:pPr>
                              <w:jc w:val="right"/>
                              <w:rPr>
                                <w:rFonts w:ascii="Arial Narrow" w:hAnsi="Arial Narrow"/>
                                <w:b/>
                                <w:color w:val="808080"/>
                                <w:sz w:val="26"/>
                                <w:szCs w:val="26"/>
                              </w:rPr>
                            </w:pPr>
                            <w:r w:rsidRPr="001B1782">
                              <w:rPr>
                                <w:rFonts w:ascii="Arial Narrow" w:hAnsi="Arial Narrow"/>
                                <w:b/>
                                <w:color w:val="808080"/>
                                <w:sz w:val="26"/>
                                <w:szCs w:val="26"/>
                              </w:rPr>
                              <w:t>30 July 2024</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321.2pt;margin-top:-70.85pt;width:91.35pt;height:25.6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9xMIQIAAEkEAAAOAAAAZHJzL2Uyb0RvYy54bWysVNtu2zAMfR+wfxD0vjjO5q4z4hRdugwD&#10;ugvQ7QMYSY6FyaImKbG7ry8lJ2m3vRXzg0BF5OHhIZnl1dgbdlA+aLQNL2dzzpQVKLXdNfzH982r&#10;S85CBCvBoFUNv1eBX61evlgOrlYL7NBI5RmB2FAPruFdjK4uiiA61UOYoVOWHlv0PUS6+l0hPQyE&#10;3ptiMZ9fFAN66TwKFQL9ejM98lXGb1sl4te2DSoy03DiFvPp87lNZ7FaQr3z4DotjjTgGSx60JaS&#10;nqFuIALbe/0PVK+Fx4BtnAnsC2xbLVSugaop539Vc9eBU7kWEie4s0zh/8GKL4dvnmlJvSs5s9BT&#10;j9YQlDHApGZRhYhskWQaXKjJ+86Rfxzf40ghueTgblH8DMziugO7U9fe49ApkESzTJHFk9AJJySQ&#10;7fAZJaWDfcQMNLa+TxqSKozQqV335xapMTKRUpYX8/JNxZmgt9eL6m1V5RRQn6KdD/Gjwp4lo+Ge&#10;RiCjw+E2xMQG6pNLShbQaLnRxuSL323XxrMD0Lhs8ndE/8PNWDY0/F21qCYBngHR60hzb3Tf8Mt5&#10;+lIeqJNsH6zMdgRtJpsoG3vUMUk3iRjH7UiOSdwtyntS1OM037SPZHTof3M20Gw3PPzag1ecmU+W&#10;upIW4WT4k7E9GWAFhTY8cjaZ6zgtzN55vesI+dT3a+rcRmdRH1kcedK8Zq2Pu5UW4uk9ez3+A6we&#10;AAAA//8DAFBLAwQUAAYACAAAACEAYtKa7uAAAAAMAQAADwAAAGRycy9kb3ducmV2LnhtbEyPwU6D&#10;QBCG7ya+w2ZMvLULFEuLLI2p0VM9WPW+ZadAZGcJu7Tw9o4nPc7Ml3++v9hNthMXHHzrSEG8jEAg&#10;Vc60VCv4/HhZbED4oMnozhEqmNHDrry9KXRu3JXe8XIMteAQ8rlW0ITQ51L6qkGr/dL1SHw7u8Hq&#10;wONQSzPoK4fbTiZRtJZWt8QfGt3jvsHq+zhaBWcrV1902GfbbOoP8+u4mp/fSKn7u+npEUTAKfzB&#10;8KvP6lCy08mNZLzoFKzTJGVUwSJO4wwEI5vkIQZx4tU2SkGWhfxfovwBAAD//wMAUEsBAi0AFAAG&#10;AAgAAAAhALaDOJL+AAAA4QEAABMAAAAAAAAAAAAAAAAAAAAAAFtDb250ZW50X1R5cGVzXS54bWxQ&#10;SwECLQAUAAYACAAAACEAOP0h/9YAAACUAQAACwAAAAAAAAAAAAAAAAAvAQAAX3JlbHMvLnJlbHNQ&#10;SwECLQAUAAYACAAAACEAG0PcTCECAABJBAAADgAAAAAAAAAAAAAAAAAuAgAAZHJzL2Uyb0RvYy54&#10;bWxQSwECLQAUAAYACAAAACEAYtKa7uAAAAAMAQAADwAAAAAAAAAAAAAAAAB7BAAAZHJzL2Rvd25y&#10;ZXYueG1sUEsFBgAAAAAEAAQA8wAAAIgFAAAAAA==&#10;" strokecolor="white">
                <v:textbox style="mso-fit-shape-to-text:t" inset="0,0,0,0">
                  <w:txbxContent>
                    <w:p w:rsidR="00D87207" w:rsidRPr="00141524" w:rsidRDefault="001B1782" w:rsidP="00EC67E6">
                      <w:pPr>
                        <w:jc w:val="right"/>
                        <w:rPr>
                          <w:rFonts w:ascii="Arial Narrow" w:hAnsi="Arial Narrow"/>
                          <w:b/>
                          <w:color w:val="808080"/>
                          <w:sz w:val="26"/>
                          <w:szCs w:val="26"/>
                        </w:rPr>
                      </w:pPr>
                      <w:r w:rsidRPr="001B1782">
                        <w:rPr>
                          <w:rFonts w:ascii="Arial Narrow" w:hAnsi="Arial Narrow"/>
                          <w:b/>
                          <w:color w:val="808080"/>
                          <w:sz w:val="26"/>
                          <w:szCs w:val="26"/>
                        </w:rPr>
                        <w:t>30 July 2024</w:t>
                      </w:r>
                    </w:p>
                  </w:txbxContent>
                </v:textbox>
              </v:shape>
            </w:pict>
          </mc:Fallback>
        </mc:AlternateContent>
      </w:r>
    </w:p>
    <w:p w:rsidR="004239E4" w:rsidRPr="00E322CD" w:rsidRDefault="001B1782" w:rsidP="004239E4">
      <w:pPr>
        <w:spacing w:before="0" w:after="0"/>
        <w:ind w:left="1843"/>
        <w:rPr>
          <w:rFonts w:ascii="Arial" w:hAnsi="Arial" w:cs="Arial"/>
          <w:color w:val="5F5F5F"/>
          <w:sz w:val="28"/>
          <w:szCs w:val="28"/>
          <w:lang w:val="en-US"/>
        </w:rPr>
      </w:pPr>
      <w:r w:rsidRPr="001B1782">
        <w:rPr>
          <w:rFonts w:ascii="Arial" w:hAnsi="Arial" w:cs="Arial"/>
          <w:color w:val="5F5F5F"/>
          <w:sz w:val="28"/>
          <w:szCs w:val="28"/>
          <w:lang w:val="en-US"/>
        </w:rPr>
        <w:t>II quarter 2024</w:t>
      </w:r>
    </w:p>
    <w:p w:rsidR="00547863" w:rsidRPr="00A770E5" w:rsidRDefault="00547863" w:rsidP="004239E4">
      <w:pPr>
        <w:spacing w:before="0" w:after="0"/>
        <w:ind w:left="1843"/>
        <w:rPr>
          <w:rFonts w:ascii="Calibri" w:hAnsi="Calibri" w:cs="Arial"/>
          <w:b/>
          <w:bCs/>
          <w:caps/>
          <w:color w:val="5F5F5F"/>
          <w:sz w:val="44"/>
          <w:szCs w:val="44"/>
          <w:lang w:val="en-US"/>
        </w:rPr>
      </w:pPr>
      <w:r w:rsidRPr="00A770E5">
        <w:rPr>
          <w:rFonts w:ascii="Calibri" w:hAnsi="Calibri" w:cs="Arial"/>
          <w:b/>
          <w:bCs/>
          <w:caps/>
          <w:color w:val="5F5F5F"/>
          <w:sz w:val="44"/>
          <w:szCs w:val="44"/>
          <w:lang w:val="en-US"/>
        </w:rPr>
        <w:t>Preliminary estimate of GDP</w:t>
      </w:r>
    </w:p>
    <w:p w:rsidR="00547863" w:rsidRPr="002D4F3A" w:rsidRDefault="00547863" w:rsidP="002D4F3A">
      <w:pPr>
        <w:pStyle w:val="Corpotesto"/>
        <w:ind w:left="1843"/>
        <w:rPr>
          <w:rFonts w:ascii="Calibri" w:hAnsi="Calibri" w:cs="Arial"/>
          <w:b/>
          <w:bCs/>
          <w:caps/>
          <w:color w:val="5F5F5F"/>
          <w:sz w:val="44"/>
          <w:szCs w:val="44"/>
          <w:lang w:val="en-US"/>
        </w:rPr>
      </w:pPr>
    </w:p>
    <w:p w:rsidR="00D86D80" w:rsidRPr="00BC331C" w:rsidRDefault="004239E4" w:rsidP="00D86D80">
      <w:pPr>
        <w:widowControl/>
        <w:numPr>
          <w:ilvl w:val="0"/>
          <w:numId w:val="32"/>
        </w:numPr>
        <w:tabs>
          <w:tab w:val="clear" w:pos="340"/>
          <w:tab w:val="num" w:pos="284"/>
          <w:tab w:val="left" w:pos="10206"/>
        </w:tabs>
        <w:overflowPunct/>
        <w:spacing w:before="0" w:line="230" w:lineRule="exact"/>
        <w:ind w:left="284" w:hanging="284"/>
        <w:jc w:val="both"/>
        <w:rPr>
          <w:rFonts w:ascii="Arial" w:hAnsi="Arial" w:cs="Arial"/>
          <w:sz w:val="21"/>
          <w:szCs w:val="21"/>
          <w:lang w:val="en-US"/>
        </w:rPr>
      </w:pPr>
      <w:r w:rsidRPr="004239E4">
        <w:rPr>
          <w:rFonts w:ascii="Arial" w:hAnsi="Arial" w:cs="Arial"/>
          <w:sz w:val="21"/>
          <w:szCs w:val="21"/>
          <w:lang w:val="en-GB"/>
        </w:rPr>
        <w:t xml:space="preserve">In the </w:t>
      </w:r>
      <w:r w:rsidR="001B1782" w:rsidRPr="001B1782">
        <w:rPr>
          <w:rFonts w:ascii="Arial" w:hAnsi="Arial" w:cs="Arial"/>
          <w:sz w:val="21"/>
          <w:szCs w:val="21"/>
          <w:lang w:val="en-GB"/>
        </w:rPr>
        <w:t>second quarter of 2024</w:t>
      </w:r>
      <w:r w:rsidRPr="004239E4">
        <w:rPr>
          <w:rFonts w:ascii="Arial" w:hAnsi="Arial" w:cs="Arial"/>
          <w:b/>
          <w:sz w:val="21"/>
          <w:szCs w:val="21"/>
          <w:lang w:val="en-GB"/>
        </w:rPr>
        <w:t xml:space="preserve"> </w:t>
      </w:r>
      <w:r w:rsidRPr="004239E4">
        <w:rPr>
          <w:rFonts w:ascii="Arial" w:hAnsi="Arial" w:cs="Arial"/>
          <w:sz w:val="21"/>
          <w:szCs w:val="21"/>
          <w:lang w:val="en-GB"/>
        </w:rPr>
        <w:t xml:space="preserve">the seasonally and calendar adjusted, chained volume measure of Gross </w:t>
      </w:r>
      <w:r w:rsidRPr="00FE389C">
        <w:rPr>
          <w:rFonts w:ascii="Arial" w:hAnsi="Arial" w:cs="Arial"/>
          <w:sz w:val="21"/>
          <w:szCs w:val="21"/>
          <w:lang w:val="en-GB"/>
        </w:rPr>
        <w:t xml:space="preserve">Domestic </w:t>
      </w:r>
      <w:r w:rsidR="002A2244">
        <w:rPr>
          <w:rFonts w:ascii="Arial" w:hAnsi="Arial" w:cs="Arial"/>
          <w:sz w:val="21"/>
          <w:szCs w:val="21"/>
          <w:lang w:val="en-GB"/>
        </w:rPr>
        <w:t xml:space="preserve">Product (GDP) </w:t>
      </w:r>
      <w:r w:rsidR="001B1782">
        <w:rPr>
          <w:rFonts w:ascii="Arial" w:hAnsi="Arial" w:cs="Arial"/>
          <w:sz w:val="21"/>
          <w:szCs w:val="21"/>
          <w:lang w:val="en-GB"/>
        </w:rPr>
        <w:t>in</w:t>
      </w:r>
      <w:r w:rsidRPr="004239E4">
        <w:rPr>
          <w:rFonts w:ascii="Arial" w:hAnsi="Arial" w:cs="Arial"/>
          <w:sz w:val="21"/>
          <w:szCs w:val="21"/>
          <w:lang w:val="en-GB"/>
        </w:rPr>
        <w:t xml:space="preserve">creased by </w:t>
      </w:r>
      <w:r w:rsidR="001B1782" w:rsidRPr="001B1782">
        <w:rPr>
          <w:rFonts w:ascii="Arial" w:hAnsi="Arial" w:cs="Arial"/>
          <w:sz w:val="21"/>
          <w:szCs w:val="21"/>
          <w:lang w:val="en-GB"/>
        </w:rPr>
        <w:t>0.2</w:t>
      </w:r>
      <w:r w:rsidRPr="00D86D80">
        <w:rPr>
          <w:rFonts w:ascii="Arial" w:hAnsi="Arial" w:cs="Arial"/>
          <w:sz w:val="21"/>
          <w:szCs w:val="21"/>
          <w:lang w:val="en-GB"/>
        </w:rPr>
        <w:t xml:space="preserve"> </w:t>
      </w:r>
      <w:r w:rsidRPr="004239E4">
        <w:rPr>
          <w:rFonts w:ascii="Arial" w:hAnsi="Arial" w:cs="Arial"/>
          <w:sz w:val="21"/>
          <w:szCs w:val="21"/>
          <w:lang w:val="en-GB"/>
        </w:rPr>
        <w:t xml:space="preserve">per cent with respect to </w:t>
      </w:r>
      <w:r w:rsidR="00D86D80">
        <w:rPr>
          <w:rFonts w:ascii="Arial" w:hAnsi="Arial" w:cs="Arial"/>
          <w:sz w:val="21"/>
          <w:szCs w:val="21"/>
          <w:lang w:val="en-GB"/>
        </w:rPr>
        <w:t xml:space="preserve">the previous </w:t>
      </w:r>
      <w:r w:rsidRPr="004239E4">
        <w:rPr>
          <w:rFonts w:ascii="Arial" w:hAnsi="Arial" w:cs="Arial"/>
          <w:sz w:val="21"/>
          <w:szCs w:val="21"/>
          <w:lang w:val="en-GB"/>
        </w:rPr>
        <w:t xml:space="preserve">quarter and by </w:t>
      </w:r>
      <w:r w:rsidR="001B1782" w:rsidRPr="001B1782">
        <w:rPr>
          <w:rFonts w:ascii="Arial" w:hAnsi="Arial" w:cs="Arial"/>
          <w:sz w:val="21"/>
          <w:szCs w:val="21"/>
          <w:lang w:val="en-GB"/>
        </w:rPr>
        <w:t>0.9</w:t>
      </w:r>
      <w:r w:rsidRPr="00D86D80">
        <w:rPr>
          <w:rFonts w:ascii="Arial" w:hAnsi="Arial" w:cs="Arial"/>
          <w:sz w:val="21"/>
          <w:szCs w:val="21"/>
          <w:lang w:val="en-GB"/>
        </w:rPr>
        <w:t xml:space="preserve"> </w:t>
      </w:r>
      <w:r w:rsidRPr="004239E4">
        <w:rPr>
          <w:rFonts w:ascii="Arial" w:hAnsi="Arial" w:cs="Arial"/>
          <w:sz w:val="21"/>
          <w:szCs w:val="21"/>
          <w:lang w:val="en-GB"/>
        </w:rPr>
        <w:t xml:space="preserve">per cent </w:t>
      </w:r>
      <w:r w:rsidR="00BC331C">
        <w:rPr>
          <w:rFonts w:ascii="Arial" w:hAnsi="Arial" w:cs="Arial"/>
          <w:sz w:val="21"/>
          <w:szCs w:val="21"/>
          <w:lang w:val="en-GB"/>
        </w:rPr>
        <w:t>over</w:t>
      </w:r>
      <w:r w:rsidRPr="004239E4">
        <w:rPr>
          <w:rFonts w:ascii="Arial" w:hAnsi="Arial" w:cs="Arial"/>
          <w:sz w:val="21"/>
          <w:szCs w:val="21"/>
          <w:lang w:val="en-GB"/>
        </w:rPr>
        <w:t xml:space="preserve"> the </w:t>
      </w:r>
      <w:r w:rsidR="00D86D80">
        <w:rPr>
          <w:rFonts w:ascii="Arial" w:hAnsi="Arial" w:cs="Arial"/>
          <w:sz w:val="21"/>
          <w:szCs w:val="21"/>
          <w:lang w:val="en-GB"/>
        </w:rPr>
        <w:t>same quarter of previous year</w:t>
      </w:r>
      <w:r w:rsidRPr="004239E4">
        <w:rPr>
          <w:rFonts w:ascii="Arial" w:hAnsi="Arial" w:cs="Arial"/>
          <w:sz w:val="21"/>
          <w:szCs w:val="21"/>
          <w:lang w:val="en-GB"/>
        </w:rPr>
        <w:t xml:space="preserve">. </w:t>
      </w:r>
    </w:p>
    <w:p w:rsidR="00D86D80" w:rsidRPr="009E780B" w:rsidRDefault="00D86D80" w:rsidP="00D86D80">
      <w:pPr>
        <w:widowControl/>
        <w:numPr>
          <w:ilvl w:val="0"/>
          <w:numId w:val="32"/>
        </w:numPr>
        <w:tabs>
          <w:tab w:val="clear" w:pos="340"/>
          <w:tab w:val="num" w:pos="284"/>
          <w:tab w:val="left" w:pos="10206"/>
        </w:tabs>
        <w:overflowPunct/>
        <w:spacing w:before="0" w:line="230" w:lineRule="exact"/>
        <w:ind w:left="284" w:hanging="284"/>
        <w:jc w:val="both"/>
        <w:rPr>
          <w:rFonts w:ascii="Arial" w:hAnsi="Arial" w:cs="Arial"/>
          <w:sz w:val="21"/>
          <w:szCs w:val="21"/>
          <w:lang w:val="en-US"/>
        </w:rPr>
      </w:pPr>
      <w:r w:rsidRPr="009E780B">
        <w:rPr>
          <w:rFonts w:ascii="Arial" w:hAnsi="Arial" w:cs="Arial"/>
          <w:sz w:val="21"/>
          <w:szCs w:val="21"/>
          <w:lang w:val="en-US"/>
        </w:rPr>
        <w:t xml:space="preserve">The </w:t>
      </w:r>
      <w:r w:rsidR="001B1782" w:rsidRPr="001B1782">
        <w:rPr>
          <w:rFonts w:ascii="Arial" w:hAnsi="Arial" w:cs="Arial"/>
          <w:sz w:val="21"/>
          <w:szCs w:val="21"/>
          <w:lang w:val="en-US"/>
        </w:rPr>
        <w:t>second quarter of 2024</w:t>
      </w:r>
      <w:r w:rsidRPr="009E780B">
        <w:rPr>
          <w:rFonts w:ascii="Arial" w:hAnsi="Arial" w:cs="Arial"/>
          <w:sz w:val="21"/>
          <w:szCs w:val="21"/>
          <w:lang w:val="en-US"/>
        </w:rPr>
        <w:t xml:space="preserve"> has </w:t>
      </w:r>
      <w:r w:rsidR="009E780B" w:rsidRPr="009E780B">
        <w:rPr>
          <w:rFonts w:ascii="Arial" w:hAnsi="Arial" w:cs="Arial"/>
          <w:sz w:val="21"/>
          <w:szCs w:val="21"/>
          <w:lang w:val="en-US"/>
        </w:rPr>
        <w:t>ha</w:t>
      </w:r>
      <w:r w:rsidRPr="009E780B">
        <w:rPr>
          <w:rFonts w:ascii="Arial" w:hAnsi="Arial" w:cs="Arial"/>
          <w:sz w:val="21"/>
          <w:szCs w:val="21"/>
          <w:lang w:val="en-US"/>
        </w:rPr>
        <w:t>d</w:t>
      </w:r>
      <w:r w:rsidR="001B1782">
        <w:rPr>
          <w:rFonts w:ascii="Arial" w:hAnsi="Arial" w:cs="Arial"/>
          <w:sz w:val="21"/>
          <w:szCs w:val="21"/>
          <w:lang w:val="en-US"/>
        </w:rPr>
        <w:t xml:space="preserve"> two days less</w:t>
      </w:r>
      <w:r w:rsidRPr="009E780B">
        <w:rPr>
          <w:rFonts w:ascii="Arial" w:hAnsi="Arial" w:cs="Arial"/>
          <w:sz w:val="21"/>
          <w:szCs w:val="21"/>
          <w:lang w:val="en-US"/>
        </w:rPr>
        <w:t xml:space="preserve"> </w:t>
      </w:r>
      <w:r w:rsidR="009E780B" w:rsidRPr="009E780B">
        <w:rPr>
          <w:rFonts w:ascii="Arial" w:hAnsi="Arial" w:cs="Arial"/>
          <w:sz w:val="21"/>
          <w:szCs w:val="21"/>
          <w:lang w:val="en-US"/>
        </w:rPr>
        <w:t>with respect to the previous quarter and</w:t>
      </w:r>
      <w:r w:rsidR="001B1782">
        <w:rPr>
          <w:rFonts w:ascii="Arial" w:hAnsi="Arial" w:cs="Arial"/>
          <w:sz w:val="21"/>
          <w:szCs w:val="21"/>
          <w:lang w:val="en-US"/>
        </w:rPr>
        <w:t xml:space="preserve"> one more</w:t>
      </w:r>
      <w:r w:rsidR="009E780B" w:rsidRPr="009E780B">
        <w:rPr>
          <w:rFonts w:ascii="Arial" w:hAnsi="Arial" w:cs="Arial"/>
          <w:sz w:val="21"/>
          <w:szCs w:val="21"/>
          <w:lang w:val="en-US"/>
        </w:rPr>
        <w:t xml:space="preserve"> compar</w:t>
      </w:r>
      <w:r w:rsidR="009E780B">
        <w:rPr>
          <w:rFonts w:ascii="Arial" w:hAnsi="Arial" w:cs="Arial"/>
          <w:sz w:val="21"/>
          <w:szCs w:val="21"/>
          <w:lang w:val="en-US"/>
        </w:rPr>
        <w:t>ed to</w:t>
      </w:r>
      <w:r w:rsidR="009E780B" w:rsidRPr="009E780B">
        <w:rPr>
          <w:rFonts w:ascii="Arial" w:hAnsi="Arial" w:cs="Arial"/>
          <w:sz w:val="21"/>
          <w:szCs w:val="21"/>
          <w:lang w:val="en-US"/>
        </w:rPr>
        <w:t xml:space="preserve"> </w:t>
      </w:r>
      <w:r w:rsidR="009E780B">
        <w:rPr>
          <w:rFonts w:ascii="Arial" w:hAnsi="Arial" w:cs="Arial"/>
          <w:sz w:val="21"/>
          <w:szCs w:val="21"/>
          <w:lang w:val="en-US"/>
        </w:rPr>
        <w:t xml:space="preserve">the </w:t>
      </w:r>
      <w:r w:rsidR="009E780B" w:rsidRPr="009E780B">
        <w:rPr>
          <w:rFonts w:ascii="Arial" w:hAnsi="Arial" w:cs="Arial"/>
          <w:sz w:val="21"/>
          <w:szCs w:val="21"/>
          <w:lang w:val="en-US"/>
        </w:rPr>
        <w:t>same quarter of previous year</w:t>
      </w:r>
      <w:r w:rsidRPr="009E780B">
        <w:rPr>
          <w:rFonts w:ascii="Arial" w:hAnsi="Arial" w:cs="Arial"/>
          <w:sz w:val="21"/>
          <w:szCs w:val="21"/>
          <w:lang w:val="en-US"/>
        </w:rPr>
        <w:t>.</w:t>
      </w:r>
    </w:p>
    <w:p w:rsidR="00D86D80" w:rsidRPr="001F6F49" w:rsidRDefault="009E780B" w:rsidP="00D86D80">
      <w:pPr>
        <w:widowControl/>
        <w:numPr>
          <w:ilvl w:val="0"/>
          <w:numId w:val="32"/>
        </w:numPr>
        <w:tabs>
          <w:tab w:val="clear" w:pos="340"/>
          <w:tab w:val="num" w:pos="284"/>
          <w:tab w:val="left" w:pos="10206"/>
        </w:tabs>
        <w:overflowPunct/>
        <w:spacing w:before="0" w:line="230" w:lineRule="exact"/>
        <w:ind w:left="284" w:hanging="284"/>
        <w:jc w:val="both"/>
        <w:rPr>
          <w:rFonts w:ascii="Arial" w:hAnsi="Arial" w:cs="Arial"/>
          <w:iCs/>
          <w:noProof/>
          <w:color w:val="000000"/>
          <w:sz w:val="21"/>
          <w:szCs w:val="21"/>
          <w:lang w:val="en-US"/>
        </w:rPr>
      </w:pPr>
      <w:r w:rsidRPr="009E780B">
        <w:rPr>
          <w:rFonts w:ascii="Arial" w:hAnsi="Arial" w:cs="Arial"/>
          <w:sz w:val="21"/>
          <w:szCs w:val="21"/>
          <w:lang w:val="en-US"/>
        </w:rPr>
        <w:t>The quarter</w:t>
      </w:r>
      <w:r w:rsidR="0054536F">
        <w:rPr>
          <w:rFonts w:ascii="Arial" w:hAnsi="Arial" w:cs="Arial"/>
          <w:sz w:val="21"/>
          <w:szCs w:val="21"/>
          <w:lang w:val="en-US"/>
        </w:rPr>
        <w:t xml:space="preserve"> on quarter </w:t>
      </w:r>
      <w:r w:rsidRPr="009E780B">
        <w:rPr>
          <w:rFonts w:ascii="Arial" w:hAnsi="Arial" w:cs="Arial"/>
          <w:sz w:val="21"/>
          <w:szCs w:val="21"/>
          <w:lang w:val="en-US"/>
        </w:rPr>
        <w:t>change is the result of a</w:t>
      </w:r>
      <w:r w:rsidR="001B1782">
        <w:rPr>
          <w:rFonts w:ascii="Arial" w:hAnsi="Arial" w:cs="Arial"/>
          <w:sz w:val="21"/>
          <w:szCs w:val="21"/>
          <w:lang w:val="en-US"/>
        </w:rPr>
        <w:t xml:space="preserve"> de</w:t>
      </w:r>
      <w:r w:rsidRPr="009E780B">
        <w:rPr>
          <w:rFonts w:ascii="Arial" w:hAnsi="Arial" w:cs="Arial"/>
          <w:sz w:val="21"/>
          <w:szCs w:val="21"/>
          <w:lang w:val="en-US"/>
        </w:rPr>
        <w:t xml:space="preserve">crease of value added in </w:t>
      </w:r>
      <w:r w:rsidR="001B1782">
        <w:rPr>
          <w:rFonts w:ascii="Arial" w:hAnsi="Arial" w:cs="Arial"/>
          <w:sz w:val="21"/>
          <w:szCs w:val="21"/>
          <w:lang w:val="en-US"/>
        </w:rPr>
        <w:t xml:space="preserve">both </w:t>
      </w:r>
      <w:r w:rsidRPr="009E780B">
        <w:rPr>
          <w:rFonts w:ascii="Arial" w:hAnsi="Arial" w:cs="Arial"/>
          <w:sz w:val="21"/>
          <w:szCs w:val="21"/>
          <w:lang w:val="en-US"/>
        </w:rPr>
        <w:t>agr</w:t>
      </w:r>
      <w:r w:rsidR="001B1782">
        <w:rPr>
          <w:rFonts w:ascii="Arial" w:hAnsi="Arial" w:cs="Arial"/>
          <w:sz w:val="21"/>
          <w:szCs w:val="21"/>
          <w:lang w:val="en-US"/>
        </w:rPr>
        <w:t xml:space="preserve">iculture, forestry and fishing and </w:t>
      </w:r>
      <w:r w:rsidRPr="009E780B">
        <w:rPr>
          <w:rFonts w:ascii="Arial" w:hAnsi="Arial" w:cs="Arial"/>
          <w:sz w:val="21"/>
          <w:szCs w:val="21"/>
          <w:lang w:val="en-US"/>
        </w:rPr>
        <w:t>in industry</w:t>
      </w:r>
      <w:r w:rsidR="001B1782">
        <w:rPr>
          <w:rFonts w:ascii="Arial" w:hAnsi="Arial" w:cs="Arial"/>
          <w:sz w:val="21"/>
          <w:szCs w:val="21"/>
          <w:lang w:val="en-US"/>
        </w:rPr>
        <w:t>, whereas the contribution of services was positive</w:t>
      </w:r>
      <w:r w:rsidR="00D86D80" w:rsidRPr="009E780B">
        <w:rPr>
          <w:rFonts w:ascii="Arial" w:hAnsi="Arial" w:cs="Arial"/>
          <w:sz w:val="21"/>
          <w:szCs w:val="21"/>
          <w:lang w:val="en-US"/>
        </w:rPr>
        <w:t xml:space="preserve">. </w:t>
      </w:r>
      <w:r w:rsidRPr="001F6F49">
        <w:rPr>
          <w:rFonts w:ascii="Arial" w:hAnsi="Arial" w:cs="Arial"/>
          <w:sz w:val="21"/>
          <w:szCs w:val="21"/>
          <w:lang w:val="en-US"/>
        </w:rPr>
        <w:t xml:space="preserve">From the demand side, there is a </w:t>
      </w:r>
      <w:r w:rsidR="001B1782">
        <w:rPr>
          <w:rFonts w:ascii="Arial" w:hAnsi="Arial" w:cs="Arial"/>
          <w:sz w:val="21"/>
          <w:szCs w:val="21"/>
          <w:lang w:val="en-US"/>
        </w:rPr>
        <w:t>posi</w:t>
      </w:r>
      <w:r w:rsidRPr="001F6F49">
        <w:rPr>
          <w:rFonts w:ascii="Arial" w:hAnsi="Arial" w:cs="Arial"/>
          <w:sz w:val="21"/>
          <w:szCs w:val="21"/>
          <w:lang w:val="en-US"/>
        </w:rPr>
        <w:t xml:space="preserve">tive contribution by the </w:t>
      </w:r>
      <w:r w:rsidR="0054536F">
        <w:rPr>
          <w:rFonts w:ascii="Arial" w:hAnsi="Arial" w:cs="Arial"/>
          <w:sz w:val="21"/>
          <w:szCs w:val="21"/>
          <w:lang w:val="en-US"/>
        </w:rPr>
        <w:t>domestic</w:t>
      </w:r>
      <w:r w:rsidR="0054536F" w:rsidRPr="001F6F49">
        <w:rPr>
          <w:rFonts w:ascii="Arial" w:hAnsi="Arial" w:cs="Arial"/>
          <w:sz w:val="21"/>
          <w:szCs w:val="21"/>
          <w:lang w:val="en-US"/>
        </w:rPr>
        <w:t xml:space="preserve"> </w:t>
      </w:r>
      <w:r w:rsidRPr="001F6F49">
        <w:rPr>
          <w:rFonts w:ascii="Arial" w:hAnsi="Arial" w:cs="Arial"/>
          <w:sz w:val="21"/>
          <w:szCs w:val="21"/>
          <w:lang w:val="en-US"/>
        </w:rPr>
        <w:t xml:space="preserve">component (gross </w:t>
      </w:r>
      <w:r w:rsidR="0054536F">
        <w:rPr>
          <w:rFonts w:ascii="Arial" w:hAnsi="Arial" w:cs="Arial"/>
          <w:sz w:val="21"/>
          <w:szCs w:val="21"/>
          <w:lang w:val="en-US"/>
        </w:rPr>
        <w:t xml:space="preserve">of </w:t>
      </w:r>
      <w:r w:rsidRPr="001F6F49">
        <w:rPr>
          <w:rFonts w:ascii="Arial" w:hAnsi="Arial" w:cs="Arial"/>
          <w:sz w:val="21"/>
          <w:szCs w:val="21"/>
          <w:lang w:val="en-US"/>
        </w:rPr>
        <w:t xml:space="preserve">change </w:t>
      </w:r>
      <w:r w:rsidR="0054536F">
        <w:rPr>
          <w:rFonts w:ascii="Arial" w:hAnsi="Arial" w:cs="Arial"/>
          <w:sz w:val="21"/>
          <w:szCs w:val="21"/>
          <w:lang w:val="en-US"/>
        </w:rPr>
        <w:t xml:space="preserve">in </w:t>
      </w:r>
      <w:r w:rsidRPr="001F6F49">
        <w:rPr>
          <w:rFonts w:ascii="Arial" w:hAnsi="Arial" w:cs="Arial"/>
          <w:sz w:val="21"/>
          <w:szCs w:val="21"/>
          <w:lang w:val="en-US"/>
        </w:rPr>
        <w:t xml:space="preserve">inventories) and a </w:t>
      </w:r>
      <w:r w:rsidR="001B1782">
        <w:rPr>
          <w:rFonts w:ascii="Arial" w:hAnsi="Arial" w:cs="Arial"/>
          <w:sz w:val="21"/>
          <w:szCs w:val="21"/>
          <w:lang w:val="en-US"/>
        </w:rPr>
        <w:t>nega</w:t>
      </w:r>
      <w:r w:rsidRPr="001F6F49">
        <w:rPr>
          <w:rFonts w:ascii="Arial" w:hAnsi="Arial" w:cs="Arial"/>
          <w:sz w:val="21"/>
          <w:szCs w:val="21"/>
          <w:lang w:val="en-US"/>
        </w:rPr>
        <w:t>tive one by the net export component</w:t>
      </w:r>
      <w:r w:rsidR="00D86D80" w:rsidRPr="001F6F49">
        <w:rPr>
          <w:rFonts w:ascii="Arial" w:hAnsi="Arial" w:cs="Arial"/>
          <w:sz w:val="21"/>
          <w:szCs w:val="21"/>
          <w:lang w:val="en-US"/>
        </w:rPr>
        <w:t xml:space="preserve">. </w:t>
      </w:r>
    </w:p>
    <w:p w:rsidR="00296FAB" w:rsidRPr="00B05042" w:rsidRDefault="00B05042" w:rsidP="00D86D80">
      <w:pPr>
        <w:widowControl/>
        <w:numPr>
          <w:ilvl w:val="0"/>
          <w:numId w:val="31"/>
        </w:numPr>
        <w:tabs>
          <w:tab w:val="num" w:pos="284"/>
          <w:tab w:val="left" w:pos="10206"/>
        </w:tabs>
        <w:overflowPunct/>
        <w:spacing w:before="0" w:line="230" w:lineRule="exact"/>
        <w:ind w:left="284" w:hanging="284"/>
        <w:jc w:val="both"/>
        <w:rPr>
          <w:rFonts w:ascii="Arial" w:hAnsi="Arial" w:cs="Arial"/>
          <w:sz w:val="21"/>
          <w:szCs w:val="21"/>
          <w:lang w:val="en-US"/>
        </w:rPr>
      </w:pPr>
      <w:r w:rsidRPr="002973ED">
        <w:rPr>
          <w:rFonts w:ascii="Arial" w:hAnsi="Arial" w:cs="Arial"/>
          <w:sz w:val="21"/>
          <w:szCs w:val="21"/>
          <w:lang w:val="en-US"/>
        </w:rPr>
        <w:t xml:space="preserve">The </w:t>
      </w:r>
      <w:r w:rsidR="0054536F" w:rsidRPr="002973ED">
        <w:rPr>
          <w:rFonts w:ascii="Arial" w:hAnsi="Arial" w:cs="Arial"/>
          <w:sz w:val="21"/>
          <w:szCs w:val="21"/>
          <w:lang w:val="en-US"/>
        </w:rPr>
        <w:t>carry</w:t>
      </w:r>
      <w:r w:rsidR="002973ED" w:rsidRPr="002973ED">
        <w:rPr>
          <w:rFonts w:ascii="Arial" w:hAnsi="Arial" w:cs="Arial"/>
          <w:sz w:val="21"/>
          <w:szCs w:val="21"/>
          <w:lang w:val="en-US"/>
        </w:rPr>
        <w:t>-</w:t>
      </w:r>
      <w:r w:rsidR="0054536F" w:rsidRPr="002973ED">
        <w:rPr>
          <w:rFonts w:ascii="Arial" w:hAnsi="Arial" w:cs="Arial"/>
          <w:sz w:val="21"/>
          <w:szCs w:val="21"/>
          <w:lang w:val="en-US"/>
        </w:rPr>
        <w:t>over annual</w:t>
      </w:r>
      <w:r w:rsidR="0054536F">
        <w:rPr>
          <w:rFonts w:ascii="Arial" w:hAnsi="Arial" w:cs="Arial"/>
          <w:sz w:val="21"/>
          <w:szCs w:val="21"/>
          <w:lang w:val="en-US"/>
        </w:rPr>
        <w:t xml:space="preserve"> </w:t>
      </w:r>
      <w:r w:rsidR="002973ED">
        <w:rPr>
          <w:rFonts w:ascii="Arial" w:hAnsi="Arial" w:cs="Arial"/>
          <w:sz w:val="21"/>
          <w:szCs w:val="21"/>
          <w:lang w:val="en-US"/>
        </w:rPr>
        <w:t xml:space="preserve">GDP </w:t>
      </w:r>
      <w:r w:rsidR="0054536F">
        <w:rPr>
          <w:rFonts w:ascii="Arial" w:hAnsi="Arial" w:cs="Arial"/>
          <w:sz w:val="21"/>
          <w:szCs w:val="21"/>
          <w:lang w:val="en-US"/>
        </w:rPr>
        <w:t xml:space="preserve">growth </w:t>
      </w:r>
      <w:r w:rsidRPr="00B05042">
        <w:rPr>
          <w:rFonts w:ascii="Arial" w:hAnsi="Arial" w:cs="Arial"/>
          <w:sz w:val="21"/>
          <w:szCs w:val="21"/>
          <w:lang w:val="en-US"/>
        </w:rPr>
        <w:t>for</w:t>
      </w:r>
      <w:r w:rsidR="00D86D80" w:rsidRPr="00B05042">
        <w:rPr>
          <w:rFonts w:ascii="Arial" w:hAnsi="Arial" w:cs="Arial"/>
          <w:sz w:val="21"/>
          <w:szCs w:val="21"/>
          <w:lang w:val="en-US"/>
        </w:rPr>
        <w:t xml:space="preserve"> </w:t>
      </w:r>
      <w:r w:rsidR="001B1782" w:rsidRPr="001B1782">
        <w:rPr>
          <w:rFonts w:ascii="Arial" w:hAnsi="Arial" w:cs="Arial"/>
          <w:bCs/>
          <w:kern w:val="0"/>
          <w:sz w:val="21"/>
          <w:szCs w:val="21"/>
          <w:lang w:val="en-US" w:eastAsia="en-US"/>
        </w:rPr>
        <w:t>2024</w:t>
      </w:r>
      <w:r w:rsidR="00D86D80" w:rsidRPr="00B05042">
        <w:rPr>
          <w:rFonts w:ascii="Arial" w:hAnsi="Arial" w:cs="Arial"/>
          <w:sz w:val="21"/>
          <w:szCs w:val="21"/>
          <w:lang w:val="en-US"/>
        </w:rPr>
        <w:t xml:space="preserve"> </w:t>
      </w:r>
      <w:r>
        <w:rPr>
          <w:rFonts w:ascii="Arial" w:hAnsi="Arial" w:cs="Arial"/>
          <w:sz w:val="21"/>
          <w:szCs w:val="21"/>
          <w:lang w:val="en-US"/>
        </w:rPr>
        <w:t xml:space="preserve">is equal to </w:t>
      </w:r>
      <w:r w:rsidR="001B1782" w:rsidRPr="001B1782">
        <w:rPr>
          <w:rFonts w:ascii="Arial" w:hAnsi="Arial" w:cs="Arial"/>
          <w:sz w:val="21"/>
          <w:szCs w:val="21"/>
          <w:lang w:val="en-US"/>
        </w:rPr>
        <w:t>0.7</w:t>
      </w:r>
      <w:r w:rsidR="00D86D80" w:rsidRPr="00B05042">
        <w:rPr>
          <w:rFonts w:ascii="Arial" w:hAnsi="Arial" w:cs="Arial"/>
          <w:sz w:val="21"/>
          <w:szCs w:val="21"/>
          <w:lang w:val="en-US"/>
        </w:rPr>
        <w:t>%.</w:t>
      </w:r>
    </w:p>
    <w:p w:rsidR="00A0603E" w:rsidRPr="00B05042" w:rsidRDefault="00A0603E" w:rsidP="00900B2B">
      <w:pPr>
        <w:pStyle w:val="Default"/>
        <w:spacing w:after="100" w:line="230" w:lineRule="exact"/>
        <w:jc w:val="both"/>
        <w:rPr>
          <w:rFonts w:ascii="Arial" w:hAnsi="Arial" w:cs="Arial"/>
          <w:color w:val="auto"/>
          <w:sz w:val="21"/>
          <w:szCs w:val="21"/>
          <w:lang w:val="en-US"/>
        </w:rPr>
      </w:pPr>
    </w:p>
    <w:p w:rsidR="006B757D" w:rsidRDefault="006B757D" w:rsidP="00900B2B">
      <w:pPr>
        <w:pStyle w:val="Default"/>
        <w:spacing w:after="100" w:line="230" w:lineRule="exact"/>
        <w:jc w:val="both"/>
        <w:rPr>
          <w:rFonts w:ascii="Arial" w:hAnsi="Arial" w:cs="Arial"/>
          <w:color w:val="auto"/>
          <w:sz w:val="21"/>
          <w:szCs w:val="21"/>
          <w:lang w:val="en-US"/>
        </w:rPr>
      </w:pPr>
    </w:p>
    <w:p w:rsidR="00532C76" w:rsidRDefault="00532C76" w:rsidP="00900B2B">
      <w:pPr>
        <w:pStyle w:val="Default"/>
        <w:spacing w:after="100" w:line="230" w:lineRule="exact"/>
        <w:jc w:val="both"/>
        <w:rPr>
          <w:rFonts w:ascii="Arial" w:hAnsi="Arial" w:cs="Arial"/>
          <w:color w:val="auto"/>
          <w:sz w:val="21"/>
          <w:szCs w:val="21"/>
          <w:lang w:val="en-US"/>
        </w:rPr>
      </w:pPr>
    </w:p>
    <w:p w:rsidR="00532C76" w:rsidRDefault="00532C76" w:rsidP="00900B2B">
      <w:pPr>
        <w:pStyle w:val="Default"/>
        <w:spacing w:after="100" w:line="230" w:lineRule="exact"/>
        <w:jc w:val="both"/>
        <w:rPr>
          <w:rFonts w:ascii="Arial" w:hAnsi="Arial" w:cs="Arial"/>
          <w:color w:val="auto"/>
          <w:sz w:val="21"/>
          <w:szCs w:val="21"/>
          <w:lang w:val="en-US"/>
        </w:rPr>
      </w:pPr>
    </w:p>
    <w:p w:rsidR="00532C76" w:rsidRDefault="00532C76" w:rsidP="00900B2B">
      <w:pPr>
        <w:pStyle w:val="Default"/>
        <w:spacing w:after="100" w:line="230" w:lineRule="exact"/>
        <w:jc w:val="both"/>
        <w:rPr>
          <w:rFonts w:ascii="Arial" w:hAnsi="Arial" w:cs="Arial"/>
          <w:color w:val="auto"/>
          <w:sz w:val="21"/>
          <w:szCs w:val="21"/>
          <w:lang w:val="en-US"/>
        </w:rPr>
      </w:pPr>
    </w:p>
    <w:p w:rsidR="00532C76" w:rsidRDefault="00532C76" w:rsidP="00900B2B">
      <w:pPr>
        <w:pStyle w:val="Default"/>
        <w:spacing w:after="100" w:line="230" w:lineRule="exact"/>
        <w:jc w:val="both"/>
        <w:rPr>
          <w:rFonts w:ascii="Arial" w:hAnsi="Arial" w:cs="Arial"/>
          <w:color w:val="auto"/>
          <w:sz w:val="21"/>
          <w:szCs w:val="21"/>
          <w:lang w:val="en-US"/>
        </w:rPr>
      </w:pPr>
    </w:p>
    <w:p w:rsidR="00532C76" w:rsidRPr="00B05042" w:rsidRDefault="00532C76" w:rsidP="00900B2B">
      <w:pPr>
        <w:pStyle w:val="Default"/>
        <w:spacing w:after="100" w:line="230" w:lineRule="exact"/>
        <w:jc w:val="both"/>
        <w:rPr>
          <w:rFonts w:ascii="Arial" w:hAnsi="Arial" w:cs="Arial"/>
          <w:color w:val="auto"/>
          <w:sz w:val="21"/>
          <w:szCs w:val="21"/>
          <w:lang w:val="en-US"/>
        </w:rPr>
      </w:pPr>
    </w:p>
    <w:p w:rsidR="0055186E" w:rsidRPr="009B45B9" w:rsidRDefault="0055186E" w:rsidP="0055186E">
      <w:pPr>
        <w:widowControl/>
        <w:overflowPunct/>
        <w:autoSpaceDE/>
        <w:autoSpaceDN/>
        <w:adjustRightInd/>
        <w:spacing w:before="0" w:after="0"/>
        <w:rPr>
          <w:rFonts w:ascii="Arial Narrow" w:hAnsi="Arial Narrow" w:cs="Arial"/>
          <w:b/>
          <w:color w:val="5F5F5F"/>
          <w:sz w:val="22"/>
          <w:szCs w:val="22"/>
          <w:lang w:val="en-US"/>
        </w:rPr>
      </w:pPr>
      <w:r w:rsidRPr="009B45B9">
        <w:rPr>
          <w:rFonts w:ascii="Arial Narrow" w:hAnsi="Arial Narrow" w:cs="Arial"/>
          <w:b/>
          <w:color w:val="E42618"/>
          <w:sz w:val="22"/>
          <w:szCs w:val="22"/>
          <w:lang w:val="en-US"/>
        </w:rPr>
        <w:t>CHART 1.</w:t>
      </w:r>
      <w:r w:rsidRPr="009B45B9">
        <w:rPr>
          <w:rFonts w:ascii="Arial Narrow" w:hAnsi="Arial Narrow" w:cs="Arial"/>
          <w:b/>
          <w:color w:val="5F5F5F"/>
          <w:sz w:val="22"/>
          <w:szCs w:val="22"/>
          <w:lang w:val="en-US"/>
        </w:rPr>
        <w:t xml:space="preserve"> </w:t>
      </w:r>
      <w:r w:rsidRPr="00A770E5">
        <w:rPr>
          <w:rFonts w:ascii="Arial Narrow" w:hAnsi="Arial Narrow" w:cs="Arial"/>
          <w:b/>
          <w:color w:val="5F5F5F"/>
          <w:sz w:val="22"/>
          <w:szCs w:val="22"/>
          <w:lang w:val="en-US"/>
        </w:rPr>
        <w:t>GROSS DOMESTIC PRODUCT</w:t>
      </w:r>
      <w:r w:rsidRPr="009B45B9">
        <w:rPr>
          <w:rFonts w:ascii="Arial Narrow" w:hAnsi="Arial Narrow" w:cs="Arial"/>
          <w:b/>
          <w:color w:val="5F5F5F"/>
          <w:sz w:val="22"/>
          <w:szCs w:val="22"/>
          <w:lang w:val="en-US"/>
        </w:rPr>
        <w:t xml:space="preserve">, </w:t>
      </w:r>
      <w:r>
        <w:rPr>
          <w:rFonts w:ascii="Arial Narrow" w:hAnsi="Arial Narrow" w:cs="Arial"/>
          <w:b/>
          <w:color w:val="5F5F5F"/>
          <w:sz w:val="22"/>
          <w:szCs w:val="22"/>
          <w:lang w:val="en-US"/>
        </w:rPr>
        <w:t>CHAIN-LINKED INDICES</w:t>
      </w:r>
    </w:p>
    <w:p w:rsidR="0055186E" w:rsidRPr="009B45B9" w:rsidRDefault="00951CD5" w:rsidP="0055186E">
      <w:pPr>
        <w:widowControl/>
        <w:overflowPunct/>
        <w:autoSpaceDE/>
        <w:autoSpaceDN/>
        <w:adjustRightInd/>
        <w:spacing w:before="0" w:after="120"/>
        <w:rPr>
          <w:rFonts w:ascii="Arial Narrow" w:hAnsi="Arial Narrow" w:cs="Arial"/>
          <w:color w:val="5F5F5F"/>
          <w:lang w:val="en-US"/>
        </w:rPr>
      </w:pPr>
      <w:r>
        <w:rPr>
          <w:rFonts w:ascii="Arial Narrow" w:hAnsi="Arial Narrow" w:cs="Arial"/>
          <w:color w:val="5F5F5F"/>
          <w:lang w:val="en-US"/>
        </w:rPr>
        <w:t>Q1 201</w:t>
      </w:r>
      <w:r w:rsidR="00D27E9B">
        <w:rPr>
          <w:rFonts w:ascii="Arial Narrow" w:hAnsi="Arial Narrow" w:cs="Arial"/>
          <w:color w:val="5F5F5F"/>
          <w:lang w:val="en-US"/>
        </w:rPr>
        <w:t>2</w:t>
      </w:r>
      <w:r w:rsidR="0055186E" w:rsidRPr="009B45B9">
        <w:rPr>
          <w:rFonts w:ascii="Arial Narrow" w:hAnsi="Arial Narrow" w:cs="Arial"/>
          <w:color w:val="5F5F5F"/>
          <w:lang w:val="en-US"/>
        </w:rPr>
        <w:t xml:space="preserve"> – </w:t>
      </w:r>
      <w:r w:rsidR="001B1782">
        <w:rPr>
          <w:rFonts w:ascii="Arial Narrow" w:hAnsi="Arial Narrow" w:cs="Arial"/>
          <w:color w:val="5F5F5F"/>
          <w:lang w:val="en-US"/>
        </w:rPr>
        <w:t>Q2</w:t>
      </w:r>
      <w:r w:rsidR="00D741B3">
        <w:rPr>
          <w:rFonts w:ascii="Arial Narrow" w:hAnsi="Arial Narrow" w:cs="Arial"/>
          <w:color w:val="5F5F5F"/>
          <w:lang w:val="en-US"/>
        </w:rPr>
        <w:t xml:space="preserve"> 20</w:t>
      </w:r>
      <w:r w:rsidR="00D27E9B">
        <w:rPr>
          <w:rFonts w:ascii="Arial Narrow" w:hAnsi="Arial Narrow" w:cs="Arial"/>
          <w:color w:val="5F5F5F"/>
          <w:lang w:val="en-US"/>
        </w:rPr>
        <w:t>24</w:t>
      </w:r>
      <w:r w:rsidR="0055186E" w:rsidRPr="009B45B9">
        <w:rPr>
          <w:rFonts w:ascii="Arial Narrow" w:hAnsi="Arial Narrow" w:cs="Arial"/>
          <w:color w:val="5F5F5F"/>
          <w:lang w:val="en-US"/>
        </w:rPr>
        <w:t xml:space="preserve">, </w:t>
      </w:r>
      <w:r w:rsidR="0055186E">
        <w:rPr>
          <w:rFonts w:ascii="Arial Narrow" w:hAnsi="Arial Narrow" w:cs="Arial"/>
          <w:color w:val="5F5F5F"/>
          <w:lang w:val="en-US"/>
        </w:rPr>
        <w:t>s</w:t>
      </w:r>
      <w:r w:rsidR="0055186E" w:rsidRPr="009B45B9">
        <w:rPr>
          <w:rFonts w:ascii="Arial Narrow" w:hAnsi="Arial Narrow" w:cs="Arial"/>
          <w:color w:val="5F5F5F"/>
          <w:lang w:val="en-US"/>
        </w:rPr>
        <w:t>easonally and calendar adjusted</w:t>
      </w:r>
      <w:r w:rsidR="0055186E">
        <w:rPr>
          <w:rFonts w:ascii="Arial Narrow" w:hAnsi="Arial Narrow" w:cs="Arial"/>
          <w:color w:val="5F5F5F"/>
          <w:lang w:val="en-US"/>
        </w:rPr>
        <w:t xml:space="preserve"> indices (reference year </w:t>
      </w:r>
      <w:r w:rsidR="00D67A69">
        <w:rPr>
          <w:rFonts w:ascii="Arial Narrow" w:hAnsi="Arial Narrow" w:cs="Arial"/>
          <w:color w:val="5F5F5F"/>
          <w:lang w:val="en-US"/>
        </w:rPr>
        <w:t>2015</w:t>
      </w:r>
      <w:r w:rsidR="0055186E">
        <w:rPr>
          <w:rFonts w:ascii="Arial Narrow" w:hAnsi="Arial Narrow" w:cs="Arial"/>
          <w:color w:val="5F5F5F"/>
          <w:lang w:val="en-US"/>
        </w:rPr>
        <w:t>)</w:t>
      </w:r>
    </w:p>
    <w:p w:rsidR="0055186E" w:rsidRPr="00A0603E" w:rsidRDefault="00BB0AD6" w:rsidP="0055186E">
      <w:pPr>
        <w:pStyle w:val="Default"/>
        <w:jc w:val="both"/>
        <w:rPr>
          <w:rFonts w:ascii="Arial" w:hAnsi="Arial" w:cs="Arial"/>
          <w:color w:val="auto"/>
          <w:sz w:val="21"/>
          <w:szCs w:val="21"/>
          <w:lang w:val="en-GB"/>
        </w:rPr>
      </w:pPr>
      <w:r>
        <w:rPr>
          <w:noProof/>
        </w:rPr>
        <w:pict>
          <v:shape id="_x0000_i1036" type="#_x0000_t75" style="width:516pt;height:254.25pt">
            <v:imagedata r:id="rId13" o:title=""/>
          </v:shape>
        </w:pict>
      </w:r>
    </w:p>
    <w:p w:rsidR="008A01A2" w:rsidRDefault="008A01A2" w:rsidP="00003D07">
      <w:pPr>
        <w:tabs>
          <w:tab w:val="left" w:pos="284"/>
        </w:tabs>
        <w:spacing w:before="0" w:after="0"/>
        <w:rPr>
          <w:rFonts w:ascii="Arial Narrow" w:hAnsi="Arial Narrow" w:cs="Arial"/>
          <w:b/>
          <w:bCs/>
          <w:color w:val="E42618"/>
          <w:sz w:val="22"/>
          <w:szCs w:val="22"/>
        </w:rPr>
      </w:pPr>
    </w:p>
    <w:p w:rsidR="00584686" w:rsidRDefault="00584686" w:rsidP="004239E4">
      <w:pPr>
        <w:widowControl/>
        <w:overflowPunct/>
        <w:autoSpaceDE/>
        <w:autoSpaceDN/>
        <w:adjustRightInd/>
        <w:spacing w:before="0" w:after="0"/>
        <w:rPr>
          <w:rFonts w:ascii="Arial Narrow" w:hAnsi="Arial Narrow" w:cs="Arial"/>
          <w:b/>
          <w:color w:val="E42618"/>
          <w:sz w:val="22"/>
          <w:szCs w:val="22"/>
        </w:rPr>
        <w:sectPr w:rsidR="00584686" w:rsidSect="00171C5C">
          <w:headerReference w:type="default" r:id="rId14"/>
          <w:footerReference w:type="default" r:id="rId15"/>
          <w:pgSz w:w="11907" w:h="16840" w:code="9"/>
          <w:pgMar w:top="1534" w:right="851" w:bottom="680" w:left="851" w:header="567" w:footer="567" w:gutter="0"/>
          <w:cols w:space="720"/>
          <w:noEndnote/>
          <w:docGrid w:linePitch="272"/>
        </w:sectPr>
      </w:pPr>
    </w:p>
    <w:p w:rsidR="00584686" w:rsidRDefault="00584686" w:rsidP="004239E4">
      <w:pPr>
        <w:widowControl/>
        <w:overflowPunct/>
        <w:autoSpaceDE/>
        <w:autoSpaceDN/>
        <w:adjustRightInd/>
        <w:spacing w:before="0" w:after="0"/>
        <w:rPr>
          <w:rFonts w:ascii="Arial Narrow" w:hAnsi="Arial Narrow" w:cs="Arial"/>
          <w:b/>
          <w:color w:val="E42618"/>
          <w:sz w:val="22"/>
          <w:szCs w:val="22"/>
          <w:lang w:val="en-US"/>
        </w:rPr>
      </w:pPr>
    </w:p>
    <w:p w:rsidR="004239E4" w:rsidRPr="00C5208A" w:rsidRDefault="009B45B9" w:rsidP="004239E4">
      <w:pPr>
        <w:widowControl/>
        <w:overflowPunct/>
        <w:autoSpaceDE/>
        <w:autoSpaceDN/>
        <w:adjustRightInd/>
        <w:spacing w:before="0" w:after="0"/>
        <w:rPr>
          <w:rFonts w:ascii="Arial Narrow" w:hAnsi="Arial Narrow" w:cs="Arial"/>
          <w:b/>
          <w:color w:val="5F5F5F"/>
          <w:sz w:val="22"/>
          <w:szCs w:val="22"/>
          <w:lang w:val="en-US"/>
        </w:rPr>
      </w:pPr>
      <w:r w:rsidRPr="00915206">
        <w:rPr>
          <w:rFonts w:ascii="Arial Narrow" w:hAnsi="Arial Narrow" w:cs="Arial"/>
          <w:b/>
          <w:color w:val="E42618"/>
          <w:sz w:val="22"/>
          <w:szCs w:val="22"/>
          <w:lang w:val="en-US"/>
        </w:rPr>
        <w:t>CHART</w:t>
      </w:r>
      <w:r w:rsidR="004239E4" w:rsidRPr="00915206">
        <w:rPr>
          <w:rFonts w:ascii="Arial Narrow" w:hAnsi="Arial Narrow" w:cs="Arial"/>
          <w:b/>
          <w:color w:val="E42618"/>
          <w:sz w:val="22"/>
          <w:szCs w:val="22"/>
          <w:lang w:val="en-US"/>
        </w:rPr>
        <w:t xml:space="preserve"> 2.</w:t>
      </w:r>
      <w:r w:rsidR="004239E4" w:rsidRPr="00915206">
        <w:rPr>
          <w:rFonts w:ascii="Arial Narrow" w:hAnsi="Arial Narrow" w:cs="Arial"/>
          <w:b/>
          <w:color w:val="5F5F5F"/>
          <w:sz w:val="22"/>
          <w:szCs w:val="22"/>
          <w:lang w:val="en-US"/>
        </w:rPr>
        <w:t xml:space="preserve"> </w:t>
      </w:r>
      <w:r w:rsidR="00D741B3" w:rsidRPr="00C5208A">
        <w:rPr>
          <w:rFonts w:ascii="Arial Narrow" w:hAnsi="Arial Narrow" w:cs="Arial"/>
          <w:b/>
          <w:color w:val="5F5F5F"/>
          <w:sz w:val="22"/>
          <w:szCs w:val="22"/>
          <w:lang w:val="en-US"/>
        </w:rPr>
        <w:t xml:space="preserve">GROSS DOMESTIC PRODUCT, </w:t>
      </w:r>
      <w:r w:rsidR="00D741B3">
        <w:rPr>
          <w:rFonts w:ascii="Arial Narrow" w:hAnsi="Arial Narrow" w:cs="Arial"/>
          <w:b/>
          <w:color w:val="5F5F5F"/>
          <w:sz w:val="22"/>
          <w:szCs w:val="22"/>
          <w:lang w:val="en-US"/>
        </w:rPr>
        <w:t xml:space="preserve">QUARTER ON PREVIOUS </w:t>
      </w:r>
      <w:r w:rsidR="00D741B3" w:rsidRPr="00C5208A">
        <w:rPr>
          <w:rFonts w:ascii="Arial Narrow" w:hAnsi="Arial Narrow" w:cs="Arial"/>
          <w:b/>
          <w:color w:val="5F5F5F"/>
          <w:sz w:val="22"/>
          <w:szCs w:val="22"/>
          <w:lang w:val="en-US"/>
        </w:rPr>
        <w:t xml:space="preserve">QUARTER AND </w:t>
      </w:r>
      <w:r w:rsidR="00D741B3">
        <w:rPr>
          <w:rFonts w:ascii="Arial Narrow" w:hAnsi="Arial Narrow" w:cs="Arial"/>
          <w:b/>
          <w:color w:val="5F5F5F"/>
          <w:sz w:val="22"/>
          <w:szCs w:val="22"/>
          <w:lang w:val="en-US"/>
        </w:rPr>
        <w:t xml:space="preserve">ON </w:t>
      </w:r>
      <w:r w:rsidR="00D741B3" w:rsidRPr="00C5208A">
        <w:rPr>
          <w:rFonts w:ascii="Arial Narrow" w:hAnsi="Arial Narrow" w:cs="Arial"/>
          <w:b/>
          <w:color w:val="5F5F5F"/>
          <w:sz w:val="22"/>
          <w:szCs w:val="22"/>
          <w:lang w:val="en-US"/>
        </w:rPr>
        <w:t xml:space="preserve">SAME QUARTER </w:t>
      </w:r>
      <w:r w:rsidR="00D741B3">
        <w:rPr>
          <w:rFonts w:ascii="Arial Narrow" w:hAnsi="Arial Narrow" w:cs="Arial"/>
          <w:b/>
          <w:color w:val="5F5F5F"/>
          <w:sz w:val="22"/>
          <w:szCs w:val="22"/>
          <w:lang w:val="en-US"/>
        </w:rPr>
        <w:t>A</w:t>
      </w:r>
      <w:r w:rsidR="00D741B3" w:rsidRPr="00C5208A">
        <w:rPr>
          <w:rFonts w:ascii="Arial Narrow" w:hAnsi="Arial Narrow" w:cs="Arial"/>
          <w:b/>
          <w:color w:val="5F5F5F"/>
          <w:sz w:val="22"/>
          <w:szCs w:val="22"/>
          <w:lang w:val="en-US"/>
        </w:rPr>
        <w:t xml:space="preserve"> YEAR </w:t>
      </w:r>
      <w:r w:rsidR="00D741B3">
        <w:rPr>
          <w:rFonts w:ascii="Arial Narrow" w:hAnsi="Arial Narrow" w:cs="Arial"/>
          <w:b/>
          <w:color w:val="5F5F5F"/>
          <w:sz w:val="22"/>
          <w:szCs w:val="22"/>
          <w:lang w:val="en-US"/>
        </w:rPr>
        <w:t>AGO PERCENTAGE CHANGES</w:t>
      </w:r>
    </w:p>
    <w:p w:rsidR="004239E4" w:rsidRPr="009B45B9" w:rsidRDefault="00D741B3" w:rsidP="004239E4">
      <w:pPr>
        <w:widowControl/>
        <w:overflowPunct/>
        <w:autoSpaceDE/>
        <w:autoSpaceDN/>
        <w:adjustRightInd/>
        <w:spacing w:before="0" w:after="120"/>
        <w:rPr>
          <w:rFonts w:ascii="Arial Narrow" w:hAnsi="Arial Narrow" w:cs="Arial"/>
          <w:color w:val="5F5F5F"/>
          <w:lang w:val="en-US"/>
        </w:rPr>
      </w:pPr>
      <w:r>
        <w:rPr>
          <w:rFonts w:ascii="Arial Narrow" w:hAnsi="Arial Narrow" w:cs="Arial"/>
          <w:color w:val="5F5F5F"/>
          <w:lang w:val="en-US"/>
        </w:rPr>
        <w:t xml:space="preserve">Q1 </w:t>
      </w:r>
      <w:r w:rsidR="00D27E9B">
        <w:rPr>
          <w:rFonts w:ascii="Arial Narrow" w:hAnsi="Arial Narrow" w:cs="Arial"/>
          <w:color w:val="5F5F5F"/>
          <w:lang w:val="en-US"/>
        </w:rPr>
        <w:t>2017</w:t>
      </w:r>
      <w:r w:rsidR="00BC331C" w:rsidRPr="009B45B9">
        <w:rPr>
          <w:rFonts w:ascii="Arial Narrow" w:hAnsi="Arial Narrow" w:cs="Arial"/>
          <w:color w:val="5F5F5F"/>
          <w:lang w:val="en-US"/>
        </w:rPr>
        <w:t xml:space="preserve"> – </w:t>
      </w:r>
      <w:r w:rsidR="001B1782">
        <w:rPr>
          <w:rFonts w:ascii="Arial Narrow" w:hAnsi="Arial Narrow" w:cs="Arial"/>
          <w:color w:val="5F5F5F"/>
          <w:lang w:val="en-US"/>
        </w:rPr>
        <w:t>Q2</w:t>
      </w:r>
      <w:r>
        <w:rPr>
          <w:rFonts w:ascii="Arial Narrow" w:hAnsi="Arial Narrow" w:cs="Arial"/>
          <w:color w:val="5F5F5F"/>
          <w:lang w:val="en-US"/>
        </w:rPr>
        <w:t xml:space="preserve"> 20</w:t>
      </w:r>
      <w:r w:rsidR="00D27E9B">
        <w:rPr>
          <w:rFonts w:ascii="Arial Narrow" w:hAnsi="Arial Narrow" w:cs="Arial"/>
          <w:color w:val="5F5F5F"/>
          <w:lang w:val="en-US"/>
        </w:rPr>
        <w:t>24</w:t>
      </w:r>
      <w:r w:rsidR="004239E4" w:rsidRPr="009B45B9">
        <w:rPr>
          <w:rFonts w:ascii="Arial Narrow" w:hAnsi="Arial Narrow" w:cs="Arial"/>
          <w:color w:val="5F5F5F"/>
          <w:lang w:val="en-US"/>
        </w:rPr>
        <w:t xml:space="preserve">, </w:t>
      </w:r>
      <w:r w:rsidR="002403AF">
        <w:rPr>
          <w:rFonts w:ascii="Arial Narrow" w:hAnsi="Arial Narrow" w:cs="Arial"/>
          <w:color w:val="5F5F5F"/>
          <w:lang w:val="en-US"/>
        </w:rPr>
        <w:t xml:space="preserve"> s</w:t>
      </w:r>
      <w:r w:rsidR="004C45C2" w:rsidRPr="009B45B9">
        <w:rPr>
          <w:rFonts w:ascii="Arial Narrow" w:hAnsi="Arial Narrow" w:cs="Arial"/>
          <w:color w:val="5F5F5F"/>
          <w:lang w:val="en-US"/>
        </w:rPr>
        <w:t>easonally</w:t>
      </w:r>
      <w:r w:rsidR="004C45C2">
        <w:rPr>
          <w:rFonts w:ascii="Arial Narrow" w:hAnsi="Arial Narrow" w:cs="Arial"/>
          <w:color w:val="5F5F5F"/>
          <w:lang w:val="en-US"/>
        </w:rPr>
        <w:t xml:space="preserve"> </w:t>
      </w:r>
      <w:r w:rsidR="004C45C2" w:rsidRPr="009B45B9">
        <w:rPr>
          <w:rFonts w:ascii="Arial Narrow" w:hAnsi="Arial Narrow" w:cs="Arial"/>
          <w:color w:val="5F5F5F"/>
          <w:lang w:val="en-US"/>
        </w:rPr>
        <w:t xml:space="preserve">and calendar adjusted </w:t>
      </w:r>
      <w:r w:rsidR="00676F49" w:rsidRPr="009B45B9">
        <w:rPr>
          <w:rFonts w:ascii="Arial Narrow" w:hAnsi="Arial Narrow" w:cs="Arial"/>
          <w:color w:val="5F5F5F"/>
          <w:lang w:val="en-US"/>
        </w:rPr>
        <w:t>chain-linked</w:t>
      </w:r>
      <w:r w:rsidR="00BC331C">
        <w:rPr>
          <w:rFonts w:ascii="Arial Narrow" w:hAnsi="Arial Narrow" w:cs="Arial"/>
          <w:color w:val="5F5F5F"/>
          <w:lang w:val="en-US"/>
        </w:rPr>
        <w:t xml:space="preserve"> values</w:t>
      </w:r>
    </w:p>
    <w:p w:rsidR="004239E4" w:rsidRDefault="00B16786" w:rsidP="004239E4">
      <w:pPr>
        <w:overflowPunct/>
        <w:autoSpaceDE/>
        <w:autoSpaceDN/>
        <w:adjustRightInd/>
        <w:spacing w:before="0" w:after="120"/>
        <w:rPr>
          <w:rFonts w:ascii="Arial Narrow" w:hAnsi="Arial Narrow" w:cs="Arial"/>
          <w:b/>
          <w:caps/>
          <w:color w:val="E42618"/>
          <w:sz w:val="22"/>
          <w:szCs w:val="22"/>
        </w:rPr>
      </w:pPr>
      <w:r>
        <w:rPr>
          <w:noProof/>
        </w:rPr>
        <w:drawing>
          <wp:inline distT="0" distB="0" distL="0" distR="0" wp14:anchorId="4B9C24EA" wp14:editId="18721D06">
            <wp:extent cx="6480000" cy="2255250"/>
            <wp:effectExtent l="0" t="0" r="0" b="0"/>
            <wp:docPr id="12" name="Gra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bookmarkStart w:id="0" w:name="_GoBack"/>
      <w:bookmarkEnd w:id="0"/>
    </w:p>
    <w:p w:rsidR="004239E4" w:rsidRDefault="004239E4" w:rsidP="00900B2B">
      <w:pPr>
        <w:overflowPunct/>
        <w:autoSpaceDE/>
        <w:autoSpaceDN/>
        <w:adjustRightInd/>
        <w:spacing w:before="0" w:after="120"/>
        <w:rPr>
          <w:rFonts w:ascii="Arial Narrow" w:hAnsi="Arial Narrow" w:cs="Arial"/>
          <w:b/>
          <w:caps/>
          <w:color w:val="E42618"/>
          <w:sz w:val="22"/>
          <w:szCs w:val="22"/>
        </w:rPr>
      </w:pPr>
    </w:p>
    <w:p w:rsidR="004239E4" w:rsidRPr="002403AF" w:rsidRDefault="00E322CD" w:rsidP="00915206">
      <w:pPr>
        <w:spacing w:before="0" w:after="0"/>
        <w:rPr>
          <w:rFonts w:ascii="Arial Narrow" w:hAnsi="Arial Narrow"/>
          <w:b/>
          <w:lang w:val="en-US"/>
        </w:rPr>
      </w:pPr>
      <w:r w:rsidRPr="00BC331C">
        <w:rPr>
          <w:rFonts w:ascii="Arial Narrow" w:hAnsi="Arial Narrow" w:cs="Arial"/>
          <w:b/>
          <w:color w:val="E42618"/>
          <w:sz w:val="22"/>
          <w:szCs w:val="22"/>
          <w:lang w:val="en-US"/>
        </w:rPr>
        <w:t>TABLE</w:t>
      </w:r>
      <w:r w:rsidR="006B6DC5">
        <w:rPr>
          <w:rFonts w:ascii="Arial Narrow" w:hAnsi="Arial Narrow" w:cs="Arial"/>
          <w:b/>
          <w:color w:val="E42618"/>
          <w:sz w:val="22"/>
          <w:szCs w:val="22"/>
          <w:lang w:val="en-US"/>
        </w:rPr>
        <w:t xml:space="preserve"> </w:t>
      </w:r>
      <w:r w:rsidRPr="00BC331C">
        <w:rPr>
          <w:rFonts w:ascii="Arial Narrow" w:hAnsi="Arial Narrow" w:cs="Arial"/>
          <w:b/>
          <w:color w:val="E42618"/>
          <w:sz w:val="22"/>
          <w:szCs w:val="22"/>
          <w:lang w:val="en-US"/>
        </w:rPr>
        <w:t>1</w:t>
      </w:r>
      <w:r w:rsidR="00D741B3">
        <w:rPr>
          <w:rFonts w:ascii="Arial Narrow" w:hAnsi="Arial Narrow" w:cs="Arial"/>
          <w:b/>
          <w:color w:val="E42618"/>
          <w:sz w:val="22"/>
          <w:szCs w:val="22"/>
          <w:lang w:val="en-US"/>
        </w:rPr>
        <w:t>.</w:t>
      </w:r>
      <w:r w:rsidR="00D741B3" w:rsidRPr="00D741B3">
        <w:rPr>
          <w:rFonts w:ascii="Arial Narrow" w:hAnsi="Arial Narrow" w:cs="Arial"/>
          <w:b/>
          <w:color w:val="5F5F5F"/>
          <w:sz w:val="22"/>
          <w:szCs w:val="22"/>
          <w:lang w:val="en-US"/>
        </w:rPr>
        <w:t xml:space="preserve"> </w:t>
      </w:r>
      <w:r w:rsidR="00D741B3" w:rsidRPr="002403AF">
        <w:rPr>
          <w:rFonts w:ascii="Arial Narrow" w:hAnsi="Arial Narrow" w:cs="Arial"/>
          <w:b/>
          <w:color w:val="5F5F5F"/>
          <w:sz w:val="22"/>
          <w:szCs w:val="22"/>
          <w:lang w:val="en-US"/>
        </w:rPr>
        <w:t xml:space="preserve">GROSS DOMESTIC PRODUCT, CHAIN LINKED VALUES, QUARTER ON PREVIOUS QUARTER AND ON SAME QUARTER A YEAR AGO </w:t>
      </w:r>
      <w:r w:rsidR="00D741B3">
        <w:rPr>
          <w:rFonts w:ascii="Arial Narrow" w:hAnsi="Arial Narrow" w:cs="Arial"/>
          <w:b/>
          <w:color w:val="5F5F5F"/>
          <w:sz w:val="22"/>
          <w:szCs w:val="22"/>
          <w:lang w:val="en-US"/>
        </w:rPr>
        <w:t>PERCENTAGE</w:t>
      </w:r>
      <w:r w:rsidR="00D741B3" w:rsidRPr="002403AF">
        <w:rPr>
          <w:rFonts w:ascii="Arial Narrow" w:hAnsi="Arial Narrow" w:cs="Arial"/>
          <w:b/>
          <w:color w:val="5F5F5F"/>
          <w:sz w:val="22"/>
          <w:szCs w:val="22"/>
          <w:lang w:val="en-US"/>
        </w:rPr>
        <w:t xml:space="preserve"> CHANGES</w:t>
      </w:r>
    </w:p>
    <w:p w:rsidR="001B1782" w:rsidRPr="001B1782" w:rsidRDefault="00D27E9B" w:rsidP="001B1782">
      <w:pPr>
        <w:spacing w:after="120"/>
        <w:rPr>
          <w:kern w:val="0"/>
          <w:lang w:val="en-US"/>
        </w:rPr>
      </w:pPr>
      <w:r>
        <w:rPr>
          <w:rFonts w:ascii="Arial Narrow" w:hAnsi="Arial Narrow" w:cs="Arial"/>
          <w:color w:val="5F5F5F"/>
          <w:lang w:val="en-US"/>
        </w:rPr>
        <w:t>Q1 2020</w:t>
      </w:r>
      <w:r w:rsidR="00676F49">
        <w:rPr>
          <w:rFonts w:ascii="Arial Narrow" w:hAnsi="Arial Narrow" w:cs="Arial"/>
          <w:color w:val="5F5F5F"/>
          <w:lang w:val="en-US"/>
        </w:rPr>
        <w:t xml:space="preserve"> </w:t>
      </w:r>
      <w:r w:rsidR="00021620">
        <w:rPr>
          <w:rFonts w:ascii="Arial Narrow" w:hAnsi="Arial Narrow" w:cs="Arial"/>
          <w:color w:val="5F5F5F"/>
          <w:lang w:val="en-US"/>
        </w:rPr>
        <w:t>–</w:t>
      </w:r>
      <w:r w:rsidR="00676F49">
        <w:rPr>
          <w:rFonts w:ascii="Arial Narrow" w:hAnsi="Arial Narrow" w:cs="Arial"/>
          <w:color w:val="5F5F5F"/>
          <w:lang w:val="en-US"/>
        </w:rPr>
        <w:t xml:space="preserve"> </w:t>
      </w:r>
      <w:r w:rsidR="001B1782">
        <w:rPr>
          <w:rFonts w:ascii="Arial Narrow" w:hAnsi="Arial Narrow" w:cs="Arial"/>
          <w:color w:val="5F5F5F"/>
          <w:lang w:val="en-US"/>
        </w:rPr>
        <w:t>Q2</w:t>
      </w:r>
      <w:r w:rsidR="00D741B3">
        <w:rPr>
          <w:rFonts w:ascii="Arial Narrow" w:hAnsi="Arial Narrow" w:cs="Arial"/>
          <w:color w:val="5F5F5F"/>
          <w:lang w:val="en-US"/>
        </w:rPr>
        <w:t xml:space="preserve"> 20</w:t>
      </w:r>
      <w:r w:rsidR="000610A0">
        <w:rPr>
          <w:rFonts w:ascii="Arial Narrow" w:hAnsi="Arial Narrow" w:cs="Arial"/>
          <w:color w:val="5F5F5F"/>
          <w:lang w:val="en-US"/>
        </w:rPr>
        <w:t>2</w:t>
      </w:r>
      <w:r>
        <w:rPr>
          <w:rFonts w:ascii="Arial Narrow" w:hAnsi="Arial Narrow" w:cs="Arial"/>
          <w:color w:val="5F5F5F"/>
          <w:lang w:val="en-US"/>
        </w:rPr>
        <w:t>4</w:t>
      </w:r>
      <w:r w:rsidR="009B45B9" w:rsidRPr="00A770E5">
        <w:rPr>
          <w:rFonts w:ascii="Arial Narrow" w:hAnsi="Arial Narrow" w:cs="Arial"/>
          <w:color w:val="5F5F5F"/>
          <w:lang w:val="en-US"/>
        </w:rPr>
        <w:t xml:space="preserve"> (a)</w:t>
      </w:r>
      <w:r w:rsidR="00726E61">
        <w:rPr>
          <w:rFonts w:ascii="Arial Narrow" w:hAnsi="Arial Narrow" w:cs="Arial"/>
          <w:color w:val="5F5F5F"/>
          <w:lang w:val="en-US"/>
        </w:rPr>
        <w:t>,</w:t>
      </w:r>
      <w:r w:rsidR="009B45B9" w:rsidRPr="00A770E5">
        <w:rPr>
          <w:rFonts w:ascii="Arial Narrow" w:hAnsi="Arial Narrow" w:cs="Arial"/>
          <w:color w:val="5F5F5F"/>
          <w:lang w:val="en-US"/>
        </w:rPr>
        <w:t xml:space="preserve"> </w:t>
      </w:r>
      <w:r w:rsidR="006D4211">
        <w:rPr>
          <w:rFonts w:ascii="Arial Narrow" w:hAnsi="Arial Narrow" w:cs="Arial"/>
          <w:color w:val="5F5F5F"/>
          <w:lang w:val="en-US"/>
        </w:rPr>
        <w:t>s</w:t>
      </w:r>
      <w:r w:rsidR="004C45C2" w:rsidRPr="00A770E5">
        <w:rPr>
          <w:rFonts w:ascii="Arial Narrow" w:hAnsi="Arial Narrow" w:cs="Arial"/>
          <w:color w:val="5F5F5F"/>
          <w:lang w:val="en-US"/>
        </w:rPr>
        <w:t>easonally</w:t>
      </w:r>
      <w:r w:rsidR="004C45C2">
        <w:rPr>
          <w:rFonts w:ascii="Arial Narrow" w:hAnsi="Arial Narrow" w:cs="Arial"/>
          <w:color w:val="5F5F5F"/>
          <w:lang w:val="en-US"/>
        </w:rPr>
        <w:t xml:space="preserve"> and calendar adjusted c</w:t>
      </w:r>
      <w:r w:rsidR="00BC331C">
        <w:rPr>
          <w:rFonts w:ascii="Arial Narrow" w:hAnsi="Arial Narrow" w:cs="Arial"/>
          <w:color w:val="5F5F5F"/>
          <w:lang w:val="en-US"/>
        </w:rPr>
        <w:t xml:space="preserve">hain </w:t>
      </w:r>
      <w:r w:rsidR="004C45C2">
        <w:rPr>
          <w:rFonts w:ascii="Arial Narrow" w:hAnsi="Arial Narrow" w:cs="Arial"/>
          <w:color w:val="5F5F5F"/>
          <w:lang w:val="en-US"/>
        </w:rPr>
        <w:t>linked values in millions of</w:t>
      </w:r>
      <w:r w:rsidR="00676F49">
        <w:rPr>
          <w:rFonts w:ascii="Arial Narrow" w:hAnsi="Arial Narrow" w:cs="Arial"/>
          <w:color w:val="5F5F5F"/>
          <w:lang w:val="en-US"/>
        </w:rPr>
        <w:t xml:space="preserve"> euro</w:t>
      </w:r>
      <w:r w:rsidR="00726E61" w:rsidRPr="00726E61">
        <w:rPr>
          <w:rFonts w:ascii="Arial Narrow" w:hAnsi="Arial Narrow" w:cs="Arial"/>
          <w:color w:val="5F5F5F"/>
          <w:lang w:val="en-US"/>
        </w:rPr>
        <w:t xml:space="preserve"> </w:t>
      </w:r>
      <w:r w:rsidR="00726E61">
        <w:rPr>
          <w:rFonts w:ascii="Arial Narrow" w:hAnsi="Arial Narrow" w:cs="Arial"/>
          <w:color w:val="5F5F5F"/>
          <w:lang w:val="en-US"/>
        </w:rPr>
        <w:t>(</w:t>
      </w:r>
      <w:r w:rsidR="00726E61" w:rsidRPr="009B45B9">
        <w:rPr>
          <w:rFonts w:ascii="Arial Narrow" w:hAnsi="Arial Narrow" w:cs="Arial"/>
          <w:color w:val="5F5F5F"/>
          <w:lang w:val="en-US"/>
        </w:rPr>
        <w:t xml:space="preserve">reference year </w:t>
      </w:r>
      <w:r w:rsidR="00D67A69">
        <w:rPr>
          <w:rFonts w:ascii="Arial Narrow" w:hAnsi="Arial Narrow" w:cs="Arial"/>
          <w:color w:val="5F5F5F"/>
          <w:lang w:val="en-US"/>
        </w:rPr>
        <w:t>2015</w:t>
      </w:r>
      <w:r w:rsidR="00726E61">
        <w:rPr>
          <w:rFonts w:ascii="Arial Narrow" w:hAnsi="Arial Narrow" w:cs="Arial"/>
          <w:color w:val="5F5F5F"/>
          <w:lang w:val="en-US"/>
        </w:rPr>
        <w:t>)</w:t>
      </w:r>
      <w:r w:rsidR="006E0B90" w:rsidRPr="006E0B90">
        <w:rPr>
          <w:lang w:val="en-US"/>
        </w:rPr>
        <w:t xml:space="preserve"> </w:t>
      </w:r>
    </w:p>
    <w:tbl>
      <w:tblPr>
        <w:tblW w:w="5000" w:type="pct"/>
        <w:tblInd w:w="40" w:type="dxa"/>
        <w:tblLayout w:type="fixed"/>
        <w:tblCellMar>
          <w:left w:w="70" w:type="dxa"/>
          <w:right w:w="70" w:type="dxa"/>
        </w:tblCellMar>
        <w:tblLook w:val="0000" w:firstRow="0" w:lastRow="0" w:firstColumn="0" w:lastColumn="0" w:noHBand="0" w:noVBand="0"/>
      </w:tblPr>
      <w:tblGrid>
        <w:gridCol w:w="1988"/>
        <w:gridCol w:w="2796"/>
        <w:gridCol w:w="2517"/>
        <w:gridCol w:w="2904"/>
      </w:tblGrid>
      <w:tr w:rsidR="00806AD5" w:rsidRPr="001B1782" w:rsidTr="00806AD5">
        <w:tblPrEx>
          <w:tblCellMar>
            <w:top w:w="0" w:type="dxa"/>
            <w:bottom w:w="0" w:type="dxa"/>
          </w:tblCellMar>
        </w:tblPrEx>
        <w:trPr>
          <w:trHeight w:val="255"/>
        </w:trPr>
        <w:tc>
          <w:tcPr>
            <w:tcW w:w="1988" w:type="dxa"/>
            <w:tcBorders>
              <w:top w:val="single" w:sz="4" w:space="0" w:color="auto"/>
              <w:bottom w:val="single" w:sz="4" w:space="0" w:color="auto"/>
            </w:tcBorders>
          </w:tcPr>
          <w:p w:rsidR="001B1782" w:rsidRPr="001B1782" w:rsidRDefault="001B1782" w:rsidP="001B1782">
            <w:pPr>
              <w:spacing w:before="40" w:after="20"/>
              <w:rPr>
                <w:rFonts w:ascii="Arial Narrow" w:hAnsi="Arial Narrow" w:cs="Arial Narrow"/>
                <w:b/>
                <w:bCs/>
                <w:color w:val="000000"/>
                <w:kern w:val="0"/>
                <w:sz w:val="18"/>
                <w:szCs w:val="18"/>
              </w:rPr>
            </w:pPr>
            <w:r w:rsidRPr="001B1782">
              <w:rPr>
                <w:rFonts w:ascii="Arial Narrow" w:hAnsi="Arial Narrow" w:cs="Arial Narrow"/>
                <w:b/>
                <w:bCs/>
                <w:color w:val="000000"/>
                <w:kern w:val="0"/>
                <w:sz w:val="18"/>
                <w:szCs w:val="18"/>
              </w:rPr>
              <w:t>Quarter</w:t>
            </w:r>
          </w:p>
        </w:tc>
        <w:tc>
          <w:tcPr>
            <w:tcW w:w="2796"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b/>
                <w:bCs/>
                <w:color w:val="000000"/>
                <w:kern w:val="0"/>
                <w:sz w:val="18"/>
                <w:szCs w:val="18"/>
                <w:lang w:val="en-US"/>
              </w:rPr>
            </w:pPr>
            <w:r w:rsidRPr="001B1782">
              <w:rPr>
                <w:rFonts w:ascii="Arial Narrow" w:hAnsi="Arial Narrow" w:cs="Arial Narrow"/>
                <w:b/>
                <w:bCs/>
                <w:color w:val="000000"/>
                <w:kern w:val="0"/>
                <w:sz w:val="18"/>
                <w:szCs w:val="18"/>
                <w:lang w:val="en-US"/>
              </w:rPr>
              <w:t>Millions of Euro</w:t>
            </w:r>
          </w:p>
          <w:p w:rsidR="001B1782" w:rsidRPr="001B1782" w:rsidRDefault="001B1782" w:rsidP="001B1782">
            <w:pPr>
              <w:widowControl/>
              <w:overflowPunct/>
              <w:spacing w:before="40" w:after="20"/>
              <w:jc w:val="right"/>
              <w:rPr>
                <w:rFonts w:ascii="Arial Narrow" w:hAnsi="Arial Narrow" w:cs="Arial Narrow"/>
                <w:b/>
                <w:bCs/>
                <w:color w:val="000000"/>
                <w:kern w:val="0"/>
                <w:sz w:val="18"/>
                <w:szCs w:val="18"/>
                <w:lang w:val="en-US"/>
              </w:rPr>
            </w:pPr>
            <w:r w:rsidRPr="001B1782">
              <w:rPr>
                <w:rFonts w:ascii="Arial Narrow" w:hAnsi="Arial Narrow" w:cs="Arial Narrow"/>
                <w:b/>
                <w:bCs/>
                <w:color w:val="000000"/>
                <w:kern w:val="0"/>
                <w:sz w:val="18"/>
                <w:szCs w:val="18"/>
                <w:lang w:val="en-US"/>
              </w:rPr>
              <w:t>(chain-linked)</w:t>
            </w:r>
          </w:p>
        </w:tc>
        <w:tc>
          <w:tcPr>
            <w:tcW w:w="2517" w:type="dxa"/>
            <w:tcBorders>
              <w:top w:val="single" w:sz="4" w:space="0" w:color="auto"/>
              <w:bottom w:val="single" w:sz="4" w:space="0" w:color="auto"/>
            </w:tcBorders>
          </w:tcPr>
          <w:p w:rsidR="001B1782" w:rsidRPr="001B1782" w:rsidRDefault="001B1782" w:rsidP="001B1782">
            <w:pPr>
              <w:widowControl/>
              <w:overflowPunct/>
              <w:spacing w:before="40" w:after="20"/>
              <w:jc w:val="right"/>
              <w:rPr>
                <w:rFonts w:ascii="Arial Narrow" w:hAnsi="Arial Narrow" w:cs="Arial Narrow"/>
                <w:b/>
                <w:bCs/>
                <w:color w:val="000000"/>
                <w:kern w:val="0"/>
                <w:sz w:val="18"/>
                <w:szCs w:val="18"/>
              </w:rPr>
            </w:pPr>
            <w:r w:rsidRPr="001B1782">
              <w:rPr>
                <w:rFonts w:ascii="Arial Narrow" w:hAnsi="Arial Narrow" w:cs="Arial Narrow"/>
                <w:b/>
                <w:bCs/>
                <w:color w:val="000000"/>
                <w:kern w:val="0"/>
                <w:sz w:val="18"/>
                <w:szCs w:val="18"/>
              </w:rPr>
              <w:t>Quarter on previous quarter</w:t>
            </w:r>
          </w:p>
        </w:tc>
        <w:tc>
          <w:tcPr>
            <w:tcW w:w="2904"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b/>
                <w:bCs/>
                <w:color w:val="000000"/>
                <w:kern w:val="0"/>
                <w:sz w:val="18"/>
                <w:szCs w:val="18"/>
                <w:lang w:val="en-US"/>
              </w:rPr>
            </w:pPr>
            <w:r w:rsidRPr="001B1782">
              <w:rPr>
                <w:rFonts w:ascii="Arial Narrow" w:hAnsi="Arial Narrow" w:cs="Arial Narrow"/>
                <w:b/>
                <w:bCs/>
                <w:color w:val="000000"/>
                <w:kern w:val="0"/>
                <w:sz w:val="18"/>
                <w:szCs w:val="18"/>
                <w:lang w:val="en-US"/>
              </w:rPr>
              <w:t>Quarter on same quarter a year ago</w:t>
            </w:r>
          </w:p>
        </w:tc>
      </w:tr>
      <w:tr w:rsidR="001B1782" w:rsidRPr="001B1782" w:rsidTr="00806AD5">
        <w:tblPrEx>
          <w:tblCellMar>
            <w:top w:w="0" w:type="dxa"/>
            <w:bottom w:w="0" w:type="dxa"/>
          </w:tblCellMar>
        </w:tblPrEx>
        <w:trPr>
          <w:trHeight w:val="255"/>
        </w:trPr>
        <w:tc>
          <w:tcPr>
            <w:tcW w:w="1988" w:type="dxa"/>
            <w:tcBorders>
              <w:top w:val="single" w:sz="4" w:space="0" w:color="auto"/>
              <w:bottom w:val="single" w:sz="4" w:space="0" w:color="auto"/>
            </w:tcBorders>
          </w:tcPr>
          <w:p w:rsidR="001B1782" w:rsidRPr="001B1782" w:rsidRDefault="001B1782" w:rsidP="001B1782">
            <w:pPr>
              <w:widowControl/>
              <w:overflowPunct/>
              <w:spacing w:before="40" w:after="2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2020 - I</w:t>
            </w:r>
          </w:p>
        </w:tc>
        <w:tc>
          <w:tcPr>
            <w:tcW w:w="2796"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404,543</w:t>
            </w:r>
          </w:p>
        </w:tc>
        <w:tc>
          <w:tcPr>
            <w:tcW w:w="2517" w:type="dxa"/>
            <w:tcBorders>
              <w:top w:val="single" w:sz="4" w:space="0" w:color="auto"/>
              <w:bottom w:val="single" w:sz="4" w:space="0" w:color="auto"/>
            </w:tcBorders>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-6.0</w:t>
            </w:r>
          </w:p>
        </w:tc>
        <w:tc>
          <w:tcPr>
            <w:tcW w:w="2904"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-6.3</w:t>
            </w:r>
          </w:p>
        </w:tc>
      </w:tr>
      <w:tr w:rsidR="001B1782" w:rsidRPr="001B1782" w:rsidTr="00806AD5">
        <w:tblPrEx>
          <w:tblCellMar>
            <w:top w:w="0" w:type="dxa"/>
            <w:bottom w:w="0" w:type="dxa"/>
          </w:tblCellMar>
        </w:tblPrEx>
        <w:trPr>
          <w:trHeight w:val="255"/>
        </w:trPr>
        <w:tc>
          <w:tcPr>
            <w:tcW w:w="1988" w:type="dxa"/>
            <w:tcBorders>
              <w:top w:val="single" w:sz="4" w:space="0" w:color="auto"/>
              <w:bottom w:val="single" w:sz="4" w:space="0" w:color="auto"/>
            </w:tcBorders>
          </w:tcPr>
          <w:p w:rsidR="001B1782" w:rsidRPr="001B1782" w:rsidRDefault="001B1782" w:rsidP="001B1782">
            <w:pPr>
              <w:widowControl/>
              <w:overflowPunct/>
              <w:spacing w:before="40" w:after="2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2020 - II</w:t>
            </w:r>
          </w:p>
        </w:tc>
        <w:tc>
          <w:tcPr>
            <w:tcW w:w="2796"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356,802</w:t>
            </w:r>
          </w:p>
        </w:tc>
        <w:tc>
          <w:tcPr>
            <w:tcW w:w="2517" w:type="dxa"/>
            <w:tcBorders>
              <w:top w:val="single" w:sz="4" w:space="0" w:color="auto"/>
              <w:bottom w:val="single" w:sz="4" w:space="0" w:color="auto"/>
            </w:tcBorders>
          </w:tcPr>
          <w:p w:rsidR="001B1782" w:rsidRPr="001B1782" w:rsidRDefault="001B1782" w:rsidP="00806AD5">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-11.8</w:t>
            </w:r>
          </w:p>
        </w:tc>
        <w:tc>
          <w:tcPr>
            <w:tcW w:w="2904" w:type="dxa"/>
            <w:tcBorders>
              <w:top w:val="single" w:sz="4" w:space="0" w:color="auto"/>
              <w:bottom w:val="single" w:sz="4" w:space="0" w:color="auto"/>
            </w:tcBorders>
            <w:shd w:val="solid" w:color="DDDDDD" w:fill="auto"/>
          </w:tcPr>
          <w:p w:rsidR="001B1782" w:rsidRPr="001B1782" w:rsidRDefault="001B1782" w:rsidP="00806AD5">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-17.6</w:t>
            </w:r>
          </w:p>
        </w:tc>
      </w:tr>
      <w:tr w:rsidR="001B1782" w:rsidRPr="001B1782" w:rsidTr="00806AD5">
        <w:tblPrEx>
          <w:tblCellMar>
            <w:top w:w="0" w:type="dxa"/>
            <w:bottom w:w="0" w:type="dxa"/>
          </w:tblCellMar>
        </w:tblPrEx>
        <w:trPr>
          <w:trHeight w:val="255"/>
        </w:trPr>
        <w:tc>
          <w:tcPr>
            <w:tcW w:w="1988" w:type="dxa"/>
            <w:tcBorders>
              <w:top w:val="single" w:sz="4" w:space="0" w:color="auto"/>
              <w:bottom w:val="single" w:sz="4" w:space="0" w:color="auto"/>
            </w:tcBorders>
          </w:tcPr>
          <w:p w:rsidR="001B1782" w:rsidRPr="001B1782" w:rsidRDefault="001B1782" w:rsidP="001B1782">
            <w:pPr>
              <w:widowControl/>
              <w:overflowPunct/>
              <w:spacing w:before="40" w:after="2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2020 - III</w:t>
            </w:r>
          </w:p>
        </w:tc>
        <w:tc>
          <w:tcPr>
            <w:tcW w:w="2796"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406,445</w:t>
            </w:r>
          </w:p>
        </w:tc>
        <w:tc>
          <w:tcPr>
            <w:tcW w:w="2517" w:type="dxa"/>
            <w:tcBorders>
              <w:top w:val="single" w:sz="4" w:space="0" w:color="auto"/>
              <w:bottom w:val="single" w:sz="4" w:space="0" w:color="auto"/>
            </w:tcBorders>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+13.9</w:t>
            </w:r>
          </w:p>
        </w:tc>
        <w:tc>
          <w:tcPr>
            <w:tcW w:w="2904"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-6.2</w:t>
            </w:r>
          </w:p>
        </w:tc>
      </w:tr>
      <w:tr w:rsidR="001B1782" w:rsidRPr="001B1782" w:rsidTr="00806AD5">
        <w:tblPrEx>
          <w:tblCellMar>
            <w:top w:w="0" w:type="dxa"/>
            <w:bottom w:w="0" w:type="dxa"/>
          </w:tblCellMar>
        </w:tblPrEx>
        <w:trPr>
          <w:trHeight w:val="255"/>
        </w:trPr>
        <w:tc>
          <w:tcPr>
            <w:tcW w:w="1988" w:type="dxa"/>
            <w:tcBorders>
              <w:top w:val="single" w:sz="4" w:space="0" w:color="auto"/>
              <w:bottom w:val="single" w:sz="4" w:space="0" w:color="auto"/>
            </w:tcBorders>
          </w:tcPr>
          <w:p w:rsidR="001B1782" w:rsidRPr="001B1782" w:rsidRDefault="001B1782" w:rsidP="001B1782">
            <w:pPr>
              <w:widowControl/>
              <w:overflowPunct/>
              <w:spacing w:before="40" w:after="2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2020 - IV</w:t>
            </w:r>
          </w:p>
        </w:tc>
        <w:tc>
          <w:tcPr>
            <w:tcW w:w="2796"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404,440</w:t>
            </w:r>
          </w:p>
        </w:tc>
        <w:tc>
          <w:tcPr>
            <w:tcW w:w="2517" w:type="dxa"/>
            <w:tcBorders>
              <w:top w:val="single" w:sz="4" w:space="0" w:color="auto"/>
              <w:bottom w:val="single" w:sz="4" w:space="0" w:color="auto"/>
            </w:tcBorders>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-0.5</w:t>
            </w:r>
          </w:p>
        </w:tc>
        <w:tc>
          <w:tcPr>
            <w:tcW w:w="2904" w:type="dxa"/>
            <w:tcBorders>
              <w:top w:val="single" w:sz="4" w:space="0" w:color="auto"/>
              <w:bottom w:val="single" w:sz="4" w:space="0" w:color="auto"/>
            </w:tcBorders>
            <w:shd w:val="solid" w:color="DDDDDD" w:fill="auto"/>
          </w:tcPr>
          <w:p w:rsidR="001B1782" w:rsidRPr="001B1782" w:rsidRDefault="001B1782" w:rsidP="00806AD5">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-6.</w:t>
            </w:r>
            <w:r w:rsidR="00806AD5">
              <w:rPr>
                <w:rFonts w:ascii="Arial Narrow" w:hAnsi="Arial Narrow" w:cs="Arial Narrow"/>
                <w:color w:val="000000"/>
                <w:kern w:val="0"/>
                <w:sz w:val="18"/>
                <w:szCs w:val="18"/>
              </w:rPr>
              <w:t>1</w:t>
            </w:r>
          </w:p>
        </w:tc>
      </w:tr>
      <w:tr w:rsidR="001B1782" w:rsidRPr="001B1782" w:rsidTr="00806AD5">
        <w:tblPrEx>
          <w:tblCellMar>
            <w:top w:w="0" w:type="dxa"/>
            <w:bottom w:w="0" w:type="dxa"/>
          </w:tblCellMar>
        </w:tblPrEx>
        <w:trPr>
          <w:trHeight w:val="255"/>
        </w:trPr>
        <w:tc>
          <w:tcPr>
            <w:tcW w:w="1988" w:type="dxa"/>
            <w:tcBorders>
              <w:top w:val="single" w:sz="4" w:space="0" w:color="auto"/>
              <w:bottom w:val="single" w:sz="4" w:space="0" w:color="auto"/>
            </w:tcBorders>
          </w:tcPr>
          <w:p w:rsidR="001B1782" w:rsidRPr="001B1782" w:rsidRDefault="001B1782" w:rsidP="001B1782">
            <w:pPr>
              <w:widowControl/>
              <w:overflowPunct/>
              <w:spacing w:before="40" w:after="2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2021 - I</w:t>
            </w:r>
          </w:p>
        </w:tc>
        <w:tc>
          <w:tcPr>
            <w:tcW w:w="2796"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410,589</w:t>
            </w:r>
          </w:p>
        </w:tc>
        <w:tc>
          <w:tcPr>
            <w:tcW w:w="2517" w:type="dxa"/>
            <w:tcBorders>
              <w:top w:val="single" w:sz="4" w:space="0" w:color="auto"/>
              <w:bottom w:val="single" w:sz="4" w:space="0" w:color="auto"/>
            </w:tcBorders>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+1.5</w:t>
            </w:r>
          </w:p>
        </w:tc>
        <w:tc>
          <w:tcPr>
            <w:tcW w:w="2904"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+1.5</w:t>
            </w:r>
          </w:p>
        </w:tc>
      </w:tr>
      <w:tr w:rsidR="001B1782" w:rsidRPr="001B1782" w:rsidTr="00806AD5">
        <w:tblPrEx>
          <w:tblCellMar>
            <w:top w:w="0" w:type="dxa"/>
            <w:bottom w:w="0" w:type="dxa"/>
          </w:tblCellMar>
        </w:tblPrEx>
        <w:trPr>
          <w:trHeight w:val="255"/>
        </w:trPr>
        <w:tc>
          <w:tcPr>
            <w:tcW w:w="1988" w:type="dxa"/>
            <w:tcBorders>
              <w:top w:val="single" w:sz="4" w:space="0" w:color="auto"/>
              <w:bottom w:val="single" w:sz="4" w:space="0" w:color="auto"/>
            </w:tcBorders>
          </w:tcPr>
          <w:p w:rsidR="001B1782" w:rsidRPr="001B1782" w:rsidRDefault="001B1782" w:rsidP="001B1782">
            <w:pPr>
              <w:widowControl/>
              <w:overflowPunct/>
              <w:spacing w:before="40" w:after="2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2021 - II</w:t>
            </w:r>
          </w:p>
        </w:tc>
        <w:tc>
          <w:tcPr>
            <w:tcW w:w="2796"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421,442</w:t>
            </w:r>
          </w:p>
        </w:tc>
        <w:tc>
          <w:tcPr>
            <w:tcW w:w="2517" w:type="dxa"/>
            <w:tcBorders>
              <w:top w:val="single" w:sz="4" w:space="0" w:color="auto"/>
              <w:bottom w:val="single" w:sz="4" w:space="0" w:color="auto"/>
            </w:tcBorders>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+2.6</w:t>
            </w:r>
          </w:p>
        </w:tc>
        <w:tc>
          <w:tcPr>
            <w:tcW w:w="2904" w:type="dxa"/>
            <w:tcBorders>
              <w:top w:val="single" w:sz="4" w:space="0" w:color="auto"/>
              <w:bottom w:val="single" w:sz="4" w:space="0" w:color="auto"/>
            </w:tcBorders>
            <w:shd w:val="solid" w:color="DDDDDD" w:fill="auto"/>
          </w:tcPr>
          <w:p w:rsidR="001B1782" w:rsidRPr="001B1782" w:rsidRDefault="001B1782" w:rsidP="00806AD5">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+18.1</w:t>
            </w:r>
          </w:p>
        </w:tc>
      </w:tr>
      <w:tr w:rsidR="001B1782" w:rsidRPr="001B1782" w:rsidTr="00806AD5">
        <w:tblPrEx>
          <w:tblCellMar>
            <w:top w:w="0" w:type="dxa"/>
            <w:bottom w:w="0" w:type="dxa"/>
          </w:tblCellMar>
        </w:tblPrEx>
        <w:trPr>
          <w:trHeight w:val="255"/>
        </w:trPr>
        <w:tc>
          <w:tcPr>
            <w:tcW w:w="1988" w:type="dxa"/>
            <w:tcBorders>
              <w:top w:val="single" w:sz="4" w:space="0" w:color="auto"/>
              <w:bottom w:val="single" w:sz="4" w:space="0" w:color="auto"/>
            </w:tcBorders>
          </w:tcPr>
          <w:p w:rsidR="001B1782" w:rsidRPr="001B1782" w:rsidRDefault="001B1782" w:rsidP="001B1782">
            <w:pPr>
              <w:widowControl/>
              <w:overflowPunct/>
              <w:spacing w:before="40" w:after="2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2021 - III</w:t>
            </w:r>
          </w:p>
        </w:tc>
        <w:tc>
          <w:tcPr>
            <w:tcW w:w="2796"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433,394</w:t>
            </w:r>
          </w:p>
        </w:tc>
        <w:tc>
          <w:tcPr>
            <w:tcW w:w="2517" w:type="dxa"/>
            <w:tcBorders>
              <w:top w:val="single" w:sz="4" w:space="0" w:color="auto"/>
              <w:bottom w:val="single" w:sz="4" w:space="0" w:color="auto"/>
            </w:tcBorders>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+2.8</w:t>
            </w:r>
          </w:p>
        </w:tc>
        <w:tc>
          <w:tcPr>
            <w:tcW w:w="2904"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+6.6</w:t>
            </w:r>
          </w:p>
        </w:tc>
      </w:tr>
      <w:tr w:rsidR="001B1782" w:rsidRPr="001B1782" w:rsidTr="00806AD5">
        <w:tblPrEx>
          <w:tblCellMar>
            <w:top w:w="0" w:type="dxa"/>
            <w:bottom w:w="0" w:type="dxa"/>
          </w:tblCellMar>
        </w:tblPrEx>
        <w:trPr>
          <w:trHeight w:val="255"/>
        </w:trPr>
        <w:tc>
          <w:tcPr>
            <w:tcW w:w="1988" w:type="dxa"/>
            <w:tcBorders>
              <w:top w:val="single" w:sz="4" w:space="0" w:color="auto"/>
              <w:bottom w:val="single" w:sz="4" w:space="0" w:color="auto"/>
            </w:tcBorders>
          </w:tcPr>
          <w:p w:rsidR="001B1782" w:rsidRPr="001B1782" w:rsidRDefault="001B1782" w:rsidP="001B1782">
            <w:pPr>
              <w:widowControl/>
              <w:overflowPunct/>
              <w:spacing w:before="40" w:after="2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2021 - IV</w:t>
            </w:r>
          </w:p>
        </w:tc>
        <w:tc>
          <w:tcPr>
            <w:tcW w:w="2796"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436,959</w:t>
            </w:r>
          </w:p>
        </w:tc>
        <w:tc>
          <w:tcPr>
            <w:tcW w:w="2517" w:type="dxa"/>
            <w:tcBorders>
              <w:top w:val="single" w:sz="4" w:space="0" w:color="auto"/>
              <w:bottom w:val="single" w:sz="4" w:space="0" w:color="auto"/>
            </w:tcBorders>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+0.8</w:t>
            </w:r>
          </w:p>
        </w:tc>
        <w:tc>
          <w:tcPr>
            <w:tcW w:w="2904"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+8.0</w:t>
            </w:r>
          </w:p>
        </w:tc>
      </w:tr>
      <w:tr w:rsidR="001B1782" w:rsidRPr="001B1782" w:rsidTr="00806AD5">
        <w:tblPrEx>
          <w:tblCellMar>
            <w:top w:w="0" w:type="dxa"/>
            <w:bottom w:w="0" w:type="dxa"/>
          </w:tblCellMar>
        </w:tblPrEx>
        <w:trPr>
          <w:trHeight w:val="255"/>
        </w:trPr>
        <w:tc>
          <w:tcPr>
            <w:tcW w:w="1988" w:type="dxa"/>
            <w:tcBorders>
              <w:top w:val="single" w:sz="4" w:space="0" w:color="auto"/>
              <w:bottom w:val="single" w:sz="4" w:space="0" w:color="auto"/>
            </w:tcBorders>
          </w:tcPr>
          <w:p w:rsidR="001B1782" w:rsidRPr="001B1782" w:rsidRDefault="001B1782" w:rsidP="001B1782">
            <w:pPr>
              <w:widowControl/>
              <w:overflowPunct/>
              <w:spacing w:before="40" w:after="2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2022 - I</w:t>
            </w:r>
          </w:p>
        </w:tc>
        <w:tc>
          <w:tcPr>
            <w:tcW w:w="2796"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437,828</w:t>
            </w:r>
          </w:p>
        </w:tc>
        <w:tc>
          <w:tcPr>
            <w:tcW w:w="2517" w:type="dxa"/>
            <w:tcBorders>
              <w:top w:val="single" w:sz="4" w:space="0" w:color="auto"/>
              <w:bottom w:val="single" w:sz="4" w:space="0" w:color="auto"/>
            </w:tcBorders>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+0.2</w:t>
            </w:r>
          </w:p>
        </w:tc>
        <w:tc>
          <w:tcPr>
            <w:tcW w:w="2904"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+6.6</w:t>
            </w:r>
          </w:p>
        </w:tc>
      </w:tr>
      <w:tr w:rsidR="001B1782" w:rsidRPr="001B1782" w:rsidTr="00806AD5">
        <w:tblPrEx>
          <w:tblCellMar>
            <w:top w:w="0" w:type="dxa"/>
            <w:bottom w:w="0" w:type="dxa"/>
          </w:tblCellMar>
        </w:tblPrEx>
        <w:trPr>
          <w:trHeight w:val="255"/>
        </w:trPr>
        <w:tc>
          <w:tcPr>
            <w:tcW w:w="1988" w:type="dxa"/>
            <w:tcBorders>
              <w:top w:val="single" w:sz="4" w:space="0" w:color="auto"/>
              <w:bottom w:val="single" w:sz="4" w:space="0" w:color="auto"/>
            </w:tcBorders>
          </w:tcPr>
          <w:p w:rsidR="001B1782" w:rsidRPr="001B1782" w:rsidRDefault="001B1782" w:rsidP="001B1782">
            <w:pPr>
              <w:widowControl/>
              <w:overflowPunct/>
              <w:spacing w:before="40" w:after="2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2022 - II</w:t>
            </w:r>
          </w:p>
        </w:tc>
        <w:tc>
          <w:tcPr>
            <w:tcW w:w="2796"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443,952</w:t>
            </w:r>
          </w:p>
        </w:tc>
        <w:tc>
          <w:tcPr>
            <w:tcW w:w="2517" w:type="dxa"/>
            <w:tcBorders>
              <w:top w:val="single" w:sz="4" w:space="0" w:color="auto"/>
              <w:bottom w:val="single" w:sz="4" w:space="0" w:color="auto"/>
            </w:tcBorders>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+1.4</w:t>
            </w:r>
          </w:p>
        </w:tc>
        <w:tc>
          <w:tcPr>
            <w:tcW w:w="2904"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+5.3</w:t>
            </w:r>
          </w:p>
        </w:tc>
      </w:tr>
      <w:tr w:rsidR="001B1782" w:rsidRPr="001B1782" w:rsidTr="00806AD5">
        <w:tblPrEx>
          <w:tblCellMar>
            <w:top w:w="0" w:type="dxa"/>
            <w:bottom w:w="0" w:type="dxa"/>
          </w:tblCellMar>
        </w:tblPrEx>
        <w:trPr>
          <w:trHeight w:val="255"/>
        </w:trPr>
        <w:tc>
          <w:tcPr>
            <w:tcW w:w="1988" w:type="dxa"/>
            <w:tcBorders>
              <w:top w:val="single" w:sz="4" w:space="0" w:color="auto"/>
              <w:bottom w:val="single" w:sz="4" w:space="0" w:color="auto"/>
            </w:tcBorders>
          </w:tcPr>
          <w:p w:rsidR="001B1782" w:rsidRPr="001B1782" w:rsidRDefault="001B1782" w:rsidP="001B1782">
            <w:pPr>
              <w:widowControl/>
              <w:overflowPunct/>
              <w:spacing w:before="40" w:after="2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2022 - III</w:t>
            </w:r>
          </w:p>
        </w:tc>
        <w:tc>
          <w:tcPr>
            <w:tcW w:w="2796"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445,708</w:t>
            </w:r>
          </w:p>
        </w:tc>
        <w:tc>
          <w:tcPr>
            <w:tcW w:w="2517" w:type="dxa"/>
            <w:tcBorders>
              <w:top w:val="single" w:sz="4" w:space="0" w:color="auto"/>
              <w:bottom w:val="single" w:sz="4" w:space="0" w:color="auto"/>
            </w:tcBorders>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+0.4</w:t>
            </w:r>
          </w:p>
        </w:tc>
        <w:tc>
          <w:tcPr>
            <w:tcW w:w="2904"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+2.8</w:t>
            </w:r>
          </w:p>
        </w:tc>
      </w:tr>
      <w:tr w:rsidR="001B1782" w:rsidRPr="001B1782" w:rsidTr="00806AD5">
        <w:tblPrEx>
          <w:tblCellMar>
            <w:top w:w="0" w:type="dxa"/>
            <w:bottom w:w="0" w:type="dxa"/>
          </w:tblCellMar>
        </w:tblPrEx>
        <w:trPr>
          <w:trHeight w:val="255"/>
        </w:trPr>
        <w:tc>
          <w:tcPr>
            <w:tcW w:w="1988" w:type="dxa"/>
            <w:tcBorders>
              <w:top w:val="single" w:sz="4" w:space="0" w:color="auto"/>
              <w:bottom w:val="single" w:sz="4" w:space="0" w:color="auto"/>
            </w:tcBorders>
          </w:tcPr>
          <w:p w:rsidR="001B1782" w:rsidRPr="001B1782" w:rsidRDefault="001B1782" w:rsidP="001B1782">
            <w:pPr>
              <w:widowControl/>
              <w:overflowPunct/>
              <w:spacing w:before="40" w:after="2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2022 - IV</w:t>
            </w:r>
          </w:p>
        </w:tc>
        <w:tc>
          <w:tcPr>
            <w:tcW w:w="2796"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445,464</w:t>
            </w:r>
          </w:p>
        </w:tc>
        <w:tc>
          <w:tcPr>
            <w:tcW w:w="2517" w:type="dxa"/>
            <w:tcBorders>
              <w:top w:val="single" w:sz="4" w:space="0" w:color="auto"/>
              <w:bottom w:val="single" w:sz="4" w:space="0" w:color="auto"/>
            </w:tcBorders>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-0.1</w:t>
            </w:r>
          </w:p>
        </w:tc>
        <w:tc>
          <w:tcPr>
            <w:tcW w:w="2904"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+1.9</w:t>
            </w:r>
          </w:p>
        </w:tc>
      </w:tr>
      <w:tr w:rsidR="001B1782" w:rsidRPr="001B1782" w:rsidTr="00806AD5">
        <w:tblPrEx>
          <w:tblCellMar>
            <w:top w:w="0" w:type="dxa"/>
            <w:bottom w:w="0" w:type="dxa"/>
          </w:tblCellMar>
        </w:tblPrEx>
        <w:trPr>
          <w:trHeight w:val="255"/>
        </w:trPr>
        <w:tc>
          <w:tcPr>
            <w:tcW w:w="1988" w:type="dxa"/>
            <w:tcBorders>
              <w:top w:val="single" w:sz="4" w:space="0" w:color="auto"/>
              <w:bottom w:val="single" w:sz="4" w:space="0" w:color="auto"/>
            </w:tcBorders>
          </w:tcPr>
          <w:p w:rsidR="001B1782" w:rsidRPr="001B1782" w:rsidRDefault="001B1782" w:rsidP="001B1782">
            <w:pPr>
              <w:widowControl/>
              <w:overflowPunct/>
              <w:spacing w:before="40" w:after="2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2023 - I</w:t>
            </w:r>
          </w:p>
        </w:tc>
        <w:tc>
          <w:tcPr>
            <w:tcW w:w="2796"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447,403</w:t>
            </w:r>
          </w:p>
        </w:tc>
        <w:tc>
          <w:tcPr>
            <w:tcW w:w="2517" w:type="dxa"/>
            <w:tcBorders>
              <w:top w:val="single" w:sz="4" w:space="0" w:color="auto"/>
              <w:bottom w:val="single" w:sz="4" w:space="0" w:color="auto"/>
            </w:tcBorders>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+0.4</w:t>
            </w:r>
          </w:p>
        </w:tc>
        <w:tc>
          <w:tcPr>
            <w:tcW w:w="2904"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+2.2</w:t>
            </w:r>
          </w:p>
        </w:tc>
      </w:tr>
      <w:tr w:rsidR="001B1782" w:rsidRPr="001B1782" w:rsidTr="00806AD5">
        <w:tblPrEx>
          <w:tblCellMar>
            <w:top w:w="0" w:type="dxa"/>
            <w:bottom w:w="0" w:type="dxa"/>
          </w:tblCellMar>
        </w:tblPrEx>
        <w:trPr>
          <w:trHeight w:val="255"/>
        </w:trPr>
        <w:tc>
          <w:tcPr>
            <w:tcW w:w="1988" w:type="dxa"/>
            <w:tcBorders>
              <w:top w:val="single" w:sz="4" w:space="0" w:color="auto"/>
              <w:bottom w:val="single" w:sz="4" w:space="0" w:color="auto"/>
            </w:tcBorders>
          </w:tcPr>
          <w:p w:rsidR="001B1782" w:rsidRPr="001B1782" w:rsidRDefault="001B1782" w:rsidP="001B1782">
            <w:pPr>
              <w:widowControl/>
              <w:overflowPunct/>
              <w:spacing w:before="40" w:after="2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2023 - II</w:t>
            </w:r>
          </w:p>
        </w:tc>
        <w:tc>
          <w:tcPr>
            <w:tcW w:w="2796"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446,714</w:t>
            </w:r>
          </w:p>
        </w:tc>
        <w:tc>
          <w:tcPr>
            <w:tcW w:w="2517" w:type="dxa"/>
            <w:tcBorders>
              <w:top w:val="single" w:sz="4" w:space="0" w:color="auto"/>
              <w:bottom w:val="single" w:sz="4" w:space="0" w:color="auto"/>
            </w:tcBorders>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-0.2</w:t>
            </w:r>
          </w:p>
        </w:tc>
        <w:tc>
          <w:tcPr>
            <w:tcW w:w="2904"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+0.6</w:t>
            </w:r>
          </w:p>
        </w:tc>
      </w:tr>
      <w:tr w:rsidR="001B1782" w:rsidRPr="001B1782" w:rsidTr="00806AD5">
        <w:tblPrEx>
          <w:tblCellMar>
            <w:top w:w="0" w:type="dxa"/>
            <w:bottom w:w="0" w:type="dxa"/>
          </w:tblCellMar>
        </w:tblPrEx>
        <w:trPr>
          <w:trHeight w:val="255"/>
        </w:trPr>
        <w:tc>
          <w:tcPr>
            <w:tcW w:w="1988" w:type="dxa"/>
            <w:tcBorders>
              <w:top w:val="single" w:sz="4" w:space="0" w:color="auto"/>
              <w:bottom w:val="single" w:sz="4" w:space="0" w:color="auto"/>
            </w:tcBorders>
          </w:tcPr>
          <w:p w:rsidR="001B1782" w:rsidRPr="001B1782" w:rsidRDefault="001B1782" w:rsidP="001B1782">
            <w:pPr>
              <w:widowControl/>
              <w:overflowPunct/>
              <w:spacing w:before="40" w:after="2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2023 - III</w:t>
            </w:r>
          </w:p>
        </w:tc>
        <w:tc>
          <w:tcPr>
            <w:tcW w:w="2796"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448,207</w:t>
            </w:r>
          </w:p>
        </w:tc>
        <w:tc>
          <w:tcPr>
            <w:tcW w:w="2517" w:type="dxa"/>
            <w:tcBorders>
              <w:top w:val="single" w:sz="4" w:space="0" w:color="auto"/>
              <w:bottom w:val="single" w:sz="4" w:space="0" w:color="auto"/>
            </w:tcBorders>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+0.3</w:t>
            </w:r>
          </w:p>
        </w:tc>
        <w:tc>
          <w:tcPr>
            <w:tcW w:w="2904"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+0.6</w:t>
            </w:r>
          </w:p>
        </w:tc>
      </w:tr>
      <w:tr w:rsidR="001B1782" w:rsidRPr="001B1782" w:rsidTr="00806AD5">
        <w:tblPrEx>
          <w:tblCellMar>
            <w:top w:w="0" w:type="dxa"/>
            <w:bottom w:w="0" w:type="dxa"/>
          </w:tblCellMar>
        </w:tblPrEx>
        <w:trPr>
          <w:trHeight w:val="255"/>
        </w:trPr>
        <w:tc>
          <w:tcPr>
            <w:tcW w:w="1988" w:type="dxa"/>
            <w:tcBorders>
              <w:top w:val="single" w:sz="4" w:space="0" w:color="auto"/>
              <w:bottom w:val="single" w:sz="4" w:space="0" w:color="auto"/>
            </w:tcBorders>
          </w:tcPr>
          <w:p w:rsidR="001B1782" w:rsidRPr="001B1782" w:rsidRDefault="001B1782" w:rsidP="001B1782">
            <w:pPr>
              <w:widowControl/>
              <w:overflowPunct/>
              <w:spacing w:before="40" w:after="2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2023 - IV</w:t>
            </w:r>
          </w:p>
        </w:tc>
        <w:tc>
          <w:tcPr>
            <w:tcW w:w="2796"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448,663</w:t>
            </w:r>
          </w:p>
        </w:tc>
        <w:tc>
          <w:tcPr>
            <w:tcW w:w="2517" w:type="dxa"/>
            <w:tcBorders>
              <w:top w:val="single" w:sz="4" w:space="0" w:color="auto"/>
              <w:bottom w:val="single" w:sz="4" w:space="0" w:color="auto"/>
            </w:tcBorders>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+0.1</w:t>
            </w:r>
          </w:p>
        </w:tc>
        <w:tc>
          <w:tcPr>
            <w:tcW w:w="2904"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+0.7</w:t>
            </w:r>
          </w:p>
        </w:tc>
      </w:tr>
      <w:tr w:rsidR="001B1782" w:rsidRPr="001B1782" w:rsidTr="00806AD5">
        <w:tblPrEx>
          <w:tblCellMar>
            <w:top w:w="0" w:type="dxa"/>
            <w:bottom w:w="0" w:type="dxa"/>
          </w:tblCellMar>
        </w:tblPrEx>
        <w:trPr>
          <w:trHeight w:val="255"/>
        </w:trPr>
        <w:tc>
          <w:tcPr>
            <w:tcW w:w="1988" w:type="dxa"/>
            <w:tcBorders>
              <w:top w:val="single" w:sz="4" w:space="0" w:color="auto"/>
              <w:bottom w:val="single" w:sz="4" w:space="0" w:color="auto"/>
            </w:tcBorders>
          </w:tcPr>
          <w:p w:rsidR="001B1782" w:rsidRPr="001B1782" w:rsidRDefault="001B1782" w:rsidP="001B1782">
            <w:pPr>
              <w:widowControl/>
              <w:overflowPunct/>
              <w:spacing w:before="40" w:after="2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2024 - I</w:t>
            </w:r>
          </w:p>
        </w:tc>
        <w:tc>
          <w:tcPr>
            <w:tcW w:w="2796"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450,165</w:t>
            </w:r>
          </w:p>
        </w:tc>
        <w:tc>
          <w:tcPr>
            <w:tcW w:w="2517" w:type="dxa"/>
            <w:tcBorders>
              <w:top w:val="single" w:sz="4" w:space="0" w:color="auto"/>
              <w:bottom w:val="single" w:sz="4" w:space="0" w:color="auto"/>
            </w:tcBorders>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+0.3</w:t>
            </w:r>
          </w:p>
        </w:tc>
        <w:tc>
          <w:tcPr>
            <w:tcW w:w="2904"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+0.6</w:t>
            </w:r>
          </w:p>
        </w:tc>
      </w:tr>
      <w:tr w:rsidR="001B1782" w:rsidRPr="001B1782" w:rsidTr="00806AD5">
        <w:tblPrEx>
          <w:tblCellMar>
            <w:top w:w="0" w:type="dxa"/>
            <w:bottom w:w="0" w:type="dxa"/>
          </w:tblCellMar>
        </w:tblPrEx>
        <w:trPr>
          <w:trHeight w:val="255"/>
        </w:trPr>
        <w:tc>
          <w:tcPr>
            <w:tcW w:w="1988" w:type="dxa"/>
            <w:tcBorders>
              <w:top w:val="single" w:sz="4" w:space="0" w:color="auto"/>
              <w:bottom w:val="single" w:sz="4" w:space="0" w:color="auto"/>
            </w:tcBorders>
          </w:tcPr>
          <w:p w:rsidR="001B1782" w:rsidRPr="001B1782" w:rsidRDefault="001B1782" w:rsidP="001B1782">
            <w:pPr>
              <w:widowControl/>
              <w:overflowPunct/>
              <w:spacing w:before="40" w:after="2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2024 - II</w:t>
            </w:r>
          </w:p>
        </w:tc>
        <w:tc>
          <w:tcPr>
            <w:tcW w:w="2796"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450,907</w:t>
            </w:r>
          </w:p>
        </w:tc>
        <w:tc>
          <w:tcPr>
            <w:tcW w:w="2517" w:type="dxa"/>
            <w:tcBorders>
              <w:top w:val="single" w:sz="4" w:space="0" w:color="auto"/>
              <w:bottom w:val="single" w:sz="4" w:space="0" w:color="auto"/>
            </w:tcBorders>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+0.2</w:t>
            </w:r>
          </w:p>
        </w:tc>
        <w:tc>
          <w:tcPr>
            <w:tcW w:w="2904" w:type="dxa"/>
            <w:tcBorders>
              <w:top w:val="single" w:sz="4" w:space="0" w:color="auto"/>
              <w:bottom w:val="single" w:sz="4" w:space="0" w:color="auto"/>
            </w:tcBorders>
            <w:shd w:val="solid" w:color="DDDDDD" w:fill="auto"/>
          </w:tcPr>
          <w:p w:rsidR="001B1782" w:rsidRPr="001B1782" w:rsidRDefault="001B1782" w:rsidP="001B1782">
            <w:pPr>
              <w:widowControl/>
              <w:overflowPunct/>
              <w:spacing w:before="40" w:after="2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+0.9</w:t>
            </w:r>
          </w:p>
        </w:tc>
      </w:tr>
    </w:tbl>
    <w:p w:rsidR="004239E4" w:rsidRPr="00A770E5" w:rsidRDefault="006E0B90" w:rsidP="00915206">
      <w:pPr>
        <w:spacing w:after="0"/>
        <w:rPr>
          <w:rFonts w:ascii="Arial Narrow" w:hAnsi="Arial Narrow"/>
          <w:sz w:val="15"/>
          <w:szCs w:val="15"/>
          <w:lang w:val="en-GB"/>
        </w:rPr>
      </w:pPr>
      <w:r w:rsidRPr="00157695">
        <w:rPr>
          <w:rFonts w:ascii="Arial Narrow" w:hAnsi="Arial Narrow"/>
          <w:sz w:val="15"/>
          <w:szCs w:val="15"/>
          <w:lang w:val="en-GB"/>
        </w:rPr>
        <w:t>(</w:t>
      </w:r>
      <w:r w:rsidR="004239E4" w:rsidRPr="00A770E5">
        <w:rPr>
          <w:rFonts w:ascii="Arial Narrow" w:hAnsi="Arial Narrow"/>
          <w:sz w:val="15"/>
          <w:szCs w:val="15"/>
          <w:lang w:val="en-GB"/>
        </w:rPr>
        <w:t>a) Data are provisional and subject to revisions.</w:t>
      </w:r>
    </w:p>
    <w:p w:rsidR="00810933" w:rsidRPr="00497D34" w:rsidRDefault="00810933" w:rsidP="00DA659B">
      <w:pPr>
        <w:tabs>
          <w:tab w:val="left" w:pos="1365"/>
        </w:tabs>
        <w:rPr>
          <w:lang w:val="en-GB"/>
        </w:rPr>
      </w:pPr>
    </w:p>
    <w:p w:rsidR="00470B17" w:rsidRDefault="00470B17" w:rsidP="00171C5C">
      <w:pPr>
        <w:spacing w:after="120"/>
        <w:rPr>
          <w:lang w:val="en-US"/>
        </w:rPr>
        <w:sectPr w:rsidR="00470B17" w:rsidSect="00171C5C">
          <w:headerReference w:type="default" r:id="rId17"/>
          <w:pgSz w:w="11907" w:h="16840" w:code="9"/>
          <w:pgMar w:top="1534" w:right="851" w:bottom="680" w:left="851" w:header="567" w:footer="567" w:gutter="0"/>
          <w:cols w:space="720"/>
          <w:noEndnote/>
          <w:docGrid w:linePitch="272"/>
        </w:sectPr>
      </w:pPr>
    </w:p>
    <w:p w:rsidR="00366C89" w:rsidRDefault="00366C89" w:rsidP="00A00806">
      <w:pPr>
        <w:spacing w:before="0" w:after="120"/>
        <w:jc w:val="both"/>
        <w:rPr>
          <w:rFonts w:ascii="Arial" w:hAnsi="Arial" w:cs="Arial"/>
          <w:sz w:val="21"/>
          <w:szCs w:val="21"/>
          <w:lang w:val="en-US"/>
        </w:rPr>
      </w:pPr>
    </w:p>
    <w:p w:rsidR="00A00806" w:rsidRPr="00A00806" w:rsidRDefault="00922CEF" w:rsidP="00A00806">
      <w:pPr>
        <w:spacing w:before="0" w:after="120"/>
        <w:jc w:val="both"/>
        <w:rPr>
          <w:rFonts w:ascii="Arial" w:hAnsi="Arial" w:cs="Arial"/>
          <w:sz w:val="21"/>
          <w:szCs w:val="21"/>
          <w:lang w:val="en-US"/>
        </w:rPr>
      </w:pPr>
      <w:r>
        <w:rPr>
          <w:rFonts w:ascii="Arial" w:hAnsi="Arial" w:cs="Arial"/>
          <w:sz w:val="21"/>
          <w:szCs w:val="21"/>
          <w:lang w:val="en-US"/>
        </w:rPr>
        <w:t>According to</w:t>
      </w:r>
      <w:r w:rsidR="00A00806" w:rsidRPr="00A00806">
        <w:rPr>
          <w:rFonts w:ascii="Arial" w:hAnsi="Arial" w:cs="Arial"/>
          <w:sz w:val="21"/>
          <w:szCs w:val="21"/>
          <w:lang w:val="en-US"/>
        </w:rPr>
        <w:t xml:space="preserve"> the current </w:t>
      </w:r>
      <w:r w:rsidR="0026450C">
        <w:rPr>
          <w:rFonts w:ascii="Arial" w:hAnsi="Arial" w:cs="Arial"/>
          <w:sz w:val="21"/>
          <w:szCs w:val="21"/>
          <w:lang w:val="en-US"/>
        </w:rPr>
        <w:t>revision policy</w:t>
      </w:r>
      <w:r w:rsidR="00A00806">
        <w:rPr>
          <w:rFonts w:ascii="Arial" w:hAnsi="Arial" w:cs="Arial"/>
          <w:sz w:val="21"/>
          <w:szCs w:val="21"/>
          <w:lang w:val="en-US"/>
        </w:rPr>
        <w:t>,</w:t>
      </w:r>
      <w:r w:rsidR="00A00806" w:rsidRPr="00A00806">
        <w:rPr>
          <w:rFonts w:ascii="Arial" w:hAnsi="Arial" w:cs="Arial"/>
          <w:sz w:val="21"/>
          <w:szCs w:val="21"/>
          <w:lang w:val="en-US"/>
        </w:rPr>
        <w:t xml:space="preserve"> data </w:t>
      </w:r>
      <w:r w:rsidR="00C12983">
        <w:rPr>
          <w:rFonts w:ascii="Arial" w:hAnsi="Arial" w:cs="Arial"/>
          <w:sz w:val="21"/>
          <w:szCs w:val="21"/>
          <w:lang w:val="en-US"/>
        </w:rPr>
        <w:t>release</w:t>
      </w:r>
      <w:r w:rsidR="00C5208A">
        <w:rPr>
          <w:rFonts w:ascii="Arial" w:hAnsi="Arial" w:cs="Arial"/>
          <w:sz w:val="21"/>
          <w:szCs w:val="21"/>
          <w:lang w:val="en-US"/>
        </w:rPr>
        <w:t>d</w:t>
      </w:r>
      <w:r w:rsidR="00C12983">
        <w:rPr>
          <w:rFonts w:ascii="Arial" w:hAnsi="Arial" w:cs="Arial"/>
          <w:sz w:val="21"/>
          <w:szCs w:val="21"/>
          <w:lang w:val="en-US"/>
        </w:rPr>
        <w:t xml:space="preserve"> here</w:t>
      </w:r>
      <w:r w:rsidR="00A00806">
        <w:rPr>
          <w:rFonts w:ascii="Arial" w:hAnsi="Arial" w:cs="Arial"/>
          <w:sz w:val="21"/>
          <w:szCs w:val="21"/>
          <w:lang w:val="en-US"/>
        </w:rPr>
        <w:t xml:space="preserve"> are revised </w:t>
      </w:r>
      <w:r w:rsidR="00C12983">
        <w:rPr>
          <w:rFonts w:ascii="Arial" w:hAnsi="Arial" w:cs="Arial"/>
          <w:sz w:val="21"/>
          <w:szCs w:val="21"/>
          <w:lang w:val="en-US"/>
        </w:rPr>
        <w:t xml:space="preserve">back </w:t>
      </w:r>
      <w:r w:rsidR="00A00806">
        <w:rPr>
          <w:rFonts w:ascii="Arial" w:hAnsi="Arial" w:cs="Arial"/>
          <w:sz w:val="21"/>
          <w:szCs w:val="21"/>
          <w:lang w:val="en-US"/>
        </w:rPr>
        <w:t>sta</w:t>
      </w:r>
      <w:r w:rsidR="0015724F">
        <w:rPr>
          <w:rFonts w:ascii="Arial" w:hAnsi="Arial" w:cs="Arial"/>
          <w:sz w:val="21"/>
          <w:szCs w:val="21"/>
          <w:lang w:val="en-US"/>
        </w:rPr>
        <w:t>rting from first quarter of 2020</w:t>
      </w:r>
      <w:r w:rsidR="00A00806">
        <w:rPr>
          <w:rFonts w:ascii="Arial" w:hAnsi="Arial" w:cs="Arial"/>
          <w:sz w:val="21"/>
          <w:szCs w:val="21"/>
          <w:lang w:val="en-US"/>
        </w:rPr>
        <w:t xml:space="preserve">. </w:t>
      </w:r>
      <w:r w:rsidR="001B1782">
        <w:rPr>
          <w:rFonts w:ascii="Arial" w:hAnsi="Arial" w:cs="Arial"/>
          <w:sz w:val="21"/>
          <w:szCs w:val="21"/>
          <w:lang w:val="en-US"/>
        </w:rPr>
        <w:t>The m</w:t>
      </w:r>
      <w:r w:rsidR="00A00806">
        <w:rPr>
          <w:rFonts w:ascii="Arial" w:hAnsi="Arial" w:cs="Arial"/>
          <w:sz w:val="21"/>
          <w:szCs w:val="21"/>
          <w:lang w:val="en-US"/>
        </w:rPr>
        <w:t xml:space="preserve">ethods </w:t>
      </w:r>
      <w:r w:rsidR="001B1782">
        <w:rPr>
          <w:rFonts w:ascii="Arial" w:hAnsi="Arial" w:cs="Arial"/>
          <w:sz w:val="21"/>
          <w:szCs w:val="21"/>
          <w:lang w:val="en-US"/>
        </w:rPr>
        <w:t>in use</w:t>
      </w:r>
      <w:r w:rsidR="00A00806">
        <w:rPr>
          <w:rFonts w:ascii="Arial" w:hAnsi="Arial" w:cs="Arial"/>
          <w:sz w:val="21"/>
          <w:szCs w:val="21"/>
          <w:lang w:val="en-US"/>
        </w:rPr>
        <w:t xml:space="preserve"> for </w:t>
      </w:r>
      <w:r w:rsidR="001B1782">
        <w:rPr>
          <w:rFonts w:ascii="Arial" w:hAnsi="Arial" w:cs="Arial"/>
          <w:sz w:val="21"/>
          <w:szCs w:val="21"/>
          <w:lang w:val="en-US"/>
        </w:rPr>
        <w:t xml:space="preserve">te </w:t>
      </w:r>
      <w:r w:rsidR="00A00806">
        <w:rPr>
          <w:rFonts w:ascii="Arial" w:hAnsi="Arial" w:cs="Arial"/>
          <w:sz w:val="21"/>
          <w:szCs w:val="21"/>
          <w:lang w:val="en-US"/>
        </w:rPr>
        <w:t xml:space="preserve">preliminary estimate of GDP are the same as those </w:t>
      </w:r>
      <w:r w:rsidR="0026450C">
        <w:rPr>
          <w:rFonts w:ascii="Arial" w:hAnsi="Arial" w:cs="Arial"/>
          <w:sz w:val="21"/>
          <w:szCs w:val="21"/>
          <w:lang w:val="en-US"/>
        </w:rPr>
        <w:t>relative to the second round of estimation</w:t>
      </w:r>
      <w:r>
        <w:rPr>
          <w:rFonts w:ascii="Arial" w:hAnsi="Arial" w:cs="Arial"/>
          <w:sz w:val="21"/>
          <w:szCs w:val="21"/>
          <w:lang w:val="en-US"/>
        </w:rPr>
        <w:t>,</w:t>
      </w:r>
      <w:r w:rsidR="0026450C">
        <w:rPr>
          <w:rFonts w:ascii="Arial" w:hAnsi="Arial" w:cs="Arial"/>
          <w:sz w:val="21"/>
          <w:szCs w:val="21"/>
          <w:lang w:val="en-US"/>
        </w:rPr>
        <w:t xml:space="preserve"> when the full set of </w:t>
      </w:r>
      <w:r w:rsidR="00A00806">
        <w:rPr>
          <w:rFonts w:ascii="Arial" w:hAnsi="Arial" w:cs="Arial"/>
          <w:sz w:val="21"/>
          <w:szCs w:val="21"/>
          <w:lang w:val="en-US"/>
        </w:rPr>
        <w:t>quarterly national accounts</w:t>
      </w:r>
      <w:r w:rsidR="0026450C">
        <w:rPr>
          <w:rFonts w:ascii="Arial" w:hAnsi="Arial" w:cs="Arial"/>
          <w:sz w:val="21"/>
          <w:szCs w:val="21"/>
          <w:lang w:val="en-US"/>
        </w:rPr>
        <w:t xml:space="preserve"> is published</w:t>
      </w:r>
      <w:r w:rsidR="00A00806">
        <w:rPr>
          <w:rFonts w:ascii="Arial" w:hAnsi="Arial" w:cs="Arial"/>
          <w:sz w:val="21"/>
          <w:szCs w:val="21"/>
          <w:lang w:val="en-US"/>
        </w:rPr>
        <w:t>. Partial or total lack of short term indicators at the date of the preliminary estimate involves a larger use of statistical techniques of integration. Ther</w:t>
      </w:r>
      <w:r w:rsidR="001B1782">
        <w:rPr>
          <w:rFonts w:ascii="Arial" w:hAnsi="Arial" w:cs="Arial"/>
          <w:sz w:val="21"/>
          <w:szCs w:val="21"/>
          <w:lang w:val="en-US"/>
        </w:rPr>
        <w:t>efore, the preliminary estimate of GDP</w:t>
      </w:r>
      <w:r w:rsidR="00A00806">
        <w:rPr>
          <w:rFonts w:ascii="Arial" w:hAnsi="Arial" w:cs="Arial"/>
          <w:sz w:val="21"/>
          <w:szCs w:val="21"/>
          <w:lang w:val="en-US"/>
        </w:rPr>
        <w:t xml:space="preserve"> can be subject to </w:t>
      </w:r>
      <w:r w:rsidR="0026450C">
        <w:rPr>
          <w:rFonts w:ascii="Arial" w:hAnsi="Arial" w:cs="Arial"/>
          <w:sz w:val="21"/>
          <w:szCs w:val="21"/>
          <w:lang w:val="en-US"/>
        </w:rPr>
        <w:t xml:space="preserve">larger </w:t>
      </w:r>
      <w:r w:rsidR="00A00806">
        <w:rPr>
          <w:rFonts w:ascii="Arial" w:hAnsi="Arial" w:cs="Arial"/>
          <w:sz w:val="21"/>
          <w:szCs w:val="21"/>
          <w:lang w:val="en-US"/>
        </w:rPr>
        <w:t xml:space="preserve">revisions </w:t>
      </w:r>
      <w:r w:rsidR="0026450C">
        <w:rPr>
          <w:rFonts w:ascii="Arial" w:hAnsi="Arial" w:cs="Arial"/>
          <w:sz w:val="21"/>
          <w:szCs w:val="21"/>
          <w:lang w:val="en-US"/>
        </w:rPr>
        <w:t xml:space="preserve">than </w:t>
      </w:r>
      <w:r w:rsidR="001B1782">
        <w:rPr>
          <w:rFonts w:ascii="Arial" w:hAnsi="Arial" w:cs="Arial"/>
          <w:sz w:val="21"/>
          <w:szCs w:val="21"/>
          <w:lang w:val="en-US"/>
        </w:rPr>
        <w:t>the estimate</w:t>
      </w:r>
      <w:r w:rsidR="00A36C0F">
        <w:rPr>
          <w:rFonts w:ascii="Arial" w:hAnsi="Arial" w:cs="Arial"/>
          <w:sz w:val="21"/>
          <w:szCs w:val="21"/>
          <w:lang w:val="en-US"/>
        </w:rPr>
        <w:t xml:space="preserve"> of</w:t>
      </w:r>
      <w:r w:rsidR="001B1782">
        <w:rPr>
          <w:rFonts w:ascii="Arial" w:hAnsi="Arial" w:cs="Arial"/>
          <w:sz w:val="21"/>
          <w:szCs w:val="21"/>
          <w:lang w:val="en-US"/>
        </w:rPr>
        <w:t xml:space="preserve"> GDP </w:t>
      </w:r>
      <w:r w:rsidR="00A36C0F">
        <w:rPr>
          <w:rFonts w:ascii="Arial" w:hAnsi="Arial" w:cs="Arial"/>
          <w:sz w:val="21"/>
          <w:szCs w:val="21"/>
          <w:lang w:val="en-US"/>
        </w:rPr>
        <w:t>of the second round</w:t>
      </w:r>
      <w:r w:rsidR="0026450C">
        <w:rPr>
          <w:rFonts w:ascii="Arial" w:hAnsi="Arial" w:cs="Arial"/>
          <w:sz w:val="21"/>
          <w:szCs w:val="21"/>
          <w:lang w:val="en-US"/>
        </w:rPr>
        <w:t xml:space="preserve"> released at 60 days </w:t>
      </w:r>
      <w:r w:rsidR="00C12983">
        <w:rPr>
          <w:rFonts w:ascii="Arial" w:hAnsi="Arial" w:cs="Arial"/>
          <w:sz w:val="21"/>
          <w:szCs w:val="21"/>
          <w:lang w:val="en-US"/>
        </w:rPr>
        <w:t xml:space="preserve">after </w:t>
      </w:r>
      <w:r w:rsidR="0026450C">
        <w:rPr>
          <w:rFonts w:ascii="Arial" w:hAnsi="Arial" w:cs="Arial"/>
          <w:sz w:val="21"/>
          <w:szCs w:val="21"/>
          <w:lang w:val="en-US"/>
        </w:rPr>
        <w:t xml:space="preserve">the </w:t>
      </w:r>
      <w:r w:rsidR="00C12983">
        <w:rPr>
          <w:rFonts w:ascii="Arial" w:hAnsi="Arial" w:cs="Arial"/>
          <w:sz w:val="21"/>
          <w:szCs w:val="21"/>
          <w:lang w:val="en-US"/>
        </w:rPr>
        <w:t xml:space="preserve">reference </w:t>
      </w:r>
      <w:r w:rsidR="0026450C">
        <w:rPr>
          <w:rFonts w:ascii="Arial" w:hAnsi="Arial" w:cs="Arial"/>
          <w:sz w:val="21"/>
          <w:szCs w:val="21"/>
          <w:lang w:val="en-US"/>
        </w:rPr>
        <w:t>quarter.</w:t>
      </w:r>
    </w:p>
    <w:p w:rsidR="00A00806" w:rsidRPr="00D64F20" w:rsidRDefault="00A00806" w:rsidP="00A00806">
      <w:pPr>
        <w:spacing w:before="0" w:after="120"/>
        <w:jc w:val="both"/>
        <w:rPr>
          <w:rFonts w:ascii="Arial Narrow" w:hAnsi="Arial Narrow" w:cs="Arial"/>
          <w:sz w:val="22"/>
          <w:szCs w:val="22"/>
          <w:lang w:val="en-US"/>
        </w:rPr>
      </w:pPr>
    </w:p>
    <w:p w:rsidR="00922CEF" w:rsidRPr="00922CEF" w:rsidRDefault="00A00806" w:rsidP="00922CEF">
      <w:pPr>
        <w:pStyle w:val="Corpodeltesto3"/>
        <w:tabs>
          <w:tab w:val="left" w:pos="6946"/>
        </w:tabs>
        <w:spacing w:after="0"/>
        <w:jc w:val="both"/>
        <w:rPr>
          <w:rFonts w:ascii="Arial Narrow" w:hAnsi="Arial Narrow" w:cs="Arial"/>
          <w:b/>
          <w:bCs/>
          <w:caps/>
          <w:color w:val="4D4D4D"/>
          <w:sz w:val="20"/>
          <w:szCs w:val="20"/>
          <w:lang w:val="en-US"/>
        </w:rPr>
      </w:pPr>
      <w:r>
        <w:rPr>
          <w:rStyle w:val="001TitoGraRed"/>
          <w:rFonts w:ascii="Arial Narrow" w:hAnsi="Arial Narrow"/>
          <w:b/>
          <w:color w:val="E42618"/>
          <w:sz w:val="22"/>
          <w:szCs w:val="22"/>
        </w:rPr>
        <w:t>TABLE</w:t>
      </w:r>
      <w:r w:rsidRPr="000A085E">
        <w:rPr>
          <w:rStyle w:val="001TitoGraRed"/>
          <w:rFonts w:ascii="Arial Narrow" w:hAnsi="Arial Narrow"/>
          <w:b/>
          <w:color w:val="E42618"/>
          <w:sz w:val="22"/>
          <w:szCs w:val="22"/>
        </w:rPr>
        <w:t xml:space="preserve"> 2</w:t>
      </w:r>
      <w:r w:rsidRPr="00470488">
        <w:rPr>
          <w:rStyle w:val="001TitoGraRed"/>
          <w:color w:val="E42618"/>
          <w:sz w:val="22"/>
          <w:szCs w:val="22"/>
        </w:rPr>
        <w:t xml:space="preserve">. </w:t>
      </w:r>
      <w:r w:rsidR="00922CEF" w:rsidRPr="00922CEF">
        <w:rPr>
          <w:rFonts w:ascii="Arial Narrow" w:hAnsi="Arial Narrow" w:cs="Arial"/>
          <w:b/>
          <w:color w:val="5F5F5F"/>
          <w:sz w:val="22"/>
          <w:szCs w:val="22"/>
          <w:lang w:val="en-US"/>
        </w:rPr>
        <w:t>VINTAGES OF QUARTER</w:t>
      </w:r>
      <w:r w:rsidR="00F749D9">
        <w:rPr>
          <w:rFonts w:ascii="Arial Narrow" w:hAnsi="Arial Narrow" w:cs="Arial"/>
          <w:b/>
          <w:color w:val="5F5F5F"/>
          <w:sz w:val="22"/>
          <w:szCs w:val="22"/>
          <w:lang w:val="en-US"/>
        </w:rPr>
        <w:t xml:space="preserve"> </w:t>
      </w:r>
      <w:r w:rsidR="00922CEF" w:rsidRPr="00922CEF">
        <w:rPr>
          <w:rFonts w:ascii="Arial Narrow" w:hAnsi="Arial Narrow" w:cs="Arial"/>
          <w:b/>
          <w:color w:val="5F5F5F"/>
          <w:sz w:val="22"/>
          <w:szCs w:val="22"/>
          <w:lang w:val="en-US"/>
        </w:rPr>
        <w:t>O</w:t>
      </w:r>
      <w:r w:rsidR="00417C32">
        <w:rPr>
          <w:rFonts w:ascii="Arial Narrow" w:hAnsi="Arial Narrow" w:cs="Arial"/>
          <w:b/>
          <w:color w:val="5F5F5F"/>
          <w:sz w:val="22"/>
          <w:szCs w:val="22"/>
          <w:lang w:val="en-US"/>
        </w:rPr>
        <w:t>N PREVIOUS</w:t>
      </w:r>
      <w:r w:rsidR="00F749D9">
        <w:rPr>
          <w:rFonts w:ascii="Arial Narrow" w:hAnsi="Arial Narrow" w:cs="Arial"/>
          <w:b/>
          <w:color w:val="5F5F5F"/>
          <w:sz w:val="22"/>
          <w:szCs w:val="22"/>
          <w:lang w:val="en-US"/>
        </w:rPr>
        <w:t xml:space="preserve"> </w:t>
      </w:r>
      <w:r w:rsidR="00922CEF" w:rsidRPr="00922CEF">
        <w:rPr>
          <w:rFonts w:ascii="Arial Narrow" w:hAnsi="Arial Narrow" w:cs="Arial"/>
          <w:b/>
          <w:color w:val="5F5F5F"/>
          <w:sz w:val="22"/>
          <w:szCs w:val="22"/>
          <w:lang w:val="en-US"/>
        </w:rPr>
        <w:t>QUARTER</w:t>
      </w:r>
      <w:r w:rsidR="00417C32">
        <w:rPr>
          <w:rFonts w:ascii="Arial Narrow" w:hAnsi="Arial Narrow" w:cs="Arial"/>
          <w:b/>
          <w:color w:val="5F5F5F"/>
          <w:sz w:val="22"/>
          <w:szCs w:val="22"/>
          <w:lang w:val="en-US"/>
        </w:rPr>
        <w:t xml:space="preserve"> PERCENT</w:t>
      </w:r>
      <w:r w:rsidR="00D741B3">
        <w:rPr>
          <w:rFonts w:ascii="Arial Narrow" w:hAnsi="Arial Narrow" w:cs="Arial"/>
          <w:b/>
          <w:color w:val="5F5F5F"/>
          <w:sz w:val="22"/>
          <w:szCs w:val="22"/>
          <w:lang w:val="en-US"/>
        </w:rPr>
        <w:t>AGE</w:t>
      </w:r>
      <w:r w:rsidR="00417C32">
        <w:rPr>
          <w:rFonts w:ascii="Arial Narrow" w:hAnsi="Arial Narrow" w:cs="Arial"/>
          <w:b/>
          <w:color w:val="5F5F5F"/>
          <w:sz w:val="22"/>
          <w:szCs w:val="22"/>
          <w:lang w:val="en-US"/>
        </w:rPr>
        <w:t xml:space="preserve"> CHANGES</w:t>
      </w:r>
      <w:r w:rsidR="00922CEF" w:rsidRPr="00922CEF">
        <w:rPr>
          <w:rFonts w:ascii="Arial Narrow" w:hAnsi="Arial Narrow" w:cs="Arial"/>
          <w:b/>
          <w:color w:val="5F5F5F"/>
          <w:sz w:val="22"/>
          <w:szCs w:val="22"/>
          <w:lang w:val="en-US"/>
        </w:rPr>
        <w:t xml:space="preserve"> OF GDP IN LAST PRESS RELEASES</w:t>
      </w:r>
      <w:r w:rsidRPr="00922CEF">
        <w:rPr>
          <w:rFonts w:ascii="Arial Narrow" w:hAnsi="Arial Narrow" w:cs="Arial"/>
          <w:b/>
          <w:bCs/>
          <w:caps/>
          <w:color w:val="4D4D4D"/>
          <w:sz w:val="20"/>
          <w:szCs w:val="20"/>
          <w:lang w:val="en-US"/>
        </w:rPr>
        <w:t xml:space="preserve"> </w:t>
      </w:r>
    </w:p>
    <w:p w:rsidR="001B1782" w:rsidRDefault="00922CEF" w:rsidP="00915206">
      <w:pPr>
        <w:pStyle w:val="Corpodeltesto3"/>
        <w:tabs>
          <w:tab w:val="left" w:pos="6946"/>
        </w:tabs>
        <w:spacing w:before="0"/>
        <w:jc w:val="both"/>
        <w:rPr>
          <w:kern w:val="0"/>
          <w:sz w:val="20"/>
          <w:szCs w:val="20"/>
        </w:rPr>
      </w:pPr>
      <w:r w:rsidRPr="00242D05">
        <w:rPr>
          <w:rFonts w:ascii="Arial Narrow" w:hAnsi="Arial Narrow" w:cs="Arial"/>
          <w:color w:val="5F5F5F"/>
          <w:sz w:val="20"/>
          <w:szCs w:val="20"/>
          <w:lang w:val="en-US"/>
        </w:rPr>
        <w:t xml:space="preserve">Percentage changes of seasonally and calendar adjusted chain linked values </w:t>
      </w:r>
      <w:r w:rsidR="00A00806" w:rsidRPr="00242D05">
        <w:rPr>
          <w:rFonts w:ascii="Arial Narrow" w:hAnsi="Arial Narrow" w:cs="Arial"/>
          <w:color w:val="5F5F5F"/>
          <w:sz w:val="20"/>
          <w:szCs w:val="20"/>
          <w:lang w:val="en-US"/>
        </w:rPr>
        <w:t>(</w:t>
      </w:r>
      <w:r w:rsidRPr="00242D05">
        <w:rPr>
          <w:rFonts w:ascii="Arial Narrow" w:hAnsi="Arial Narrow" w:cs="Arial"/>
          <w:color w:val="5F5F5F"/>
          <w:sz w:val="20"/>
          <w:szCs w:val="20"/>
          <w:lang w:val="en-US"/>
        </w:rPr>
        <w:t xml:space="preserve">reference year </w:t>
      </w:r>
      <w:r w:rsidR="00D67A69" w:rsidRPr="00242D05">
        <w:rPr>
          <w:rFonts w:ascii="Arial Narrow" w:hAnsi="Arial Narrow" w:cs="Arial"/>
          <w:color w:val="5F5F5F"/>
          <w:sz w:val="20"/>
          <w:szCs w:val="20"/>
          <w:lang w:val="en-US"/>
        </w:rPr>
        <w:t>2015</w:t>
      </w:r>
      <w:r w:rsidR="00A00806" w:rsidRPr="00242D05">
        <w:rPr>
          <w:rFonts w:ascii="Arial Narrow" w:hAnsi="Arial Narrow" w:cs="Arial"/>
          <w:color w:val="5F5F5F"/>
          <w:sz w:val="20"/>
          <w:szCs w:val="20"/>
          <w:lang w:val="en-US"/>
        </w:rPr>
        <w:t>)</w:t>
      </w:r>
    </w:p>
    <w:tbl>
      <w:tblPr>
        <w:tblW w:w="0" w:type="auto"/>
        <w:tblInd w:w="40" w:type="dxa"/>
        <w:tblLayout w:type="fixed"/>
        <w:tblCellMar>
          <w:left w:w="70" w:type="dxa"/>
          <w:right w:w="70" w:type="dxa"/>
        </w:tblCellMar>
        <w:tblLook w:val="0000" w:firstRow="0" w:lastRow="0" w:firstColumn="0" w:lastColumn="0" w:noHBand="0" w:noVBand="0"/>
      </w:tblPr>
      <w:tblGrid>
        <w:gridCol w:w="1183"/>
        <w:gridCol w:w="2177"/>
        <w:gridCol w:w="2177"/>
        <w:gridCol w:w="2177"/>
        <w:gridCol w:w="2176"/>
      </w:tblGrid>
      <w:tr w:rsidR="001B1782" w:rsidRPr="00806AD5" w:rsidTr="00806AD5">
        <w:tblPrEx>
          <w:tblCellMar>
            <w:top w:w="0" w:type="dxa"/>
            <w:bottom w:w="0" w:type="dxa"/>
          </w:tblCellMar>
        </w:tblPrEx>
        <w:trPr>
          <w:trHeight w:val="523"/>
        </w:trPr>
        <w:tc>
          <w:tcPr>
            <w:tcW w:w="1183" w:type="dxa"/>
            <w:tcBorders>
              <w:top w:val="single" w:sz="6" w:space="0" w:color="000000"/>
              <w:left w:val="nil"/>
              <w:bottom w:val="single" w:sz="6" w:space="0" w:color="000000"/>
              <w:right w:val="nil"/>
            </w:tcBorders>
          </w:tcPr>
          <w:p w:rsidR="001B1782" w:rsidRPr="001B1782" w:rsidRDefault="001B1782" w:rsidP="001B1782">
            <w:pPr>
              <w:spacing w:after="0"/>
              <w:rPr>
                <w:rFonts w:ascii="Arial Narrow" w:hAnsi="Arial Narrow" w:cs="Arial Narrow"/>
                <w:b/>
                <w:bCs/>
                <w:color w:val="000000"/>
                <w:kern w:val="0"/>
                <w:sz w:val="18"/>
                <w:szCs w:val="18"/>
              </w:rPr>
            </w:pPr>
            <w:r w:rsidRPr="001B1782">
              <w:rPr>
                <w:rFonts w:ascii="Arial Narrow" w:hAnsi="Arial Narrow" w:cs="Arial Narrow"/>
                <w:b/>
                <w:bCs/>
                <w:color w:val="000000"/>
                <w:kern w:val="0"/>
                <w:sz w:val="18"/>
                <w:szCs w:val="18"/>
              </w:rPr>
              <w:t>QUARTERS</w:t>
            </w:r>
          </w:p>
        </w:tc>
        <w:tc>
          <w:tcPr>
            <w:tcW w:w="2177" w:type="dxa"/>
            <w:tcBorders>
              <w:top w:val="single" w:sz="4" w:space="0" w:color="auto"/>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b/>
                <w:bCs/>
                <w:color w:val="000000"/>
                <w:kern w:val="0"/>
                <w:sz w:val="18"/>
                <w:szCs w:val="18"/>
              </w:rPr>
            </w:pPr>
            <w:r w:rsidRPr="001B1782">
              <w:rPr>
                <w:rFonts w:ascii="Arial Narrow" w:hAnsi="Arial Narrow" w:cs="Arial Narrow"/>
                <w:b/>
                <w:bCs/>
                <w:color w:val="000000"/>
                <w:kern w:val="0"/>
                <w:sz w:val="18"/>
                <w:szCs w:val="18"/>
              </w:rPr>
              <w:t>Today estimate</w:t>
            </w:r>
          </w:p>
        </w:tc>
        <w:tc>
          <w:tcPr>
            <w:tcW w:w="2177" w:type="dxa"/>
            <w:tcBorders>
              <w:top w:val="single" w:sz="4" w:space="0" w:color="auto"/>
              <w:left w:val="nil"/>
              <w:bottom w:val="single" w:sz="6" w:space="0" w:color="000000"/>
              <w:right w:val="nil"/>
            </w:tcBorders>
          </w:tcPr>
          <w:p w:rsidR="001B1782" w:rsidRPr="00806AD5" w:rsidRDefault="001B1782" w:rsidP="00806AD5">
            <w:pPr>
              <w:widowControl/>
              <w:overflowPunct/>
              <w:spacing w:before="0" w:after="0"/>
              <w:jc w:val="right"/>
              <w:rPr>
                <w:rFonts w:ascii="Arial Narrow" w:hAnsi="Arial Narrow" w:cs="Arial Narrow"/>
                <w:b/>
                <w:bCs/>
                <w:color w:val="000000"/>
                <w:kern w:val="0"/>
                <w:sz w:val="18"/>
                <w:szCs w:val="18"/>
                <w:lang w:val="en-US"/>
              </w:rPr>
            </w:pPr>
            <w:r w:rsidRPr="00806AD5">
              <w:rPr>
                <w:rFonts w:ascii="Arial Narrow" w:hAnsi="Arial Narrow" w:cs="Arial Narrow"/>
                <w:b/>
                <w:bCs/>
                <w:color w:val="000000"/>
                <w:kern w:val="0"/>
                <w:sz w:val="18"/>
                <w:szCs w:val="18"/>
                <w:lang w:val="en-US"/>
              </w:rPr>
              <w:t xml:space="preserve">Quarterly national accounts of </w:t>
            </w:r>
            <w:r w:rsidR="00806AD5" w:rsidRPr="00806AD5">
              <w:rPr>
                <w:rFonts w:ascii="Arial Narrow" w:hAnsi="Arial Narrow" w:cs="Arial Narrow"/>
                <w:b/>
                <w:bCs/>
                <w:color w:val="000000"/>
                <w:kern w:val="0"/>
                <w:sz w:val="18"/>
                <w:szCs w:val="18"/>
                <w:lang w:val="en-US"/>
              </w:rPr>
              <w:t>31 May 2024</w:t>
            </w:r>
          </w:p>
        </w:tc>
        <w:tc>
          <w:tcPr>
            <w:tcW w:w="2177" w:type="dxa"/>
            <w:tcBorders>
              <w:top w:val="single" w:sz="4" w:space="0" w:color="auto"/>
              <w:left w:val="nil"/>
              <w:bottom w:val="single" w:sz="6" w:space="0" w:color="000000"/>
              <w:right w:val="nil"/>
            </w:tcBorders>
            <w:shd w:val="solid" w:color="DDDDDD" w:fill="auto"/>
          </w:tcPr>
          <w:p w:rsidR="001B1782" w:rsidRPr="00806AD5" w:rsidRDefault="001B1782" w:rsidP="00806AD5">
            <w:pPr>
              <w:widowControl/>
              <w:overflowPunct/>
              <w:spacing w:before="0" w:after="0"/>
              <w:jc w:val="right"/>
              <w:rPr>
                <w:rFonts w:ascii="Arial Narrow" w:hAnsi="Arial Narrow" w:cs="Arial Narrow"/>
                <w:b/>
                <w:bCs/>
                <w:color w:val="000000"/>
                <w:kern w:val="0"/>
                <w:sz w:val="18"/>
                <w:szCs w:val="18"/>
                <w:lang w:val="en-US"/>
              </w:rPr>
            </w:pPr>
            <w:r w:rsidRPr="00806AD5">
              <w:rPr>
                <w:rFonts w:ascii="Arial Narrow" w:hAnsi="Arial Narrow" w:cs="Arial Narrow"/>
                <w:b/>
                <w:bCs/>
                <w:color w:val="000000"/>
                <w:kern w:val="0"/>
                <w:sz w:val="18"/>
                <w:szCs w:val="18"/>
                <w:lang w:val="en-US"/>
              </w:rPr>
              <w:t xml:space="preserve">Quarterly national accounts of </w:t>
            </w:r>
            <w:r w:rsidR="00806AD5" w:rsidRPr="00806AD5">
              <w:rPr>
                <w:rFonts w:ascii="Arial Narrow" w:hAnsi="Arial Narrow" w:cs="Arial Narrow"/>
                <w:b/>
                <w:bCs/>
                <w:color w:val="000000"/>
                <w:kern w:val="0"/>
                <w:sz w:val="18"/>
                <w:szCs w:val="18"/>
                <w:lang w:val="en-US"/>
              </w:rPr>
              <w:t>30 April 2024</w:t>
            </w:r>
          </w:p>
        </w:tc>
        <w:tc>
          <w:tcPr>
            <w:tcW w:w="2176" w:type="dxa"/>
            <w:tcBorders>
              <w:top w:val="single" w:sz="4" w:space="0" w:color="auto"/>
              <w:left w:val="nil"/>
              <w:bottom w:val="single" w:sz="6" w:space="0" w:color="000000"/>
              <w:right w:val="nil"/>
            </w:tcBorders>
          </w:tcPr>
          <w:p w:rsidR="001B1782" w:rsidRPr="00806AD5" w:rsidRDefault="001B1782" w:rsidP="00806AD5">
            <w:pPr>
              <w:widowControl/>
              <w:overflowPunct/>
              <w:spacing w:before="0" w:after="0"/>
              <w:jc w:val="right"/>
              <w:rPr>
                <w:rFonts w:ascii="Arial Narrow" w:hAnsi="Arial Narrow" w:cs="Arial Narrow"/>
                <w:b/>
                <w:bCs/>
                <w:color w:val="000000"/>
                <w:kern w:val="0"/>
                <w:sz w:val="18"/>
                <w:szCs w:val="18"/>
                <w:lang w:val="en-US"/>
              </w:rPr>
            </w:pPr>
            <w:r w:rsidRPr="00806AD5">
              <w:rPr>
                <w:rFonts w:ascii="Arial Narrow" w:hAnsi="Arial Narrow" w:cs="Arial Narrow"/>
                <w:b/>
                <w:bCs/>
                <w:color w:val="000000"/>
                <w:kern w:val="0"/>
                <w:sz w:val="18"/>
                <w:szCs w:val="18"/>
                <w:lang w:val="en-US"/>
              </w:rPr>
              <w:t xml:space="preserve">Quarterly national accounts of </w:t>
            </w:r>
            <w:r w:rsidR="00806AD5" w:rsidRPr="00806AD5">
              <w:rPr>
                <w:rFonts w:ascii="Arial Narrow" w:hAnsi="Arial Narrow" w:cs="Arial Narrow"/>
                <w:b/>
                <w:bCs/>
                <w:color w:val="000000"/>
                <w:kern w:val="0"/>
                <w:sz w:val="18"/>
                <w:szCs w:val="18"/>
                <w:lang w:val="en-US"/>
              </w:rPr>
              <w:t>5 March 2024</w:t>
            </w:r>
          </w:p>
        </w:tc>
      </w:tr>
      <w:tr w:rsidR="001B1782" w:rsidRPr="001B1782" w:rsidTr="00806AD5">
        <w:tblPrEx>
          <w:tblCellMar>
            <w:top w:w="0" w:type="dxa"/>
            <w:bottom w:w="0" w:type="dxa"/>
          </w:tblCellMar>
        </w:tblPrEx>
        <w:trPr>
          <w:trHeight w:val="262"/>
        </w:trPr>
        <w:tc>
          <w:tcPr>
            <w:tcW w:w="1183"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2020 - I</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-6.0</w:t>
            </w:r>
          </w:p>
        </w:tc>
        <w:tc>
          <w:tcPr>
            <w:tcW w:w="2177"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-6.0</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-6.0</w:t>
            </w:r>
          </w:p>
        </w:tc>
        <w:tc>
          <w:tcPr>
            <w:tcW w:w="2176"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-6.0</w:t>
            </w:r>
          </w:p>
        </w:tc>
      </w:tr>
      <w:tr w:rsidR="001B1782" w:rsidRPr="001B1782" w:rsidTr="001B1782">
        <w:tblPrEx>
          <w:tblCellMar>
            <w:top w:w="0" w:type="dxa"/>
            <w:bottom w:w="0" w:type="dxa"/>
          </w:tblCellMar>
        </w:tblPrEx>
        <w:trPr>
          <w:trHeight w:val="262"/>
        </w:trPr>
        <w:tc>
          <w:tcPr>
            <w:tcW w:w="1183"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2020 - II</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A06CFC">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w:t>
            </w:r>
            <w:r w:rsidR="00A06CFC">
              <w:rPr>
                <w:rFonts w:ascii="Arial Narrow" w:hAnsi="Arial Narrow" w:cs="Arial Narrow"/>
                <w:color w:val="000000"/>
                <w:kern w:val="0"/>
                <w:sz w:val="18"/>
                <w:szCs w:val="18"/>
              </w:rPr>
              <w:t>1</w:t>
            </w:r>
            <w:r w:rsidRPr="001B1782">
              <w:rPr>
                <w:rFonts w:ascii="Arial Narrow" w:hAnsi="Arial Narrow" w:cs="Arial Narrow"/>
                <w:color w:val="000000"/>
                <w:kern w:val="0"/>
                <w:sz w:val="18"/>
                <w:szCs w:val="18"/>
              </w:rPr>
              <w:t>1.</w:t>
            </w:r>
            <w:r w:rsidR="00A06CFC">
              <w:rPr>
                <w:rFonts w:ascii="Arial Narrow" w:hAnsi="Arial Narrow" w:cs="Arial Narrow"/>
                <w:color w:val="000000"/>
                <w:kern w:val="0"/>
                <w:sz w:val="18"/>
                <w:szCs w:val="18"/>
              </w:rPr>
              <w:t>8</w:t>
            </w:r>
          </w:p>
        </w:tc>
        <w:tc>
          <w:tcPr>
            <w:tcW w:w="2177" w:type="dxa"/>
            <w:tcBorders>
              <w:top w:val="single" w:sz="6" w:space="0" w:color="000000"/>
              <w:left w:val="nil"/>
              <w:bottom w:val="single" w:sz="6" w:space="0" w:color="000000"/>
              <w:right w:val="nil"/>
            </w:tcBorders>
          </w:tcPr>
          <w:p w:rsidR="001B1782" w:rsidRPr="001B1782" w:rsidRDefault="001B1782" w:rsidP="00A06CFC">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-1</w:t>
            </w:r>
            <w:r w:rsidR="00A06CFC">
              <w:rPr>
                <w:rFonts w:ascii="Arial Narrow" w:hAnsi="Arial Narrow" w:cs="Arial Narrow"/>
                <w:color w:val="000000"/>
                <w:kern w:val="0"/>
                <w:sz w:val="18"/>
                <w:szCs w:val="18"/>
              </w:rPr>
              <w:t>1.8</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-1</w:t>
            </w:r>
            <w:r w:rsidR="00A06CFC">
              <w:rPr>
                <w:rFonts w:ascii="Arial Narrow" w:hAnsi="Arial Narrow" w:cs="Arial Narrow"/>
                <w:color w:val="000000"/>
                <w:kern w:val="0"/>
                <w:sz w:val="18"/>
                <w:szCs w:val="18"/>
              </w:rPr>
              <w:t>1</w:t>
            </w:r>
            <w:r w:rsidRPr="001B1782">
              <w:rPr>
                <w:rFonts w:ascii="Arial Narrow" w:hAnsi="Arial Narrow" w:cs="Arial Narrow"/>
                <w:color w:val="000000"/>
                <w:kern w:val="0"/>
                <w:sz w:val="18"/>
                <w:szCs w:val="18"/>
              </w:rPr>
              <w:t>.</w:t>
            </w:r>
            <w:r w:rsidR="00A06CFC">
              <w:rPr>
                <w:rFonts w:ascii="Arial Narrow" w:hAnsi="Arial Narrow" w:cs="Arial Narrow"/>
                <w:color w:val="000000"/>
                <w:kern w:val="0"/>
                <w:sz w:val="18"/>
                <w:szCs w:val="18"/>
              </w:rPr>
              <w:t>8</w:t>
            </w:r>
          </w:p>
        </w:tc>
        <w:tc>
          <w:tcPr>
            <w:tcW w:w="2176" w:type="dxa"/>
            <w:tcBorders>
              <w:top w:val="single" w:sz="6" w:space="0" w:color="000000"/>
              <w:left w:val="nil"/>
              <w:bottom w:val="single" w:sz="6" w:space="0" w:color="000000"/>
              <w:right w:val="nil"/>
            </w:tcBorders>
          </w:tcPr>
          <w:p w:rsidR="001B1782" w:rsidRPr="001B1782" w:rsidRDefault="001B1782" w:rsidP="00A06CFC">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-1</w:t>
            </w:r>
            <w:r w:rsidR="00A06CFC">
              <w:rPr>
                <w:rFonts w:ascii="Arial Narrow" w:hAnsi="Arial Narrow" w:cs="Arial Narrow"/>
                <w:color w:val="000000"/>
                <w:kern w:val="0"/>
                <w:sz w:val="18"/>
                <w:szCs w:val="18"/>
              </w:rPr>
              <w:t>1</w:t>
            </w:r>
            <w:r w:rsidRPr="001B1782">
              <w:rPr>
                <w:rFonts w:ascii="Arial Narrow" w:hAnsi="Arial Narrow" w:cs="Arial Narrow"/>
                <w:color w:val="000000"/>
                <w:kern w:val="0"/>
                <w:sz w:val="18"/>
                <w:szCs w:val="18"/>
              </w:rPr>
              <w:t>.</w:t>
            </w:r>
            <w:r w:rsidR="00A06CFC">
              <w:rPr>
                <w:rFonts w:ascii="Arial Narrow" w:hAnsi="Arial Narrow" w:cs="Arial Narrow"/>
                <w:color w:val="000000"/>
                <w:kern w:val="0"/>
                <w:sz w:val="18"/>
                <w:szCs w:val="18"/>
              </w:rPr>
              <w:t>8</w:t>
            </w:r>
          </w:p>
        </w:tc>
      </w:tr>
      <w:tr w:rsidR="001B1782" w:rsidRPr="001B1782" w:rsidTr="001B1782">
        <w:tblPrEx>
          <w:tblCellMar>
            <w:top w:w="0" w:type="dxa"/>
            <w:bottom w:w="0" w:type="dxa"/>
          </w:tblCellMar>
        </w:tblPrEx>
        <w:trPr>
          <w:trHeight w:val="262"/>
        </w:trPr>
        <w:tc>
          <w:tcPr>
            <w:tcW w:w="1183"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2020 - III</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+1</w:t>
            </w:r>
            <w:r w:rsidR="00A06CFC">
              <w:rPr>
                <w:rFonts w:ascii="Arial Narrow" w:hAnsi="Arial Narrow" w:cs="Arial Narrow"/>
                <w:color w:val="000000"/>
                <w:kern w:val="0"/>
                <w:sz w:val="18"/>
                <w:szCs w:val="18"/>
              </w:rPr>
              <w:t>3</w:t>
            </w:r>
            <w:r w:rsidRPr="001B1782">
              <w:rPr>
                <w:rFonts w:ascii="Arial Narrow" w:hAnsi="Arial Narrow" w:cs="Arial Narrow"/>
                <w:color w:val="000000"/>
                <w:kern w:val="0"/>
                <w:sz w:val="18"/>
                <w:szCs w:val="18"/>
              </w:rPr>
              <w:t>.</w:t>
            </w:r>
            <w:r w:rsidR="00A06CFC">
              <w:rPr>
                <w:rFonts w:ascii="Arial Narrow" w:hAnsi="Arial Narrow" w:cs="Arial Narrow"/>
                <w:color w:val="000000"/>
                <w:kern w:val="0"/>
                <w:sz w:val="18"/>
                <w:szCs w:val="18"/>
              </w:rPr>
              <w:t>9</w:t>
            </w:r>
          </w:p>
        </w:tc>
        <w:tc>
          <w:tcPr>
            <w:tcW w:w="2177"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+1</w:t>
            </w:r>
            <w:r w:rsidR="00A06CFC">
              <w:rPr>
                <w:rFonts w:ascii="Arial Narrow" w:hAnsi="Arial Narrow" w:cs="Arial Narrow"/>
                <w:color w:val="000000"/>
                <w:kern w:val="0"/>
                <w:sz w:val="18"/>
                <w:szCs w:val="18"/>
              </w:rPr>
              <w:t>3</w:t>
            </w:r>
            <w:r w:rsidRPr="001B1782">
              <w:rPr>
                <w:rFonts w:ascii="Arial Narrow" w:hAnsi="Arial Narrow" w:cs="Arial Narrow"/>
                <w:color w:val="000000"/>
                <w:kern w:val="0"/>
                <w:sz w:val="18"/>
                <w:szCs w:val="18"/>
              </w:rPr>
              <w:t>.</w:t>
            </w:r>
            <w:r w:rsidR="00A06CFC">
              <w:rPr>
                <w:rFonts w:ascii="Arial Narrow" w:hAnsi="Arial Narrow" w:cs="Arial Narrow"/>
                <w:color w:val="000000"/>
                <w:kern w:val="0"/>
                <w:sz w:val="18"/>
                <w:szCs w:val="18"/>
              </w:rPr>
              <w:t>9</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A06CFC">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+1</w:t>
            </w:r>
            <w:r w:rsidR="00A06CFC">
              <w:rPr>
                <w:rFonts w:ascii="Arial Narrow" w:hAnsi="Arial Narrow" w:cs="Arial Narrow"/>
                <w:color w:val="000000"/>
                <w:kern w:val="0"/>
                <w:sz w:val="18"/>
                <w:szCs w:val="18"/>
              </w:rPr>
              <w:t>3.9</w:t>
            </w:r>
          </w:p>
        </w:tc>
        <w:tc>
          <w:tcPr>
            <w:tcW w:w="2176" w:type="dxa"/>
            <w:tcBorders>
              <w:top w:val="single" w:sz="6" w:space="0" w:color="000000"/>
              <w:left w:val="nil"/>
              <w:bottom w:val="single" w:sz="6" w:space="0" w:color="000000"/>
              <w:right w:val="nil"/>
            </w:tcBorders>
          </w:tcPr>
          <w:p w:rsidR="001B1782" w:rsidRPr="001B1782" w:rsidRDefault="001B1782" w:rsidP="00A06CFC">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+1</w:t>
            </w:r>
            <w:r w:rsidR="00A06CFC">
              <w:rPr>
                <w:rFonts w:ascii="Arial Narrow" w:hAnsi="Arial Narrow" w:cs="Arial Narrow"/>
                <w:color w:val="000000"/>
                <w:kern w:val="0"/>
                <w:sz w:val="18"/>
                <w:szCs w:val="18"/>
              </w:rPr>
              <w:t>4</w:t>
            </w:r>
            <w:r w:rsidRPr="001B1782">
              <w:rPr>
                <w:rFonts w:ascii="Arial Narrow" w:hAnsi="Arial Narrow" w:cs="Arial Narrow"/>
                <w:color w:val="000000"/>
                <w:kern w:val="0"/>
                <w:sz w:val="18"/>
                <w:szCs w:val="18"/>
              </w:rPr>
              <w:t>.</w:t>
            </w:r>
            <w:r w:rsidR="00A06CFC">
              <w:rPr>
                <w:rFonts w:ascii="Arial Narrow" w:hAnsi="Arial Narrow" w:cs="Arial Narrow"/>
                <w:color w:val="000000"/>
                <w:kern w:val="0"/>
                <w:sz w:val="18"/>
                <w:szCs w:val="18"/>
              </w:rPr>
              <w:t>1</w:t>
            </w:r>
          </w:p>
        </w:tc>
      </w:tr>
      <w:tr w:rsidR="001B1782" w:rsidRPr="001B1782" w:rsidTr="001B1782">
        <w:tblPrEx>
          <w:tblCellMar>
            <w:top w:w="0" w:type="dxa"/>
            <w:bottom w:w="0" w:type="dxa"/>
          </w:tblCellMar>
        </w:tblPrEx>
        <w:trPr>
          <w:trHeight w:val="262"/>
        </w:trPr>
        <w:tc>
          <w:tcPr>
            <w:tcW w:w="1183"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2020 - IV</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-0.5</w:t>
            </w:r>
          </w:p>
        </w:tc>
        <w:tc>
          <w:tcPr>
            <w:tcW w:w="2177"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-0.5</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-0.5</w:t>
            </w:r>
          </w:p>
        </w:tc>
        <w:tc>
          <w:tcPr>
            <w:tcW w:w="2176"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-0.6</w:t>
            </w:r>
          </w:p>
        </w:tc>
      </w:tr>
      <w:tr w:rsidR="001B1782" w:rsidRPr="001B1782" w:rsidTr="001B1782">
        <w:tblPrEx>
          <w:tblCellMar>
            <w:top w:w="0" w:type="dxa"/>
            <w:bottom w:w="0" w:type="dxa"/>
          </w:tblCellMar>
        </w:tblPrEx>
        <w:trPr>
          <w:trHeight w:val="262"/>
        </w:trPr>
        <w:tc>
          <w:tcPr>
            <w:tcW w:w="1183"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2021 - I</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+1.5</w:t>
            </w:r>
          </w:p>
        </w:tc>
        <w:tc>
          <w:tcPr>
            <w:tcW w:w="2177"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+1.5</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+1.5</w:t>
            </w:r>
          </w:p>
        </w:tc>
        <w:tc>
          <w:tcPr>
            <w:tcW w:w="2176"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+1.5</w:t>
            </w:r>
          </w:p>
        </w:tc>
      </w:tr>
      <w:tr w:rsidR="001B1782" w:rsidRPr="001B1782" w:rsidTr="001B1782">
        <w:tblPrEx>
          <w:tblCellMar>
            <w:top w:w="0" w:type="dxa"/>
            <w:bottom w:w="0" w:type="dxa"/>
          </w:tblCellMar>
        </w:tblPrEx>
        <w:trPr>
          <w:trHeight w:val="262"/>
        </w:trPr>
        <w:tc>
          <w:tcPr>
            <w:tcW w:w="1183"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2021 - II</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+2.6</w:t>
            </w:r>
          </w:p>
        </w:tc>
        <w:tc>
          <w:tcPr>
            <w:tcW w:w="2177"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+2.6</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+2.6</w:t>
            </w:r>
          </w:p>
        </w:tc>
        <w:tc>
          <w:tcPr>
            <w:tcW w:w="2176"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+2.6</w:t>
            </w:r>
          </w:p>
        </w:tc>
      </w:tr>
      <w:tr w:rsidR="001B1782" w:rsidRPr="001B1782" w:rsidTr="001B1782">
        <w:tblPrEx>
          <w:tblCellMar>
            <w:top w:w="0" w:type="dxa"/>
            <w:bottom w:w="0" w:type="dxa"/>
          </w:tblCellMar>
        </w:tblPrEx>
        <w:trPr>
          <w:trHeight w:val="262"/>
        </w:trPr>
        <w:tc>
          <w:tcPr>
            <w:tcW w:w="1183"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2021 - III</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+2.8</w:t>
            </w:r>
          </w:p>
        </w:tc>
        <w:tc>
          <w:tcPr>
            <w:tcW w:w="2177"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+2.8</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+2.9</w:t>
            </w:r>
          </w:p>
        </w:tc>
        <w:tc>
          <w:tcPr>
            <w:tcW w:w="2176"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+2.8</w:t>
            </w:r>
          </w:p>
        </w:tc>
      </w:tr>
      <w:tr w:rsidR="001B1782" w:rsidRPr="001B1782" w:rsidTr="001B1782">
        <w:tblPrEx>
          <w:tblCellMar>
            <w:top w:w="0" w:type="dxa"/>
            <w:bottom w:w="0" w:type="dxa"/>
          </w:tblCellMar>
        </w:tblPrEx>
        <w:trPr>
          <w:trHeight w:val="262"/>
        </w:trPr>
        <w:tc>
          <w:tcPr>
            <w:tcW w:w="1183"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2021 - IV</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+0.8</w:t>
            </w:r>
          </w:p>
        </w:tc>
        <w:tc>
          <w:tcPr>
            <w:tcW w:w="2177"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+0.8</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+0.8</w:t>
            </w:r>
          </w:p>
        </w:tc>
        <w:tc>
          <w:tcPr>
            <w:tcW w:w="2176"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+0.9</w:t>
            </w:r>
          </w:p>
        </w:tc>
      </w:tr>
      <w:tr w:rsidR="001B1782" w:rsidRPr="001B1782" w:rsidTr="001B1782">
        <w:tblPrEx>
          <w:tblCellMar>
            <w:top w:w="0" w:type="dxa"/>
            <w:bottom w:w="0" w:type="dxa"/>
          </w:tblCellMar>
        </w:tblPrEx>
        <w:trPr>
          <w:trHeight w:val="262"/>
        </w:trPr>
        <w:tc>
          <w:tcPr>
            <w:tcW w:w="1183"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2022 - I</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+0.2</w:t>
            </w:r>
          </w:p>
        </w:tc>
        <w:tc>
          <w:tcPr>
            <w:tcW w:w="2177"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+0.2</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+0.2</w:t>
            </w:r>
          </w:p>
        </w:tc>
        <w:tc>
          <w:tcPr>
            <w:tcW w:w="2176"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+0.1</w:t>
            </w:r>
          </w:p>
        </w:tc>
      </w:tr>
      <w:tr w:rsidR="001B1782" w:rsidRPr="001B1782" w:rsidTr="001B1782">
        <w:tblPrEx>
          <w:tblCellMar>
            <w:top w:w="0" w:type="dxa"/>
            <w:bottom w:w="0" w:type="dxa"/>
          </w:tblCellMar>
        </w:tblPrEx>
        <w:trPr>
          <w:trHeight w:val="262"/>
        </w:trPr>
        <w:tc>
          <w:tcPr>
            <w:tcW w:w="1183"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2022 - II</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+1.4</w:t>
            </w:r>
          </w:p>
        </w:tc>
        <w:tc>
          <w:tcPr>
            <w:tcW w:w="2177"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+1.4</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+1.4</w:t>
            </w:r>
          </w:p>
        </w:tc>
        <w:tc>
          <w:tcPr>
            <w:tcW w:w="2176"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+1.4</w:t>
            </w:r>
          </w:p>
        </w:tc>
      </w:tr>
      <w:tr w:rsidR="001B1782" w:rsidRPr="001B1782" w:rsidTr="001B1782">
        <w:tblPrEx>
          <w:tblCellMar>
            <w:top w:w="0" w:type="dxa"/>
            <w:bottom w:w="0" w:type="dxa"/>
          </w:tblCellMar>
        </w:tblPrEx>
        <w:trPr>
          <w:trHeight w:val="262"/>
        </w:trPr>
        <w:tc>
          <w:tcPr>
            <w:tcW w:w="1183"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2022 - III</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+0.4</w:t>
            </w:r>
          </w:p>
        </w:tc>
        <w:tc>
          <w:tcPr>
            <w:tcW w:w="2177"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+0.4</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+0.4</w:t>
            </w:r>
          </w:p>
        </w:tc>
        <w:tc>
          <w:tcPr>
            <w:tcW w:w="2176"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+0.3</w:t>
            </w:r>
          </w:p>
        </w:tc>
      </w:tr>
      <w:tr w:rsidR="001B1782" w:rsidRPr="001B1782" w:rsidTr="001B1782">
        <w:tblPrEx>
          <w:tblCellMar>
            <w:top w:w="0" w:type="dxa"/>
            <w:bottom w:w="0" w:type="dxa"/>
          </w:tblCellMar>
        </w:tblPrEx>
        <w:trPr>
          <w:trHeight w:val="262"/>
        </w:trPr>
        <w:tc>
          <w:tcPr>
            <w:tcW w:w="1183"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2022 - IV</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-0.1</w:t>
            </w:r>
          </w:p>
        </w:tc>
        <w:tc>
          <w:tcPr>
            <w:tcW w:w="2177"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0.0</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0.0</w:t>
            </w:r>
          </w:p>
        </w:tc>
        <w:tc>
          <w:tcPr>
            <w:tcW w:w="2176"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0.0</w:t>
            </w:r>
          </w:p>
        </w:tc>
      </w:tr>
      <w:tr w:rsidR="001B1782" w:rsidRPr="001B1782" w:rsidTr="001B1782">
        <w:tblPrEx>
          <w:tblCellMar>
            <w:top w:w="0" w:type="dxa"/>
            <w:bottom w:w="0" w:type="dxa"/>
          </w:tblCellMar>
        </w:tblPrEx>
        <w:trPr>
          <w:trHeight w:val="262"/>
        </w:trPr>
        <w:tc>
          <w:tcPr>
            <w:tcW w:w="1183"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2023 - I</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+0.4</w:t>
            </w:r>
          </w:p>
        </w:tc>
        <w:tc>
          <w:tcPr>
            <w:tcW w:w="2177"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+0.3</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+0.4</w:t>
            </w:r>
          </w:p>
        </w:tc>
        <w:tc>
          <w:tcPr>
            <w:tcW w:w="2176"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+0.5</w:t>
            </w:r>
          </w:p>
        </w:tc>
      </w:tr>
      <w:tr w:rsidR="001B1782" w:rsidRPr="001B1782" w:rsidTr="001B1782">
        <w:tblPrEx>
          <w:tblCellMar>
            <w:top w:w="0" w:type="dxa"/>
            <w:bottom w:w="0" w:type="dxa"/>
          </w:tblCellMar>
        </w:tblPrEx>
        <w:trPr>
          <w:trHeight w:val="262"/>
        </w:trPr>
        <w:tc>
          <w:tcPr>
            <w:tcW w:w="1183"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2023 - II</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-0.2</w:t>
            </w:r>
          </w:p>
        </w:tc>
        <w:tc>
          <w:tcPr>
            <w:tcW w:w="2177"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-0.1</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-0.2</w:t>
            </w:r>
          </w:p>
        </w:tc>
        <w:tc>
          <w:tcPr>
            <w:tcW w:w="2176"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-0.2</w:t>
            </w:r>
          </w:p>
        </w:tc>
      </w:tr>
      <w:tr w:rsidR="001B1782" w:rsidRPr="001B1782" w:rsidTr="001B1782">
        <w:tblPrEx>
          <w:tblCellMar>
            <w:top w:w="0" w:type="dxa"/>
            <w:bottom w:w="0" w:type="dxa"/>
          </w:tblCellMar>
        </w:tblPrEx>
        <w:trPr>
          <w:trHeight w:val="262"/>
        </w:trPr>
        <w:tc>
          <w:tcPr>
            <w:tcW w:w="1183"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2023 - III</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+0.3</w:t>
            </w:r>
          </w:p>
        </w:tc>
        <w:tc>
          <w:tcPr>
            <w:tcW w:w="2177"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+0.4</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+0.4</w:t>
            </w:r>
          </w:p>
        </w:tc>
        <w:tc>
          <w:tcPr>
            <w:tcW w:w="2176"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+0.2</w:t>
            </w:r>
          </w:p>
        </w:tc>
      </w:tr>
      <w:tr w:rsidR="001B1782" w:rsidRPr="001B1782" w:rsidTr="001B1782">
        <w:tblPrEx>
          <w:tblCellMar>
            <w:top w:w="0" w:type="dxa"/>
            <w:bottom w:w="0" w:type="dxa"/>
          </w:tblCellMar>
        </w:tblPrEx>
        <w:trPr>
          <w:trHeight w:val="262"/>
        </w:trPr>
        <w:tc>
          <w:tcPr>
            <w:tcW w:w="1183"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2023 - IV</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+0.1</w:t>
            </w:r>
          </w:p>
        </w:tc>
        <w:tc>
          <w:tcPr>
            <w:tcW w:w="2177"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+0.1</w:t>
            </w:r>
          </w:p>
        </w:tc>
        <w:tc>
          <w:tcPr>
            <w:tcW w:w="2177" w:type="dxa"/>
            <w:tcBorders>
              <w:top w:val="single" w:sz="6" w:space="0" w:color="000000"/>
              <w:left w:val="nil"/>
              <w:bottom w:val="single" w:sz="6" w:space="0" w:color="000000"/>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+0.1</w:t>
            </w:r>
          </w:p>
        </w:tc>
        <w:tc>
          <w:tcPr>
            <w:tcW w:w="2176"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+0.2</w:t>
            </w:r>
          </w:p>
        </w:tc>
      </w:tr>
      <w:tr w:rsidR="001B1782" w:rsidRPr="001B1782" w:rsidTr="001B1782">
        <w:tblPrEx>
          <w:tblCellMar>
            <w:top w:w="0" w:type="dxa"/>
            <w:bottom w:w="0" w:type="dxa"/>
          </w:tblCellMar>
        </w:tblPrEx>
        <w:trPr>
          <w:trHeight w:val="262"/>
        </w:trPr>
        <w:tc>
          <w:tcPr>
            <w:tcW w:w="1183"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2024 - I</w:t>
            </w:r>
          </w:p>
        </w:tc>
        <w:tc>
          <w:tcPr>
            <w:tcW w:w="2177" w:type="dxa"/>
            <w:tcBorders>
              <w:top w:val="single" w:sz="6" w:space="0" w:color="auto"/>
              <w:left w:val="nil"/>
              <w:bottom w:val="single" w:sz="6" w:space="0" w:color="auto"/>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+0.3</w:t>
            </w:r>
          </w:p>
        </w:tc>
        <w:tc>
          <w:tcPr>
            <w:tcW w:w="2177" w:type="dxa"/>
            <w:tcBorders>
              <w:top w:val="single" w:sz="6" w:space="0" w:color="000000"/>
              <w:left w:val="nil"/>
              <w:bottom w:val="single" w:sz="6" w:space="0" w:color="auto"/>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+0.3</w:t>
            </w:r>
          </w:p>
        </w:tc>
        <w:tc>
          <w:tcPr>
            <w:tcW w:w="2177" w:type="dxa"/>
            <w:tcBorders>
              <w:top w:val="single" w:sz="6" w:space="0" w:color="000000"/>
              <w:left w:val="nil"/>
              <w:bottom w:val="single" w:sz="6" w:space="0" w:color="auto"/>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+0.3</w:t>
            </w:r>
          </w:p>
        </w:tc>
        <w:tc>
          <w:tcPr>
            <w:tcW w:w="2176" w:type="dxa"/>
            <w:tcBorders>
              <w:top w:val="single" w:sz="6" w:space="0" w:color="000000"/>
              <w:left w:val="nil"/>
              <w:bottom w:val="single" w:sz="6" w:space="0" w:color="auto"/>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w:t>
            </w:r>
          </w:p>
        </w:tc>
      </w:tr>
      <w:tr w:rsidR="001B1782" w:rsidRPr="001B1782" w:rsidTr="001B1782">
        <w:tblPrEx>
          <w:tblCellMar>
            <w:top w:w="0" w:type="dxa"/>
            <w:bottom w:w="0" w:type="dxa"/>
          </w:tblCellMar>
        </w:tblPrEx>
        <w:trPr>
          <w:trHeight w:val="262"/>
        </w:trPr>
        <w:tc>
          <w:tcPr>
            <w:tcW w:w="1183" w:type="dxa"/>
            <w:tcBorders>
              <w:top w:val="single" w:sz="6" w:space="0" w:color="000000"/>
              <w:left w:val="nil"/>
              <w:bottom w:val="single" w:sz="6" w:space="0" w:color="000000"/>
              <w:right w:val="nil"/>
            </w:tcBorders>
          </w:tcPr>
          <w:p w:rsidR="001B1782" w:rsidRPr="001B1782" w:rsidRDefault="001B1782" w:rsidP="001B1782">
            <w:pPr>
              <w:widowControl/>
              <w:overflowPunct/>
              <w:spacing w:before="0" w:after="0"/>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2024 - II</w:t>
            </w:r>
          </w:p>
        </w:tc>
        <w:tc>
          <w:tcPr>
            <w:tcW w:w="2177" w:type="dxa"/>
            <w:tcBorders>
              <w:top w:val="single" w:sz="6" w:space="0" w:color="auto"/>
              <w:left w:val="nil"/>
              <w:bottom w:val="single" w:sz="6" w:space="0" w:color="auto"/>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+0.2</w:t>
            </w:r>
          </w:p>
        </w:tc>
        <w:tc>
          <w:tcPr>
            <w:tcW w:w="2177" w:type="dxa"/>
            <w:tcBorders>
              <w:top w:val="single" w:sz="6" w:space="0" w:color="auto"/>
              <w:left w:val="nil"/>
              <w:bottom w:val="single" w:sz="6" w:space="0" w:color="auto"/>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w:t>
            </w:r>
          </w:p>
        </w:tc>
        <w:tc>
          <w:tcPr>
            <w:tcW w:w="2177" w:type="dxa"/>
            <w:tcBorders>
              <w:top w:val="single" w:sz="6" w:space="0" w:color="auto"/>
              <w:left w:val="nil"/>
              <w:bottom w:val="single" w:sz="6" w:space="0" w:color="auto"/>
              <w:right w:val="nil"/>
            </w:tcBorders>
            <w:shd w:val="solid" w:color="DDDDDD" w:fill="auto"/>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w:t>
            </w:r>
          </w:p>
        </w:tc>
        <w:tc>
          <w:tcPr>
            <w:tcW w:w="2176" w:type="dxa"/>
            <w:tcBorders>
              <w:top w:val="single" w:sz="6" w:space="0" w:color="auto"/>
              <w:left w:val="nil"/>
              <w:bottom w:val="single" w:sz="6" w:space="0" w:color="auto"/>
              <w:right w:val="nil"/>
            </w:tcBorders>
          </w:tcPr>
          <w:p w:rsidR="001B1782" w:rsidRPr="001B1782" w:rsidRDefault="001B1782" w:rsidP="001B1782">
            <w:pPr>
              <w:widowControl/>
              <w:overflowPunct/>
              <w:spacing w:before="0" w:after="0"/>
              <w:jc w:val="right"/>
              <w:rPr>
                <w:rFonts w:ascii="Arial Narrow" w:hAnsi="Arial Narrow" w:cs="Arial Narrow"/>
                <w:color w:val="000000"/>
                <w:kern w:val="0"/>
                <w:sz w:val="18"/>
                <w:szCs w:val="18"/>
              </w:rPr>
            </w:pPr>
            <w:r w:rsidRPr="001B1782">
              <w:rPr>
                <w:rFonts w:ascii="Arial Narrow" w:hAnsi="Arial Narrow" w:cs="Arial Narrow"/>
                <w:color w:val="000000"/>
                <w:kern w:val="0"/>
                <w:sz w:val="18"/>
                <w:szCs w:val="18"/>
              </w:rPr>
              <w:t>.</w:t>
            </w:r>
          </w:p>
        </w:tc>
      </w:tr>
    </w:tbl>
    <w:p w:rsidR="00FF6D03" w:rsidRPr="00FF6D03" w:rsidRDefault="00FF6D03" w:rsidP="00915206">
      <w:pPr>
        <w:pStyle w:val="Corpodeltesto3"/>
        <w:tabs>
          <w:tab w:val="left" w:pos="6946"/>
        </w:tabs>
        <w:spacing w:before="0"/>
        <w:jc w:val="both"/>
        <w:rPr>
          <w:lang w:val="en-US"/>
        </w:rPr>
      </w:pPr>
    </w:p>
    <w:p w:rsidR="00FF6D03" w:rsidRPr="00FF6D03" w:rsidRDefault="00FF6D03" w:rsidP="00FF6D03">
      <w:pPr>
        <w:rPr>
          <w:lang w:val="en-US"/>
        </w:rPr>
      </w:pPr>
    </w:p>
    <w:p w:rsidR="00FF6D03" w:rsidRPr="00FF6D03" w:rsidRDefault="00FF6D03" w:rsidP="00FF6D03">
      <w:pPr>
        <w:rPr>
          <w:lang w:val="en-US"/>
        </w:rPr>
      </w:pPr>
    </w:p>
    <w:p w:rsidR="00FF6D03" w:rsidRPr="00FF6D03" w:rsidRDefault="00FF6D03" w:rsidP="00FF6D03">
      <w:pPr>
        <w:rPr>
          <w:lang w:val="en-US"/>
        </w:rPr>
      </w:pPr>
    </w:p>
    <w:p w:rsidR="00933262" w:rsidRDefault="00933262" w:rsidP="00FF6D03">
      <w:pPr>
        <w:rPr>
          <w:lang w:val="en-US"/>
        </w:rPr>
        <w:sectPr w:rsidR="00933262" w:rsidSect="00171C5C">
          <w:headerReference w:type="default" r:id="rId18"/>
          <w:pgSz w:w="11907" w:h="16840" w:code="9"/>
          <w:pgMar w:top="1534" w:right="851" w:bottom="680" w:left="851" w:header="567" w:footer="567" w:gutter="0"/>
          <w:cols w:space="720"/>
          <w:noEndnote/>
          <w:docGrid w:linePitch="272"/>
        </w:sectPr>
      </w:pPr>
    </w:p>
    <w:p w:rsidR="00AB30D5" w:rsidRDefault="00AB30D5" w:rsidP="00AB30D5">
      <w:pPr>
        <w:spacing w:before="0" w:after="120"/>
        <w:jc w:val="both"/>
        <w:rPr>
          <w:rFonts w:ascii="Arial Narrow" w:hAnsi="Arial Narrow" w:cs="Arial"/>
          <w:b/>
          <w:bCs/>
          <w:sz w:val="22"/>
          <w:szCs w:val="22"/>
        </w:rPr>
      </w:pPr>
    </w:p>
    <w:p w:rsidR="00740478" w:rsidRPr="00F749D9" w:rsidRDefault="00740478" w:rsidP="00740478">
      <w:pPr>
        <w:spacing w:before="0" w:after="120"/>
        <w:jc w:val="both"/>
        <w:rPr>
          <w:rFonts w:ascii="Arial" w:hAnsi="Arial" w:cs="Arial"/>
          <w:sz w:val="21"/>
          <w:szCs w:val="21"/>
          <w:lang w:val="en-US"/>
        </w:rPr>
      </w:pPr>
      <w:r w:rsidRPr="00F749D9">
        <w:rPr>
          <w:rFonts w:ascii="Arial" w:hAnsi="Arial" w:cs="Arial"/>
          <w:b/>
          <w:bCs/>
          <w:sz w:val="21"/>
          <w:szCs w:val="21"/>
          <w:lang w:val="en-US"/>
        </w:rPr>
        <w:t>Calendar adjusted data:</w:t>
      </w:r>
      <w:r w:rsidRPr="00F749D9">
        <w:rPr>
          <w:rFonts w:ascii="Arial" w:hAnsi="Arial" w:cs="Arial"/>
          <w:sz w:val="21"/>
          <w:szCs w:val="21"/>
          <w:lang w:val="en-US"/>
        </w:rPr>
        <w:t xml:space="preserve"> time series where the calendar effects due to number of working days, Easter holidays (that can fall in different quarters) and the leap year effects are removed in case they are significant.</w:t>
      </w:r>
    </w:p>
    <w:p w:rsidR="00740478" w:rsidRPr="00F749D9" w:rsidRDefault="00740478" w:rsidP="00740478">
      <w:pPr>
        <w:spacing w:before="0" w:after="120"/>
        <w:jc w:val="both"/>
        <w:rPr>
          <w:rFonts w:ascii="Arial" w:hAnsi="Arial" w:cs="Arial"/>
          <w:sz w:val="21"/>
          <w:szCs w:val="21"/>
          <w:lang w:val="en-US"/>
        </w:rPr>
      </w:pPr>
      <w:r w:rsidRPr="00F749D9">
        <w:rPr>
          <w:rFonts w:ascii="Arial" w:hAnsi="Arial" w:cs="Arial"/>
          <w:b/>
          <w:bCs/>
          <w:sz w:val="21"/>
          <w:szCs w:val="21"/>
          <w:lang w:val="en-US"/>
        </w:rPr>
        <w:t xml:space="preserve">Carry-over annual growth rate: </w:t>
      </w:r>
      <w:r w:rsidRPr="00F749D9">
        <w:rPr>
          <w:rFonts w:ascii="Arial" w:hAnsi="Arial" w:cs="Arial"/>
          <w:sz w:val="21"/>
          <w:szCs w:val="21"/>
          <w:lang w:val="en-US"/>
        </w:rPr>
        <w:t>annual growth rate under the assumption that the quarters of the year which have not been released yet perform a null growth (or in other words that the quarterly levels of GDP in that year remain at the same level as those in the last observed quarter).</w:t>
      </w:r>
    </w:p>
    <w:p w:rsidR="00740478" w:rsidRPr="00E07181" w:rsidRDefault="00740478" w:rsidP="00740478">
      <w:pPr>
        <w:spacing w:before="0" w:after="120"/>
        <w:jc w:val="both"/>
        <w:rPr>
          <w:rFonts w:ascii="Arial" w:hAnsi="Arial" w:cs="Arial"/>
          <w:sz w:val="21"/>
          <w:szCs w:val="21"/>
          <w:lang w:val="en-US"/>
        </w:rPr>
      </w:pPr>
      <w:r w:rsidRPr="00E07181">
        <w:rPr>
          <w:rFonts w:ascii="Arial" w:hAnsi="Arial" w:cs="Arial"/>
          <w:b/>
          <w:sz w:val="21"/>
          <w:szCs w:val="21"/>
          <w:lang w:val="en-US"/>
        </w:rPr>
        <w:t xml:space="preserve">Chain linked volume: </w:t>
      </w:r>
      <w:r w:rsidRPr="00E07181">
        <w:rPr>
          <w:rFonts w:ascii="Arial" w:hAnsi="Arial" w:cs="Arial"/>
          <w:sz w:val="21"/>
          <w:szCs w:val="21"/>
          <w:lang w:val="en-US"/>
        </w:rPr>
        <w:t xml:space="preserve">measure of national accounts aggregates referred to data net of </w:t>
      </w:r>
      <w:r w:rsidRPr="00E07181">
        <w:rPr>
          <w:rFonts w:ascii="Arial" w:hAnsi="Arial" w:cs="Arial"/>
          <w:color w:val="000000"/>
          <w:sz w:val="21"/>
          <w:szCs w:val="21"/>
          <w:shd w:val="clear" w:color="auto" w:fill="FFFFFF"/>
          <w:lang w:val="en-US"/>
        </w:rPr>
        <w:t>price movements.</w:t>
      </w:r>
      <w:r w:rsidRPr="00E07181">
        <w:rPr>
          <w:rFonts w:ascii="Arial" w:hAnsi="Arial" w:cs="Arial"/>
          <w:sz w:val="21"/>
          <w:szCs w:val="21"/>
          <w:lang w:val="en-US"/>
        </w:rPr>
        <w:t xml:space="preserve"> For each aggregate and each quarter from the second year on, a volume index is calculated as the ratio between its value at previous year prices and that at current prices referred to the average of previous year quarters. These volume indices are linked by multiplying (and dividing by 100) the consecutive indices starting from a value of 100 relative to the average of first year quarters (quarterly data of first year at current price standardized to an average of 100 and deflated by quarterly price indexes with base same year) and then shifting the base to the year taken as reference (currently </w:t>
      </w:r>
      <w:r>
        <w:rPr>
          <w:rFonts w:ascii="Arial" w:hAnsi="Arial" w:cs="Arial"/>
          <w:sz w:val="21"/>
          <w:szCs w:val="21"/>
          <w:lang w:val="en-US"/>
        </w:rPr>
        <w:t>2015</w:t>
      </w:r>
      <w:r w:rsidRPr="00E07181">
        <w:rPr>
          <w:rFonts w:ascii="Arial" w:hAnsi="Arial" w:cs="Arial"/>
          <w:sz w:val="21"/>
          <w:szCs w:val="21"/>
          <w:lang w:val="en-US"/>
        </w:rPr>
        <w:t>). The result is a chain-linked index that multiplied for the average of quarterly values at current prices of the reference year (and divided by 100) produces the chain-linked volume measure of the aggregate.</w:t>
      </w:r>
    </w:p>
    <w:p w:rsidR="00740478" w:rsidRPr="008F504A" w:rsidRDefault="00740478" w:rsidP="00740478">
      <w:pPr>
        <w:spacing w:before="0" w:after="120"/>
        <w:jc w:val="both"/>
        <w:rPr>
          <w:rFonts w:ascii="Arial" w:hAnsi="Arial" w:cs="Arial"/>
          <w:sz w:val="21"/>
          <w:szCs w:val="21"/>
          <w:lang w:val="en-US"/>
        </w:rPr>
      </w:pPr>
      <w:r w:rsidRPr="00E5696B">
        <w:rPr>
          <w:rFonts w:ascii="Arial" w:hAnsi="Arial" w:cs="Arial"/>
          <w:b/>
          <w:sz w:val="21"/>
          <w:szCs w:val="21"/>
          <w:lang w:val="en-US"/>
        </w:rPr>
        <w:t xml:space="preserve">Contributions to GDP growth: </w:t>
      </w:r>
      <w:r w:rsidRPr="008F504A">
        <w:rPr>
          <w:rFonts w:ascii="Arial" w:hAnsi="Arial" w:cs="Arial"/>
          <w:sz w:val="21"/>
          <w:szCs w:val="21"/>
          <w:lang w:val="en-US"/>
        </w:rPr>
        <w:t xml:space="preserve">brakedown of GDP growth </w:t>
      </w:r>
      <w:r>
        <w:rPr>
          <w:rFonts w:ascii="Arial" w:hAnsi="Arial" w:cs="Arial"/>
          <w:sz w:val="21"/>
          <w:szCs w:val="21"/>
          <w:lang w:val="en-US"/>
        </w:rPr>
        <w:t>in a given quarter</w:t>
      </w:r>
      <w:r w:rsidRPr="008F504A">
        <w:rPr>
          <w:rFonts w:ascii="Arial" w:hAnsi="Arial" w:cs="Arial"/>
          <w:sz w:val="21"/>
          <w:szCs w:val="21"/>
          <w:lang w:val="en-US"/>
        </w:rPr>
        <w:t xml:space="preserve"> by demand </w:t>
      </w:r>
      <w:r>
        <w:rPr>
          <w:rFonts w:ascii="Arial" w:hAnsi="Arial" w:cs="Arial"/>
          <w:sz w:val="21"/>
          <w:szCs w:val="21"/>
          <w:lang w:val="en-US"/>
        </w:rPr>
        <w:t>(or supply) components for which the the sum of contributions of each sub-component is equal to GDP growth.</w:t>
      </w:r>
    </w:p>
    <w:p w:rsidR="00740478" w:rsidRPr="00F749D9" w:rsidRDefault="00740478" w:rsidP="00740478">
      <w:pPr>
        <w:spacing w:before="0" w:after="120"/>
        <w:jc w:val="both"/>
        <w:rPr>
          <w:rFonts w:ascii="Arial" w:hAnsi="Arial" w:cs="Arial"/>
          <w:sz w:val="21"/>
          <w:szCs w:val="21"/>
          <w:lang w:val="en-US"/>
        </w:rPr>
      </w:pPr>
      <w:r w:rsidRPr="00F749D9">
        <w:rPr>
          <w:rFonts w:ascii="Arial" w:hAnsi="Arial" w:cs="Arial"/>
          <w:b/>
          <w:bCs/>
          <w:sz w:val="21"/>
          <w:szCs w:val="21"/>
          <w:lang w:val="en-US"/>
        </w:rPr>
        <w:t xml:space="preserve">Gross domestic product at market prices (Gdp): </w:t>
      </w:r>
      <w:r w:rsidRPr="00F749D9">
        <w:rPr>
          <w:rFonts w:ascii="Arial" w:hAnsi="Arial" w:cs="Arial"/>
          <w:sz w:val="21"/>
          <w:szCs w:val="21"/>
          <w:lang w:val="en-US"/>
        </w:rPr>
        <w:t>final outcome of the production activity of resident units. Sum of the values added by all activities producing goods and services, plus taxes less subsidies on products.</w:t>
      </w:r>
    </w:p>
    <w:p w:rsidR="00740478" w:rsidRPr="00F749D9" w:rsidRDefault="00740478" w:rsidP="00740478">
      <w:pPr>
        <w:spacing w:before="0" w:after="120"/>
        <w:jc w:val="both"/>
        <w:rPr>
          <w:rFonts w:ascii="Arial" w:hAnsi="Arial" w:cs="Arial"/>
          <w:sz w:val="21"/>
          <w:szCs w:val="21"/>
          <w:lang w:val="en-US"/>
        </w:rPr>
      </w:pPr>
      <w:r w:rsidRPr="00F749D9">
        <w:rPr>
          <w:rFonts w:ascii="Arial" w:hAnsi="Arial" w:cs="Arial"/>
          <w:b/>
          <w:bCs/>
          <w:sz w:val="21"/>
          <w:szCs w:val="21"/>
          <w:lang w:val="en-US"/>
        </w:rPr>
        <w:t xml:space="preserve">Price deflators: </w:t>
      </w:r>
      <w:r w:rsidRPr="00F749D9">
        <w:rPr>
          <w:rFonts w:ascii="Arial" w:hAnsi="Arial" w:cs="Arial"/>
          <w:sz w:val="21"/>
          <w:szCs w:val="21"/>
          <w:lang w:val="en-US"/>
        </w:rPr>
        <w:t xml:space="preserve">ratio of the nominal (or current-price) measure of an economic aggregate to the corresponding real (or chain linked value) measure. It points out the relative part of the nominal growth due to </w:t>
      </w:r>
      <w:r w:rsidRPr="00F749D9">
        <w:rPr>
          <w:rFonts w:ascii="Arial" w:hAnsi="Arial" w:cs="Arial"/>
          <w:b/>
          <w:bCs/>
          <w:sz w:val="21"/>
          <w:szCs w:val="21"/>
          <w:lang w:val="en-US"/>
        </w:rPr>
        <w:t>Seasonal adjusted data:</w:t>
      </w:r>
      <w:r w:rsidRPr="00F749D9">
        <w:rPr>
          <w:rFonts w:ascii="Arial" w:hAnsi="Arial" w:cs="Arial"/>
          <w:sz w:val="21"/>
          <w:szCs w:val="21"/>
          <w:lang w:val="en-US"/>
        </w:rPr>
        <w:t xml:space="preserve"> time series where the effects due to seasonal fluctuations are removed. If not alternatively specified, seasonal adjusted data also include the removal of calendar effects. However, in quarterly national accounts we further specify “calendar adjusted data” when the effect is significant.</w:t>
      </w:r>
    </w:p>
    <w:p w:rsidR="00740478" w:rsidRPr="00F749D9" w:rsidRDefault="00740478" w:rsidP="00740478">
      <w:pPr>
        <w:spacing w:before="0" w:after="120"/>
        <w:jc w:val="both"/>
        <w:rPr>
          <w:rFonts w:ascii="Arial" w:hAnsi="Arial" w:cs="Arial"/>
          <w:sz w:val="21"/>
          <w:szCs w:val="21"/>
          <w:lang w:val="en-US"/>
        </w:rPr>
      </w:pPr>
      <w:r w:rsidRPr="00F749D9">
        <w:rPr>
          <w:rFonts w:ascii="Arial" w:hAnsi="Arial" w:cs="Arial"/>
          <w:b/>
          <w:bCs/>
          <w:sz w:val="21"/>
          <w:szCs w:val="21"/>
          <w:lang w:val="en-US"/>
        </w:rPr>
        <w:t>Quarter o</w:t>
      </w:r>
      <w:r>
        <w:rPr>
          <w:rFonts w:ascii="Arial" w:hAnsi="Arial" w:cs="Arial"/>
          <w:b/>
          <w:bCs/>
          <w:sz w:val="21"/>
          <w:szCs w:val="21"/>
          <w:lang w:val="en-US"/>
        </w:rPr>
        <w:t>n</w:t>
      </w:r>
      <w:r w:rsidRPr="00F749D9">
        <w:rPr>
          <w:rFonts w:ascii="Arial" w:hAnsi="Arial" w:cs="Arial"/>
          <w:b/>
          <w:bCs/>
          <w:sz w:val="21"/>
          <w:szCs w:val="21"/>
          <w:lang w:val="en-US"/>
        </w:rPr>
        <w:t xml:space="preserve"> quarter percent changes: </w:t>
      </w:r>
      <w:r w:rsidRPr="00F749D9">
        <w:rPr>
          <w:rFonts w:ascii="Arial" w:hAnsi="Arial" w:cs="Arial"/>
          <w:sz w:val="21"/>
          <w:szCs w:val="21"/>
          <w:lang w:val="en-US"/>
        </w:rPr>
        <w:t>change</w:t>
      </w:r>
      <w:r>
        <w:rPr>
          <w:rFonts w:ascii="Arial" w:hAnsi="Arial" w:cs="Arial"/>
          <w:sz w:val="21"/>
          <w:szCs w:val="21"/>
          <w:lang w:val="en-US"/>
        </w:rPr>
        <w:t>s</w:t>
      </w:r>
      <w:r w:rsidRPr="00F749D9">
        <w:rPr>
          <w:rFonts w:ascii="Arial" w:hAnsi="Arial" w:cs="Arial"/>
          <w:sz w:val="21"/>
          <w:szCs w:val="21"/>
          <w:lang w:val="en-US"/>
        </w:rPr>
        <w:t xml:space="preserve"> registered with respect to previous quarter.</w:t>
      </w:r>
    </w:p>
    <w:p w:rsidR="00740478" w:rsidRPr="00F749D9" w:rsidRDefault="00740478" w:rsidP="00740478">
      <w:pPr>
        <w:spacing w:before="0" w:after="120"/>
        <w:jc w:val="both"/>
        <w:rPr>
          <w:rFonts w:ascii="Arial" w:hAnsi="Arial" w:cs="Arial"/>
          <w:sz w:val="21"/>
          <w:szCs w:val="21"/>
          <w:lang w:val="en-US"/>
        </w:rPr>
      </w:pPr>
      <w:r>
        <w:rPr>
          <w:rFonts w:ascii="Arial" w:hAnsi="Arial" w:cs="Arial"/>
          <w:b/>
          <w:bCs/>
          <w:sz w:val="21"/>
          <w:szCs w:val="21"/>
          <w:lang w:val="en-US"/>
        </w:rPr>
        <w:t>Quarter on same quarter a y</w:t>
      </w:r>
      <w:r w:rsidRPr="00F749D9">
        <w:rPr>
          <w:rFonts w:ascii="Arial" w:hAnsi="Arial" w:cs="Arial"/>
          <w:b/>
          <w:bCs/>
          <w:sz w:val="21"/>
          <w:szCs w:val="21"/>
          <w:lang w:val="en-US"/>
        </w:rPr>
        <w:t xml:space="preserve">ear </w:t>
      </w:r>
      <w:r>
        <w:rPr>
          <w:rFonts w:ascii="Arial" w:hAnsi="Arial" w:cs="Arial"/>
          <w:b/>
          <w:bCs/>
          <w:sz w:val="21"/>
          <w:szCs w:val="21"/>
          <w:lang w:val="en-US"/>
        </w:rPr>
        <w:t>ago</w:t>
      </w:r>
      <w:r w:rsidRPr="00F749D9">
        <w:rPr>
          <w:rFonts w:ascii="Arial" w:hAnsi="Arial" w:cs="Arial"/>
          <w:b/>
          <w:bCs/>
          <w:sz w:val="21"/>
          <w:szCs w:val="21"/>
          <w:lang w:val="en-US"/>
        </w:rPr>
        <w:t xml:space="preserve"> percent changes: </w:t>
      </w:r>
      <w:r w:rsidRPr="00F749D9">
        <w:rPr>
          <w:rFonts w:ascii="Arial" w:hAnsi="Arial" w:cs="Arial"/>
          <w:sz w:val="21"/>
          <w:szCs w:val="21"/>
          <w:lang w:val="en-US"/>
        </w:rPr>
        <w:t>change</w:t>
      </w:r>
      <w:r>
        <w:rPr>
          <w:rFonts w:ascii="Arial" w:hAnsi="Arial" w:cs="Arial"/>
          <w:sz w:val="21"/>
          <w:szCs w:val="21"/>
          <w:lang w:val="en-US"/>
        </w:rPr>
        <w:t>s</w:t>
      </w:r>
      <w:r w:rsidRPr="00F749D9">
        <w:rPr>
          <w:rFonts w:ascii="Arial" w:hAnsi="Arial" w:cs="Arial"/>
          <w:sz w:val="21"/>
          <w:szCs w:val="21"/>
          <w:lang w:val="en-US"/>
        </w:rPr>
        <w:t xml:space="preserve"> registered with respect to same quarter of previous year.</w:t>
      </w:r>
    </w:p>
    <w:p w:rsidR="00740478" w:rsidRPr="00F749D9" w:rsidRDefault="00740478" w:rsidP="00740478">
      <w:pPr>
        <w:spacing w:before="0" w:after="120"/>
        <w:jc w:val="both"/>
        <w:rPr>
          <w:rFonts w:ascii="Arial" w:hAnsi="Arial" w:cs="Arial"/>
          <w:sz w:val="21"/>
          <w:szCs w:val="21"/>
          <w:lang w:val="en-US"/>
        </w:rPr>
      </w:pPr>
      <w:r w:rsidRPr="00F749D9">
        <w:rPr>
          <w:rFonts w:ascii="Arial" w:hAnsi="Arial" w:cs="Arial"/>
          <w:b/>
          <w:bCs/>
          <w:sz w:val="21"/>
          <w:szCs w:val="21"/>
          <w:lang w:val="en-US"/>
        </w:rPr>
        <w:t>Value added at basic prices:</w:t>
      </w:r>
      <w:r w:rsidRPr="00F749D9">
        <w:rPr>
          <w:rFonts w:ascii="Arial" w:hAnsi="Arial" w:cs="Arial"/>
          <w:sz w:val="21"/>
          <w:szCs w:val="21"/>
          <w:lang w:val="en-US"/>
        </w:rPr>
        <w:t>.difference between output at basic prices and intermediate consumption at market prices. The basic price is the amount received by the producer from the sale of goods and services, net from taxes on products but including subsidies on products.</w:t>
      </w:r>
    </w:p>
    <w:p w:rsidR="00FF6D03" w:rsidRPr="00033211" w:rsidRDefault="00FF6D03" w:rsidP="00CA5CB4">
      <w:pPr>
        <w:spacing w:before="0" w:after="120"/>
        <w:jc w:val="both"/>
        <w:rPr>
          <w:lang w:val="en-US"/>
        </w:rPr>
        <w:sectPr w:rsidR="00FF6D03" w:rsidRPr="00033211" w:rsidSect="00171C5C">
          <w:headerReference w:type="default" r:id="rId19"/>
          <w:pgSz w:w="11907" w:h="16840" w:code="9"/>
          <w:pgMar w:top="1534" w:right="851" w:bottom="680" w:left="851" w:header="567" w:footer="567" w:gutter="0"/>
          <w:cols w:space="720"/>
          <w:noEndnote/>
          <w:docGrid w:linePitch="272"/>
        </w:sectPr>
      </w:pPr>
      <w:r w:rsidRPr="00033211">
        <w:rPr>
          <w:lang w:val="en-US"/>
        </w:rPr>
        <w:tab/>
      </w:r>
    </w:p>
    <w:p w:rsidR="00532C76" w:rsidRDefault="00532C76" w:rsidP="000A4049">
      <w:pPr>
        <w:pStyle w:val="Corpotesto"/>
        <w:tabs>
          <w:tab w:val="left" w:pos="720"/>
        </w:tabs>
        <w:spacing w:after="120" w:line="240" w:lineRule="auto"/>
        <w:ind w:right="106"/>
        <w:rPr>
          <w:rFonts w:ascii="Arial" w:hAnsi="Arial" w:cs="Arial"/>
          <w:b/>
          <w:color w:val="000000"/>
          <w:sz w:val="22"/>
          <w:lang w:val="en-US"/>
        </w:rPr>
      </w:pPr>
    </w:p>
    <w:p w:rsidR="000A4049" w:rsidRPr="000A4049" w:rsidRDefault="000A4049" w:rsidP="000A4049">
      <w:pPr>
        <w:pStyle w:val="Corpotesto"/>
        <w:tabs>
          <w:tab w:val="left" w:pos="720"/>
        </w:tabs>
        <w:spacing w:after="120" w:line="240" w:lineRule="auto"/>
        <w:ind w:right="106"/>
        <w:rPr>
          <w:rFonts w:ascii="Arial" w:hAnsi="Arial" w:cs="Arial"/>
          <w:b/>
          <w:color w:val="000000"/>
          <w:sz w:val="22"/>
          <w:lang w:val="en-US"/>
        </w:rPr>
      </w:pPr>
      <w:r w:rsidRPr="000A4049">
        <w:rPr>
          <w:rFonts w:ascii="Arial" w:hAnsi="Arial" w:cs="Arial"/>
          <w:b/>
          <w:color w:val="000000"/>
          <w:sz w:val="22"/>
          <w:lang w:val="en-US"/>
        </w:rPr>
        <w:t>Preliminary estimate of quarterly GDP: introduction, regulatory framework</w:t>
      </w:r>
    </w:p>
    <w:p w:rsidR="000A4049" w:rsidRPr="000A4049" w:rsidRDefault="000A4049" w:rsidP="000A4049">
      <w:pPr>
        <w:tabs>
          <w:tab w:val="left" w:pos="168"/>
          <w:tab w:val="left" w:pos="1188"/>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120"/>
        <w:jc w:val="both"/>
        <w:rPr>
          <w:rFonts w:ascii="Arial" w:hAnsi="Arial" w:cs="Arial"/>
          <w:spacing w:val="-3"/>
          <w:lang w:val="en-US"/>
        </w:rPr>
      </w:pPr>
      <w:r w:rsidRPr="000A4049">
        <w:rPr>
          <w:rFonts w:ascii="Arial" w:hAnsi="Arial" w:cs="Arial"/>
          <w:lang w:val="en-US"/>
        </w:rPr>
        <w:t xml:space="preserve">Preliminary estimate of quarterly GDP (Gross Domestic Product) derives from </w:t>
      </w:r>
      <w:r w:rsidR="003D3628">
        <w:rPr>
          <w:rFonts w:ascii="Arial" w:hAnsi="Arial" w:cs="Arial"/>
          <w:lang w:val="en-US"/>
        </w:rPr>
        <w:t xml:space="preserve">the </w:t>
      </w:r>
      <w:r w:rsidR="003D3628" w:rsidRPr="000A4049">
        <w:rPr>
          <w:rFonts w:ascii="Arial" w:hAnsi="Arial" w:cs="Arial"/>
          <w:lang w:val="en-US"/>
        </w:rPr>
        <w:t xml:space="preserve">estimation </w:t>
      </w:r>
      <w:r w:rsidRPr="000A4049">
        <w:rPr>
          <w:rFonts w:ascii="Arial" w:hAnsi="Arial" w:cs="Arial"/>
          <w:lang w:val="en-US"/>
        </w:rPr>
        <w:t xml:space="preserve">process of quarterly national accounts performed at short delay with respect to the end of the reference quarter, when the information relative to most recent quarter is still partial and therefore subject to a relatively high level of approximation. The estimation process is the same as that of quarterly national accounts computed under a full information dataset, but it adopts simplifying assumptions on extrapolations of some (monthly or quarterly) indicators used within the complete procedure. GDP estimate is the result of a process that considers the aggregates both at current prices, and in volume, as well as both demand and supply components (the latter expressed in terms of value added). However, </w:t>
      </w:r>
      <w:r w:rsidR="00EF3E0C">
        <w:rPr>
          <w:rFonts w:ascii="Arial" w:hAnsi="Arial" w:cs="Arial"/>
          <w:lang w:val="en-US"/>
        </w:rPr>
        <w:t>notice</w:t>
      </w:r>
      <w:r w:rsidRPr="000A4049">
        <w:rPr>
          <w:rFonts w:ascii="Arial" w:hAnsi="Arial" w:cs="Arial"/>
          <w:lang w:val="en-US"/>
        </w:rPr>
        <w:t xml:space="preserve"> that preliminary estimates and, in general, those relative to most recent quarters (i.e. before annual accounts have been set) are more robust when computed from the supply side and therefore GDP results from the sum of value added by industry of economic activity. The independent estimates computed from the demand side take the important function of double-checking for the overall coherence of the macroeconomic framework, but the sum of consumption, gross fixed capital formation and net exports when subtracted from GDP determines the aggregate “change of inventories and statistical discrepancies” in which the second component (i.e. discrepancies) prevails. </w:t>
      </w:r>
    </w:p>
    <w:p w:rsidR="000A4049" w:rsidRPr="000A4049" w:rsidRDefault="000A4049" w:rsidP="000A4049">
      <w:pPr>
        <w:tabs>
          <w:tab w:val="left" w:pos="168"/>
          <w:tab w:val="left" w:pos="1188"/>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120"/>
        <w:jc w:val="both"/>
        <w:rPr>
          <w:rFonts w:ascii="Arial" w:hAnsi="Arial" w:cs="Arial"/>
          <w:spacing w:val="-3"/>
          <w:lang w:val="en-US"/>
        </w:rPr>
      </w:pPr>
      <w:r w:rsidRPr="000A4049">
        <w:rPr>
          <w:rFonts w:ascii="Arial" w:hAnsi="Arial" w:cs="Arial"/>
          <w:lang w:val="en-US"/>
        </w:rPr>
        <w:t xml:space="preserve">With preliminary estimates, the dissemination exclusively concerns GDP in chain-linked values with reference year </w:t>
      </w:r>
      <w:r w:rsidR="00D67A69">
        <w:rPr>
          <w:rFonts w:ascii="Arial" w:hAnsi="Arial" w:cs="Arial"/>
          <w:lang w:val="en-US"/>
        </w:rPr>
        <w:t>2015</w:t>
      </w:r>
      <w:r w:rsidRPr="000A4049">
        <w:rPr>
          <w:rFonts w:ascii="Arial" w:hAnsi="Arial" w:cs="Arial"/>
          <w:lang w:val="en-US"/>
        </w:rPr>
        <w:t xml:space="preserve">, since the estimates of underlying components are affected by high revision errors rendering them </w:t>
      </w:r>
      <w:r w:rsidR="00EF3E0C">
        <w:rPr>
          <w:rFonts w:ascii="Arial" w:hAnsi="Arial" w:cs="Arial"/>
          <w:lang w:val="en-US"/>
        </w:rPr>
        <w:t>not</w:t>
      </w:r>
      <w:r w:rsidRPr="000A4049">
        <w:rPr>
          <w:rFonts w:ascii="Arial" w:hAnsi="Arial" w:cs="Arial"/>
          <w:lang w:val="en-US"/>
        </w:rPr>
        <w:t xml:space="preserve"> informative to users.</w:t>
      </w:r>
    </w:p>
    <w:p w:rsidR="000A4049" w:rsidRPr="000A4049" w:rsidRDefault="000A4049" w:rsidP="000A4049">
      <w:pPr>
        <w:spacing w:before="0" w:after="120"/>
        <w:jc w:val="both"/>
        <w:rPr>
          <w:rFonts w:ascii="Arial" w:hAnsi="Arial" w:cs="Arial"/>
          <w:spacing w:val="-3"/>
          <w:lang w:val="en-US"/>
        </w:rPr>
      </w:pPr>
      <w:r w:rsidRPr="000A4049">
        <w:rPr>
          <w:rFonts w:ascii="Arial" w:hAnsi="Arial" w:cs="Arial"/>
          <w:lang w:val="en-US"/>
        </w:rPr>
        <w:t xml:space="preserve">In general quarterly national accounts adopt principles, definitions and structure of annual accounts, with few exceptions for the features which are typical of the quarterly time span of estimation. From the October 2014 edition on, methods and sources used in the estimate of quarterly national accounts follow the criteria defined by the European system of national and regional accounts (ESA 2010), that represent the application, at European level, of the system of national accounts (SNA 2008) by the United Nations. The methodological provisions established therein is embedded in a Regulation for member countries of the European union, ensuring comparability among estimates. ESA 2010 was adopted with </w:t>
      </w:r>
      <w:hyperlink r:id="rId20" w:history="1">
        <w:r w:rsidRPr="000A4049">
          <w:rPr>
            <w:rStyle w:val="Collegamentoipertestuale"/>
            <w:rFonts w:ascii="Arial" w:hAnsi="Arial" w:cs="Arial"/>
            <w:spacing w:val="-3"/>
            <w:lang w:val="en-US"/>
          </w:rPr>
          <w:t>Regulation (EU) No 549/2013 of the European Parliament and</w:t>
        </w:r>
      </w:hyperlink>
      <w:r w:rsidRPr="000A4049">
        <w:rPr>
          <w:rStyle w:val="Collegamentoipertestuale"/>
          <w:rFonts w:ascii="Arial" w:hAnsi="Arial" w:cs="Arial"/>
          <w:spacing w:val="-3"/>
          <w:lang w:val="en-US"/>
        </w:rPr>
        <w:t xml:space="preserve"> of the Council</w:t>
      </w:r>
      <w:r w:rsidRPr="000A4049">
        <w:rPr>
          <w:rFonts w:ascii="Arial" w:hAnsi="Arial" w:cs="Arial"/>
          <w:lang w:val="en-US"/>
        </w:rPr>
        <w:t xml:space="preserve"> that provides a compulsory data transmission program. Concerning quarterly national accounts, the regulation foresees processing and transmission of data within 60 days from the end of the reference quarter, while the preliminary estimate – computed at 30 days (previously 45 days) - is not subject to regulation, but it is coordinated by Eurostat on the basis of a 'gentleman's agreement' among member states.</w:t>
      </w:r>
    </w:p>
    <w:p w:rsidR="00ED3B4E" w:rsidRPr="00922FD4" w:rsidRDefault="00ED3B4E" w:rsidP="00ED3B4E">
      <w:pPr>
        <w:tabs>
          <w:tab w:val="left" w:pos="168"/>
          <w:tab w:val="left" w:pos="1188"/>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jc w:val="both"/>
        <w:rPr>
          <w:rFonts w:ascii="Arial" w:hAnsi="Arial" w:cs="Arial"/>
          <w:spacing w:val="-3"/>
          <w:lang w:val="en-US"/>
        </w:rPr>
      </w:pPr>
      <w:r w:rsidRPr="00922FD4">
        <w:rPr>
          <w:rFonts w:ascii="Arial" w:hAnsi="Arial"/>
          <w:lang w:val="en-US"/>
        </w:rPr>
        <w:t>The elaboration is inserted in the National Statistical Pro</w:t>
      </w:r>
      <w:r>
        <w:rPr>
          <w:rFonts w:ascii="Arial" w:hAnsi="Arial"/>
          <w:lang w:val="en-US"/>
        </w:rPr>
        <w:t xml:space="preserve">gramme (current edition: </w:t>
      </w:r>
      <w:r w:rsidRPr="005428FD">
        <w:rPr>
          <w:rFonts w:ascii="Arial" w:hAnsi="Arial"/>
          <w:lang w:val="en-US"/>
        </w:rPr>
        <w:t>PSN 2020-2022 – updating 2022) approved by Presidential Decree of 11 July 2023, published in </w:t>
      </w:r>
      <w:hyperlink r:id="rId21" w:tgtFrame="_blank" w:history="1">
        <w:r w:rsidRPr="00B17682">
          <w:rPr>
            <w:rFonts w:ascii="Arial" w:hAnsi="Arial"/>
            <w:lang w:val="en-US"/>
          </w:rPr>
          <w:t>Gazzetta Ufficiale - serie generale - n. 201 del 29 agosto 2023</w:t>
        </w:r>
      </w:hyperlink>
      <w:r>
        <w:rPr>
          <w:rFonts w:ascii="Arial" w:hAnsi="Arial"/>
          <w:lang w:val="en-US"/>
        </w:rPr>
        <w:t>)</w:t>
      </w:r>
      <w:r>
        <w:rPr>
          <w:rStyle w:val="Rimandonotaapidipagina"/>
          <w:rFonts w:ascii="Arial" w:hAnsi="Arial"/>
          <w:lang w:val="en-US"/>
        </w:rPr>
        <w:footnoteReference w:id="1"/>
      </w:r>
      <w:r w:rsidRPr="00922FD4">
        <w:rPr>
          <w:rFonts w:ascii="Arial" w:hAnsi="Arial"/>
          <w:lang w:val="en-US"/>
        </w:rPr>
        <w:t>.</w:t>
      </w:r>
    </w:p>
    <w:p w:rsidR="000A4049" w:rsidRPr="000A4049" w:rsidRDefault="000A4049" w:rsidP="000A4049">
      <w:pPr>
        <w:spacing w:before="0" w:after="120"/>
        <w:jc w:val="both"/>
        <w:rPr>
          <w:rFonts w:ascii="Arial" w:hAnsi="Arial" w:cs="Arial"/>
          <w:lang w:val="en-US"/>
        </w:rPr>
      </w:pPr>
    </w:p>
    <w:p w:rsidR="000A4049" w:rsidRPr="000A4049" w:rsidRDefault="000A4049" w:rsidP="000A4049">
      <w:pPr>
        <w:spacing w:before="0" w:after="120"/>
        <w:jc w:val="both"/>
        <w:rPr>
          <w:rFonts w:ascii="Arial" w:hAnsi="Arial" w:cs="Arial"/>
          <w:b/>
          <w:spacing w:val="-3"/>
          <w:lang w:val="en-US"/>
        </w:rPr>
      </w:pPr>
      <w:r w:rsidRPr="000A4049">
        <w:rPr>
          <w:rFonts w:ascii="Arial" w:hAnsi="Arial" w:cs="Arial"/>
          <w:b/>
          <w:lang w:val="en-US"/>
        </w:rPr>
        <w:t>Data processing: framework, instruments and techniques</w:t>
      </w:r>
    </w:p>
    <w:p w:rsidR="000A4049" w:rsidRPr="000A4049" w:rsidRDefault="000A4049" w:rsidP="000A4049">
      <w:pPr>
        <w:spacing w:before="0" w:after="120"/>
        <w:jc w:val="both"/>
        <w:rPr>
          <w:rFonts w:ascii="Arial" w:hAnsi="Arial" w:cs="Arial"/>
          <w:spacing w:val="-3"/>
          <w:lang w:val="en-US"/>
        </w:rPr>
      </w:pPr>
      <w:r w:rsidRPr="000A4049">
        <w:rPr>
          <w:rFonts w:ascii="Arial" w:hAnsi="Arial" w:cs="Arial"/>
          <w:lang w:val="en-US"/>
        </w:rPr>
        <w:t>As mentioned above, preliminary GDP estimate is the result of a specific application of the general procedure of quarterly national accounts in conditions of partial availability of many short-term indicators, that assume an essential role in the estimation process. The methods adopted for quick processing (at 30 days from the end of the quarter) are, therefore, basically the same as those used in the construction of the complete set of estimates that follow at 60 days.</w:t>
      </w:r>
    </w:p>
    <w:p w:rsidR="000A4049" w:rsidRPr="000A4049" w:rsidRDefault="000A4049" w:rsidP="000A4049">
      <w:pPr>
        <w:spacing w:before="0" w:after="120"/>
        <w:jc w:val="both"/>
        <w:rPr>
          <w:rFonts w:ascii="Arial" w:hAnsi="Arial" w:cs="Arial"/>
          <w:lang w:val="en-US"/>
        </w:rPr>
      </w:pPr>
      <w:r w:rsidRPr="000A4049">
        <w:rPr>
          <w:rFonts w:ascii="Arial" w:hAnsi="Arial" w:cs="Arial"/>
          <w:lang w:val="en-US"/>
        </w:rPr>
        <w:t xml:space="preserve">In general quarterly national accounts adopt an indirect method of compilation both for preliminary and final estimates on the basis of economic indicators that allow overcoming the limits imposed by reduced availability of direct measures. These methods consist of distributing annual accounts over quarters on the basis of the pattern of quarterly reference indicators. In particular, the technique </w:t>
      </w:r>
      <w:r w:rsidR="00EF3E0C">
        <w:rPr>
          <w:rFonts w:ascii="Arial" w:hAnsi="Arial" w:cs="Arial"/>
          <w:lang w:val="en-US"/>
        </w:rPr>
        <w:t>adopted by Istat</w:t>
      </w:r>
      <w:r w:rsidRPr="000A4049">
        <w:rPr>
          <w:rFonts w:ascii="Arial" w:hAnsi="Arial" w:cs="Arial"/>
          <w:lang w:val="en-US"/>
        </w:rPr>
        <w:t xml:space="preserve"> produces quarterly estimates on the basis of the relation - identified through an econometric method - between the specific annual accounts aggregate, and the value assumed in the same period by one or more suitable reference indicators. The method is used for estimation of quarterly data, both for periods </w:t>
      </w:r>
      <w:r w:rsidR="00EF3E0C">
        <w:rPr>
          <w:rFonts w:ascii="Arial" w:hAnsi="Arial" w:cs="Arial"/>
          <w:lang w:val="en-US"/>
        </w:rPr>
        <w:t xml:space="preserve">referred to the past, i.e.  </w:t>
      </w:r>
      <w:r w:rsidRPr="000A4049">
        <w:rPr>
          <w:rFonts w:ascii="Arial" w:hAnsi="Arial" w:cs="Arial"/>
          <w:lang w:val="en-US"/>
        </w:rPr>
        <w:t xml:space="preserve">when the annual value is already known and </w:t>
      </w:r>
      <w:r w:rsidR="00EF3E0C">
        <w:rPr>
          <w:rFonts w:ascii="Arial" w:hAnsi="Arial" w:cs="Arial"/>
          <w:lang w:val="en-US"/>
        </w:rPr>
        <w:t xml:space="preserve">for extrapolation, i.e. </w:t>
      </w:r>
      <w:r w:rsidRPr="000A4049">
        <w:rPr>
          <w:rFonts w:ascii="Arial" w:hAnsi="Arial" w:cs="Arial"/>
          <w:lang w:val="en-US"/>
        </w:rPr>
        <w:t>when the annual information is not yet available. Estimation is carried out separately for all the aggregates defined within the compilation of the accounts.</w:t>
      </w:r>
    </w:p>
    <w:p w:rsidR="000A4049" w:rsidRDefault="000A4049" w:rsidP="000A4049">
      <w:pPr>
        <w:spacing w:before="0" w:after="120"/>
        <w:jc w:val="both"/>
        <w:rPr>
          <w:rFonts w:ascii="Arial" w:hAnsi="Arial" w:cs="Arial"/>
          <w:lang w:val="en-US"/>
        </w:rPr>
      </w:pPr>
      <w:r w:rsidRPr="000A4049">
        <w:rPr>
          <w:rFonts w:ascii="Arial" w:hAnsi="Arial" w:cs="Arial"/>
          <w:lang w:val="en-US"/>
        </w:rPr>
        <w:t xml:space="preserve">In general, the series of quarterly </w:t>
      </w:r>
      <w:r w:rsidR="0045250F">
        <w:rPr>
          <w:rFonts w:ascii="Arial" w:hAnsi="Arial" w:cs="Arial"/>
          <w:lang w:val="en-US"/>
        </w:rPr>
        <w:t xml:space="preserve">national </w:t>
      </w:r>
      <w:r w:rsidRPr="000A4049">
        <w:rPr>
          <w:rFonts w:ascii="Arial" w:hAnsi="Arial" w:cs="Arial"/>
          <w:lang w:val="en-US"/>
        </w:rPr>
        <w:t xml:space="preserve">accounts are processed and issued both in unadjusted and adjusted form, where the adjustments concerns both calendar and seasonal effects. Moreover the measures are at current prices (millions of euros), at prices of previous year and in chain linked values with reference year </w:t>
      </w:r>
      <w:r w:rsidR="00D67A69">
        <w:rPr>
          <w:rFonts w:ascii="Arial" w:hAnsi="Arial" w:cs="Arial"/>
          <w:lang w:val="en-US"/>
        </w:rPr>
        <w:t>2015</w:t>
      </w:r>
      <w:r w:rsidRPr="000A4049">
        <w:rPr>
          <w:rFonts w:ascii="Arial" w:hAnsi="Arial" w:cs="Arial"/>
          <w:lang w:val="en-US"/>
        </w:rPr>
        <w:t xml:space="preserve">. The dissemination of preliminary estimates is limited to GDP </w:t>
      </w:r>
      <w:r w:rsidR="0045250F">
        <w:rPr>
          <w:rFonts w:ascii="Arial" w:hAnsi="Arial" w:cs="Arial"/>
          <w:lang w:val="en-US"/>
        </w:rPr>
        <w:t xml:space="preserve">in </w:t>
      </w:r>
      <w:r w:rsidRPr="000A4049">
        <w:rPr>
          <w:rFonts w:ascii="Arial" w:hAnsi="Arial" w:cs="Arial"/>
          <w:lang w:val="en-US"/>
        </w:rPr>
        <w:t>chain linked values seasonally and calendar adjusted. The series is available from the first quarter of 1996.</w:t>
      </w:r>
    </w:p>
    <w:p w:rsidR="00532C76" w:rsidRDefault="00532C76" w:rsidP="000A4049">
      <w:pPr>
        <w:spacing w:before="0" w:after="120"/>
        <w:jc w:val="both"/>
        <w:rPr>
          <w:rFonts w:ascii="Arial" w:hAnsi="Arial" w:cs="Arial"/>
          <w:lang w:val="en-US"/>
        </w:rPr>
      </w:pPr>
    </w:p>
    <w:p w:rsidR="00532C76" w:rsidRPr="000A4049" w:rsidRDefault="00532C76" w:rsidP="000A4049">
      <w:pPr>
        <w:spacing w:before="0" w:after="120"/>
        <w:jc w:val="both"/>
        <w:rPr>
          <w:rFonts w:ascii="Arial" w:hAnsi="Arial" w:cs="Arial"/>
          <w:lang w:val="en-US"/>
        </w:rPr>
      </w:pPr>
    </w:p>
    <w:p w:rsidR="000A4049" w:rsidRPr="000A4049" w:rsidRDefault="000A4049" w:rsidP="000A4049">
      <w:pPr>
        <w:spacing w:before="0" w:after="120"/>
        <w:jc w:val="both"/>
        <w:rPr>
          <w:rFonts w:ascii="Arial" w:hAnsi="Arial" w:cs="Arial"/>
          <w:lang w:val="en-US"/>
        </w:rPr>
      </w:pPr>
      <w:r w:rsidRPr="000A4049">
        <w:rPr>
          <w:rFonts w:ascii="Arial" w:hAnsi="Arial" w:cs="Arial"/>
          <w:lang w:val="en-US"/>
        </w:rPr>
        <w:t>The adjustment procedure from calendar effects is based on a regression method, and takes into account the number of working days, Easter holidays and leap year effects. Both calendar and seasonal adjustment operates over the reference indicators, and it is performed applying the reg-Arima approach within the TRAMO-SEATS procedure (version of September 2017 for Linux).</w:t>
      </w:r>
    </w:p>
    <w:p w:rsidR="000A4049" w:rsidRPr="000A4049" w:rsidRDefault="000A4049" w:rsidP="000A4049">
      <w:pPr>
        <w:spacing w:before="0" w:after="120"/>
        <w:jc w:val="both"/>
        <w:rPr>
          <w:rFonts w:ascii="Arial" w:hAnsi="Arial" w:cs="Arial"/>
          <w:lang w:val="en-US"/>
        </w:rPr>
      </w:pPr>
      <w:r w:rsidRPr="000A4049">
        <w:rPr>
          <w:rFonts w:ascii="Arial" w:hAnsi="Arial" w:cs="Arial"/>
          <w:lang w:val="en-US"/>
        </w:rPr>
        <w:t xml:space="preserve">For further details see the information note </w:t>
      </w:r>
      <w:hyperlink r:id="rId22" w:history="1">
        <w:r w:rsidRPr="000A4049">
          <w:rPr>
            <w:rStyle w:val="Collegamentoipertestuale"/>
            <w:rFonts w:ascii="Arial" w:hAnsi="Arial" w:cs="Arial"/>
            <w:lang w:val="en-US"/>
          </w:rPr>
          <w:t xml:space="preserve">I Conti economici </w:t>
        </w:r>
        <w:r w:rsidRPr="000A4049">
          <w:rPr>
            <w:rStyle w:val="Collegamentoipertestuale"/>
            <w:rFonts w:ascii="Arial" w:hAnsi="Arial" w:cs="Arial"/>
            <w:lang w:val="en-US"/>
          </w:rPr>
          <w:t>t</w:t>
        </w:r>
        <w:r w:rsidRPr="000A4049">
          <w:rPr>
            <w:rStyle w:val="Collegamentoipertestuale"/>
            <w:rFonts w:ascii="Arial" w:hAnsi="Arial" w:cs="Arial"/>
            <w:lang w:val="en-US"/>
          </w:rPr>
          <w:t>rimestrali.</w:t>
        </w:r>
      </w:hyperlink>
      <w:hyperlink r:id="rId23" w:history="1">
        <w:r w:rsidRPr="000A4049">
          <w:rPr>
            <w:rStyle w:val="Collegamentoipertestuale"/>
            <w:rFonts w:ascii="Arial" w:hAnsi="Arial" w:cs="Arial"/>
            <w:lang w:val="en-US"/>
          </w:rPr>
          <w:t xml:space="preserve"> Principali elementi informativi</w:t>
        </w:r>
      </w:hyperlink>
      <w:r w:rsidRPr="000A4049">
        <w:rPr>
          <w:rFonts w:ascii="Arial" w:hAnsi="Arial" w:cs="Arial"/>
          <w:lang w:val="en-US"/>
        </w:rPr>
        <w:t xml:space="preserve"> of September 2015 (in Italian), that presents the indirect method of quarterly disaggregation, a selected list of the main indicators used in the estimates, a summary description of the main variables subject to estimation and the link between accounting schemes and short-term indicators. Moreover, the note outlines estimation methods for value added and double deflation, final uses, labour inputs, income, costs and margins indicators, and the revision policy currently adopted. </w:t>
      </w:r>
    </w:p>
    <w:p w:rsidR="000A4049" w:rsidRPr="000A4049" w:rsidRDefault="000A4049" w:rsidP="000A4049">
      <w:pPr>
        <w:spacing w:before="0" w:after="120"/>
        <w:jc w:val="both"/>
        <w:rPr>
          <w:rFonts w:ascii="Arial" w:hAnsi="Arial" w:cs="Arial"/>
          <w:lang w:val="en-US"/>
        </w:rPr>
      </w:pPr>
      <w:r w:rsidRPr="000A4049">
        <w:rPr>
          <w:rFonts w:ascii="Arial" w:hAnsi="Arial" w:cs="Arial"/>
          <w:lang w:val="en-US"/>
        </w:rPr>
        <w:t xml:space="preserve">The major  innovations introduced by the adoption of ESA 2010 are discussed in </w:t>
      </w:r>
      <w:hyperlink r:id="rId24" w:history="1">
        <w:r w:rsidRPr="000A4049">
          <w:rPr>
            <w:rStyle w:val="Collegamentoipertestuale"/>
            <w:rFonts w:ascii="Arial" w:hAnsi="Arial" w:cs="Arial"/>
            <w:lang w:val="en-US"/>
          </w:rPr>
          <w:t>I conti trim</w:t>
        </w:r>
        <w:r w:rsidRPr="000A4049">
          <w:rPr>
            <w:rStyle w:val="Collegamentoipertestuale"/>
            <w:rFonts w:ascii="Arial" w:hAnsi="Arial" w:cs="Arial"/>
            <w:lang w:val="en-US"/>
          </w:rPr>
          <w:t>e</w:t>
        </w:r>
        <w:r w:rsidRPr="000A4049">
          <w:rPr>
            <w:rStyle w:val="Collegamentoipertestuale"/>
            <w:rFonts w:ascii="Arial" w:hAnsi="Arial" w:cs="Arial"/>
            <w:lang w:val="en-US"/>
          </w:rPr>
          <w:t>strali: innovazioni metodologiche e risultati</w:t>
        </w:r>
      </w:hyperlink>
      <w:r w:rsidRPr="000A4049">
        <w:rPr>
          <w:rFonts w:ascii="Arial" w:hAnsi="Arial" w:cs="Arial"/>
          <w:lang w:val="en-US"/>
        </w:rPr>
        <w:t xml:space="preserve"> (in Italian) relative to the presentation provided within the Istat seminar “Adoption of ESA 2010 and the general revision of national accounts” of December 2014.</w:t>
      </w:r>
    </w:p>
    <w:p w:rsidR="000A4049" w:rsidRPr="000A4049" w:rsidRDefault="000A4049" w:rsidP="000A404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120"/>
        <w:jc w:val="both"/>
        <w:rPr>
          <w:rFonts w:ascii="Arial" w:hAnsi="Arial" w:cs="Arial"/>
          <w:b/>
          <w:spacing w:val="-3"/>
          <w:lang w:val="en-US"/>
        </w:rPr>
      </w:pPr>
    </w:p>
    <w:p w:rsidR="000A4049" w:rsidRPr="000A4049" w:rsidRDefault="000A4049" w:rsidP="000A4049">
      <w:pPr>
        <w:spacing w:before="0" w:after="120"/>
        <w:jc w:val="both"/>
        <w:rPr>
          <w:rFonts w:ascii="Arial" w:hAnsi="Arial" w:cs="Arial"/>
          <w:b/>
          <w:spacing w:val="-3"/>
          <w:lang w:val="en-US"/>
        </w:rPr>
      </w:pPr>
      <w:r w:rsidRPr="000A4049">
        <w:rPr>
          <w:rFonts w:ascii="Arial" w:hAnsi="Arial" w:cs="Arial"/>
          <w:b/>
          <w:lang w:val="en-US"/>
        </w:rPr>
        <w:t>Information used in the estimate</w:t>
      </w:r>
    </w:p>
    <w:p w:rsidR="000A4049" w:rsidRPr="000A4049" w:rsidRDefault="000A4049" w:rsidP="000A4049">
      <w:pPr>
        <w:spacing w:before="0" w:after="120"/>
        <w:jc w:val="both"/>
        <w:rPr>
          <w:rFonts w:ascii="Arial" w:hAnsi="Arial" w:cs="Arial"/>
          <w:spacing w:val="-3"/>
          <w:lang w:val="en-US"/>
        </w:rPr>
      </w:pPr>
      <w:r w:rsidRPr="000A4049">
        <w:rPr>
          <w:rFonts w:ascii="Arial" w:hAnsi="Arial" w:cs="Arial"/>
          <w:lang w:val="en-US"/>
        </w:rPr>
        <w:t>As shown above, the preliminary estimate of GDP is obtained using the same procedures adopted for the complete set of estimates relative to quarterly national accounts released at 60 days from the end of the reference period and further revisions.</w:t>
      </w:r>
    </w:p>
    <w:p w:rsidR="000A4049" w:rsidRPr="000A4049" w:rsidRDefault="000A4049" w:rsidP="000A4049">
      <w:pPr>
        <w:spacing w:before="0" w:after="120"/>
        <w:jc w:val="both"/>
        <w:rPr>
          <w:rFonts w:ascii="Arial" w:hAnsi="Arial" w:cs="Arial"/>
          <w:spacing w:val="-3"/>
          <w:lang w:val="en-US"/>
        </w:rPr>
      </w:pPr>
      <w:r w:rsidRPr="000A4049">
        <w:rPr>
          <w:rFonts w:ascii="Arial" w:hAnsi="Arial" w:cs="Arial"/>
          <w:lang w:val="en-US"/>
        </w:rPr>
        <w:t xml:space="preserve">For each aggregate to which the temporal disaggregation procedure is applied, one or more quarterly and/or monthly indicators are selected in order to reproduce the quarterly pattern of the aggregate. These indicators are the same in both the estimates at </w:t>
      </w:r>
      <w:r w:rsidR="0045250F">
        <w:rPr>
          <w:rFonts w:ascii="Arial" w:hAnsi="Arial" w:cs="Arial"/>
          <w:lang w:val="en-US"/>
        </w:rPr>
        <w:t>30</w:t>
      </w:r>
      <w:r w:rsidRPr="000A4049">
        <w:rPr>
          <w:rFonts w:ascii="Arial" w:hAnsi="Arial" w:cs="Arial"/>
          <w:lang w:val="en-US"/>
        </w:rPr>
        <w:t xml:space="preserve"> and 60 days from the end of the quarter, but with a coverage that, in many cases, is significantly lower at the first deadline. F</w:t>
      </w:r>
      <w:r w:rsidR="0045250F">
        <w:rPr>
          <w:rFonts w:ascii="Arial" w:hAnsi="Arial" w:cs="Arial"/>
          <w:lang w:val="en-US"/>
        </w:rPr>
        <w:t>or some of them, like producer</w:t>
      </w:r>
      <w:r w:rsidRPr="000A4049">
        <w:rPr>
          <w:rFonts w:ascii="Arial" w:hAnsi="Arial" w:cs="Arial"/>
          <w:lang w:val="en-US"/>
        </w:rPr>
        <w:t xml:space="preserve"> and consumer price indices, data are fully available over the entire quarter at 30 days. In many other cases two monthly indices out of three are available at 30 days (see part of data of external trade or production in construction) and the third month requires to be extrapolated. </w:t>
      </w:r>
      <w:r w:rsidR="0045250F">
        <w:rPr>
          <w:rFonts w:ascii="Arial" w:hAnsi="Arial" w:cs="Arial"/>
          <w:lang w:val="en-US"/>
        </w:rPr>
        <w:t xml:space="preserve">Only for industrial production </w:t>
      </w:r>
      <w:r w:rsidR="00704D7E">
        <w:rPr>
          <w:rFonts w:ascii="Arial" w:hAnsi="Arial" w:cs="Arial"/>
          <w:lang w:val="en-US"/>
        </w:rPr>
        <w:t xml:space="preserve">a preliminary estimate of </w:t>
      </w:r>
      <w:r w:rsidR="0045250F">
        <w:rPr>
          <w:rFonts w:ascii="Arial" w:hAnsi="Arial" w:cs="Arial"/>
          <w:lang w:val="en-US"/>
        </w:rPr>
        <w:t xml:space="preserve">data </w:t>
      </w:r>
      <w:r w:rsidR="00704D7E">
        <w:rPr>
          <w:rFonts w:ascii="Arial" w:hAnsi="Arial" w:cs="Arial"/>
          <w:lang w:val="en-US"/>
        </w:rPr>
        <w:t xml:space="preserve">relative to the </w:t>
      </w:r>
      <w:r w:rsidR="0045250F">
        <w:rPr>
          <w:rFonts w:ascii="Arial" w:hAnsi="Arial" w:cs="Arial"/>
          <w:lang w:val="en-US"/>
        </w:rPr>
        <w:t xml:space="preserve">third month </w:t>
      </w:r>
      <w:r w:rsidR="00704D7E">
        <w:rPr>
          <w:rFonts w:ascii="Arial" w:hAnsi="Arial" w:cs="Arial"/>
          <w:lang w:val="en-US"/>
        </w:rPr>
        <w:t xml:space="preserve">is carried out </w:t>
      </w:r>
      <w:r w:rsidR="0045250F">
        <w:rPr>
          <w:rFonts w:ascii="Arial" w:hAnsi="Arial" w:cs="Arial"/>
          <w:lang w:val="en-US"/>
        </w:rPr>
        <w:t xml:space="preserve">by Istat </w:t>
      </w:r>
      <w:r w:rsidR="00704D7E">
        <w:rPr>
          <w:rFonts w:ascii="Arial" w:hAnsi="Arial" w:cs="Arial"/>
          <w:lang w:val="en-US"/>
        </w:rPr>
        <w:t xml:space="preserve">over incomplete information and without publication. </w:t>
      </w:r>
      <w:r w:rsidRPr="000A4049">
        <w:rPr>
          <w:rFonts w:ascii="Arial" w:hAnsi="Arial" w:cs="Arial"/>
          <w:lang w:val="en-US"/>
        </w:rPr>
        <w:t>Concerning quarterly indicators (e.g. turnover index of market services), data of the most recent quarter is not available at all and therefore requires to be fully extrapolated, by univariate time series models.</w:t>
      </w:r>
    </w:p>
    <w:p w:rsidR="000A4049" w:rsidRPr="000A4049" w:rsidRDefault="000A4049" w:rsidP="000A4049">
      <w:pPr>
        <w:spacing w:before="0" w:after="120"/>
        <w:jc w:val="both"/>
        <w:rPr>
          <w:rFonts w:ascii="Arial" w:hAnsi="Arial" w:cs="Arial"/>
          <w:spacing w:val="-3"/>
          <w:lang w:val="en-US"/>
        </w:rPr>
      </w:pPr>
    </w:p>
    <w:p w:rsidR="000A4049" w:rsidRPr="000A4049" w:rsidRDefault="000A4049" w:rsidP="000A4049">
      <w:pPr>
        <w:spacing w:before="0" w:after="120"/>
        <w:rPr>
          <w:rFonts w:ascii="Arial" w:hAnsi="Arial" w:cs="Arial"/>
          <w:b/>
          <w:color w:val="000000"/>
          <w:lang w:val="en-US"/>
        </w:rPr>
      </w:pPr>
      <w:r w:rsidRPr="000A4049">
        <w:rPr>
          <w:rFonts w:ascii="Arial" w:hAnsi="Arial" w:cs="Arial"/>
          <w:b/>
          <w:color w:val="000000"/>
          <w:lang w:val="en-US"/>
        </w:rPr>
        <w:t xml:space="preserve">Revision policy </w:t>
      </w:r>
    </w:p>
    <w:p w:rsidR="000A4049" w:rsidRPr="000A4049" w:rsidRDefault="000A4049" w:rsidP="000A4049">
      <w:pPr>
        <w:spacing w:before="0" w:after="120"/>
        <w:jc w:val="both"/>
        <w:rPr>
          <w:rFonts w:ascii="Arial" w:hAnsi="Arial" w:cs="Arial"/>
          <w:lang w:val="en-US"/>
        </w:rPr>
      </w:pPr>
      <w:r w:rsidRPr="000A4049">
        <w:rPr>
          <w:rFonts w:ascii="Arial" w:hAnsi="Arial" w:cs="Arial"/>
          <w:lang w:val="en-US"/>
        </w:rPr>
        <w:t xml:space="preserve">Istat adopts a revision policy for quarterly national accounts, that is completely aligned with the European recommendations regarding the cycle of ordinary revisions derived from the normal update of </w:t>
      </w:r>
      <w:r w:rsidR="00901CEE">
        <w:rPr>
          <w:rFonts w:ascii="Arial" w:hAnsi="Arial" w:cs="Arial"/>
          <w:lang w:val="en-US"/>
        </w:rPr>
        <w:t xml:space="preserve">adopted </w:t>
      </w:r>
      <w:r w:rsidRPr="000A4049">
        <w:rPr>
          <w:rFonts w:ascii="Arial" w:hAnsi="Arial" w:cs="Arial"/>
          <w:lang w:val="en-US"/>
        </w:rPr>
        <w:t>indicators.</w:t>
      </w:r>
    </w:p>
    <w:p w:rsidR="000A4049" w:rsidRPr="000A4049" w:rsidRDefault="000A4049" w:rsidP="000A4049">
      <w:pPr>
        <w:spacing w:before="0" w:after="120"/>
        <w:jc w:val="both"/>
        <w:rPr>
          <w:rFonts w:ascii="Arial" w:hAnsi="Arial" w:cs="Arial"/>
          <w:lang w:val="en-US"/>
        </w:rPr>
      </w:pPr>
      <w:r w:rsidRPr="000A4049">
        <w:rPr>
          <w:rFonts w:ascii="Arial" w:hAnsi="Arial" w:cs="Arial"/>
          <w:lang w:val="en-US"/>
        </w:rPr>
        <w:t>The case of extraordinary r</w:t>
      </w:r>
      <w:r w:rsidR="00901CEE">
        <w:rPr>
          <w:rFonts w:ascii="Arial" w:hAnsi="Arial" w:cs="Arial"/>
          <w:lang w:val="en-US"/>
        </w:rPr>
        <w:t>evisions is somewhat  different</w:t>
      </w:r>
      <w:r w:rsidRPr="000A4049">
        <w:rPr>
          <w:rFonts w:ascii="Arial" w:hAnsi="Arial" w:cs="Arial"/>
          <w:lang w:val="en-US"/>
        </w:rPr>
        <w:t>, since they take place following wider modifications, and impact on the entire time series of estimates, as in the case of general revisions of national accounts carried out to incorporate improvements of sources and methods.</w:t>
      </w:r>
    </w:p>
    <w:p w:rsidR="000A4049" w:rsidRPr="000A4049" w:rsidRDefault="000A4049" w:rsidP="000A4049">
      <w:pPr>
        <w:spacing w:before="0" w:after="120"/>
        <w:jc w:val="both"/>
        <w:rPr>
          <w:rFonts w:ascii="Arial" w:hAnsi="Arial" w:cs="Arial"/>
          <w:lang w:val="en-US"/>
        </w:rPr>
      </w:pPr>
      <w:r w:rsidRPr="007C7670">
        <w:rPr>
          <w:rFonts w:ascii="Arial" w:hAnsi="Arial" w:cs="Arial"/>
          <w:lang w:val="en-US"/>
        </w:rPr>
        <w:t xml:space="preserve">The </w:t>
      </w:r>
      <w:hyperlink r:id="rId25" w:history="1">
        <w:r w:rsidR="007C7670" w:rsidRPr="007C7670">
          <w:rPr>
            <w:rStyle w:val="Collegamentoipertestuale"/>
            <w:rFonts w:ascii="Arial" w:hAnsi="Arial" w:cs="Arial"/>
            <w:lang w:val="en-US"/>
          </w:rPr>
          <w:t>informative sheet an</w:t>
        </w:r>
        <w:r w:rsidR="007C7670" w:rsidRPr="007C7670">
          <w:rPr>
            <w:rStyle w:val="Collegamentoipertestuale"/>
            <w:rFonts w:ascii="Arial" w:hAnsi="Arial" w:cs="Arial"/>
            <w:lang w:val="en-US"/>
          </w:rPr>
          <w:t>d</w:t>
        </w:r>
        <w:r w:rsidR="007C7670" w:rsidRPr="007C7670">
          <w:rPr>
            <w:rStyle w:val="Collegamentoipertestuale"/>
            <w:rFonts w:ascii="Arial" w:hAnsi="Arial" w:cs="Arial"/>
            <w:lang w:val="en-US"/>
          </w:rPr>
          <w:t xml:space="preserve"> revision calendar</w:t>
        </w:r>
      </w:hyperlink>
      <w:r w:rsidRPr="000A4049">
        <w:rPr>
          <w:rFonts w:ascii="Arial" w:hAnsi="Arial" w:cs="Arial"/>
          <w:lang w:val="en-US"/>
        </w:rPr>
        <w:t xml:space="preserve"> of quarterly national accounts available on the Istat website describes the timeline of ordinary revisions with respect to both reference period and type of estimate (in Italian). To sum up, with the preliminary estimate of GDP, data are reviewed from the first quarter of four years preceding the </w:t>
      </w:r>
      <w:r w:rsidR="007C7670">
        <w:rPr>
          <w:rFonts w:ascii="Arial" w:hAnsi="Arial" w:cs="Arial"/>
          <w:lang w:val="en-US"/>
        </w:rPr>
        <w:t xml:space="preserve">release date of the </w:t>
      </w:r>
      <w:r w:rsidRPr="000A4049">
        <w:rPr>
          <w:rFonts w:ascii="Arial" w:hAnsi="Arial" w:cs="Arial"/>
          <w:lang w:val="en-US"/>
        </w:rPr>
        <w:t>estimated quarter (</w:t>
      </w:r>
      <w:hyperlink r:id="rId26" w:history="1">
        <w:r w:rsidRPr="000A4049">
          <w:rPr>
            <w:rStyle w:val="Collegamentoipertestuale"/>
            <w:rFonts w:ascii="Arial" w:hAnsi="Arial" w:cs="Arial"/>
            <w:lang w:val="en-US"/>
          </w:rPr>
          <w:t>http://www.istat.it/it/congiu</w:t>
        </w:r>
        <w:r w:rsidRPr="000A4049">
          <w:rPr>
            <w:rStyle w:val="Collegamentoipertestuale"/>
            <w:rFonts w:ascii="Arial" w:hAnsi="Arial" w:cs="Arial"/>
            <w:lang w:val="en-US"/>
          </w:rPr>
          <w:t>n</w:t>
        </w:r>
        <w:r w:rsidRPr="000A4049">
          <w:rPr>
            <w:rStyle w:val="Collegamentoipertestuale"/>
            <w:rFonts w:ascii="Arial" w:hAnsi="Arial" w:cs="Arial"/>
            <w:lang w:val="en-US"/>
          </w:rPr>
          <w:t>tura/revisioni</w:t>
        </w:r>
      </w:hyperlink>
      <w:r w:rsidRPr="000A4049">
        <w:rPr>
          <w:rFonts w:ascii="Arial" w:hAnsi="Arial" w:cs="Arial"/>
          <w:lang w:val="en-US"/>
        </w:rPr>
        <w:t xml:space="preserve">). </w:t>
      </w:r>
    </w:p>
    <w:p w:rsidR="000A4049" w:rsidRPr="000A4049" w:rsidRDefault="000A4049" w:rsidP="000A4049">
      <w:pPr>
        <w:pStyle w:val="Rientrocorpodeltesto31"/>
        <w:tabs>
          <w:tab w:val="clear" w:pos="0"/>
        </w:tabs>
        <w:spacing w:after="120" w:line="240" w:lineRule="auto"/>
        <w:ind w:left="0"/>
        <w:rPr>
          <w:rFonts w:ascii="Arial" w:hAnsi="Arial" w:cs="Arial"/>
          <w:b/>
          <w:color w:val="000000"/>
          <w:szCs w:val="22"/>
          <w:lang w:val="en-US"/>
        </w:rPr>
      </w:pPr>
    </w:p>
    <w:p w:rsidR="000A4049" w:rsidRPr="000A4049" w:rsidRDefault="000A4049" w:rsidP="000A4049">
      <w:pPr>
        <w:pStyle w:val="Corpotesto"/>
        <w:tabs>
          <w:tab w:val="left" w:pos="720"/>
        </w:tabs>
        <w:spacing w:after="120" w:line="240" w:lineRule="auto"/>
        <w:ind w:right="106"/>
        <w:rPr>
          <w:rFonts w:ascii="Arial" w:hAnsi="Arial" w:cs="Arial"/>
          <w:b/>
          <w:sz w:val="22"/>
          <w:lang w:val="en-US"/>
        </w:rPr>
      </w:pPr>
      <w:r w:rsidRPr="000A4049">
        <w:rPr>
          <w:rFonts w:ascii="Arial" w:hAnsi="Arial" w:cs="Arial"/>
          <w:b/>
          <w:color w:val="000000"/>
          <w:sz w:val="22"/>
          <w:lang w:val="en-US"/>
        </w:rPr>
        <w:t>Coverage and territorial breakdown</w:t>
      </w:r>
    </w:p>
    <w:p w:rsidR="000A4049" w:rsidRPr="000A4049" w:rsidRDefault="000A4049" w:rsidP="000A4049">
      <w:pPr>
        <w:spacing w:before="0" w:after="120"/>
        <w:rPr>
          <w:rFonts w:ascii="Arial" w:hAnsi="Arial" w:cs="Arial"/>
          <w:lang w:val="en-US"/>
        </w:rPr>
      </w:pPr>
      <w:r w:rsidRPr="000A4049">
        <w:rPr>
          <w:rFonts w:ascii="Arial" w:hAnsi="Arial" w:cs="Arial"/>
          <w:lang w:val="en-US"/>
        </w:rPr>
        <w:t>The preliminary GDP estimates concern, by definition, only the entire national territory and are presented without any sector detail.</w:t>
      </w:r>
    </w:p>
    <w:p w:rsidR="000A4049" w:rsidRPr="000A4049" w:rsidRDefault="000A4049" w:rsidP="000A4049">
      <w:pPr>
        <w:spacing w:before="0" w:after="120"/>
        <w:rPr>
          <w:rFonts w:ascii="Arial" w:hAnsi="Arial" w:cs="Arial"/>
          <w:lang w:val="en-US"/>
        </w:rPr>
      </w:pPr>
    </w:p>
    <w:p w:rsidR="000A4049" w:rsidRPr="000A4049" w:rsidRDefault="000A4049" w:rsidP="000A4049">
      <w:pPr>
        <w:pStyle w:val="Corpotesto"/>
        <w:tabs>
          <w:tab w:val="left" w:pos="720"/>
        </w:tabs>
        <w:spacing w:after="120" w:line="240" w:lineRule="auto"/>
        <w:ind w:right="106"/>
        <w:rPr>
          <w:rFonts w:ascii="Arial" w:hAnsi="Arial" w:cs="Arial"/>
          <w:b/>
          <w:sz w:val="22"/>
          <w:lang w:val="en-US"/>
        </w:rPr>
      </w:pPr>
      <w:r w:rsidRPr="000A4049">
        <w:rPr>
          <w:rFonts w:ascii="Arial" w:hAnsi="Arial" w:cs="Arial"/>
          <w:b/>
          <w:color w:val="000000"/>
          <w:sz w:val="22"/>
          <w:lang w:val="en-US"/>
        </w:rPr>
        <w:t>Timeliness</w:t>
      </w:r>
    </w:p>
    <w:p w:rsidR="000A4049" w:rsidRPr="000A4049" w:rsidRDefault="000A4049" w:rsidP="000A4049">
      <w:pPr>
        <w:pStyle w:val="Corpotesto"/>
        <w:tabs>
          <w:tab w:val="left" w:pos="720"/>
        </w:tabs>
        <w:spacing w:after="120" w:line="240" w:lineRule="auto"/>
        <w:ind w:right="106"/>
        <w:rPr>
          <w:rFonts w:ascii="Arial" w:hAnsi="Arial" w:cs="Arial"/>
          <w:lang w:val="en-US"/>
        </w:rPr>
      </w:pPr>
      <w:r w:rsidRPr="000A4049">
        <w:rPr>
          <w:rFonts w:ascii="Arial" w:hAnsi="Arial" w:cs="Arial"/>
          <w:lang w:val="en-US"/>
        </w:rPr>
        <w:t>The preliminary estimate of GDP in chain-linked values is published at approximately 30 days from the end of the reference quarter, following a calendar coordinated at European level.</w:t>
      </w:r>
    </w:p>
    <w:p w:rsidR="000A4049" w:rsidRDefault="000A4049" w:rsidP="000A4049">
      <w:pPr>
        <w:pStyle w:val="Corpotesto"/>
        <w:tabs>
          <w:tab w:val="left" w:pos="720"/>
        </w:tabs>
        <w:spacing w:after="120" w:line="240" w:lineRule="auto"/>
        <w:ind w:right="106"/>
        <w:rPr>
          <w:rFonts w:ascii="Arial" w:hAnsi="Arial" w:cs="Arial"/>
          <w:lang w:val="en-US"/>
        </w:rPr>
      </w:pPr>
    </w:p>
    <w:p w:rsidR="00532C76" w:rsidRDefault="00532C76" w:rsidP="000A4049">
      <w:pPr>
        <w:pStyle w:val="Corpotesto"/>
        <w:tabs>
          <w:tab w:val="left" w:pos="720"/>
        </w:tabs>
        <w:spacing w:after="120" w:line="240" w:lineRule="auto"/>
        <w:ind w:right="106"/>
        <w:rPr>
          <w:rFonts w:ascii="Arial" w:hAnsi="Arial" w:cs="Arial"/>
          <w:lang w:val="en-US"/>
        </w:rPr>
      </w:pPr>
    </w:p>
    <w:p w:rsidR="00532C76" w:rsidRDefault="00532C76" w:rsidP="000A4049">
      <w:pPr>
        <w:pStyle w:val="Corpotesto"/>
        <w:tabs>
          <w:tab w:val="left" w:pos="720"/>
        </w:tabs>
        <w:spacing w:after="120" w:line="240" w:lineRule="auto"/>
        <w:ind w:right="106"/>
        <w:rPr>
          <w:rFonts w:ascii="Arial" w:hAnsi="Arial" w:cs="Arial"/>
          <w:lang w:val="en-US"/>
        </w:rPr>
      </w:pPr>
    </w:p>
    <w:p w:rsidR="000A4049" w:rsidRPr="000A4049" w:rsidRDefault="000A4049" w:rsidP="000A4049">
      <w:pPr>
        <w:pStyle w:val="Corpotesto"/>
        <w:tabs>
          <w:tab w:val="left" w:pos="720"/>
        </w:tabs>
        <w:spacing w:after="120" w:line="240" w:lineRule="auto"/>
        <w:ind w:right="106"/>
        <w:rPr>
          <w:rFonts w:ascii="Arial" w:hAnsi="Arial" w:cs="Arial"/>
          <w:b/>
          <w:color w:val="000000"/>
          <w:lang w:val="en-US"/>
        </w:rPr>
      </w:pPr>
      <w:r w:rsidRPr="000A4049">
        <w:rPr>
          <w:rFonts w:ascii="Arial" w:hAnsi="Arial" w:cs="Arial"/>
          <w:b/>
          <w:color w:val="000000"/>
          <w:sz w:val="22"/>
          <w:lang w:val="en-US"/>
        </w:rPr>
        <w:t>Dissemination</w:t>
      </w:r>
    </w:p>
    <w:p w:rsidR="000A4049" w:rsidRPr="000A4049" w:rsidRDefault="000A4049" w:rsidP="000A4049">
      <w:pPr>
        <w:pStyle w:val="Rientrocorpodeltesto31"/>
        <w:spacing w:after="120" w:line="240" w:lineRule="auto"/>
        <w:ind w:left="0"/>
        <w:rPr>
          <w:rFonts w:ascii="Arial" w:hAnsi="Arial" w:cs="Arial"/>
          <w:sz w:val="20"/>
          <w:lang w:val="en-US"/>
        </w:rPr>
      </w:pPr>
      <w:r w:rsidRPr="000A4049">
        <w:rPr>
          <w:rFonts w:ascii="Arial" w:hAnsi="Arial" w:cs="Arial"/>
          <w:sz w:val="20"/>
          <w:lang w:val="en-US"/>
        </w:rPr>
        <w:t>The time series of GDP in chain-linked values in excel format is attached to the quarterly press release, “Preliminary GDP estimate”.</w:t>
      </w:r>
    </w:p>
    <w:p w:rsidR="006A71F6" w:rsidRDefault="006A71F6" w:rsidP="006A71F6">
      <w:pPr>
        <w:pStyle w:val="Rientrocorpodeltesto31"/>
        <w:spacing w:after="120" w:line="240" w:lineRule="auto"/>
        <w:ind w:left="0"/>
        <w:rPr>
          <w:rFonts w:ascii="Arial" w:hAnsi="Arial" w:cs="Arial"/>
          <w:sz w:val="20"/>
          <w:lang w:val="en-US"/>
        </w:rPr>
      </w:pPr>
      <w:r w:rsidRPr="000A4049">
        <w:rPr>
          <w:rFonts w:ascii="Arial" w:hAnsi="Arial" w:cs="Arial"/>
          <w:sz w:val="20"/>
          <w:lang w:val="en-US"/>
        </w:rPr>
        <w:t xml:space="preserve">The same series is released in the data warehouse </w:t>
      </w:r>
      <w:hyperlink r:id="rId27" w:anchor="/en" w:history="1">
        <w:r w:rsidRPr="00E65915">
          <w:rPr>
            <w:rStyle w:val="Collegamentoipertestuale"/>
            <w:rFonts w:ascii="Arial" w:hAnsi="Arial" w:cs="Arial"/>
            <w:sz w:val="20"/>
            <w:lang w:val="en-US"/>
          </w:rPr>
          <w:t>IstatData</w:t>
        </w:r>
      </w:hyperlink>
      <w:r w:rsidRPr="000A4049">
        <w:rPr>
          <w:rFonts w:ascii="Arial" w:hAnsi="Arial" w:cs="Arial"/>
          <w:sz w:val="20"/>
          <w:lang w:val="en-US"/>
        </w:rPr>
        <w:t xml:space="preserve"> in the section "</w:t>
      </w:r>
      <w:hyperlink r:id="rId28" w:anchor="/en/dw/categories/IT1,DATAWAREHOUSE,1.0/UP_ACC_TRIMES" w:history="1">
        <w:r w:rsidRPr="00C82BFD">
          <w:rPr>
            <w:rStyle w:val="Collegamentoipertestuale"/>
            <w:rFonts w:ascii="Arial" w:hAnsi="Arial" w:cs="Arial"/>
            <w:sz w:val="20"/>
            <w:lang w:val="en-US"/>
          </w:rPr>
          <w:t>National accounts/Quarterly national accounts</w:t>
        </w:r>
      </w:hyperlink>
      <w:r w:rsidRPr="000A4049">
        <w:rPr>
          <w:rFonts w:ascii="Arial" w:hAnsi="Arial" w:cs="Arial"/>
          <w:sz w:val="20"/>
          <w:lang w:val="en-US"/>
        </w:rPr>
        <w:t xml:space="preserve">” when the press release is available on the </w:t>
      </w:r>
      <w:r>
        <w:rPr>
          <w:rFonts w:ascii="Arial" w:hAnsi="Arial" w:cs="Arial"/>
          <w:sz w:val="20"/>
          <w:lang w:val="en-US"/>
        </w:rPr>
        <w:t>web</w:t>
      </w:r>
      <w:r w:rsidRPr="000A4049">
        <w:rPr>
          <w:rFonts w:ascii="Arial" w:hAnsi="Arial" w:cs="Arial"/>
          <w:sz w:val="20"/>
          <w:lang w:val="en-US"/>
        </w:rPr>
        <w:t>site</w:t>
      </w:r>
      <w:r>
        <w:rPr>
          <w:rFonts w:ascii="Arial" w:hAnsi="Arial" w:cs="Arial"/>
          <w:sz w:val="20"/>
          <w:lang w:val="en-US"/>
        </w:rPr>
        <w:t xml:space="preserve">. </w:t>
      </w:r>
      <w:r>
        <w:rPr>
          <w:rFonts w:ascii="Arial" w:hAnsi="Arial" w:cs="Arial"/>
          <w:color w:val="222222"/>
          <w:sz w:val="23"/>
          <w:szCs w:val="23"/>
          <w:shd w:val="clear" w:color="auto" w:fill="FFFFFF"/>
          <w:lang w:val="en-US"/>
        </w:rPr>
        <w:t>T</w:t>
      </w:r>
      <w:r>
        <w:rPr>
          <w:rFonts w:ascii="Arial" w:hAnsi="Arial" w:cs="Arial"/>
          <w:sz w:val="20"/>
          <w:lang w:val="en-US"/>
        </w:rPr>
        <w:t xml:space="preserve">he </w:t>
      </w:r>
      <w:r w:rsidRPr="00E65915">
        <w:rPr>
          <w:rFonts w:ascii="Arial" w:hAnsi="Arial" w:cs="Arial"/>
          <w:sz w:val="20"/>
          <w:lang w:val="en-US"/>
        </w:rPr>
        <w:t>new Istat’s data dissemination platform will gradually replace the</w:t>
      </w:r>
      <w:r>
        <w:rPr>
          <w:rFonts w:ascii="Arial" w:hAnsi="Arial" w:cs="Arial"/>
          <w:sz w:val="20"/>
          <w:lang w:val="en-US"/>
        </w:rPr>
        <w:t xml:space="preserve"> </w:t>
      </w:r>
      <w:hyperlink r:id="rId29" w:history="1">
        <w:r w:rsidRPr="000A4049">
          <w:rPr>
            <w:rStyle w:val="Collegamentoipertestuale"/>
            <w:rFonts w:ascii="Arial" w:hAnsi="Arial" w:cs="Arial"/>
            <w:sz w:val="20"/>
            <w:lang w:val="en-US"/>
          </w:rPr>
          <w:t>I.Stat</w:t>
        </w:r>
      </w:hyperlink>
      <w:r w:rsidRPr="00E65915">
        <w:rPr>
          <w:rFonts w:ascii="Arial" w:hAnsi="Arial" w:cs="Arial"/>
          <w:sz w:val="20"/>
          <w:lang w:val="en-US"/>
        </w:rPr>
        <w:t xml:space="preserve"> data access system. Until the data transfer is completed, the two systems will coexist.</w:t>
      </w:r>
      <w:r>
        <w:rPr>
          <w:rFonts w:ascii="Arial" w:hAnsi="Arial" w:cs="Arial"/>
          <w:sz w:val="20"/>
          <w:lang w:val="en-US"/>
        </w:rPr>
        <w:t xml:space="preserve"> </w:t>
      </w:r>
    </w:p>
    <w:p w:rsidR="000079A1" w:rsidRDefault="000079A1" w:rsidP="000079A1">
      <w:pPr>
        <w:pStyle w:val="Rientrocorpodeltesto31"/>
        <w:spacing w:after="120" w:line="240" w:lineRule="auto"/>
        <w:ind w:left="0"/>
        <w:rPr>
          <w:rFonts w:ascii="Arial" w:hAnsi="Arial" w:cs="Arial"/>
          <w:sz w:val="20"/>
          <w:lang w:val="en-US"/>
        </w:rPr>
      </w:pPr>
    </w:p>
    <w:p w:rsidR="000079A1" w:rsidRDefault="000079A1" w:rsidP="000079A1">
      <w:pPr>
        <w:pStyle w:val="Rientrocorpodeltesto31"/>
        <w:spacing w:after="120" w:line="240" w:lineRule="auto"/>
        <w:ind w:left="0"/>
        <w:rPr>
          <w:rFonts w:ascii="Arial" w:hAnsi="Arial" w:cs="Arial"/>
          <w:sz w:val="20"/>
          <w:lang w:val="en-US"/>
        </w:rPr>
      </w:pPr>
    </w:p>
    <w:p w:rsidR="000079A1" w:rsidRDefault="000079A1" w:rsidP="000079A1">
      <w:pPr>
        <w:pStyle w:val="Rientrocorpodeltesto31"/>
        <w:spacing w:after="120" w:line="240" w:lineRule="auto"/>
        <w:ind w:left="0"/>
        <w:rPr>
          <w:rFonts w:ascii="Arial" w:hAnsi="Arial" w:cs="Arial"/>
          <w:sz w:val="20"/>
          <w:lang w:val="en-US"/>
        </w:rPr>
      </w:pPr>
    </w:p>
    <w:p w:rsidR="000079A1" w:rsidRPr="009B6ACC" w:rsidRDefault="000079A1" w:rsidP="000079A1">
      <w:pPr>
        <w:spacing w:after="120"/>
        <w:jc w:val="both"/>
        <w:rPr>
          <w:rFonts w:ascii="Arial" w:hAnsi="Arial" w:cs="Arial"/>
          <w:sz w:val="22"/>
          <w:szCs w:val="22"/>
          <w:lang w:val="en-GB"/>
        </w:rPr>
      </w:pPr>
    </w:p>
    <w:p w:rsidR="000079A1" w:rsidRPr="009B6ACC" w:rsidRDefault="000079A1" w:rsidP="000079A1">
      <w:pPr>
        <w:spacing w:after="120"/>
        <w:jc w:val="both"/>
        <w:rPr>
          <w:rFonts w:ascii="Arial" w:hAnsi="Arial" w:cs="Arial"/>
          <w:sz w:val="22"/>
          <w:szCs w:val="22"/>
          <w:lang w:val="en-GB"/>
        </w:rPr>
      </w:pPr>
    </w:p>
    <w:p w:rsidR="000079A1" w:rsidRDefault="000079A1" w:rsidP="000079A1">
      <w:pPr>
        <w:pStyle w:val="NormaleWeb"/>
        <w:spacing w:before="0" w:beforeAutospacing="0" w:after="120" w:afterAutospacing="0"/>
        <w:rPr>
          <w:rFonts w:ascii="Arial" w:hAnsi="Arial" w:cs="Arial"/>
          <w:bCs/>
          <w:color w:val="CD242F"/>
          <w:sz w:val="36"/>
          <w:szCs w:val="36"/>
        </w:rPr>
      </w:pPr>
      <w:r>
        <w:rPr>
          <w:rFonts w:ascii="Arial" w:hAnsi="Arial" w:cs="Arial"/>
          <w:bCs/>
          <w:color w:val="CD242F"/>
          <w:sz w:val="36"/>
          <w:szCs w:val="36"/>
        </w:rPr>
        <w:t>For technical and methodological information</w:t>
      </w:r>
    </w:p>
    <w:p w:rsidR="000079A1" w:rsidRDefault="000079A1" w:rsidP="000079A1">
      <w:pPr>
        <w:pStyle w:val="NormaleWeb"/>
        <w:spacing w:before="0" w:beforeAutospacing="0" w:after="120" w:afterAutospacing="0"/>
        <w:rPr>
          <w:rFonts w:ascii="Arial" w:hAnsi="Arial" w:cs="Arial"/>
          <w:bCs/>
          <w:color w:val="CD242F"/>
          <w:sz w:val="36"/>
          <w:szCs w:val="36"/>
        </w:rPr>
      </w:pPr>
    </w:p>
    <w:tbl>
      <w:tblPr>
        <w:tblW w:w="4851" w:type="dxa"/>
        <w:tblBorders>
          <w:top w:val="dotted" w:sz="4" w:space="0" w:color="808080"/>
        </w:tblBorders>
        <w:tblLook w:val="04A0" w:firstRow="1" w:lastRow="0" w:firstColumn="1" w:lastColumn="0" w:noHBand="0" w:noVBand="1"/>
      </w:tblPr>
      <w:tblGrid>
        <w:gridCol w:w="4851"/>
      </w:tblGrid>
      <w:tr w:rsidR="000079A1" w:rsidTr="00E51486">
        <w:trPr>
          <w:trHeight w:val="1134"/>
        </w:trPr>
        <w:tc>
          <w:tcPr>
            <w:tcW w:w="4851" w:type="dxa"/>
            <w:tcBorders>
              <w:top w:val="dotted" w:sz="4" w:space="0" w:color="808080"/>
              <w:left w:val="nil"/>
              <w:bottom w:val="dotted" w:sz="4" w:space="0" w:color="808080"/>
              <w:right w:val="nil"/>
            </w:tcBorders>
            <w:tcMar>
              <w:top w:w="170" w:type="dxa"/>
              <w:left w:w="0" w:type="dxa"/>
              <w:bottom w:w="0" w:type="dxa"/>
              <w:right w:w="0" w:type="dxa"/>
            </w:tcMar>
            <w:hideMark/>
          </w:tcPr>
          <w:p w:rsidR="000079A1" w:rsidRPr="0058712D" w:rsidRDefault="000079A1" w:rsidP="00E51486">
            <w:pPr>
              <w:pStyle w:val="NormaleWeb"/>
              <w:spacing w:before="0" w:beforeAutospacing="0" w:after="120" w:afterAutospacing="0"/>
              <w:rPr>
                <w:rFonts w:ascii="Arial" w:hAnsi="Arial" w:cs="Arial"/>
                <w:b/>
                <w:bCs/>
                <w:color w:val="CD242F"/>
                <w:sz w:val="22"/>
                <w:szCs w:val="22"/>
              </w:rPr>
            </w:pPr>
            <w:r w:rsidRPr="0058712D">
              <w:rPr>
                <w:rFonts w:ascii="Arial" w:hAnsi="Arial" w:cs="Arial"/>
                <w:b/>
                <w:bCs/>
                <w:color w:val="CD242F"/>
                <w:sz w:val="22"/>
                <w:szCs w:val="22"/>
              </w:rPr>
              <w:t>Filippo Moauro</w:t>
            </w:r>
          </w:p>
          <w:p w:rsidR="000079A1" w:rsidRPr="0058712D" w:rsidRDefault="000079A1" w:rsidP="00E51486">
            <w:pPr>
              <w:pStyle w:val="NormaleWeb"/>
              <w:spacing w:before="0" w:beforeAutospacing="0" w:after="0" w:afterAutospacing="0"/>
              <w:rPr>
                <w:rStyle w:val="Collegamentoipertestuale"/>
                <w:rFonts w:ascii="Arial" w:hAnsi="Arial" w:cs="Arial"/>
                <w:color w:val="000000"/>
              </w:rPr>
            </w:pPr>
            <w:r w:rsidRPr="0058712D">
              <w:rPr>
                <w:rFonts w:ascii="Arial" w:hAnsi="Arial" w:cs="Arial"/>
                <w:color w:val="000000"/>
              </w:rPr>
              <w:t>tel. +39 06 4673.3188</w:t>
            </w:r>
            <w:r w:rsidRPr="0058712D">
              <w:rPr>
                <w:rFonts w:ascii="Arial" w:hAnsi="Arial" w:cs="Arial"/>
                <w:color w:val="000000"/>
              </w:rPr>
              <w:br/>
            </w:r>
            <w:hyperlink r:id="rId30" w:history="1">
              <w:r w:rsidRPr="0058712D">
                <w:rPr>
                  <w:rStyle w:val="Collegamentoipertestuale"/>
                  <w:rFonts w:ascii="Arial" w:hAnsi="Arial" w:cs="Arial"/>
                </w:rPr>
                <w:t>moauro@istat.it</w:t>
              </w:r>
            </w:hyperlink>
          </w:p>
        </w:tc>
      </w:tr>
    </w:tbl>
    <w:p w:rsidR="000079A1" w:rsidRPr="000079A1" w:rsidRDefault="000079A1" w:rsidP="000A4049">
      <w:pPr>
        <w:pStyle w:val="Rientrocorpodeltesto31"/>
        <w:spacing w:after="120" w:line="240" w:lineRule="auto"/>
        <w:ind w:left="0"/>
        <w:rPr>
          <w:rFonts w:ascii="Arial" w:hAnsi="Arial" w:cs="Arial"/>
          <w:sz w:val="20"/>
        </w:rPr>
      </w:pPr>
    </w:p>
    <w:sectPr w:rsidR="000079A1" w:rsidRPr="000079A1" w:rsidSect="00171C5C">
      <w:headerReference w:type="default" r:id="rId31"/>
      <w:pgSz w:w="11907" w:h="16840" w:code="9"/>
      <w:pgMar w:top="1534" w:right="851" w:bottom="680" w:left="851" w:header="567" w:footer="567"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D35" w:rsidRDefault="00696D35">
      <w:r>
        <w:separator/>
      </w:r>
    </w:p>
  </w:endnote>
  <w:endnote w:type="continuationSeparator" w:id="0">
    <w:p w:rsidR="00696D35" w:rsidRDefault="00696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Roman">
    <w:altName w:val="Courier New"/>
    <w:charset w:val="00"/>
    <w:family w:val="auto"/>
    <w:pitch w:val="variable"/>
    <w:sig w:usb0="00000001"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FF6" w:rsidRPr="00655DA6" w:rsidRDefault="006F2241" w:rsidP="00655DA6">
    <w:pPr>
      <w:pStyle w:val="Pidipagina"/>
      <w:ind w:left="1560"/>
    </w:pPr>
    <w:r w:rsidRPr="00171C5C">
      <w:rPr>
        <w:rFonts w:ascii="Calibri" w:hAnsi="Calibri"/>
        <w:b/>
        <w:noProof/>
        <w:color w:val="E31C18"/>
        <w:sz w:val="28"/>
        <w:szCs w:val="28"/>
      </w:rPr>
      <w:drawing>
        <wp:anchor distT="0" distB="0" distL="114300" distR="114300" simplePos="0" relativeHeight="251654144" behindDoc="0" locked="0" layoutInCell="1" allowOverlap="1">
          <wp:simplePos x="0" y="0"/>
          <wp:positionH relativeFrom="column">
            <wp:posOffset>13335</wp:posOffset>
          </wp:positionH>
          <wp:positionV relativeFrom="paragraph">
            <wp:posOffset>-107950</wp:posOffset>
          </wp:positionV>
          <wp:extent cx="943610" cy="390525"/>
          <wp:effectExtent l="0" t="0" r="0" b="0"/>
          <wp:wrapNone/>
          <wp:docPr id="26" name="Immagine 8" descr="Descrizione: Logo a col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Descrizione: Logo a color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361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655DA6" w:rsidRPr="00171C5C">
      <w:rPr>
        <w:rStyle w:val="Numeropagina"/>
        <w:rFonts w:ascii="Calibri" w:hAnsi="Calibri"/>
        <w:b/>
        <w:color w:val="E31C18"/>
        <w:sz w:val="28"/>
        <w:szCs w:val="28"/>
      </w:rPr>
      <w:t xml:space="preserve">| </w:t>
    </w:r>
    <w:r w:rsidR="00655DA6" w:rsidRPr="00171C5C">
      <w:rPr>
        <w:rFonts w:ascii="Calibri" w:hAnsi="Calibri"/>
        <w:color w:val="5F5F5F"/>
        <w:sz w:val="24"/>
        <w:szCs w:val="24"/>
      </w:rPr>
      <w:fldChar w:fldCharType="begin"/>
    </w:r>
    <w:r w:rsidR="00655DA6" w:rsidRPr="00171C5C">
      <w:rPr>
        <w:rFonts w:ascii="Calibri" w:hAnsi="Calibri"/>
        <w:color w:val="5F5F5F"/>
        <w:sz w:val="24"/>
        <w:szCs w:val="24"/>
      </w:rPr>
      <w:instrText>PAGE   \* MERGEFORMAT</w:instrText>
    </w:r>
    <w:r w:rsidR="00655DA6" w:rsidRPr="00171C5C">
      <w:rPr>
        <w:rFonts w:ascii="Calibri" w:hAnsi="Calibri"/>
        <w:color w:val="5F5F5F"/>
        <w:sz w:val="24"/>
        <w:szCs w:val="24"/>
      </w:rPr>
      <w:fldChar w:fldCharType="separate"/>
    </w:r>
    <w:r w:rsidR="00B16786">
      <w:rPr>
        <w:rFonts w:ascii="Calibri" w:hAnsi="Calibri"/>
        <w:noProof/>
        <w:color w:val="5F5F5F"/>
        <w:sz w:val="24"/>
        <w:szCs w:val="24"/>
      </w:rPr>
      <w:t>2</w:t>
    </w:r>
    <w:r w:rsidR="00655DA6" w:rsidRPr="00171C5C">
      <w:rPr>
        <w:rFonts w:ascii="Calibri" w:hAnsi="Calibri"/>
        <w:color w:val="5F5F5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D35" w:rsidRDefault="00696D35">
      <w:r>
        <w:separator/>
      </w:r>
    </w:p>
  </w:footnote>
  <w:footnote w:type="continuationSeparator" w:id="0">
    <w:p w:rsidR="00696D35" w:rsidRDefault="00696D35">
      <w:r>
        <w:continuationSeparator/>
      </w:r>
    </w:p>
  </w:footnote>
  <w:footnote w:id="1">
    <w:p w:rsidR="00ED3B4E" w:rsidRPr="00697346" w:rsidRDefault="00ED3B4E" w:rsidP="00ED3B4E">
      <w:pPr>
        <w:pStyle w:val="Testonotaapidipagina"/>
        <w:spacing w:before="0" w:after="0"/>
        <w:rPr>
          <w:rFonts w:ascii="Arial" w:hAnsi="Arial" w:cs="Arial"/>
          <w:sz w:val="16"/>
          <w:szCs w:val="16"/>
          <w:lang w:val="en-US"/>
        </w:rPr>
      </w:pPr>
      <w:r w:rsidRPr="00697346">
        <w:rPr>
          <w:rStyle w:val="Rimandonotaapidipagina"/>
          <w:rFonts w:ascii="Arial" w:hAnsi="Arial" w:cs="Arial"/>
        </w:rPr>
        <w:footnoteRef/>
      </w:r>
      <w:r w:rsidRPr="00B17682">
        <w:rPr>
          <w:lang w:val="en-US"/>
        </w:rPr>
        <w:t xml:space="preserve"> </w:t>
      </w:r>
      <w:r w:rsidRPr="00697346">
        <w:rPr>
          <w:rFonts w:ascii="Arial" w:hAnsi="Arial" w:cs="Arial"/>
          <w:sz w:val="16"/>
          <w:szCs w:val="16"/>
          <w:lang w:val="en-US"/>
        </w:rPr>
        <w:t>Only available in Italian. See</w:t>
      </w:r>
      <w:r>
        <w:rPr>
          <w:rFonts w:ascii="Arial" w:hAnsi="Arial" w:cs="Arial"/>
          <w:sz w:val="16"/>
          <w:szCs w:val="16"/>
          <w:lang w:val="en-US"/>
        </w:rPr>
        <w:t xml:space="preserve"> </w:t>
      </w:r>
      <w:r w:rsidRPr="005428FD">
        <w:rPr>
          <w:rStyle w:val="Collegamentoipertestuale"/>
          <w:rFonts w:ascii="Arial" w:hAnsi="Arial" w:cs="Arial"/>
          <w:sz w:val="16"/>
          <w:szCs w:val="16"/>
          <w:lang w:val="en-US"/>
        </w:rPr>
        <w:t>https://www.sistan.it/index.php?id=668</w:t>
      </w:r>
      <w:r>
        <w:rPr>
          <w:rFonts w:ascii="Arial" w:hAnsi="Arial" w:cs="Arial"/>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E9D" w:rsidRDefault="006F2241" w:rsidP="009E5F03">
    <w:pPr>
      <w:pStyle w:val="Intestazione"/>
    </w:pPr>
    <w:r>
      <w:rPr>
        <w:noProof/>
      </w:rPr>
      <w:drawing>
        <wp:anchor distT="0" distB="0" distL="114300" distR="114300" simplePos="0" relativeHeight="251661312" behindDoc="0" locked="0" layoutInCell="1" allowOverlap="1">
          <wp:simplePos x="0" y="0"/>
          <wp:positionH relativeFrom="column">
            <wp:posOffset>24765</wp:posOffset>
          </wp:positionH>
          <wp:positionV relativeFrom="paragraph">
            <wp:posOffset>-69850</wp:posOffset>
          </wp:positionV>
          <wp:extent cx="5417820" cy="1024255"/>
          <wp:effectExtent l="0" t="0" r="0" b="0"/>
          <wp:wrapNone/>
          <wp:docPr id="10" name="Im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rrowheads="1"/>
                  </pic:cNvPicPr>
                </pic:nvPicPr>
                <pic:blipFill>
                  <a:blip r:embed="rId1">
                    <a:extLst>
                      <a:ext uri="{28A0092B-C50C-407E-A947-70E740481C1C}">
                        <a14:useLocalDpi xmlns:a14="http://schemas.microsoft.com/office/drawing/2010/main" val="0"/>
                      </a:ext>
                    </a:extLst>
                  </a:blip>
                  <a:srcRect r="15942" b="6419"/>
                  <a:stretch>
                    <a:fillRect/>
                  </a:stretch>
                </pic:blipFill>
                <pic:spPr bwMode="auto">
                  <a:xfrm>
                    <a:off x="0" y="0"/>
                    <a:ext cx="5417820" cy="10242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simplePos x="0" y="0"/>
              <wp:positionH relativeFrom="margin">
                <wp:posOffset>5428615</wp:posOffset>
              </wp:positionH>
              <wp:positionV relativeFrom="paragraph">
                <wp:posOffset>62865</wp:posOffset>
              </wp:positionV>
              <wp:extent cx="1041400" cy="921385"/>
              <wp:effectExtent l="0" t="0" r="0" b="0"/>
              <wp:wrapNone/>
              <wp:docPr id="9"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1400" cy="921385"/>
                      </a:xfrm>
                      <a:prstGeom prst="rect">
                        <a:avLst/>
                      </a:prstGeom>
                      <a:solidFill>
                        <a:sysClr val="window" lastClr="FFFFFF"/>
                      </a:solidFill>
                      <a:ln w="6350">
                        <a:noFill/>
                      </a:ln>
                    </wps:spPr>
                    <wps:txbx>
                      <w:txbxContent>
                        <w:p w:rsidR="00451A05" w:rsidRPr="00463C8D" w:rsidRDefault="00451A05" w:rsidP="00451A05">
                          <w:pPr>
                            <w:spacing w:after="120" w:line="180" w:lineRule="exact"/>
                            <w:rPr>
                              <w:rFonts w:ascii="Arial Narrow" w:hAnsi="Arial Narrow"/>
                              <w:sz w:val="18"/>
                              <w:szCs w:val="18"/>
                              <w:lang w:val="en-US"/>
                            </w:rPr>
                          </w:pPr>
                          <w:hyperlink r:id="rId2" w:history="1">
                            <w:r w:rsidRPr="00463C8D">
                              <w:rPr>
                                <w:rStyle w:val="Collegamentoipertestuale"/>
                                <w:rFonts w:ascii="Arial Narrow" w:hAnsi="Arial Narrow"/>
                                <w:sz w:val="18"/>
                                <w:szCs w:val="18"/>
                                <w:lang w:val="en-US"/>
                              </w:rPr>
                              <w:t>http://www.istat.it/en/</w:t>
                            </w:r>
                          </w:hyperlink>
                        </w:p>
                        <w:p w:rsidR="00451A05" w:rsidRDefault="00451A05" w:rsidP="00451A05">
                          <w:pPr>
                            <w:spacing w:after="120" w:line="180" w:lineRule="exact"/>
                            <w:rPr>
                              <w:rFonts w:ascii="Arial Narrow" w:hAnsi="Arial Narrow"/>
                              <w:sz w:val="18"/>
                              <w:szCs w:val="18"/>
                              <w:lang w:val="en-US"/>
                            </w:rPr>
                          </w:pPr>
                          <w:hyperlink r:id="rId3" w:history="1">
                            <w:r w:rsidRPr="00D27E9B">
                              <w:rPr>
                                <w:rStyle w:val="Collegamentoipertestuale"/>
                                <w:rFonts w:ascii="Arial Narrow" w:hAnsi="Arial Narrow"/>
                                <w:bCs/>
                                <w:sz w:val="18"/>
                                <w:szCs w:val="18"/>
                                <w:lang w:val="en-US"/>
                              </w:rPr>
                              <w:t xml:space="preserve">Contact Center </w:t>
                            </w:r>
                          </w:hyperlink>
                        </w:p>
                        <w:p w:rsidR="00451A05" w:rsidRDefault="00451A05" w:rsidP="00451A05">
                          <w:pPr>
                            <w:spacing w:after="120" w:line="180" w:lineRule="exact"/>
                            <w:rPr>
                              <w:rFonts w:ascii="Arial Narrow" w:hAnsi="Arial Narrow"/>
                              <w:b/>
                              <w:bCs/>
                              <w:sz w:val="18"/>
                              <w:szCs w:val="18"/>
                              <w:lang w:val="en-US"/>
                            </w:rPr>
                          </w:pPr>
                          <w:r>
                            <w:rPr>
                              <w:rFonts w:ascii="Arial Narrow" w:hAnsi="Arial Narrow"/>
                              <w:b/>
                              <w:bCs/>
                              <w:sz w:val="18"/>
                              <w:szCs w:val="18"/>
                              <w:lang w:val="en-US"/>
                            </w:rPr>
                            <w:t>Press Office</w:t>
                          </w:r>
                          <w:r>
                            <w:rPr>
                              <w:rFonts w:ascii="Arial Narrow" w:hAnsi="Arial Narrow"/>
                              <w:b/>
                              <w:bCs/>
                              <w:sz w:val="18"/>
                              <w:szCs w:val="18"/>
                              <w:lang w:val="en-US"/>
                            </w:rPr>
                            <w:br/>
                          </w:r>
                          <w:r>
                            <w:rPr>
                              <w:rFonts w:ascii="Arial Narrow" w:hAnsi="Arial Narrow"/>
                              <w:sz w:val="18"/>
                              <w:szCs w:val="18"/>
                              <w:lang w:val="en-US"/>
                            </w:rPr>
                            <w:t>tel. +39 06 4673.2243/4</w:t>
                          </w:r>
                        </w:p>
                        <w:p w:rsidR="00451A05" w:rsidRDefault="00451A05" w:rsidP="00451A05">
                          <w:pPr>
                            <w:spacing w:after="120" w:line="180" w:lineRule="exact"/>
                            <w:rPr>
                              <w:rFonts w:ascii="Arial Narrow" w:hAnsi="Arial Narrow"/>
                              <w:b/>
                              <w:bCs/>
                              <w:color w:val="7F7F7F"/>
                              <w:sz w:val="18"/>
                              <w:szCs w:val="18"/>
                              <w:lang w:val="en-US"/>
                            </w:rPr>
                          </w:pPr>
                          <w:r>
                            <w:rPr>
                              <w:rFonts w:ascii="Arial Narrow" w:hAnsi="Arial Narrow"/>
                              <w:b/>
                              <w:bCs/>
                              <w:color w:val="7F7F7F"/>
                              <w:sz w:val="18"/>
                              <w:szCs w:val="18"/>
                              <w:lang w:val="en-US"/>
                            </w:rPr>
                            <w:t>ufficiostampa@istat.it</w:t>
                          </w:r>
                        </w:p>
                        <w:p w:rsidR="00451A05" w:rsidRDefault="00451A05" w:rsidP="00451A05">
                          <w:pPr>
                            <w:rPr>
                              <w:rFonts w:ascii="Arial Narrow" w:hAnsi="Arial Narrow"/>
                              <w:b/>
                              <w:bCs/>
                              <w:color w:val="7F7F7F"/>
                              <w:sz w:val="18"/>
                              <w:szCs w:val="18"/>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6" o:spid="_x0000_s1027" type="#_x0000_t202" style="position:absolute;margin-left:427.45pt;margin-top:4.95pt;width:82pt;height:7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LPoUAIAAJsEAAAOAAAAZHJzL2Uyb0RvYy54bWysVE1v2zAMvQ/YfxB0X+2kH2iDOEWWIsOA&#10;oC2QDj0rslwLk0VNVGJnv36UbKddt9OwHBRKpEg9vkfPb7vGsIPyqMEWfHKWc6ashFLbl4J/e1p/&#10;uuYMg7ClMGBVwY8K+e3i44d562ZqCjWYUnlGSSzOWlfwOgQ3yzKUtWoEnoFTlpwV+EYE2vqXrPSi&#10;peyNyaZ5fpW14EvnQSpEOr3rnXyR8leVkuGhqlAFZgpObwtp9WndxTVbzMXsxQtXazk8Q/zDKxqh&#10;LRU9pboTQbC913+karT0gFCFMwlNBlWlpUoYCM0kf4dmWwunEhZqDrpTm/D/pZX3h0fPdFnwG86s&#10;aIiilUBljGClZkFhAHYVu9Q6nFHw1lF46D5DR2wnxOg2IL8jhWRvYvoLSNGxK13lm/hPeBldJCKO&#10;p+arLjAZs+UXk4ucXJJ8N9PJ+fVlrJu93nYewxcFDYtGwT2Rm14gDhsMfegYEoshGF2utTFpc8SV&#10;8ewgSAcknxJazozAQIcFX6ffUO23a8aytuBX55d5qmQh5utLGTsg7kFG7KHbdeSM5g7KI3XKQ684&#10;dHKt6dUbKvkoPEmMgNLYhAdaKgNUBAaLsxr8z7+dx3hinryctSTZguOPvfCKkHy1pImo79Hwo7Eb&#10;DbtvVkDoJzSQTiaTLvhgRrPy0DzTNC1jFXIJK6lWwcNorkI/ODSNUi2XKYhU7ETY2K2ToyAiB0/d&#10;s/BuICoQxfcwilnM3vHVx0aSLCz3ASqdyHzt4tBnmoAkh2Fa44i93aeo12/K4hcAAAD//wMAUEsD&#10;BBQABgAIAAAAIQAJcmnh3wAAAAoBAAAPAAAAZHJzL2Rvd25yZXYueG1sTI9BT4NAEIXvJv0Pm2ni&#10;ze7WiAFkaYypHjy0EfwBU5gClt0l7NLiv3d6sqd5k/fy5ptsM5tenGn0nbMa1isFgmzl6s42Gr7L&#10;94cYhA9oa+ydJQ2/5GGTL+4yTGt3sV90LkIjuMT6FDW0IQyplL5qyaBfuYEse0c3Ggy8jo2sR7xw&#10;uenlo1LP0mBn+UKLA721VJ2KyWjAz/12isv93JXyY3sqkl3zc9xpfb+cX19ABJrDfxiu+IwOOTMd&#10;3GRrL3oNcfSUcFRDwuPqq3XM6sAqihTIPJO3L+R/AAAA//8DAFBLAQItABQABgAIAAAAIQC2gziS&#10;/gAAAOEBAAATAAAAAAAAAAAAAAAAAAAAAABbQ29udGVudF9UeXBlc10ueG1sUEsBAi0AFAAGAAgA&#10;AAAhADj9If/WAAAAlAEAAAsAAAAAAAAAAAAAAAAALwEAAF9yZWxzLy5yZWxzUEsBAi0AFAAGAAgA&#10;AAAhAJGcs+hQAgAAmwQAAA4AAAAAAAAAAAAAAAAALgIAAGRycy9lMm9Eb2MueG1sUEsBAi0AFAAG&#10;AAgAAAAhAAlyaeHfAAAACgEAAA8AAAAAAAAAAAAAAAAAqgQAAGRycy9kb3ducmV2LnhtbFBLBQYA&#10;AAAABAAEAPMAAAC2BQAAAAA=&#10;" fillcolor="window" stroked="f" strokeweight=".5pt">
              <v:path arrowok="t"/>
              <v:textbox inset="0,0,0,0">
                <w:txbxContent>
                  <w:p w:rsidR="00451A05" w:rsidRPr="00463C8D" w:rsidRDefault="00451A05" w:rsidP="00451A05">
                    <w:pPr>
                      <w:spacing w:after="120" w:line="180" w:lineRule="exact"/>
                      <w:rPr>
                        <w:rFonts w:ascii="Arial Narrow" w:hAnsi="Arial Narrow"/>
                        <w:sz w:val="18"/>
                        <w:szCs w:val="18"/>
                        <w:lang w:val="en-US"/>
                      </w:rPr>
                    </w:pPr>
                    <w:hyperlink r:id="rId4" w:history="1">
                      <w:r w:rsidRPr="00463C8D">
                        <w:rPr>
                          <w:rStyle w:val="Collegamentoipertestuale"/>
                          <w:rFonts w:ascii="Arial Narrow" w:hAnsi="Arial Narrow"/>
                          <w:sz w:val="18"/>
                          <w:szCs w:val="18"/>
                          <w:lang w:val="en-US"/>
                        </w:rPr>
                        <w:t>http://www.istat.it/en/</w:t>
                      </w:r>
                    </w:hyperlink>
                  </w:p>
                  <w:p w:rsidR="00451A05" w:rsidRDefault="00451A05" w:rsidP="00451A05">
                    <w:pPr>
                      <w:spacing w:after="120" w:line="180" w:lineRule="exact"/>
                      <w:rPr>
                        <w:rFonts w:ascii="Arial Narrow" w:hAnsi="Arial Narrow"/>
                        <w:sz w:val="18"/>
                        <w:szCs w:val="18"/>
                        <w:lang w:val="en-US"/>
                      </w:rPr>
                    </w:pPr>
                    <w:hyperlink r:id="rId5" w:history="1">
                      <w:r w:rsidRPr="00D27E9B">
                        <w:rPr>
                          <w:rStyle w:val="Collegamentoipertestuale"/>
                          <w:rFonts w:ascii="Arial Narrow" w:hAnsi="Arial Narrow"/>
                          <w:bCs/>
                          <w:sz w:val="18"/>
                          <w:szCs w:val="18"/>
                          <w:lang w:val="en-US"/>
                        </w:rPr>
                        <w:t xml:space="preserve">Contact Center </w:t>
                      </w:r>
                    </w:hyperlink>
                  </w:p>
                  <w:p w:rsidR="00451A05" w:rsidRDefault="00451A05" w:rsidP="00451A05">
                    <w:pPr>
                      <w:spacing w:after="120" w:line="180" w:lineRule="exact"/>
                      <w:rPr>
                        <w:rFonts w:ascii="Arial Narrow" w:hAnsi="Arial Narrow"/>
                        <w:b/>
                        <w:bCs/>
                        <w:sz w:val="18"/>
                        <w:szCs w:val="18"/>
                        <w:lang w:val="en-US"/>
                      </w:rPr>
                    </w:pPr>
                    <w:r>
                      <w:rPr>
                        <w:rFonts w:ascii="Arial Narrow" w:hAnsi="Arial Narrow"/>
                        <w:b/>
                        <w:bCs/>
                        <w:sz w:val="18"/>
                        <w:szCs w:val="18"/>
                        <w:lang w:val="en-US"/>
                      </w:rPr>
                      <w:t>Press Office</w:t>
                    </w:r>
                    <w:r>
                      <w:rPr>
                        <w:rFonts w:ascii="Arial Narrow" w:hAnsi="Arial Narrow"/>
                        <w:b/>
                        <w:bCs/>
                        <w:sz w:val="18"/>
                        <w:szCs w:val="18"/>
                        <w:lang w:val="en-US"/>
                      </w:rPr>
                      <w:br/>
                    </w:r>
                    <w:r>
                      <w:rPr>
                        <w:rFonts w:ascii="Arial Narrow" w:hAnsi="Arial Narrow"/>
                        <w:sz w:val="18"/>
                        <w:szCs w:val="18"/>
                        <w:lang w:val="en-US"/>
                      </w:rPr>
                      <w:t>tel. +39 06 4673.2243/4</w:t>
                    </w:r>
                  </w:p>
                  <w:p w:rsidR="00451A05" w:rsidRDefault="00451A05" w:rsidP="00451A05">
                    <w:pPr>
                      <w:spacing w:after="120" w:line="180" w:lineRule="exact"/>
                      <w:rPr>
                        <w:rFonts w:ascii="Arial Narrow" w:hAnsi="Arial Narrow"/>
                        <w:b/>
                        <w:bCs/>
                        <w:color w:val="7F7F7F"/>
                        <w:sz w:val="18"/>
                        <w:szCs w:val="18"/>
                        <w:lang w:val="en-US"/>
                      </w:rPr>
                    </w:pPr>
                    <w:r>
                      <w:rPr>
                        <w:rFonts w:ascii="Arial Narrow" w:hAnsi="Arial Narrow"/>
                        <w:b/>
                        <w:bCs/>
                        <w:color w:val="7F7F7F"/>
                        <w:sz w:val="18"/>
                        <w:szCs w:val="18"/>
                        <w:lang w:val="en-US"/>
                      </w:rPr>
                      <w:t>ufficiostampa@istat.it</w:t>
                    </w:r>
                  </w:p>
                  <w:p w:rsidR="00451A05" w:rsidRDefault="00451A05" w:rsidP="00451A05">
                    <w:pPr>
                      <w:rPr>
                        <w:rFonts w:ascii="Arial Narrow" w:hAnsi="Arial Narrow"/>
                        <w:b/>
                        <w:bCs/>
                        <w:color w:val="7F7F7F"/>
                        <w:sz w:val="18"/>
                        <w:szCs w:val="18"/>
                        <w:lang w:val="en-US"/>
                      </w:rPr>
                    </w:pPr>
                  </w:p>
                </w:txbxContent>
              </v:textbox>
              <w10:wrap anchorx="margin"/>
            </v:shape>
          </w:pict>
        </mc:Fallback>
      </mc:AlternateContent>
    </w:r>
  </w:p>
  <w:p w:rsidR="00763E9D" w:rsidRDefault="00763E9D" w:rsidP="009E5F03">
    <w:pPr>
      <w:pStyle w:val="Intestazione"/>
    </w:pPr>
  </w:p>
  <w:p w:rsidR="00763E9D" w:rsidRDefault="00763E9D" w:rsidP="009E5F03">
    <w:pPr>
      <w:pStyle w:val="Intestazione"/>
    </w:pPr>
  </w:p>
  <w:p w:rsidR="00763E9D" w:rsidRDefault="00763E9D" w:rsidP="009E5F03">
    <w:pPr>
      <w:pStyle w:val="Intestazione"/>
    </w:pPr>
  </w:p>
  <w:p w:rsidR="00705411" w:rsidRPr="00705411" w:rsidRDefault="006F2241" w:rsidP="009E5F03">
    <w:pPr>
      <w:pStyle w:val="Intestazione"/>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89535</wp:posOffset>
              </wp:positionH>
              <wp:positionV relativeFrom="paragraph">
                <wp:posOffset>137794</wp:posOffset>
              </wp:positionV>
              <wp:extent cx="6380480" cy="0"/>
              <wp:effectExtent l="0" t="0" r="1270" b="0"/>
              <wp:wrapNone/>
              <wp:docPr id="37" name="Connettore 1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80480" cy="0"/>
                      </a:xfrm>
                      <a:prstGeom prst="line">
                        <a:avLst/>
                      </a:prstGeom>
                      <a:noFill/>
                      <a:ln w="9525" cap="flat" cmpd="sng" algn="ctr">
                        <a:solidFill>
                          <a:sysClr val="window" lastClr="FFFFFF">
                            <a:lumMod val="50000"/>
                          </a:sys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0CE6DC4" id="Connettore 1 3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05pt,10.85pt" to="509.4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Fd55gEAAL0DAAAOAAAAZHJzL2Uyb0RvYy54bWysU82O0zAQviPxDpbvNG2XLiVquodW5bLA&#10;SgsPMOs4jYXtsTzepn17xk5bCtwQPljj+fnm7/Pq4eisOOhIBn0jZ5OpFNorbI3fN/L7t927pRSU&#10;wLdg0etGnjTJh/XbN6sh1HqOPdpWR8EgnuohNLJPKdRVRarXDmiCQXs2dhgdJH7GfdVGGBjd2Wo+&#10;nd5XA8Y2RFSaiLXb0SjXBb/rtEpfu450EraRXFsqdyz3S76r9QrqfYTQG3UuA/6hCgfGc9Ir1BYS&#10;iNdo/oJyRkUk7NJEoauw64zSpQfuZjb9o5vnHoIuvfBwKFzHRP8PVn05PEVh2kbefZDCg+MdbdB7&#10;nRJGLWaC1TyjIVDNrhv/FHOX6uifwyOqH8S26jdjflAY3Y5ddNmd2xTHMvPTdeb6mIRi5f3dcvp+&#10;yatRF1sF9SUwREqfNDqRhUZa4/M4oIbDI6WcGuqLS1Z73Blry0qtF0MjPy7mC0YGJlZnIbHoArdK&#10;fi8F2D0zVqVYEAmtaXN0xqETbWwUB2DSMNdaHKSwQImVjdyVU4Lsq/uM7ei3mPLJo+KaxvhRvMXN&#10;tW6B+jGipBwJ6EziX2CNa+Qy41yArM/l6MLjc8e/5pulF2xPT/GyBOZISXrmcybh7Zvl21+3/gkA&#10;AP//AwBQSwMEFAAGAAgAAAAhACNyRAjeAAAACQEAAA8AAABkcnMvZG93bnJldi54bWxMj8FOwzAQ&#10;RO9I/IO1SNyok4KgDXGqFlEkxAEISFy38TaOGq8j223D3+OKAxxnZzT7plyMthcH8qFzrCCfZCCI&#10;G6c7bhV8fqyvZiBCRNbYOyYF3xRgUZ2flVhod+R3OtSxFamEQ4EKTIxDIWVoDFkMEzcQJ2/rvMWY&#10;pG+l9nhM5baX0yy7lRY7Th8MDvRgqNnVe6uAn17D/G29ewzP17XfxuXqa/VilLq8GJf3ICKN8S8M&#10;J/yEDlVi2rg96yD6pG/ylFQwze9AnPwsn81BbH4vsirl/wXVDwAAAP//AwBQSwECLQAUAAYACAAA&#10;ACEAtoM4kv4AAADhAQAAEwAAAAAAAAAAAAAAAAAAAAAAW0NvbnRlbnRfVHlwZXNdLnhtbFBLAQIt&#10;ABQABgAIAAAAIQA4/SH/1gAAAJQBAAALAAAAAAAAAAAAAAAAAC8BAABfcmVscy8ucmVsc1BLAQIt&#10;ABQABgAIAAAAIQCo4Fd55gEAAL0DAAAOAAAAAAAAAAAAAAAAAC4CAABkcnMvZTJvRG9jLnhtbFBL&#10;AQItABQABgAIAAAAIQAjckQI3gAAAAkBAAAPAAAAAAAAAAAAAAAAAEAEAABkcnMvZG93bnJldi54&#10;bWxQSwUGAAAAAAQABADzAAAASwUAAAAA&#10;" strokecolor="#7f7f7f">
              <v:stroke joinstyle="miter"/>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686" w:rsidRPr="00B845B2" w:rsidRDefault="006F2241" w:rsidP="00B845B2">
    <w:pPr>
      <w:pStyle w:val="Intestazione"/>
    </w:pPr>
    <w:r>
      <w:rPr>
        <w:noProof/>
      </w:rPr>
      <mc:AlternateContent>
        <mc:Choice Requires="wps">
          <w:drawing>
            <wp:anchor distT="0" distB="0" distL="114300" distR="114300" simplePos="0" relativeHeight="251655168" behindDoc="0" locked="0" layoutInCell="1" allowOverlap="1">
              <wp:simplePos x="0" y="0"/>
              <wp:positionH relativeFrom="column">
                <wp:posOffset>568960</wp:posOffset>
              </wp:positionH>
              <wp:positionV relativeFrom="paragraph">
                <wp:posOffset>47625</wp:posOffset>
              </wp:positionV>
              <wp:extent cx="1793240" cy="427990"/>
              <wp:effectExtent l="10795" t="13335" r="5715" b="6350"/>
              <wp:wrapNone/>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427990"/>
                      </a:xfrm>
                      <a:prstGeom prst="rect">
                        <a:avLst/>
                      </a:prstGeom>
                      <a:solidFill>
                        <a:srgbClr val="FFFFFF"/>
                      </a:solidFill>
                      <a:ln w="9525">
                        <a:solidFill>
                          <a:srgbClr val="FFFFFF"/>
                        </a:solidFill>
                        <a:miter lim="800000"/>
                        <a:headEnd/>
                        <a:tailEnd/>
                      </a:ln>
                    </wps:spPr>
                    <wps:txbx>
                      <w:txbxContent>
                        <w:p w:rsidR="00B845B2" w:rsidRDefault="00B845B2" w:rsidP="00B845B2">
                          <w:pPr>
                            <w:spacing w:before="0" w:after="0"/>
                            <w:rPr>
                              <w:rFonts w:ascii="Arial Narrow" w:hAnsi="Arial Narrow" w:cs="Arial"/>
                              <w:b/>
                              <w:bCs/>
                              <w:caps/>
                              <w:color w:val="808080"/>
                              <w:lang w:val="en-US"/>
                            </w:rPr>
                          </w:pPr>
                          <w:r w:rsidRPr="003502D4">
                            <w:rPr>
                              <w:rFonts w:ascii="Arial Narrow" w:hAnsi="Arial Narrow" w:cs="Arial"/>
                              <w:b/>
                              <w:bCs/>
                              <w:caps/>
                              <w:color w:val="808080"/>
                              <w:lang w:val="en-US"/>
                            </w:rPr>
                            <w:t xml:space="preserve">Preliminary estimate </w:t>
                          </w:r>
                        </w:p>
                        <w:p w:rsidR="00B845B2" w:rsidRPr="003502D4" w:rsidRDefault="00B845B2" w:rsidP="00B845B2">
                          <w:pPr>
                            <w:spacing w:before="0" w:after="0"/>
                            <w:rPr>
                              <w:rFonts w:ascii="Arial Narrow" w:hAnsi="Arial Narrow" w:cs="Arial"/>
                              <w:b/>
                              <w:bCs/>
                              <w:caps/>
                              <w:color w:val="808080"/>
                              <w:lang w:val="en-US"/>
                            </w:rPr>
                          </w:pPr>
                          <w:r w:rsidRPr="003502D4">
                            <w:rPr>
                              <w:rFonts w:ascii="Arial Narrow" w:hAnsi="Arial Narrow" w:cs="Arial"/>
                              <w:b/>
                              <w:bCs/>
                              <w:caps/>
                              <w:color w:val="808080"/>
                              <w:lang w:val="en-US"/>
                            </w:rPr>
                            <w:t>of GDP</w:t>
                          </w:r>
                        </w:p>
                        <w:p w:rsidR="00B845B2" w:rsidRPr="0017508C" w:rsidRDefault="00B845B2" w:rsidP="00B845B2">
                          <w:pPr>
                            <w:pStyle w:val="Intestazione"/>
                            <w:overflowPunct/>
                            <w:autoSpaceDE/>
                            <w:autoSpaceDN/>
                            <w:adjustRightInd/>
                            <w:spacing w:before="0" w:after="0" w:line="200" w:lineRule="exact"/>
                            <w:rPr>
                              <w:rFonts w:ascii="Arial Narrow" w:hAnsi="Arial Narrow"/>
                              <w:b/>
                              <w:color w:val="999999"/>
                              <w:kern w:val="0"/>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4.8pt;margin-top:3.75pt;width:141.2pt;height:33.7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ygAIwIAAE8EAAAOAAAAZHJzL2Uyb0RvYy54bWysVNtu2zAMfR+wfxD0vjj10rUx4hRdugwD&#10;ugvQ7QNoWbaFyaImKbGzry8lJ2nRvRXTg0BZ5BF5DunVzdhrtpfOKzQlv5jNOZNGYK1MW/JfP7fv&#10;rjnzAUwNGo0s+UF6frN++2Y12ELm2KGupWMEYnwx2JJ3Idgiy7zoZA9+hlYaumzQ9RDo6NqsdjAQ&#10;eq+zfD7/kA3oautQSO/p6910ydcJv2mkCN+bxsvAdMkpt5B2l/Yq7tl6BUXrwHZKHNOAV2TRgzL0&#10;6BnqDgKwnVP/QPVKOPTYhJnAPsOmUUKmGqiai/mLah46sDLVQuR4e6bJ/z9Y8W3/wzFVl3zBmYGe&#10;JNqAl1oDqxUL0gdkeWRpsL4g5wdL7mH8iCOpnSr29h7Fb88Mbjowrbx1DodOQk1ZXsTI7FnohOMj&#10;SDV8xZqeg13ABDQ2ro8UEimM0Emtw1khOQYm4pNXy/f5gq4E3S3yq+UySZhBcYq2zofPEnsWjZI7&#10;6oCEDvt7H2I2UJxc4mMetaq3Sut0cG210Y7tgbplm1Yq4IWbNmwo+fIyv5wIeAVErwK1vVZ9ya/n&#10;cU2NGGn7ZOrUlAGUnmxKWZsjj5G6icQwVmMSLpEcOa6wPhCxDqcup6kko0P3l7OBOrzk/s8OnORM&#10;fzEkThyHk+FORnUywAgKLXngbDI3YRqbnXWq7Qj5JP8tCbhVidunLI7pUtcmyo8TFsfi+Tl5Pf0H&#10;1o8AAAD//wMAUEsDBBQABgAIAAAAIQB+FiRz3AAAAAcBAAAPAAAAZHJzL2Rvd25yZXYueG1sTI9B&#10;T8JAFITvJvyHzTPxJlupUlq7JQSjJzgAel+6j7ax+7bpbqH99z5PepzMZOabfD3aVlyx940jBU/z&#10;CARS6UxDlYLP0/vjCoQPmoxuHaGCCT2si9ldrjPjbnTA6zFUgkvIZ1pBHUKXSenLGq32c9chsXdx&#10;vdWBZV9J0+sbl9tWLqJoKa1uiBdq3eG2xvL7OFgFFyvjL9ptkzQZu930McTT256UergfN68gAo7h&#10;Lwy/+IwOBTOd3UDGi1bBKl1yUkHyAoLtOFnwtTPr5xRkkcv//MUPAAAA//8DAFBLAQItABQABgAI&#10;AAAAIQC2gziS/gAAAOEBAAATAAAAAAAAAAAAAAAAAAAAAABbQ29udGVudF9UeXBlc10ueG1sUEsB&#10;Ai0AFAAGAAgAAAAhADj9If/WAAAAlAEAAAsAAAAAAAAAAAAAAAAALwEAAF9yZWxzLy5yZWxzUEsB&#10;Ai0AFAAGAAgAAAAhAJkPKAAjAgAATwQAAA4AAAAAAAAAAAAAAAAALgIAAGRycy9lMm9Eb2MueG1s&#10;UEsBAi0AFAAGAAgAAAAhAH4WJHPcAAAABwEAAA8AAAAAAAAAAAAAAAAAfQQAAGRycy9kb3ducmV2&#10;LnhtbFBLBQYAAAAABAAEAPMAAACGBQAAAAA=&#10;" strokecolor="white">
              <v:textbox style="mso-fit-shape-to-text:t" inset="0,0,0,0">
                <w:txbxContent>
                  <w:p w:rsidR="00B845B2" w:rsidRDefault="00B845B2" w:rsidP="00B845B2">
                    <w:pPr>
                      <w:spacing w:before="0" w:after="0"/>
                      <w:rPr>
                        <w:rFonts w:ascii="Arial Narrow" w:hAnsi="Arial Narrow" w:cs="Arial"/>
                        <w:b/>
                        <w:bCs/>
                        <w:caps/>
                        <w:color w:val="808080"/>
                        <w:lang w:val="en-US"/>
                      </w:rPr>
                    </w:pPr>
                    <w:r w:rsidRPr="003502D4">
                      <w:rPr>
                        <w:rFonts w:ascii="Arial Narrow" w:hAnsi="Arial Narrow" w:cs="Arial"/>
                        <w:b/>
                        <w:bCs/>
                        <w:caps/>
                        <w:color w:val="808080"/>
                        <w:lang w:val="en-US"/>
                      </w:rPr>
                      <w:t xml:space="preserve">Preliminary estimate </w:t>
                    </w:r>
                  </w:p>
                  <w:p w:rsidR="00B845B2" w:rsidRPr="003502D4" w:rsidRDefault="00B845B2" w:rsidP="00B845B2">
                    <w:pPr>
                      <w:spacing w:before="0" w:after="0"/>
                      <w:rPr>
                        <w:rFonts w:ascii="Arial Narrow" w:hAnsi="Arial Narrow" w:cs="Arial"/>
                        <w:b/>
                        <w:bCs/>
                        <w:caps/>
                        <w:color w:val="808080"/>
                        <w:lang w:val="en-US"/>
                      </w:rPr>
                    </w:pPr>
                    <w:r w:rsidRPr="003502D4">
                      <w:rPr>
                        <w:rFonts w:ascii="Arial Narrow" w:hAnsi="Arial Narrow" w:cs="Arial"/>
                        <w:b/>
                        <w:bCs/>
                        <w:caps/>
                        <w:color w:val="808080"/>
                        <w:lang w:val="en-US"/>
                      </w:rPr>
                      <w:t>of GDP</w:t>
                    </w:r>
                  </w:p>
                  <w:p w:rsidR="00B845B2" w:rsidRPr="0017508C" w:rsidRDefault="00B845B2" w:rsidP="00B845B2">
                    <w:pPr>
                      <w:pStyle w:val="Intestazione"/>
                      <w:overflowPunct/>
                      <w:autoSpaceDE/>
                      <w:autoSpaceDN/>
                      <w:adjustRightInd/>
                      <w:spacing w:before="0" w:after="0" w:line="200" w:lineRule="exact"/>
                      <w:rPr>
                        <w:rFonts w:ascii="Arial Narrow" w:hAnsi="Arial Narrow"/>
                        <w:b/>
                        <w:color w:val="999999"/>
                        <w:kern w:val="0"/>
                      </w:rPr>
                    </w:pPr>
                  </w:p>
                </w:txbxContent>
              </v:textbox>
            </v:shape>
          </w:pict>
        </mc:Fallback>
      </mc:AlternateContent>
    </w:r>
    <w:r w:rsidRPr="00F83CCF">
      <w:rPr>
        <w:noProof/>
      </w:rPr>
      <w:drawing>
        <wp:inline distT="0" distB="0" distL="0" distR="0">
          <wp:extent cx="6483350" cy="584200"/>
          <wp:effectExtent l="0" t="0" r="0" b="0"/>
          <wp:docPr id="5" name="Immagine 5" descr="iconeComunicatiRossoEn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eComunicatiRossoEng-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3350" cy="584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B17" w:rsidRPr="00F608C4" w:rsidRDefault="006F2241" w:rsidP="00F608C4">
    <w:pPr>
      <w:pStyle w:val="Intestazione"/>
    </w:pPr>
    <w:r>
      <w:rPr>
        <w:noProof/>
      </w:rPr>
      <mc:AlternateContent>
        <mc:Choice Requires="wps">
          <w:drawing>
            <wp:anchor distT="0" distB="0" distL="114300" distR="114300" simplePos="0" relativeHeight="251656192" behindDoc="0" locked="0" layoutInCell="1" allowOverlap="1">
              <wp:simplePos x="0" y="0"/>
              <wp:positionH relativeFrom="column">
                <wp:posOffset>568960</wp:posOffset>
              </wp:positionH>
              <wp:positionV relativeFrom="paragraph">
                <wp:posOffset>47625</wp:posOffset>
              </wp:positionV>
              <wp:extent cx="1764665" cy="427990"/>
              <wp:effectExtent l="10795" t="13335" r="5715" b="6350"/>
              <wp:wrapNone/>
              <wp:docPr id="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427990"/>
                      </a:xfrm>
                      <a:prstGeom prst="rect">
                        <a:avLst/>
                      </a:prstGeom>
                      <a:solidFill>
                        <a:srgbClr val="FFFFFF"/>
                      </a:solidFill>
                      <a:ln w="9525">
                        <a:solidFill>
                          <a:srgbClr val="FFFFFF"/>
                        </a:solidFill>
                        <a:miter lim="800000"/>
                        <a:headEnd/>
                        <a:tailEnd/>
                      </a:ln>
                    </wps:spPr>
                    <wps:txbx>
                      <w:txbxContent>
                        <w:p w:rsidR="00F608C4" w:rsidRDefault="00F608C4" w:rsidP="00F608C4">
                          <w:pPr>
                            <w:spacing w:before="0" w:after="0"/>
                            <w:rPr>
                              <w:rFonts w:ascii="Arial Narrow" w:hAnsi="Arial Narrow" w:cs="Arial"/>
                              <w:b/>
                              <w:bCs/>
                              <w:caps/>
                              <w:color w:val="808080"/>
                              <w:lang w:val="en-US"/>
                            </w:rPr>
                          </w:pPr>
                          <w:r w:rsidRPr="003502D4">
                            <w:rPr>
                              <w:rFonts w:ascii="Arial Narrow" w:hAnsi="Arial Narrow" w:cs="Arial"/>
                              <w:b/>
                              <w:bCs/>
                              <w:caps/>
                              <w:color w:val="808080"/>
                              <w:lang w:val="en-US"/>
                            </w:rPr>
                            <w:t>P</w:t>
                          </w:r>
                          <w:r>
                            <w:rPr>
                              <w:rFonts w:ascii="Arial Narrow" w:hAnsi="Arial Narrow" w:cs="Arial"/>
                              <w:b/>
                              <w:bCs/>
                              <w:caps/>
                              <w:color w:val="808080"/>
                              <w:lang w:val="en-US"/>
                            </w:rPr>
                            <w:t>reliminary estimate</w:t>
                          </w:r>
                        </w:p>
                        <w:p w:rsidR="00F608C4" w:rsidRPr="003502D4" w:rsidRDefault="00F608C4" w:rsidP="00F608C4">
                          <w:pPr>
                            <w:spacing w:before="0" w:after="0"/>
                            <w:rPr>
                              <w:rFonts w:ascii="Arial Narrow" w:hAnsi="Arial Narrow" w:cs="Arial"/>
                              <w:b/>
                              <w:bCs/>
                              <w:caps/>
                              <w:color w:val="808080"/>
                              <w:lang w:val="en-US"/>
                            </w:rPr>
                          </w:pPr>
                          <w:r w:rsidRPr="003502D4">
                            <w:rPr>
                              <w:rFonts w:ascii="Arial Narrow" w:hAnsi="Arial Narrow" w:cs="Arial"/>
                              <w:b/>
                              <w:bCs/>
                              <w:caps/>
                              <w:color w:val="808080"/>
                              <w:lang w:val="en-US"/>
                            </w:rPr>
                            <w:t>of GDP</w:t>
                          </w:r>
                        </w:p>
                        <w:p w:rsidR="00F608C4" w:rsidRPr="0017508C" w:rsidRDefault="00F608C4" w:rsidP="00F608C4">
                          <w:pPr>
                            <w:pStyle w:val="Intestazione"/>
                            <w:overflowPunct/>
                            <w:autoSpaceDE/>
                            <w:autoSpaceDN/>
                            <w:adjustRightInd/>
                            <w:spacing w:before="0" w:after="0" w:line="200" w:lineRule="exact"/>
                            <w:rPr>
                              <w:rFonts w:ascii="Arial Narrow" w:hAnsi="Arial Narrow"/>
                              <w:b/>
                              <w:color w:val="999999"/>
                              <w:kern w:val="0"/>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44.8pt;margin-top:3.75pt;width:138.95pt;height:33.7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8YXJAIAAE8EAAAOAAAAZHJzL2Uyb0RvYy54bWysVNtu2zAMfR+wfxD0vjjJmrQx4hRdugwD&#10;ugvQ7QNoWbaFyaImKbGzry8lJ1nRvRXTg0BZ5BF5Dun17dBpdpDOKzQFn02mnEkjsFKmKfjPH7t3&#10;N5z5AKYCjUYW/Cg9v928fbPubS7n2KKupGMEYnze24K3Idg8y7xoZQd+glYauqzRdRDo6JqsctAT&#10;eqez+XS6zHp0lXUopPf09X685JuEX9dShG917WVguuCUW0i7S3sZ92yzhrxxYFslTmnAK7LoQBl6&#10;9AJ1DwHY3ql/oDolHHqsw0Rgl2FdKyFTDVTNbPqimscWrEy1EDneXmjy/w9WfD18d0xVBX/PmYGO&#10;JNqCl1oDqxQL0gdk88hSb31Ozo+W3MPwAQdSO1Xs7QOKX54Z3LZgGnnnHPathIqynMXI7FnoiOMj&#10;SNl/wYqeg33ABDTUrosUEimM0Emt40UhOQQm4pPXy6vlcsGZoLur+fVqlSTMID9HW+fDJ4kdi0bB&#10;HXVAQofDgw8xG8jPLvExj1pVO6V1Orim3GrHDkDdsksrFfDCTRvWF3y1mC9GAl4B0alAba9VV/Cb&#10;aVxjI0baPpoqNWUApUebUtbmxGOkbiQxDOWQhLvIU2J1JGIdjl1OU0lGi+4PZz11eMH97z04yZn+&#10;bEicOA5nw52N8myAERRa8MDZaG7DODZ761TTEvJZ/jsScKcSt1HpMYtTutS1ifLThMWxeH5OXn//&#10;A5snAAAA//8DAFBLAwQUAAYACAAAACEAN7aMGNoAAAAHAQAADwAAAGRycy9kb3ducmV2LnhtbEyO&#10;QU+DQBSE7yb+h80z8WYXRaFQlsbU6Kk9WPW+ZV+BlH1L2KWFf+/rSW8zmcnMV6wn24kzDr51pOBx&#10;EYFAqpxpqVbw/fX+sAThgyajO0eoYEYP6/L2ptC5cRf6xPM+1IJHyOdaQRNCn0vpqwat9gvXI3F2&#10;dIPVge1QSzPoC4/bTj5FUSKtbokfGt3jpsHqtB+tgqOV8Q9tN2mWTv12/hjj+W1HSt3fTa8rEAGn&#10;8FeGKz6jQ8lMBzeS8aJTsMwSbipIX0BwHCdXcWD/nIEsC/mfv/wFAAD//wMAUEsBAi0AFAAGAAgA&#10;AAAhALaDOJL+AAAA4QEAABMAAAAAAAAAAAAAAAAAAAAAAFtDb250ZW50X1R5cGVzXS54bWxQSwEC&#10;LQAUAAYACAAAACEAOP0h/9YAAACUAQAACwAAAAAAAAAAAAAAAAAvAQAAX3JlbHMvLnJlbHNQSwEC&#10;LQAUAAYACAAAACEA+OfGFyQCAABPBAAADgAAAAAAAAAAAAAAAAAuAgAAZHJzL2Uyb0RvYy54bWxQ&#10;SwECLQAUAAYACAAAACEAN7aMGNoAAAAHAQAADwAAAAAAAAAAAAAAAAB+BAAAZHJzL2Rvd25yZXYu&#10;eG1sUEsFBgAAAAAEAAQA8wAAAIUFAAAAAA==&#10;" strokecolor="white">
              <v:textbox style="mso-fit-shape-to-text:t" inset="0,0,0,0">
                <w:txbxContent>
                  <w:p w:rsidR="00F608C4" w:rsidRDefault="00F608C4" w:rsidP="00F608C4">
                    <w:pPr>
                      <w:spacing w:before="0" w:after="0"/>
                      <w:rPr>
                        <w:rFonts w:ascii="Arial Narrow" w:hAnsi="Arial Narrow" w:cs="Arial"/>
                        <w:b/>
                        <w:bCs/>
                        <w:caps/>
                        <w:color w:val="808080"/>
                        <w:lang w:val="en-US"/>
                      </w:rPr>
                    </w:pPr>
                    <w:r w:rsidRPr="003502D4">
                      <w:rPr>
                        <w:rFonts w:ascii="Arial Narrow" w:hAnsi="Arial Narrow" w:cs="Arial"/>
                        <w:b/>
                        <w:bCs/>
                        <w:caps/>
                        <w:color w:val="808080"/>
                        <w:lang w:val="en-US"/>
                      </w:rPr>
                      <w:t>P</w:t>
                    </w:r>
                    <w:r>
                      <w:rPr>
                        <w:rFonts w:ascii="Arial Narrow" w:hAnsi="Arial Narrow" w:cs="Arial"/>
                        <w:b/>
                        <w:bCs/>
                        <w:caps/>
                        <w:color w:val="808080"/>
                        <w:lang w:val="en-US"/>
                      </w:rPr>
                      <w:t>reliminary estimate</w:t>
                    </w:r>
                  </w:p>
                  <w:p w:rsidR="00F608C4" w:rsidRPr="003502D4" w:rsidRDefault="00F608C4" w:rsidP="00F608C4">
                    <w:pPr>
                      <w:spacing w:before="0" w:after="0"/>
                      <w:rPr>
                        <w:rFonts w:ascii="Arial Narrow" w:hAnsi="Arial Narrow" w:cs="Arial"/>
                        <w:b/>
                        <w:bCs/>
                        <w:caps/>
                        <w:color w:val="808080"/>
                        <w:lang w:val="en-US"/>
                      </w:rPr>
                    </w:pPr>
                    <w:r w:rsidRPr="003502D4">
                      <w:rPr>
                        <w:rFonts w:ascii="Arial Narrow" w:hAnsi="Arial Narrow" w:cs="Arial"/>
                        <w:b/>
                        <w:bCs/>
                        <w:caps/>
                        <w:color w:val="808080"/>
                        <w:lang w:val="en-US"/>
                      </w:rPr>
                      <w:t>of GDP</w:t>
                    </w:r>
                  </w:p>
                  <w:p w:rsidR="00F608C4" w:rsidRPr="0017508C" w:rsidRDefault="00F608C4" w:rsidP="00F608C4">
                    <w:pPr>
                      <w:pStyle w:val="Intestazione"/>
                      <w:overflowPunct/>
                      <w:autoSpaceDE/>
                      <w:autoSpaceDN/>
                      <w:adjustRightInd/>
                      <w:spacing w:before="0" w:after="0" w:line="200" w:lineRule="exact"/>
                      <w:rPr>
                        <w:rFonts w:ascii="Arial Narrow" w:hAnsi="Arial Narrow"/>
                        <w:b/>
                        <w:color w:val="999999"/>
                        <w:kern w:val="0"/>
                      </w:rPr>
                    </w:pPr>
                  </w:p>
                </w:txbxContent>
              </v:textbox>
            </v:shape>
          </w:pict>
        </mc:Fallback>
      </mc:AlternateContent>
    </w:r>
    <w:r w:rsidRPr="00F83CCF">
      <w:rPr>
        <w:noProof/>
      </w:rPr>
      <w:drawing>
        <wp:inline distT="0" distB="0" distL="0" distR="0">
          <wp:extent cx="6483350" cy="584200"/>
          <wp:effectExtent l="0" t="0" r="0" b="0"/>
          <wp:docPr id="6" name="Immagine 6" descr="iconeComunicatiRossoEng-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oneComunicatiRossoEng-0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3350" cy="5842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262" w:rsidRPr="00532384" w:rsidRDefault="006F2241" w:rsidP="00532384">
    <w:pPr>
      <w:pStyle w:val="Intestazione"/>
    </w:pPr>
    <w:r w:rsidRPr="00F83CCF">
      <w:rPr>
        <w:noProof/>
      </w:rPr>
      <w:drawing>
        <wp:inline distT="0" distB="0" distL="0" distR="0">
          <wp:extent cx="6483350" cy="584200"/>
          <wp:effectExtent l="0" t="0" r="0" b="0"/>
          <wp:docPr id="7" name="Immagine 7" descr="iconeComunicatiRossoEng-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oneComunicatiRossoEng-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3350" cy="584200"/>
                  </a:xfrm>
                  <a:prstGeom prst="rect">
                    <a:avLst/>
                  </a:prstGeom>
                  <a:noFill/>
                  <a:ln>
                    <a:noFill/>
                  </a:ln>
                </pic:spPr>
              </pic:pic>
            </a:graphicData>
          </a:graphic>
        </wp:inline>
      </w:drawing>
    </w:r>
    <w:r>
      <w:rPr>
        <w:noProof/>
      </w:rPr>
      <mc:AlternateContent>
        <mc:Choice Requires="wps">
          <w:drawing>
            <wp:anchor distT="0" distB="0" distL="114300" distR="114300" simplePos="0" relativeHeight="251657216" behindDoc="0" locked="0" layoutInCell="1" allowOverlap="1">
              <wp:simplePos x="0" y="0"/>
              <wp:positionH relativeFrom="column">
                <wp:posOffset>568960</wp:posOffset>
              </wp:positionH>
              <wp:positionV relativeFrom="paragraph">
                <wp:posOffset>47625</wp:posOffset>
              </wp:positionV>
              <wp:extent cx="1764665" cy="427990"/>
              <wp:effectExtent l="10795" t="13335" r="5715" b="6350"/>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427990"/>
                      </a:xfrm>
                      <a:prstGeom prst="rect">
                        <a:avLst/>
                      </a:prstGeom>
                      <a:solidFill>
                        <a:srgbClr val="FFFFFF"/>
                      </a:solidFill>
                      <a:ln w="9525">
                        <a:solidFill>
                          <a:srgbClr val="FFFFFF"/>
                        </a:solidFill>
                        <a:miter lim="800000"/>
                        <a:headEnd/>
                        <a:tailEnd/>
                      </a:ln>
                    </wps:spPr>
                    <wps:txbx>
                      <w:txbxContent>
                        <w:p w:rsidR="00532384" w:rsidRDefault="00532384" w:rsidP="00532384">
                          <w:pPr>
                            <w:spacing w:before="0" w:after="0"/>
                            <w:rPr>
                              <w:rFonts w:ascii="Arial Narrow" w:hAnsi="Arial Narrow" w:cs="Arial"/>
                              <w:b/>
                              <w:bCs/>
                              <w:caps/>
                              <w:color w:val="808080"/>
                              <w:lang w:val="en-US"/>
                            </w:rPr>
                          </w:pPr>
                          <w:r w:rsidRPr="003502D4">
                            <w:rPr>
                              <w:rFonts w:ascii="Arial Narrow" w:hAnsi="Arial Narrow" w:cs="Arial"/>
                              <w:b/>
                              <w:bCs/>
                              <w:caps/>
                              <w:color w:val="808080"/>
                              <w:lang w:val="en-US"/>
                            </w:rPr>
                            <w:t xml:space="preserve">Preliminary estimate </w:t>
                          </w:r>
                        </w:p>
                        <w:p w:rsidR="00532384" w:rsidRPr="003502D4" w:rsidRDefault="00532384" w:rsidP="00532384">
                          <w:pPr>
                            <w:spacing w:before="0" w:after="0"/>
                            <w:rPr>
                              <w:rFonts w:ascii="Arial Narrow" w:hAnsi="Arial Narrow" w:cs="Arial"/>
                              <w:b/>
                              <w:bCs/>
                              <w:caps/>
                              <w:color w:val="808080"/>
                              <w:lang w:val="en-US"/>
                            </w:rPr>
                          </w:pPr>
                          <w:r w:rsidRPr="003502D4">
                            <w:rPr>
                              <w:rFonts w:ascii="Arial Narrow" w:hAnsi="Arial Narrow" w:cs="Arial"/>
                              <w:b/>
                              <w:bCs/>
                              <w:caps/>
                              <w:color w:val="808080"/>
                              <w:lang w:val="en-US"/>
                            </w:rPr>
                            <w:t>of GDP</w:t>
                          </w:r>
                        </w:p>
                        <w:p w:rsidR="00532384" w:rsidRPr="0017508C" w:rsidRDefault="00532384" w:rsidP="00532384">
                          <w:pPr>
                            <w:pStyle w:val="Intestazione"/>
                            <w:overflowPunct/>
                            <w:autoSpaceDE/>
                            <w:autoSpaceDN/>
                            <w:adjustRightInd/>
                            <w:spacing w:before="0" w:after="0" w:line="200" w:lineRule="exact"/>
                            <w:rPr>
                              <w:rFonts w:ascii="Arial Narrow" w:hAnsi="Arial Narrow"/>
                              <w:b/>
                              <w:color w:val="999999"/>
                              <w:kern w:val="0"/>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44.8pt;margin-top:3.75pt;width:138.95pt;height:33.7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zyqJAIAAE8EAAAOAAAAZHJzL2Uyb0RvYy54bWysVNtu2zAMfR+wfxD0vjjJmrQx4hRdugwD&#10;ugvQ7QNoWY6FyaImKbGzry8lx1nRvRXTg0BZ5BF5Dun1bd9qdpTOKzQFn02mnEkjsFJmX/CfP3bv&#10;bjjzAUwFGo0s+El6frt5+2bd2VzOsUFdSccIxPi8swVvQrB5lnnRyBb8BK00dFmjayHQ0e2zykFH&#10;6K3O5tPpMuvQVdahkN7T1/vhkm8Sfl1LEb7VtZeB6YJTbiHtLu1l3LPNGvK9A9socU4DXpFFC8rQ&#10;oxeoewjADk79A9Uq4dBjHSYC2wzrWgmZaqBqZtMX1Tw2YGWqhcjx9kKT/3+w4uvxu2OqKvicMwMt&#10;SbQFL7UGVikWpA/I5pGlzvqcnB8tuYf+A/akdqrY2wcUvzwzuG3A7OWdc9g1EirKchYjs2ehA46P&#10;IGX3BSt6Dg4BE1BfuzZSSKQwQie1TheFZB+YiE9eL6+WywVngu6u5terVZIwg3yMts6HTxJbFo2C&#10;O+qAhA7HBx9iNpCPLvExj1pVO6V1Orh9udWOHYG6ZZdWKuCFmzasK/hqMV8MBLwColWB2l6rtuA3&#10;07iGRoy0fTRVasoASg82pazNmcdI3UBi6Ms+Cfd+lKfE6kTEOhy6nKaSjAbdH8466vCC+98HcJIz&#10;/dmQOHEcRsONRjkaYASFFjxwNpjbMIzNwTq1bwh5lP+OBNypxG1UesjinC51baL8PGFxLJ6fk9ff&#10;/8DmCQAA//8DAFBLAwQUAAYACAAAACEAN7aMGNoAAAAHAQAADwAAAGRycy9kb3ducmV2LnhtbEyO&#10;QU+DQBSE7yb+h80z8WYXRaFQlsbU6Kk9WPW+ZV+BlH1L2KWFf+/rSW8zmcnMV6wn24kzDr51pOBx&#10;EYFAqpxpqVbw/fX+sAThgyajO0eoYEYP6/L2ptC5cRf6xPM+1IJHyOdaQRNCn0vpqwat9gvXI3F2&#10;dIPVge1QSzPoC4/bTj5FUSKtbokfGt3jpsHqtB+tgqOV8Q9tN2mWTv12/hjj+W1HSt3fTa8rEAGn&#10;8FeGKz6jQ8lMBzeS8aJTsMwSbipIX0BwHCdXcWD/nIEsC/mfv/wFAAD//wMAUEsBAi0AFAAGAAgA&#10;AAAhALaDOJL+AAAA4QEAABMAAAAAAAAAAAAAAAAAAAAAAFtDb250ZW50X1R5cGVzXS54bWxQSwEC&#10;LQAUAAYACAAAACEAOP0h/9YAAACUAQAACwAAAAAAAAAAAAAAAAAvAQAAX3JlbHMvLnJlbHNQSwEC&#10;LQAUAAYACAAAACEAbjc8qiQCAABPBAAADgAAAAAAAAAAAAAAAAAuAgAAZHJzL2Uyb0RvYy54bWxQ&#10;SwECLQAUAAYACAAAACEAN7aMGNoAAAAHAQAADwAAAAAAAAAAAAAAAAB+BAAAZHJzL2Rvd25yZXYu&#10;eG1sUEsFBgAAAAAEAAQA8wAAAIUFAAAAAA==&#10;" strokecolor="white">
              <v:textbox style="mso-fit-shape-to-text:t" inset="0,0,0,0">
                <w:txbxContent>
                  <w:p w:rsidR="00532384" w:rsidRDefault="00532384" w:rsidP="00532384">
                    <w:pPr>
                      <w:spacing w:before="0" w:after="0"/>
                      <w:rPr>
                        <w:rFonts w:ascii="Arial Narrow" w:hAnsi="Arial Narrow" w:cs="Arial"/>
                        <w:b/>
                        <w:bCs/>
                        <w:caps/>
                        <w:color w:val="808080"/>
                        <w:lang w:val="en-US"/>
                      </w:rPr>
                    </w:pPr>
                    <w:r w:rsidRPr="003502D4">
                      <w:rPr>
                        <w:rFonts w:ascii="Arial Narrow" w:hAnsi="Arial Narrow" w:cs="Arial"/>
                        <w:b/>
                        <w:bCs/>
                        <w:caps/>
                        <w:color w:val="808080"/>
                        <w:lang w:val="en-US"/>
                      </w:rPr>
                      <w:t xml:space="preserve">Preliminary estimate </w:t>
                    </w:r>
                  </w:p>
                  <w:p w:rsidR="00532384" w:rsidRPr="003502D4" w:rsidRDefault="00532384" w:rsidP="00532384">
                    <w:pPr>
                      <w:spacing w:before="0" w:after="0"/>
                      <w:rPr>
                        <w:rFonts w:ascii="Arial Narrow" w:hAnsi="Arial Narrow" w:cs="Arial"/>
                        <w:b/>
                        <w:bCs/>
                        <w:caps/>
                        <w:color w:val="808080"/>
                        <w:lang w:val="en-US"/>
                      </w:rPr>
                    </w:pPr>
                    <w:r w:rsidRPr="003502D4">
                      <w:rPr>
                        <w:rFonts w:ascii="Arial Narrow" w:hAnsi="Arial Narrow" w:cs="Arial"/>
                        <w:b/>
                        <w:bCs/>
                        <w:caps/>
                        <w:color w:val="808080"/>
                        <w:lang w:val="en-US"/>
                      </w:rPr>
                      <w:t>of GDP</w:t>
                    </w:r>
                  </w:p>
                  <w:p w:rsidR="00532384" w:rsidRPr="0017508C" w:rsidRDefault="00532384" w:rsidP="00532384">
                    <w:pPr>
                      <w:pStyle w:val="Intestazione"/>
                      <w:overflowPunct/>
                      <w:autoSpaceDE/>
                      <w:autoSpaceDN/>
                      <w:adjustRightInd/>
                      <w:spacing w:before="0" w:after="0" w:line="200" w:lineRule="exact"/>
                      <w:rPr>
                        <w:rFonts w:ascii="Arial Narrow" w:hAnsi="Arial Narrow"/>
                        <w:b/>
                        <w:color w:val="999999"/>
                        <w:kern w:val="0"/>
                      </w:rPr>
                    </w:pP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C04" w:rsidRPr="000C2FEA" w:rsidRDefault="006F2241" w:rsidP="000C2FEA">
    <w:pPr>
      <w:pStyle w:val="Intestazione"/>
      <w:ind w:left="142" w:hanging="142"/>
    </w:pPr>
    <w:r>
      <w:rPr>
        <w:noProof/>
      </w:rPr>
      <mc:AlternateContent>
        <mc:Choice Requires="wps">
          <w:drawing>
            <wp:anchor distT="0" distB="0" distL="114300" distR="114300" simplePos="0" relativeHeight="251658240" behindDoc="0" locked="0" layoutInCell="1" allowOverlap="1">
              <wp:simplePos x="0" y="0"/>
              <wp:positionH relativeFrom="column">
                <wp:posOffset>551815</wp:posOffset>
              </wp:positionH>
              <wp:positionV relativeFrom="paragraph">
                <wp:posOffset>78105</wp:posOffset>
              </wp:positionV>
              <wp:extent cx="1833245" cy="427990"/>
              <wp:effectExtent l="8890" t="11430" r="5715" b="8255"/>
              <wp:wrapNone/>
              <wp:docPr id="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245" cy="427990"/>
                      </a:xfrm>
                      <a:prstGeom prst="rect">
                        <a:avLst/>
                      </a:prstGeom>
                      <a:solidFill>
                        <a:srgbClr val="FFFFFF"/>
                      </a:solidFill>
                      <a:ln w="9525">
                        <a:solidFill>
                          <a:srgbClr val="FFFFFF"/>
                        </a:solidFill>
                        <a:miter lim="800000"/>
                        <a:headEnd/>
                        <a:tailEnd/>
                      </a:ln>
                    </wps:spPr>
                    <wps:txbx>
                      <w:txbxContent>
                        <w:p w:rsidR="000C2FEA" w:rsidRDefault="000C2FEA" w:rsidP="000C2FEA">
                          <w:pPr>
                            <w:spacing w:before="0" w:after="0"/>
                            <w:rPr>
                              <w:rFonts w:ascii="Arial Narrow" w:hAnsi="Arial Narrow" w:cs="Arial"/>
                              <w:b/>
                              <w:bCs/>
                              <w:caps/>
                              <w:color w:val="808080"/>
                              <w:lang w:val="en-US"/>
                            </w:rPr>
                          </w:pPr>
                          <w:r w:rsidRPr="003502D4">
                            <w:rPr>
                              <w:rFonts w:ascii="Arial Narrow" w:hAnsi="Arial Narrow" w:cs="Arial"/>
                              <w:b/>
                              <w:bCs/>
                              <w:caps/>
                              <w:color w:val="808080"/>
                              <w:lang w:val="en-US"/>
                            </w:rPr>
                            <w:t xml:space="preserve">Preliminary estimate </w:t>
                          </w:r>
                        </w:p>
                        <w:p w:rsidR="000C2FEA" w:rsidRPr="003502D4" w:rsidRDefault="000C2FEA" w:rsidP="000C2FEA">
                          <w:pPr>
                            <w:spacing w:before="0" w:after="0"/>
                            <w:rPr>
                              <w:rFonts w:ascii="Arial Narrow" w:hAnsi="Arial Narrow" w:cs="Arial"/>
                              <w:b/>
                              <w:bCs/>
                              <w:caps/>
                              <w:color w:val="808080"/>
                              <w:lang w:val="en-US"/>
                            </w:rPr>
                          </w:pPr>
                          <w:r w:rsidRPr="003502D4">
                            <w:rPr>
                              <w:rFonts w:ascii="Arial Narrow" w:hAnsi="Arial Narrow" w:cs="Arial"/>
                              <w:b/>
                              <w:bCs/>
                              <w:caps/>
                              <w:color w:val="808080"/>
                              <w:lang w:val="en-US"/>
                            </w:rPr>
                            <w:t>of GDP</w:t>
                          </w:r>
                        </w:p>
                        <w:p w:rsidR="000C2FEA" w:rsidRPr="00520ECF" w:rsidRDefault="000C2FEA" w:rsidP="000C2FEA">
                          <w:pPr>
                            <w:pStyle w:val="Intestazione"/>
                            <w:overflowPunct/>
                            <w:autoSpaceDE/>
                            <w:autoSpaceDN/>
                            <w:adjustRightInd/>
                            <w:spacing w:before="0" w:after="0" w:line="200" w:lineRule="exact"/>
                            <w:rPr>
                              <w:rFonts w:ascii="Arial Narrow" w:hAnsi="Arial Narrow"/>
                              <w:b/>
                              <w:color w:val="999999"/>
                              <w:kern w:val="0"/>
                              <w:lang w:val="en-US"/>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left:0;text-align:left;margin-left:43.45pt;margin-top:6.15pt;width:144.35pt;height:33.7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zIcKAIAAE8EAAAOAAAAZHJzL2Uyb0RvYy54bWysVNuO0zAQfUfiHyy/07TdFtqo6WrpUoS0&#10;XKSFD5g4TmPheIztNlm+fsdOUyp4QQg/WON45njmnJlsbvtWs5N0XqEp+Gwy5UwagZUyh4J/+7p/&#10;teLMBzAVaDSy4E/S89vtyxebzuZyjg3qSjpGIMbnnS14E4LNs8yLRrbgJ2ilocsaXQuBju6QVQ46&#10;Qm91Np9OX2cduso6FNJ7+no/XPJtwq9rKcLnuvYyMF1wyi2k3aW9jHu23UB+cGAbJc5pwD9k0YIy&#10;9OgF6h4CsKNTf0C1Sjj0WIeJwDbDulZCphqomtn0t2oeG7Ay1ULkeHuhyf8/WPHp9MUxVZF2nBlo&#10;SaIdeKk1sEqxIH1ANo8sddbn5PxoyT30b7GPEbFibx9QfPfM4K4Bc5B3zmHXSKgoy1mMzK5CBxwf&#10;QcruI1b0HBwDJqC+dm0EJFIYoZNaTxeFZB+YiE+ubm7miyVngu4W8zfrdZIwg3yMts6H9xJbFo2C&#10;O+qAhA6nBx9iNpCPLil71KraK63TwR3KnXbsBNQt+7RSAVTktZs2rCv4ejlfDgRc3/m/g2hVoLbX&#10;qi34ahrX0IiRtnemSk0ZQOnBppS1OfMYqRtIDH3ZJ+EWozwlVk9ErMOhy2kqyWjQ/eSsow4vuP9x&#10;BCc50x8MiRPHYTTcaJSjAUZQaMEDZ4O5C8PYHK1Th4aQR/nvSMC9StxGpYcszulS1ybKzxMWx+L6&#10;nLx+/Qe2zwAAAP//AwBQSwMEFAAGAAgAAAAhADN67hDcAAAACAEAAA8AAABkcnMvZG93bnJldi54&#10;bWxMj8FuwjAMhu+TeIfISLuNdFRroTRFCLSd2GFs3ENj2mqNUzUptG8/77Qd7f/X58/5drStuGHv&#10;G0cKnhcRCKTSmYYqBV+fr08rED5oMrp1hAom9LAtZg+5zoy70wfeTqESDCGfaQV1CF0mpS9rtNov&#10;XIfE2dX1Vgce+0qaXt8Zblu5jKJEWt0QX6h1h/say+/TYBVcrYzPdNyn63TsjtPbEE+Hd1LqcT7u&#10;NiACjuGvDL/6rA4FO13cQMaLVsEqWXOT98sYBOdx+pKAuChgKMgil/8fKH4AAAD//wMAUEsBAi0A&#10;FAAGAAgAAAAhALaDOJL+AAAA4QEAABMAAAAAAAAAAAAAAAAAAAAAAFtDb250ZW50X1R5cGVzXS54&#10;bWxQSwECLQAUAAYACAAAACEAOP0h/9YAAACUAQAACwAAAAAAAAAAAAAAAAAvAQAAX3JlbHMvLnJl&#10;bHNQSwECLQAUAAYACAAAACEAb+syHCgCAABPBAAADgAAAAAAAAAAAAAAAAAuAgAAZHJzL2Uyb0Rv&#10;Yy54bWxQSwECLQAUAAYACAAAACEAM3ruENwAAAAIAQAADwAAAAAAAAAAAAAAAACCBAAAZHJzL2Rv&#10;d25yZXYueG1sUEsFBgAAAAAEAAQA8wAAAIsFAAAAAA==&#10;" strokecolor="white">
              <v:textbox style="mso-fit-shape-to-text:t" inset="0,0,0,0">
                <w:txbxContent>
                  <w:p w:rsidR="000C2FEA" w:rsidRDefault="000C2FEA" w:rsidP="000C2FEA">
                    <w:pPr>
                      <w:spacing w:before="0" w:after="0"/>
                      <w:rPr>
                        <w:rFonts w:ascii="Arial Narrow" w:hAnsi="Arial Narrow" w:cs="Arial"/>
                        <w:b/>
                        <w:bCs/>
                        <w:caps/>
                        <w:color w:val="808080"/>
                        <w:lang w:val="en-US"/>
                      </w:rPr>
                    </w:pPr>
                    <w:r w:rsidRPr="003502D4">
                      <w:rPr>
                        <w:rFonts w:ascii="Arial Narrow" w:hAnsi="Arial Narrow" w:cs="Arial"/>
                        <w:b/>
                        <w:bCs/>
                        <w:caps/>
                        <w:color w:val="808080"/>
                        <w:lang w:val="en-US"/>
                      </w:rPr>
                      <w:t xml:space="preserve">Preliminary estimate </w:t>
                    </w:r>
                  </w:p>
                  <w:p w:rsidR="000C2FEA" w:rsidRPr="003502D4" w:rsidRDefault="000C2FEA" w:rsidP="000C2FEA">
                    <w:pPr>
                      <w:spacing w:before="0" w:after="0"/>
                      <w:rPr>
                        <w:rFonts w:ascii="Arial Narrow" w:hAnsi="Arial Narrow" w:cs="Arial"/>
                        <w:b/>
                        <w:bCs/>
                        <w:caps/>
                        <w:color w:val="808080"/>
                        <w:lang w:val="en-US"/>
                      </w:rPr>
                    </w:pPr>
                    <w:r w:rsidRPr="003502D4">
                      <w:rPr>
                        <w:rFonts w:ascii="Arial Narrow" w:hAnsi="Arial Narrow" w:cs="Arial"/>
                        <w:b/>
                        <w:bCs/>
                        <w:caps/>
                        <w:color w:val="808080"/>
                        <w:lang w:val="en-US"/>
                      </w:rPr>
                      <w:t>of GDP</w:t>
                    </w:r>
                  </w:p>
                  <w:p w:rsidR="000C2FEA" w:rsidRPr="00520ECF" w:rsidRDefault="000C2FEA" w:rsidP="000C2FEA">
                    <w:pPr>
                      <w:pStyle w:val="Intestazione"/>
                      <w:overflowPunct/>
                      <w:autoSpaceDE/>
                      <w:autoSpaceDN/>
                      <w:adjustRightInd/>
                      <w:spacing w:before="0" w:after="0" w:line="200" w:lineRule="exact"/>
                      <w:rPr>
                        <w:rFonts w:ascii="Arial Narrow" w:hAnsi="Arial Narrow"/>
                        <w:b/>
                        <w:color w:val="999999"/>
                        <w:kern w:val="0"/>
                        <w:lang w:val="en-US"/>
                      </w:rPr>
                    </w:pPr>
                  </w:p>
                </w:txbxContent>
              </v:textbox>
            </v:shape>
          </w:pict>
        </mc:Fallback>
      </mc:AlternateContent>
    </w:r>
    <w:r w:rsidRPr="00F83CCF">
      <w:rPr>
        <w:noProof/>
      </w:rPr>
      <w:drawing>
        <wp:inline distT="0" distB="0" distL="0" distR="0">
          <wp:extent cx="6483350" cy="584200"/>
          <wp:effectExtent l="0" t="0" r="0" b="0"/>
          <wp:docPr id="8" name="Immagine 8" descr="iconeComunicatiRossoEng-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coneComunicatiRossoEng-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3350" cy="584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8.45pt;height:8.45pt" o:bullet="t">
        <v:imagedata r:id="rId1" o:title=""/>
      </v:shape>
    </w:pict>
  </w:numPicBullet>
  <w:numPicBullet w:numPicBulletId="1">
    <w:pict>
      <v:shape id="_x0000_i1044" type="#_x0000_t75" style="width:4.5pt;height:7.2pt" o:bullet="t">
        <v:imagedata r:id="rId2" o:title=""/>
      </v:shape>
    </w:pict>
  </w:numPicBullet>
  <w:abstractNum w:abstractNumId="0" w15:restartNumberingAfterBreak="0">
    <w:nsid w:val="FFFFFF1D"/>
    <w:multiLevelType w:val="multilevel"/>
    <w:tmpl w:val="F1A4DC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22D62"/>
    <w:multiLevelType w:val="hybridMultilevel"/>
    <w:tmpl w:val="2EA4AA2A"/>
    <w:lvl w:ilvl="0" w:tplc="7FE041A6">
      <w:start w:val="1"/>
      <w:numFmt w:val="bullet"/>
      <w:lvlText w:val=""/>
      <w:lvlJc w:val="left"/>
      <w:pPr>
        <w:ind w:left="720" w:hanging="360"/>
      </w:pPr>
      <w:rPr>
        <w:rFonts w:ascii="Wingdings" w:hAnsi="Wingdings" w:hint="default"/>
        <w:b/>
        <w:i w:val="0"/>
        <w:color w:val="FF0000"/>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26E56C4"/>
    <w:multiLevelType w:val="hybridMultilevel"/>
    <w:tmpl w:val="AB00ACB0"/>
    <w:lvl w:ilvl="0" w:tplc="723CD9BA">
      <w:start w:val="1"/>
      <w:numFmt w:val="bullet"/>
      <w:lvlText w:val=""/>
      <w:lvlPicBulletId w:val="1"/>
      <w:lvlJc w:val="left"/>
      <w:pPr>
        <w:ind w:left="2534" w:hanging="360"/>
      </w:pPr>
      <w:rPr>
        <w:rFonts w:ascii="Symbol" w:hAnsi="Symbol" w:hint="default"/>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3" w15:restartNumberingAfterBreak="0">
    <w:nsid w:val="056C3596"/>
    <w:multiLevelType w:val="multilevel"/>
    <w:tmpl w:val="98E2AEF0"/>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59315D3"/>
    <w:multiLevelType w:val="hybridMultilevel"/>
    <w:tmpl w:val="EF400274"/>
    <w:lvl w:ilvl="0" w:tplc="8CAC103E">
      <w:start w:val="1"/>
      <w:numFmt w:val="bullet"/>
      <w:lvlText w:val=""/>
      <w:lvlPicBulletId w:val="1"/>
      <w:lvlJc w:val="left"/>
      <w:pPr>
        <w:tabs>
          <w:tab w:val="num" w:pos="720"/>
        </w:tabs>
        <w:ind w:left="720" w:hanging="360"/>
      </w:pPr>
      <w:rPr>
        <w:rFonts w:ascii="Symbol" w:hAnsi="Symbol" w:hint="default"/>
      </w:rPr>
    </w:lvl>
    <w:lvl w:ilvl="1" w:tplc="950A23AE" w:tentative="1">
      <w:start w:val="1"/>
      <w:numFmt w:val="bullet"/>
      <w:lvlText w:val=""/>
      <w:lvlJc w:val="left"/>
      <w:pPr>
        <w:tabs>
          <w:tab w:val="num" w:pos="1440"/>
        </w:tabs>
        <w:ind w:left="1440" w:hanging="360"/>
      </w:pPr>
      <w:rPr>
        <w:rFonts w:ascii="Symbol" w:hAnsi="Symbol" w:hint="default"/>
      </w:rPr>
    </w:lvl>
    <w:lvl w:ilvl="2" w:tplc="10E0DD76" w:tentative="1">
      <w:start w:val="1"/>
      <w:numFmt w:val="bullet"/>
      <w:lvlText w:val=""/>
      <w:lvlJc w:val="left"/>
      <w:pPr>
        <w:tabs>
          <w:tab w:val="num" w:pos="2160"/>
        </w:tabs>
        <w:ind w:left="2160" w:hanging="360"/>
      </w:pPr>
      <w:rPr>
        <w:rFonts w:ascii="Symbol" w:hAnsi="Symbol" w:hint="default"/>
      </w:rPr>
    </w:lvl>
    <w:lvl w:ilvl="3" w:tplc="A5229CBE" w:tentative="1">
      <w:start w:val="1"/>
      <w:numFmt w:val="bullet"/>
      <w:lvlText w:val=""/>
      <w:lvlJc w:val="left"/>
      <w:pPr>
        <w:tabs>
          <w:tab w:val="num" w:pos="2880"/>
        </w:tabs>
        <w:ind w:left="2880" w:hanging="360"/>
      </w:pPr>
      <w:rPr>
        <w:rFonts w:ascii="Symbol" w:hAnsi="Symbol" w:hint="default"/>
      </w:rPr>
    </w:lvl>
    <w:lvl w:ilvl="4" w:tplc="BD863054" w:tentative="1">
      <w:start w:val="1"/>
      <w:numFmt w:val="bullet"/>
      <w:lvlText w:val=""/>
      <w:lvlJc w:val="left"/>
      <w:pPr>
        <w:tabs>
          <w:tab w:val="num" w:pos="3600"/>
        </w:tabs>
        <w:ind w:left="3600" w:hanging="360"/>
      </w:pPr>
      <w:rPr>
        <w:rFonts w:ascii="Symbol" w:hAnsi="Symbol" w:hint="default"/>
      </w:rPr>
    </w:lvl>
    <w:lvl w:ilvl="5" w:tplc="6046C154" w:tentative="1">
      <w:start w:val="1"/>
      <w:numFmt w:val="bullet"/>
      <w:lvlText w:val=""/>
      <w:lvlJc w:val="left"/>
      <w:pPr>
        <w:tabs>
          <w:tab w:val="num" w:pos="4320"/>
        </w:tabs>
        <w:ind w:left="4320" w:hanging="360"/>
      </w:pPr>
      <w:rPr>
        <w:rFonts w:ascii="Symbol" w:hAnsi="Symbol" w:hint="default"/>
      </w:rPr>
    </w:lvl>
    <w:lvl w:ilvl="6" w:tplc="377ACC06" w:tentative="1">
      <w:start w:val="1"/>
      <w:numFmt w:val="bullet"/>
      <w:lvlText w:val=""/>
      <w:lvlJc w:val="left"/>
      <w:pPr>
        <w:tabs>
          <w:tab w:val="num" w:pos="5040"/>
        </w:tabs>
        <w:ind w:left="5040" w:hanging="360"/>
      </w:pPr>
      <w:rPr>
        <w:rFonts w:ascii="Symbol" w:hAnsi="Symbol" w:hint="default"/>
      </w:rPr>
    </w:lvl>
    <w:lvl w:ilvl="7" w:tplc="8D744430" w:tentative="1">
      <w:start w:val="1"/>
      <w:numFmt w:val="bullet"/>
      <w:lvlText w:val=""/>
      <w:lvlJc w:val="left"/>
      <w:pPr>
        <w:tabs>
          <w:tab w:val="num" w:pos="5760"/>
        </w:tabs>
        <w:ind w:left="5760" w:hanging="360"/>
      </w:pPr>
      <w:rPr>
        <w:rFonts w:ascii="Symbol" w:hAnsi="Symbol" w:hint="default"/>
      </w:rPr>
    </w:lvl>
    <w:lvl w:ilvl="8" w:tplc="49A80EF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7E32F73"/>
    <w:multiLevelType w:val="hybridMultilevel"/>
    <w:tmpl w:val="FD683F78"/>
    <w:lvl w:ilvl="0" w:tplc="09C6520C">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6" w15:restartNumberingAfterBreak="0">
    <w:nsid w:val="08BF3BFF"/>
    <w:multiLevelType w:val="hybridMultilevel"/>
    <w:tmpl w:val="625CFFF6"/>
    <w:lvl w:ilvl="0" w:tplc="723CD9BA">
      <w:start w:val="1"/>
      <w:numFmt w:val="bullet"/>
      <w:lvlText w:val=""/>
      <w:lvlPicBulletId w:val="1"/>
      <w:lvlJc w:val="left"/>
      <w:pPr>
        <w:ind w:left="2534" w:hanging="360"/>
      </w:pPr>
      <w:rPr>
        <w:rFonts w:ascii="Symbol" w:hAnsi="Symbol" w:hint="default"/>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7" w15:restartNumberingAfterBreak="0">
    <w:nsid w:val="0AB86367"/>
    <w:multiLevelType w:val="hybridMultilevel"/>
    <w:tmpl w:val="4FFCC8FE"/>
    <w:lvl w:ilvl="0" w:tplc="723CD9BA">
      <w:start w:val="1"/>
      <w:numFmt w:val="bullet"/>
      <w:lvlText w:val=""/>
      <w:lvlPicBulletId w:val="1"/>
      <w:lvlJc w:val="left"/>
      <w:pPr>
        <w:ind w:left="2534" w:hanging="360"/>
      </w:pPr>
      <w:rPr>
        <w:rFonts w:ascii="Symbol" w:hAnsi="Symbol" w:hint="default"/>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8" w15:restartNumberingAfterBreak="0">
    <w:nsid w:val="0CE739D6"/>
    <w:multiLevelType w:val="hybridMultilevel"/>
    <w:tmpl w:val="2C004114"/>
    <w:lvl w:ilvl="0" w:tplc="FFFFFFFF">
      <w:start w:val="1"/>
      <w:numFmt w:val="bullet"/>
      <w:lvlText w:val=""/>
      <w:lvlJc w:val="left"/>
      <w:pPr>
        <w:tabs>
          <w:tab w:val="num" w:pos="340"/>
        </w:tabs>
        <w:ind w:left="0" w:firstLine="0"/>
      </w:pPr>
      <w:rPr>
        <w:rFonts w:ascii="Wingdings" w:hAnsi="Wingdings" w:hint="default"/>
        <w:b w:val="0"/>
        <w:i w:val="0"/>
        <w:color w:val="FF0000"/>
        <w:spacing w:val="0"/>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172E02"/>
    <w:multiLevelType w:val="hybridMultilevel"/>
    <w:tmpl w:val="98E2AEF0"/>
    <w:lvl w:ilvl="0" w:tplc="A8762A92">
      <w:start w:val="1"/>
      <w:numFmt w:val="bullet"/>
      <w:lvlText w:val=""/>
      <w:lvlPicBulletId w:val="0"/>
      <w:lvlJc w:val="left"/>
      <w:pPr>
        <w:tabs>
          <w:tab w:val="num" w:pos="720"/>
        </w:tabs>
        <w:ind w:left="720" w:hanging="360"/>
      </w:pPr>
      <w:rPr>
        <w:rFonts w:ascii="Symbol" w:hAnsi="Symbol" w:hint="default"/>
      </w:rPr>
    </w:lvl>
    <w:lvl w:ilvl="1" w:tplc="6D6EAF6E">
      <w:start w:val="1"/>
      <w:numFmt w:val="bullet"/>
      <w:lvlText w:val=""/>
      <w:lvlJc w:val="left"/>
      <w:pPr>
        <w:tabs>
          <w:tab w:val="num" w:pos="1440"/>
        </w:tabs>
        <w:ind w:left="1440" w:hanging="360"/>
      </w:pPr>
      <w:rPr>
        <w:rFonts w:ascii="Symbol" w:hAnsi="Symbol" w:hint="default"/>
      </w:rPr>
    </w:lvl>
    <w:lvl w:ilvl="2" w:tplc="7A64CB7E" w:tentative="1">
      <w:start w:val="1"/>
      <w:numFmt w:val="bullet"/>
      <w:lvlText w:val=""/>
      <w:lvlJc w:val="left"/>
      <w:pPr>
        <w:tabs>
          <w:tab w:val="num" w:pos="2160"/>
        </w:tabs>
        <w:ind w:left="2160" w:hanging="360"/>
      </w:pPr>
      <w:rPr>
        <w:rFonts w:ascii="Symbol" w:hAnsi="Symbol" w:hint="default"/>
      </w:rPr>
    </w:lvl>
    <w:lvl w:ilvl="3" w:tplc="19A2BEA6" w:tentative="1">
      <w:start w:val="1"/>
      <w:numFmt w:val="bullet"/>
      <w:lvlText w:val=""/>
      <w:lvlJc w:val="left"/>
      <w:pPr>
        <w:tabs>
          <w:tab w:val="num" w:pos="2880"/>
        </w:tabs>
        <w:ind w:left="2880" w:hanging="360"/>
      </w:pPr>
      <w:rPr>
        <w:rFonts w:ascii="Symbol" w:hAnsi="Symbol" w:hint="default"/>
      </w:rPr>
    </w:lvl>
    <w:lvl w:ilvl="4" w:tplc="7A906554" w:tentative="1">
      <w:start w:val="1"/>
      <w:numFmt w:val="bullet"/>
      <w:lvlText w:val=""/>
      <w:lvlJc w:val="left"/>
      <w:pPr>
        <w:tabs>
          <w:tab w:val="num" w:pos="3600"/>
        </w:tabs>
        <w:ind w:left="3600" w:hanging="360"/>
      </w:pPr>
      <w:rPr>
        <w:rFonts w:ascii="Symbol" w:hAnsi="Symbol" w:hint="default"/>
      </w:rPr>
    </w:lvl>
    <w:lvl w:ilvl="5" w:tplc="DF94CC1E" w:tentative="1">
      <w:start w:val="1"/>
      <w:numFmt w:val="bullet"/>
      <w:lvlText w:val=""/>
      <w:lvlJc w:val="left"/>
      <w:pPr>
        <w:tabs>
          <w:tab w:val="num" w:pos="4320"/>
        </w:tabs>
        <w:ind w:left="4320" w:hanging="360"/>
      </w:pPr>
      <w:rPr>
        <w:rFonts w:ascii="Symbol" w:hAnsi="Symbol" w:hint="default"/>
      </w:rPr>
    </w:lvl>
    <w:lvl w:ilvl="6" w:tplc="10AAB236" w:tentative="1">
      <w:start w:val="1"/>
      <w:numFmt w:val="bullet"/>
      <w:lvlText w:val=""/>
      <w:lvlJc w:val="left"/>
      <w:pPr>
        <w:tabs>
          <w:tab w:val="num" w:pos="5040"/>
        </w:tabs>
        <w:ind w:left="5040" w:hanging="360"/>
      </w:pPr>
      <w:rPr>
        <w:rFonts w:ascii="Symbol" w:hAnsi="Symbol" w:hint="default"/>
      </w:rPr>
    </w:lvl>
    <w:lvl w:ilvl="7" w:tplc="387E825A" w:tentative="1">
      <w:start w:val="1"/>
      <w:numFmt w:val="bullet"/>
      <w:lvlText w:val=""/>
      <w:lvlJc w:val="left"/>
      <w:pPr>
        <w:tabs>
          <w:tab w:val="num" w:pos="5760"/>
        </w:tabs>
        <w:ind w:left="5760" w:hanging="360"/>
      </w:pPr>
      <w:rPr>
        <w:rFonts w:ascii="Symbol" w:hAnsi="Symbol" w:hint="default"/>
      </w:rPr>
    </w:lvl>
    <w:lvl w:ilvl="8" w:tplc="4A643362"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7607EBE"/>
    <w:multiLevelType w:val="hybridMultilevel"/>
    <w:tmpl w:val="4546104A"/>
    <w:lvl w:ilvl="0" w:tplc="3F249A66">
      <w:start w:val="1"/>
      <w:numFmt w:val="bullet"/>
      <w:lvlText w:val=""/>
      <w:lvlJc w:val="left"/>
      <w:pPr>
        <w:tabs>
          <w:tab w:val="num" w:pos="2534"/>
        </w:tabs>
        <w:ind w:left="2534" w:hanging="360"/>
      </w:pPr>
      <w:rPr>
        <w:rFonts w:ascii="Symbol" w:hAnsi="Symbol"/>
      </w:rPr>
    </w:lvl>
    <w:lvl w:ilvl="1" w:tplc="C1D0052C">
      <w:start w:val="1"/>
      <w:numFmt w:val="bullet"/>
      <w:lvlText w:val="o"/>
      <w:lvlJc w:val="left"/>
      <w:pPr>
        <w:tabs>
          <w:tab w:val="num" w:pos="3254"/>
        </w:tabs>
        <w:ind w:left="3254" w:hanging="360"/>
      </w:pPr>
      <w:rPr>
        <w:rFonts w:ascii="Courier New" w:hAnsi="Courier New"/>
      </w:rPr>
    </w:lvl>
    <w:lvl w:ilvl="2" w:tplc="B50C429C">
      <w:start w:val="1"/>
      <w:numFmt w:val="bullet"/>
      <w:lvlText w:val=""/>
      <w:lvlJc w:val="left"/>
      <w:pPr>
        <w:tabs>
          <w:tab w:val="num" w:pos="3974"/>
        </w:tabs>
        <w:ind w:left="3974" w:hanging="360"/>
      </w:pPr>
      <w:rPr>
        <w:rFonts w:ascii="Wingdings" w:hAnsi="Wingdings"/>
      </w:rPr>
    </w:lvl>
    <w:lvl w:ilvl="3" w:tplc="BF2A2472">
      <w:start w:val="1"/>
      <w:numFmt w:val="bullet"/>
      <w:lvlText w:val=""/>
      <w:lvlJc w:val="left"/>
      <w:pPr>
        <w:tabs>
          <w:tab w:val="num" w:pos="4694"/>
        </w:tabs>
        <w:ind w:left="4694" w:hanging="360"/>
      </w:pPr>
      <w:rPr>
        <w:rFonts w:ascii="Symbol" w:hAnsi="Symbol"/>
      </w:rPr>
    </w:lvl>
    <w:lvl w:ilvl="4" w:tplc="6FB4AB76">
      <w:start w:val="1"/>
      <w:numFmt w:val="bullet"/>
      <w:lvlText w:val="o"/>
      <w:lvlJc w:val="left"/>
      <w:pPr>
        <w:tabs>
          <w:tab w:val="num" w:pos="5414"/>
        </w:tabs>
        <w:ind w:left="5414" w:hanging="360"/>
      </w:pPr>
      <w:rPr>
        <w:rFonts w:ascii="Courier New" w:hAnsi="Courier New"/>
      </w:rPr>
    </w:lvl>
    <w:lvl w:ilvl="5" w:tplc="5E6831DC">
      <w:start w:val="1"/>
      <w:numFmt w:val="bullet"/>
      <w:lvlText w:val=""/>
      <w:lvlJc w:val="left"/>
      <w:pPr>
        <w:tabs>
          <w:tab w:val="num" w:pos="6134"/>
        </w:tabs>
        <w:ind w:left="6134" w:hanging="360"/>
      </w:pPr>
      <w:rPr>
        <w:rFonts w:ascii="Wingdings" w:hAnsi="Wingdings"/>
      </w:rPr>
    </w:lvl>
    <w:lvl w:ilvl="6" w:tplc="255C9F4E">
      <w:start w:val="1"/>
      <w:numFmt w:val="bullet"/>
      <w:lvlText w:val=""/>
      <w:lvlJc w:val="left"/>
      <w:pPr>
        <w:tabs>
          <w:tab w:val="num" w:pos="6854"/>
        </w:tabs>
        <w:ind w:left="6854" w:hanging="360"/>
      </w:pPr>
      <w:rPr>
        <w:rFonts w:ascii="Symbol" w:hAnsi="Symbol"/>
      </w:rPr>
    </w:lvl>
    <w:lvl w:ilvl="7" w:tplc="DAAC8486">
      <w:start w:val="1"/>
      <w:numFmt w:val="bullet"/>
      <w:lvlText w:val="o"/>
      <w:lvlJc w:val="left"/>
      <w:pPr>
        <w:tabs>
          <w:tab w:val="num" w:pos="7574"/>
        </w:tabs>
        <w:ind w:left="7574" w:hanging="360"/>
      </w:pPr>
      <w:rPr>
        <w:rFonts w:ascii="Courier New" w:hAnsi="Courier New"/>
      </w:rPr>
    </w:lvl>
    <w:lvl w:ilvl="8" w:tplc="AE903BE4">
      <w:start w:val="1"/>
      <w:numFmt w:val="bullet"/>
      <w:lvlText w:val=""/>
      <w:lvlJc w:val="left"/>
      <w:pPr>
        <w:tabs>
          <w:tab w:val="num" w:pos="8294"/>
        </w:tabs>
        <w:ind w:left="8294" w:hanging="360"/>
      </w:pPr>
      <w:rPr>
        <w:rFonts w:ascii="Wingdings" w:hAnsi="Wingdings"/>
      </w:rPr>
    </w:lvl>
  </w:abstractNum>
  <w:abstractNum w:abstractNumId="11" w15:restartNumberingAfterBreak="0">
    <w:nsid w:val="1C24545E"/>
    <w:multiLevelType w:val="hybridMultilevel"/>
    <w:tmpl w:val="D9F87856"/>
    <w:lvl w:ilvl="0" w:tplc="0100C278">
      <w:start w:val="1"/>
      <w:numFmt w:val="bullet"/>
      <w:lvlText w:val=""/>
      <w:lvlJc w:val="left"/>
      <w:pPr>
        <w:tabs>
          <w:tab w:val="num" w:pos="340"/>
        </w:tabs>
      </w:pPr>
      <w:rPr>
        <w:rFonts w:ascii="Wingdings" w:hAnsi="Wingdings"/>
        <w:b w:val="0"/>
        <w:i w:val="0"/>
        <w:color w:val="FF0000"/>
        <w:spacing w:val="0"/>
        <w:sz w:val="26"/>
      </w:rPr>
    </w:lvl>
    <w:lvl w:ilvl="1" w:tplc="E8FCC02E">
      <w:start w:val="1"/>
      <w:numFmt w:val="bullet"/>
      <w:lvlText w:val="o"/>
      <w:lvlJc w:val="left"/>
      <w:pPr>
        <w:tabs>
          <w:tab w:val="num" w:pos="1440"/>
        </w:tabs>
        <w:ind w:left="1440" w:hanging="360"/>
      </w:pPr>
      <w:rPr>
        <w:rFonts w:ascii="Courier New" w:hAnsi="Courier New"/>
      </w:rPr>
    </w:lvl>
    <w:lvl w:ilvl="2" w:tplc="57B2E412">
      <w:start w:val="1"/>
      <w:numFmt w:val="bullet"/>
      <w:lvlText w:val=""/>
      <w:lvlJc w:val="left"/>
      <w:pPr>
        <w:tabs>
          <w:tab w:val="num" w:pos="2160"/>
        </w:tabs>
        <w:ind w:left="2160" w:hanging="360"/>
      </w:pPr>
      <w:rPr>
        <w:rFonts w:ascii="Wingdings" w:hAnsi="Wingdings"/>
      </w:rPr>
    </w:lvl>
    <w:lvl w:ilvl="3" w:tplc="31BA2B30">
      <w:start w:val="1"/>
      <w:numFmt w:val="bullet"/>
      <w:lvlText w:val=""/>
      <w:lvlJc w:val="left"/>
      <w:pPr>
        <w:tabs>
          <w:tab w:val="num" w:pos="2880"/>
        </w:tabs>
        <w:ind w:left="2880" w:hanging="360"/>
      </w:pPr>
      <w:rPr>
        <w:rFonts w:ascii="Symbol" w:hAnsi="Symbol"/>
      </w:rPr>
    </w:lvl>
    <w:lvl w:ilvl="4" w:tplc="2C2276D6">
      <w:start w:val="1"/>
      <w:numFmt w:val="bullet"/>
      <w:lvlText w:val="o"/>
      <w:lvlJc w:val="left"/>
      <w:pPr>
        <w:tabs>
          <w:tab w:val="num" w:pos="3600"/>
        </w:tabs>
        <w:ind w:left="3600" w:hanging="360"/>
      </w:pPr>
      <w:rPr>
        <w:rFonts w:ascii="Courier New" w:hAnsi="Courier New"/>
      </w:rPr>
    </w:lvl>
    <w:lvl w:ilvl="5" w:tplc="85BACC6E">
      <w:start w:val="1"/>
      <w:numFmt w:val="bullet"/>
      <w:lvlText w:val=""/>
      <w:lvlJc w:val="left"/>
      <w:pPr>
        <w:tabs>
          <w:tab w:val="num" w:pos="4320"/>
        </w:tabs>
        <w:ind w:left="4320" w:hanging="360"/>
      </w:pPr>
      <w:rPr>
        <w:rFonts w:ascii="Wingdings" w:hAnsi="Wingdings"/>
      </w:rPr>
    </w:lvl>
    <w:lvl w:ilvl="6" w:tplc="1F3EF924">
      <w:start w:val="1"/>
      <w:numFmt w:val="bullet"/>
      <w:lvlText w:val=""/>
      <w:lvlJc w:val="left"/>
      <w:pPr>
        <w:tabs>
          <w:tab w:val="num" w:pos="5040"/>
        </w:tabs>
        <w:ind w:left="5040" w:hanging="360"/>
      </w:pPr>
      <w:rPr>
        <w:rFonts w:ascii="Symbol" w:hAnsi="Symbol"/>
      </w:rPr>
    </w:lvl>
    <w:lvl w:ilvl="7" w:tplc="6D82A608">
      <w:start w:val="1"/>
      <w:numFmt w:val="bullet"/>
      <w:lvlText w:val="o"/>
      <w:lvlJc w:val="left"/>
      <w:pPr>
        <w:tabs>
          <w:tab w:val="num" w:pos="5760"/>
        </w:tabs>
        <w:ind w:left="5760" w:hanging="360"/>
      </w:pPr>
      <w:rPr>
        <w:rFonts w:ascii="Courier New" w:hAnsi="Courier New"/>
      </w:rPr>
    </w:lvl>
    <w:lvl w:ilvl="8" w:tplc="11E84114">
      <w:start w:val="1"/>
      <w:numFmt w:val="bullet"/>
      <w:lvlText w:val=""/>
      <w:lvlJc w:val="left"/>
      <w:pPr>
        <w:tabs>
          <w:tab w:val="num" w:pos="6480"/>
        </w:tabs>
        <w:ind w:left="6480" w:hanging="360"/>
      </w:pPr>
      <w:rPr>
        <w:rFonts w:ascii="Wingdings" w:hAnsi="Wingdings"/>
      </w:rPr>
    </w:lvl>
  </w:abstractNum>
  <w:abstractNum w:abstractNumId="12" w15:restartNumberingAfterBreak="0">
    <w:nsid w:val="1C424650"/>
    <w:multiLevelType w:val="hybridMultilevel"/>
    <w:tmpl w:val="9A9CC9CC"/>
    <w:lvl w:ilvl="0" w:tplc="49247F60">
      <w:start w:val="1"/>
      <w:numFmt w:val="bullet"/>
      <w:lvlText w:val=""/>
      <w:lvlJc w:val="left"/>
      <w:pPr>
        <w:tabs>
          <w:tab w:val="num" w:pos="340"/>
        </w:tabs>
        <w:ind w:left="0" w:firstLine="0"/>
      </w:pPr>
      <w:rPr>
        <w:rFonts w:ascii="Webdings" w:hAnsi="Webdings" w:hint="default"/>
        <w:b w:val="0"/>
        <w:i w:val="0"/>
        <w:color w:val="E42618"/>
        <w:spacing w:val="0"/>
        <w:sz w:val="24"/>
        <w:szCs w:val="18"/>
        <w:lang w:val="en-US"/>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9E0A7A"/>
    <w:multiLevelType w:val="hybridMultilevel"/>
    <w:tmpl w:val="4F8054A8"/>
    <w:lvl w:ilvl="0" w:tplc="723CD9BA">
      <w:start w:val="1"/>
      <w:numFmt w:val="bullet"/>
      <w:lvlText w:val=""/>
      <w:lvlPicBulletId w:val="1"/>
      <w:lvlJc w:val="left"/>
      <w:pPr>
        <w:tabs>
          <w:tab w:val="num" w:pos="2534"/>
        </w:tabs>
        <w:ind w:left="2534" w:hanging="360"/>
      </w:pPr>
      <w:rPr>
        <w:rFonts w:ascii="Symbol" w:hAnsi="Symbol" w:hint="default"/>
      </w:rPr>
    </w:lvl>
    <w:lvl w:ilvl="1" w:tplc="C1D0052C">
      <w:start w:val="1"/>
      <w:numFmt w:val="bullet"/>
      <w:lvlText w:val="o"/>
      <w:lvlJc w:val="left"/>
      <w:pPr>
        <w:tabs>
          <w:tab w:val="num" w:pos="3254"/>
        </w:tabs>
        <w:ind w:left="3254" w:hanging="360"/>
      </w:pPr>
      <w:rPr>
        <w:rFonts w:ascii="Courier New" w:hAnsi="Courier New"/>
      </w:rPr>
    </w:lvl>
    <w:lvl w:ilvl="2" w:tplc="B50C429C">
      <w:start w:val="1"/>
      <w:numFmt w:val="bullet"/>
      <w:lvlText w:val=""/>
      <w:lvlJc w:val="left"/>
      <w:pPr>
        <w:tabs>
          <w:tab w:val="num" w:pos="3974"/>
        </w:tabs>
        <w:ind w:left="3974" w:hanging="360"/>
      </w:pPr>
      <w:rPr>
        <w:rFonts w:ascii="Wingdings" w:hAnsi="Wingdings"/>
      </w:rPr>
    </w:lvl>
    <w:lvl w:ilvl="3" w:tplc="BF2A2472">
      <w:start w:val="1"/>
      <w:numFmt w:val="bullet"/>
      <w:lvlText w:val=""/>
      <w:lvlJc w:val="left"/>
      <w:pPr>
        <w:tabs>
          <w:tab w:val="num" w:pos="4694"/>
        </w:tabs>
        <w:ind w:left="4694" w:hanging="360"/>
      </w:pPr>
      <w:rPr>
        <w:rFonts w:ascii="Symbol" w:hAnsi="Symbol"/>
      </w:rPr>
    </w:lvl>
    <w:lvl w:ilvl="4" w:tplc="6FB4AB76">
      <w:start w:val="1"/>
      <w:numFmt w:val="bullet"/>
      <w:lvlText w:val="o"/>
      <w:lvlJc w:val="left"/>
      <w:pPr>
        <w:tabs>
          <w:tab w:val="num" w:pos="5414"/>
        </w:tabs>
        <w:ind w:left="5414" w:hanging="360"/>
      </w:pPr>
      <w:rPr>
        <w:rFonts w:ascii="Courier New" w:hAnsi="Courier New"/>
      </w:rPr>
    </w:lvl>
    <w:lvl w:ilvl="5" w:tplc="5E6831DC">
      <w:start w:val="1"/>
      <w:numFmt w:val="bullet"/>
      <w:lvlText w:val=""/>
      <w:lvlJc w:val="left"/>
      <w:pPr>
        <w:tabs>
          <w:tab w:val="num" w:pos="6134"/>
        </w:tabs>
        <w:ind w:left="6134" w:hanging="360"/>
      </w:pPr>
      <w:rPr>
        <w:rFonts w:ascii="Wingdings" w:hAnsi="Wingdings"/>
      </w:rPr>
    </w:lvl>
    <w:lvl w:ilvl="6" w:tplc="255C9F4E">
      <w:start w:val="1"/>
      <w:numFmt w:val="bullet"/>
      <w:lvlText w:val=""/>
      <w:lvlJc w:val="left"/>
      <w:pPr>
        <w:tabs>
          <w:tab w:val="num" w:pos="6854"/>
        </w:tabs>
        <w:ind w:left="6854" w:hanging="360"/>
      </w:pPr>
      <w:rPr>
        <w:rFonts w:ascii="Symbol" w:hAnsi="Symbol"/>
      </w:rPr>
    </w:lvl>
    <w:lvl w:ilvl="7" w:tplc="DAAC8486">
      <w:start w:val="1"/>
      <w:numFmt w:val="bullet"/>
      <w:lvlText w:val="o"/>
      <w:lvlJc w:val="left"/>
      <w:pPr>
        <w:tabs>
          <w:tab w:val="num" w:pos="7574"/>
        </w:tabs>
        <w:ind w:left="7574" w:hanging="360"/>
      </w:pPr>
      <w:rPr>
        <w:rFonts w:ascii="Courier New" w:hAnsi="Courier New"/>
      </w:rPr>
    </w:lvl>
    <w:lvl w:ilvl="8" w:tplc="AE903BE4">
      <w:start w:val="1"/>
      <w:numFmt w:val="bullet"/>
      <w:lvlText w:val=""/>
      <w:lvlJc w:val="left"/>
      <w:pPr>
        <w:tabs>
          <w:tab w:val="num" w:pos="8294"/>
        </w:tabs>
        <w:ind w:left="8294" w:hanging="360"/>
      </w:pPr>
      <w:rPr>
        <w:rFonts w:ascii="Wingdings" w:hAnsi="Wingdings"/>
      </w:rPr>
    </w:lvl>
  </w:abstractNum>
  <w:abstractNum w:abstractNumId="14" w15:restartNumberingAfterBreak="0">
    <w:nsid w:val="227D531E"/>
    <w:multiLevelType w:val="hybridMultilevel"/>
    <w:tmpl w:val="73003C7A"/>
    <w:lvl w:ilvl="0" w:tplc="7FE041A6">
      <w:start w:val="1"/>
      <w:numFmt w:val="bullet"/>
      <w:lvlText w:val=""/>
      <w:lvlJc w:val="left"/>
      <w:pPr>
        <w:ind w:left="2534" w:hanging="360"/>
      </w:pPr>
      <w:rPr>
        <w:rFonts w:ascii="Wingdings" w:hAnsi="Wingdings" w:hint="default"/>
        <w:b/>
        <w:i w:val="0"/>
        <w:color w:val="FF0000"/>
        <w:sz w:val="18"/>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15" w15:restartNumberingAfterBreak="0">
    <w:nsid w:val="259C7CCE"/>
    <w:multiLevelType w:val="hybridMultilevel"/>
    <w:tmpl w:val="06983532"/>
    <w:lvl w:ilvl="0" w:tplc="FFFFFFFF">
      <w:start w:val="1"/>
      <w:numFmt w:val="bullet"/>
      <w:lvlText w:val=""/>
      <w:lvlJc w:val="left"/>
      <w:pPr>
        <w:tabs>
          <w:tab w:val="num" w:pos="2098"/>
        </w:tabs>
        <w:ind w:left="1814" w:firstLine="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7FE041A6">
      <w:start w:val="1"/>
      <w:numFmt w:val="bullet"/>
      <w:lvlText w:val=""/>
      <w:lvlJc w:val="left"/>
      <w:pPr>
        <w:tabs>
          <w:tab w:val="num" w:pos="1985"/>
        </w:tabs>
        <w:ind w:left="1814" w:hanging="14"/>
      </w:pPr>
      <w:rPr>
        <w:rFonts w:ascii="Wingdings" w:hAnsi="Wingdings" w:hint="default"/>
        <w:b/>
        <w:i w:val="0"/>
        <w:color w:val="FF0000"/>
        <w:sz w:val="18"/>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91218E"/>
    <w:multiLevelType w:val="hybridMultilevel"/>
    <w:tmpl w:val="FBA227E0"/>
    <w:lvl w:ilvl="0" w:tplc="6888BADE">
      <w:start w:val="1"/>
      <w:numFmt w:val="bullet"/>
      <w:lvlText w:val=""/>
      <w:lvlJc w:val="left"/>
      <w:pPr>
        <w:ind w:left="720" w:hanging="360"/>
      </w:pPr>
      <w:rPr>
        <w:rFonts w:ascii="Webdings" w:hAnsi="Webdings" w:hint="default"/>
        <w:b w:val="0"/>
        <w:i w:val="0"/>
        <w:color w:val="E42618"/>
        <w:sz w:val="24"/>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9FC5E71"/>
    <w:multiLevelType w:val="multilevel"/>
    <w:tmpl w:val="98E2AEF0"/>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A7A4AE0"/>
    <w:multiLevelType w:val="hybridMultilevel"/>
    <w:tmpl w:val="27881876"/>
    <w:lvl w:ilvl="0" w:tplc="FFFFFFFF">
      <w:start w:val="1"/>
      <w:numFmt w:val="bullet"/>
      <w:lvlText w:val=""/>
      <w:lvlPicBulletId w:val="0"/>
      <w:lvlJc w:val="left"/>
      <w:pPr>
        <w:tabs>
          <w:tab w:val="num" w:pos="502"/>
        </w:tabs>
        <w:ind w:left="502"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534E50"/>
    <w:multiLevelType w:val="hybridMultilevel"/>
    <w:tmpl w:val="143823E6"/>
    <w:lvl w:ilvl="0" w:tplc="D72441C4">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329825E8"/>
    <w:multiLevelType w:val="hybridMultilevel"/>
    <w:tmpl w:val="E860275A"/>
    <w:lvl w:ilvl="0" w:tplc="2070D63E">
      <w:start w:val="1"/>
      <w:numFmt w:val="bullet"/>
      <w:lvlText w:val=""/>
      <w:lvlJc w:val="left"/>
      <w:pPr>
        <w:tabs>
          <w:tab w:val="num" w:pos="340"/>
        </w:tabs>
      </w:pPr>
      <w:rPr>
        <w:rFonts w:ascii="Wingdings" w:hAnsi="Wingdings"/>
        <w:b w:val="0"/>
        <w:i w:val="0"/>
        <w:color w:val="FF0000"/>
        <w:spacing w:val="0"/>
        <w:sz w:val="26"/>
      </w:rPr>
    </w:lvl>
    <w:lvl w:ilvl="1" w:tplc="94F4BEFC">
      <w:start w:val="1"/>
      <w:numFmt w:val="bullet"/>
      <w:lvlText w:val="o"/>
      <w:lvlJc w:val="left"/>
      <w:pPr>
        <w:tabs>
          <w:tab w:val="num" w:pos="1440"/>
        </w:tabs>
        <w:ind w:left="1440" w:hanging="360"/>
      </w:pPr>
      <w:rPr>
        <w:rFonts w:ascii="Courier New" w:hAnsi="Courier New"/>
      </w:rPr>
    </w:lvl>
    <w:lvl w:ilvl="2" w:tplc="6E16D024">
      <w:start w:val="1"/>
      <w:numFmt w:val="bullet"/>
      <w:lvlText w:val=""/>
      <w:lvlJc w:val="left"/>
      <w:pPr>
        <w:tabs>
          <w:tab w:val="num" w:pos="2160"/>
        </w:tabs>
        <w:ind w:left="2160" w:hanging="360"/>
      </w:pPr>
      <w:rPr>
        <w:rFonts w:ascii="Wingdings" w:hAnsi="Wingdings"/>
      </w:rPr>
    </w:lvl>
    <w:lvl w:ilvl="3" w:tplc="91C6CF4A">
      <w:start w:val="1"/>
      <w:numFmt w:val="bullet"/>
      <w:lvlText w:val=""/>
      <w:lvlJc w:val="left"/>
      <w:pPr>
        <w:tabs>
          <w:tab w:val="num" w:pos="2880"/>
        </w:tabs>
        <w:ind w:left="2880" w:hanging="360"/>
      </w:pPr>
      <w:rPr>
        <w:rFonts w:ascii="Symbol" w:hAnsi="Symbol"/>
      </w:rPr>
    </w:lvl>
    <w:lvl w:ilvl="4" w:tplc="F4B800A6">
      <w:start w:val="1"/>
      <w:numFmt w:val="bullet"/>
      <w:lvlText w:val="o"/>
      <w:lvlJc w:val="left"/>
      <w:pPr>
        <w:tabs>
          <w:tab w:val="num" w:pos="3600"/>
        </w:tabs>
        <w:ind w:left="3600" w:hanging="360"/>
      </w:pPr>
      <w:rPr>
        <w:rFonts w:ascii="Courier New" w:hAnsi="Courier New"/>
      </w:rPr>
    </w:lvl>
    <w:lvl w:ilvl="5" w:tplc="30BCED80">
      <w:start w:val="1"/>
      <w:numFmt w:val="bullet"/>
      <w:lvlText w:val=""/>
      <w:lvlJc w:val="left"/>
      <w:pPr>
        <w:tabs>
          <w:tab w:val="num" w:pos="4320"/>
        </w:tabs>
        <w:ind w:left="4320" w:hanging="360"/>
      </w:pPr>
      <w:rPr>
        <w:rFonts w:ascii="Wingdings" w:hAnsi="Wingdings"/>
      </w:rPr>
    </w:lvl>
    <w:lvl w:ilvl="6" w:tplc="0F467640">
      <w:start w:val="1"/>
      <w:numFmt w:val="bullet"/>
      <w:lvlText w:val=""/>
      <w:lvlJc w:val="left"/>
      <w:pPr>
        <w:tabs>
          <w:tab w:val="num" w:pos="5040"/>
        </w:tabs>
        <w:ind w:left="5040" w:hanging="360"/>
      </w:pPr>
      <w:rPr>
        <w:rFonts w:ascii="Symbol" w:hAnsi="Symbol"/>
      </w:rPr>
    </w:lvl>
    <w:lvl w:ilvl="7" w:tplc="19FC4D64">
      <w:start w:val="1"/>
      <w:numFmt w:val="bullet"/>
      <w:lvlText w:val="o"/>
      <w:lvlJc w:val="left"/>
      <w:pPr>
        <w:tabs>
          <w:tab w:val="num" w:pos="5760"/>
        </w:tabs>
        <w:ind w:left="5760" w:hanging="360"/>
      </w:pPr>
      <w:rPr>
        <w:rFonts w:ascii="Courier New" w:hAnsi="Courier New"/>
      </w:rPr>
    </w:lvl>
    <w:lvl w:ilvl="8" w:tplc="657A961C">
      <w:start w:val="1"/>
      <w:numFmt w:val="bullet"/>
      <w:lvlText w:val=""/>
      <w:lvlJc w:val="left"/>
      <w:pPr>
        <w:tabs>
          <w:tab w:val="num" w:pos="6480"/>
        </w:tabs>
        <w:ind w:left="6480" w:hanging="360"/>
      </w:pPr>
      <w:rPr>
        <w:rFonts w:ascii="Wingdings" w:hAnsi="Wingdings"/>
      </w:rPr>
    </w:lvl>
  </w:abstractNum>
  <w:abstractNum w:abstractNumId="21" w15:restartNumberingAfterBreak="0">
    <w:nsid w:val="34CC2B15"/>
    <w:multiLevelType w:val="hybridMultilevel"/>
    <w:tmpl w:val="968862AE"/>
    <w:lvl w:ilvl="0" w:tplc="723CD9BA">
      <w:start w:val="1"/>
      <w:numFmt w:val="bullet"/>
      <w:lvlText w:val=""/>
      <w:lvlPicBulletId w:val="1"/>
      <w:lvlJc w:val="left"/>
      <w:pPr>
        <w:ind w:left="2534" w:hanging="360"/>
      </w:pPr>
      <w:rPr>
        <w:rFonts w:ascii="Symbol" w:hAnsi="Symbol" w:hint="default"/>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22" w15:restartNumberingAfterBreak="0">
    <w:nsid w:val="3B126581"/>
    <w:multiLevelType w:val="hybridMultilevel"/>
    <w:tmpl w:val="3EDCEA5C"/>
    <w:lvl w:ilvl="0" w:tplc="723CD9BA">
      <w:start w:val="1"/>
      <w:numFmt w:val="bullet"/>
      <w:lvlText w:val=""/>
      <w:lvlPicBulletId w:val="1"/>
      <w:lvlJc w:val="left"/>
      <w:pPr>
        <w:tabs>
          <w:tab w:val="num" w:pos="720"/>
        </w:tabs>
        <w:ind w:left="720" w:hanging="360"/>
      </w:pPr>
      <w:rPr>
        <w:rFonts w:ascii="Symbol" w:hAnsi="Symbol" w:hint="default"/>
      </w:rPr>
    </w:lvl>
    <w:lvl w:ilvl="1" w:tplc="F08261B2" w:tentative="1">
      <w:start w:val="1"/>
      <w:numFmt w:val="bullet"/>
      <w:lvlText w:val=""/>
      <w:lvlJc w:val="left"/>
      <w:pPr>
        <w:tabs>
          <w:tab w:val="num" w:pos="1440"/>
        </w:tabs>
        <w:ind w:left="1440" w:hanging="360"/>
      </w:pPr>
      <w:rPr>
        <w:rFonts w:ascii="Symbol" w:hAnsi="Symbol" w:hint="default"/>
      </w:rPr>
    </w:lvl>
    <w:lvl w:ilvl="2" w:tplc="6414E90C" w:tentative="1">
      <w:start w:val="1"/>
      <w:numFmt w:val="bullet"/>
      <w:lvlText w:val=""/>
      <w:lvlJc w:val="left"/>
      <w:pPr>
        <w:tabs>
          <w:tab w:val="num" w:pos="2160"/>
        </w:tabs>
        <w:ind w:left="2160" w:hanging="360"/>
      </w:pPr>
      <w:rPr>
        <w:rFonts w:ascii="Symbol" w:hAnsi="Symbol" w:hint="default"/>
      </w:rPr>
    </w:lvl>
    <w:lvl w:ilvl="3" w:tplc="35F41C48" w:tentative="1">
      <w:start w:val="1"/>
      <w:numFmt w:val="bullet"/>
      <w:lvlText w:val=""/>
      <w:lvlJc w:val="left"/>
      <w:pPr>
        <w:tabs>
          <w:tab w:val="num" w:pos="2880"/>
        </w:tabs>
        <w:ind w:left="2880" w:hanging="360"/>
      </w:pPr>
      <w:rPr>
        <w:rFonts w:ascii="Symbol" w:hAnsi="Symbol" w:hint="default"/>
      </w:rPr>
    </w:lvl>
    <w:lvl w:ilvl="4" w:tplc="76DC5C08" w:tentative="1">
      <w:start w:val="1"/>
      <w:numFmt w:val="bullet"/>
      <w:lvlText w:val=""/>
      <w:lvlJc w:val="left"/>
      <w:pPr>
        <w:tabs>
          <w:tab w:val="num" w:pos="3600"/>
        </w:tabs>
        <w:ind w:left="3600" w:hanging="360"/>
      </w:pPr>
      <w:rPr>
        <w:rFonts w:ascii="Symbol" w:hAnsi="Symbol" w:hint="default"/>
      </w:rPr>
    </w:lvl>
    <w:lvl w:ilvl="5" w:tplc="078CC066" w:tentative="1">
      <w:start w:val="1"/>
      <w:numFmt w:val="bullet"/>
      <w:lvlText w:val=""/>
      <w:lvlJc w:val="left"/>
      <w:pPr>
        <w:tabs>
          <w:tab w:val="num" w:pos="4320"/>
        </w:tabs>
        <w:ind w:left="4320" w:hanging="360"/>
      </w:pPr>
      <w:rPr>
        <w:rFonts w:ascii="Symbol" w:hAnsi="Symbol" w:hint="default"/>
      </w:rPr>
    </w:lvl>
    <w:lvl w:ilvl="6" w:tplc="993C39C0" w:tentative="1">
      <w:start w:val="1"/>
      <w:numFmt w:val="bullet"/>
      <w:lvlText w:val=""/>
      <w:lvlJc w:val="left"/>
      <w:pPr>
        <w:tabs>
          <w:tab w:val="num" w:pos="5040"/>
        </w:tabs>
        <w:ind w:left="5040" w:hanging="360"/>
      </w:pPr>
      <w:rPr>
        <w:rFonts w:ascii="Symbol" w:hAnsi="Symbol" w:hint="default"/>
      </w:rPr>
    </w:lvl>
    <w:lvl w:ilvl="7" w:tplc="0EB0D25C" w:tentative="1">
      <w:start w:val="1"/>
      <w:numFmt w:val="bullet"/>
      <w:lvlText w:val=""/>
      <w:lvlJc w:val="left"/>
      <w:pPr>
        <w:tabs>
          <w:tab w:val="num" w:pos="5760"/>
        </w:tabs>
        <w:ind w:left="5760" w:hanging="360"/>
      </w:pPr>
      <w:rPr>
        <w:rFonts w:ascii="Symbol" w:hAnsi="Symbol" w:hint="default"/>
      </w:rPr>
    </w:lvl>
    <w:lvl w:ilvl="8" w:tplc="B874B23E"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3F8F0948"/>
    <w:multiLevelType w:val="multilevel"/>
    <w:tmpl w:val="98E2AEF0"/>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059521C"/>
    <w:multiLevelType w:val="hybridMultilevel"/>
    <w:tmpl w:val="15BE83C8"/>
    <w:lvl w:ilvl="0" w:tplc="38DA4BEA">
      <w:start w:val="1"/>
      <w:numFmt w:val="bullet"/>
      <w:lvlText w:val=""/>
      <w:lvlJc w:val="left"/>
      <w:pPr>
        <w:tabs>
          <w:tab w:val="num" w:pos="2098"/>
        </w:tabs>
        <w:ind w:left="1814" w:firstLine="0"/>
      </w:pPr>
      <w:rPr>
        <w:rFonts w:ascii="Wingdings" w:hAnsi="Wingdings" w:hint="default"/>
        <w:b/>
        <w:i w:val="0"/>
        <w:color w:val="E42618"/>
        <w:sz w:val="18"/>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543005"/>
    <w:multiLevelType w:val="hybridMultilevel"/>
    <w:tmpl w:val="21229248"/>
    <w:lvl w:ilvl="0" w:tplc="8020CB96">
      <w:start w:val="1"/>
      <w:numFmt w:val="bullet"/>
      <w:lvlText w:val=""/>
      <w:lvlPicBulletId w:val="1"/>
      <w:lvlJc w:val="left"/>
      <w:pPr>
        <w:ind w:left="720" w:hanging="360"/>
      </w:pPr>
      <w:rPr>
        <w:rFonts w:ascii="Symbol" w:hAnsi="Symbol" w:hint="default"/>
        <w:color w:val="E426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B7641BD"/>
    <w:multiLevelType w:val="hybridMultilevel"/>
    <w:tmpl w:val="6ADE222C"/>
    <w:lvl w:ilvl="0" w:tplc="723CD9BA">
      <w:start w:val="1"/>
      <w:numFmt w:val="bullet"/>
      <w:lvlText w:val=""/>
      <w:lvlPicBulletId w:val="1"/>
      <w:lvlJc w:val="left"/>
      <w:pPr>
        <w:ind w:left="2563" w:hanging="360"/>
      </w:pPr>
      <w:rPr>
        <w:rFonts w:ascii="Symbol" w:hAnsi="Symbol" w:hint="default"/>
      </w:rPr>
    </w:lvl>
    <w:lvl w:ilvl="1" w:tplc="08090003" w:tentative="1">
      <w:start w:val="1"/>
      <w:numFmt w:val="bullet"/>
      <w:lvlText w:val="o"/>
      <w:lvlJc w:val="left"/>
      <w:pPr>
        <w:ind w:left="3283" w:hanging="360"/>
      </w:pPr>
      <w:rPr>
        <w:rFonts w:ascii="Courier New" w:hAnsi="Courier New" w:cs="Courier New" w:hint="default"/>
      </w:rPr>
    </w:lvl>
    <w:lvl w:ilvl="2" w:tplc="08090005" w:tentative="1">
      <w:start w:val="1"/>
      <w:numFmt w:val="bullet"/>
      <w:lvlText w:val=""/>
      <w:lvlJc w:val="left"/>
      <w:pPr>
        <w:ind w:left="4003" w:hanging="360"/>
      </w:pPr>
      <w:rPr>
        <w:rFonts w:ascii="Wingdings" w:hAnsi="Wingdings" w:hint="default"/>
      </w:rPr>
    </w:lvl>
    <w:lvl w:ilvl="3" w:tplc="08090001" w:tentative="1">
      <w:start w:val="1"/>
      <w:numFmt w:val="bullet"/>
      <w:lvlText w:val=""/>
      <w:lvlJc w:val="left"/>
      <w:pPr>
        <w:ind w:left="4723" w:hanging="360"/>
      </w:pPr>
      <w:rPr>
        <w:rFonts w:ascii="Symbol" w:hAnsi="Symbol" w:hint="default"/>
      </w:rPr>
    </w:lvl>
    <w:lvl w:ilvl="4" w:tplc="08090003" w:tentative="1">
      <w:start w:val="1"/>
      <w:numFmt w:val="bullet"/>
      <w:lvlText w:val="o"/>
      <w:lvlJc w:val="left"/>
      <w:pPr>
        <w:ind w:left="5443" w:hanging="360"/>
      </w:pPr>
      <w:rPr>
        <w:rFonts w:ascii="Courier New" w:hAnsi="Courier New" w:cs="Courier New" w:hint="default"/>
      </w:rPr>
    </w:lvl>
    <w:lvl w:ilvl="5" w:tplc="08090005" w:tentative="1">
      <w:start w:val="1"/>
      <w:numFmt w:val="bullet"/>
      <w:lvlText w:val=""/>
      <w:lvlJc w:val="left"/>
      <w:pPr>
        <w:ind w:left="6163" w:hanging="360"/>
      </w:pPr>
      <w:rPr>
        <w:rFonts w:ascii="Wingdings" w:hAnsi="Wingdings" w:hint="default"/>
      </w:rPr>
    </w:lvl>
    <w:lvl w:ilvl="6" w:tplc="08090001" w:tentative="1">
      <w:start w:val="1"/>
      <w:numFmt w:val="bullet"/>
      <w:lvlText w:val=""/>
      <w:lvlJc w:val="left"/>
      <w:pPr>
        <w:ind w:left="6883" w:hanging="360"/>
      </w:pPr>
      <w:rPr>
        <w:rFonts w:ascii="Symbol" w:hAnsi="Symbol" w:hint="default"/>
      </w:rPr>
    </w:lvl>
    <w:lvl w:ilvl="7" w:tplc="08090003" w:tentative="1">
      <w:start w:val="1"/>
      <w:numFmt w:val="bullet"/>
      <w:lvlText w:val="o"/>
      <w:lvlJc w:val="left"/>
      <w:pPr>
        <w:ind w:left="7603" w:hanging="360"/>
      </w:pPr>
      <w:rPr>
        <w:rFonts w:ascii="Courier New" w:hAnsi="Courier New" w:cs="Courier New" w:hint="default"/>
      </w:rPr>
    </w:lvl>
    <w:lvl w:ilvl="8" w:tplc="08090005" w:tentative="1">
      <w:start w:val="1"/>
      <w:numFmt w:val="bullet"/>
      <w:lvlText w:val=""/>
      <w:lvlJc w:val="left"/>
      <w:pPr>
        <w:ind w:left="8323" w:hanging="360"/>
      </w:pPr>
      <w:rPr>
        <w:rFonts w:ascii="Wingdings" w:hAnsi="Wingdings" w:hint="default"/>
      </w:rPr>
    </w:lvl>
  </w:abstractNum>
  <w:abstractNum w:abstractNumId="27" w15:restartNumberingAfterBreak="0">
    <w:nsid w:val="50BF64C1"/>
    <w:multiLevelType w:val="hybridMultilevel"/>
    <w:tmpl w:val="4CB07190"/>
    <w:lvl w:ilvl="0" w:tplc="248ED36C">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BC01CC4"/>
    <w:multiLevelType w:val="hybridMultilevel"/>
    <w:tmpl w:val="7B4EC59C"/>
    <w:lvl w:ilvl="0" w:tplc="FFFFFFFF">
      <w:start w:val="1"/>
      <w:numFmt w:val="bullet"/>
      <w:lvlText w:val=""/>
      <w:lvlJc w:val="left"/>
      <w:pPr>
        <w:tabs>
          <w:tab w:val="num" w:pos="7200"/>
        </w:tabs>
        <w:ind w:left="7200" w:hanging="360"/>
      </w:pPr>
      <w:rPr>
        <w:rFonts w:ascii="Wingdings" w:hAnsi="Wingdings" w:hint="default"/>
        <w:color w:val="FF0000"/>
        <w:sz w:val="20"/>
      </w:rPr>
    </w:lvl>
    <w:lvl w:ilvl="1" w:tplc="FFFFFFFF" w:tentative="1">
      <w:start w:val="1"/>
      <w:numFmt w:val="bullet"/>
      <w:lvlText w:val="o"/>
      <w:lvlJc w:val="left"/>
      <w:pPr>
        <w:tabs>
          <w:tab w:val="num" w:pos="3600"/>
        </w:tabs>
        <w:ind w:left="3600" w:hanging="360"/>
      </w:pPr>
      <w:rPr>
        <w:rFonts w:ascii="Courier New" w:hAnsi="Courier New" w:cs="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start w:val="1"/>
      <w:numFmt w:val="bullet"/>
      <w:lvlText w:val=""/>
      <w:lvlJc w:val="left"/>
      <w:pPr>
        <w:tabs>
          <w:tab w:val="num" w:pos="5040"/>
        </w:tabs>
        <w:ind w:left="5040" w:hanging="360"/>
      </w:pPr>
      <w:rPr>
        <w:rFonts w:ascii="Wingdings" w:hAnsi="Wingdings" w:hint="default"/>
        <w:color w:val="FF0000"/>
        <w:sz w:val="24"/>
      </w:rPr>
    </w:lvl>
    <w:lvl w:ilvl="4" w:tplc="FFFFFFFF" w:tentative="1">
      <w:start w:val="1"/>
      <w:numFmt w:val="bullet"/>
      <w:lvlText w:val="o"/>
      <w:lvlJc w:val="left"/>
      <w:pPr>
        <w:tabs>
          <w:tab w:val="num" w:pos="5760"/>
        </w:tabs>
        <w:ind w:left="5760" w:hanging="360"/>
      </w:pPr>
      <w:rPr>
        <w:rFonts w:ascii="Courier New" w:hAnsi="Courier New" w:cs="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cs="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66D53A64"/>
    <w:multiLevelType w:val="hybridMultilevel"/>
    <w:tmpl w:val="E73EDCB6"/>
    <w:lvl w:ilvl="0" w:tplc="723CD9BA">
      <w:start w:val="1"/>
      <w:numFmt w:val="bullet"/>
      <w:lvlText w:val=""/>
      <w:lvlPicBulletId w:val="1"/>
      <w:lvlJc w:val="left"/>
      <w:pPr>
        <w:tabs>
          <w:tab w:val="num" w:pos="720"/>
        </w:tabs>
        <w:ind w:left="720" w:hanging="360"/>
      </w:pPr>
      <w:rPr>
        <w:rFonts w:ascii="Symbol" w:hAnsi="Symbol" w:hint="default"/>
      </w:rPr>
    </w:lvl>
    <w:lvl w:ilvl="1" w:tplc="58A4F34A" w:tentative="1">
      <w:start w:val="1"/>
      <w:numFmt w:val="bullet"/>
      <w:lvlText w:val=""/>
      <w:lvlJc w:val="left"/>
      <w:pPr>
        <w:tabs>
          <w:tab w:val="num" w:pos="1440"/>
        </w:tabs>
        <w:ind w:left="1440" w:hanging="360"/>
      </w:pPr>
      <w:rPr>
        <w:rFonts w:ascii="Symbol" w:hAnsi="Symbol" w:hint="default"/>
      </w:rPr>
    </w:lvl>
    <w:lvl w:ilvl="2" w:tplc="10282158" w:tentative="1">
      <w:start w:val="1"/>
      <w:numFmt w:val="bullet"/>
      <w:lvlText w:val=""/>
      <w:lvlJc w:val="left"/>
      <w:pPr>
        <w:tabs>
          <w:tab w:val="num" w:pos="2160"/>
        </w:tabs>
        <w:ind w:left="2160" w:hanging="360"/>
      </w:pPr>
      <w:rPr>
        <w:rFonts w:ascii="Symbol" w:hAnsi="Symbol" w:hint="default"/>
      </w:rPr>
    </w:lvl>
    <w:lvl w:ilvl="3" w:tplc="9C6C8776" w:tentative="1">
      <w:start w:val="1"/>
      <w:numFmt w:val="bullet"/>
      <w:lvlText w:val=""/>
      <w:lvlJc w:val="left"/>
      <w:pPr>
        <w:tabs>
          <w:tab w:val="num" w:pos="2880"/>
        </w:tabs>
        <w:ind w:left="2880" w:hanging="360"/>
      </w:pPr>
      <w:rPr>
        <w:rFonts w:ascii="Symbol" w:hAnsi="Symbol" w:hint="default"/>
      </w:rPr>
    </w:lvl>
    <w:lvl w:ilvl="4" w:tplc="539C2334" w:tentative="1">
      <w:start w:val="1"/>
      <w:numFmt w:val="bullet"/>
      <w:lvlText w:val=""/>
      <w:lvlJc w:val="left"/>
      <w:pPr>
        <w:tabs>
          <w:tab w:val="num" w:pos="3600"/>
        </w:tabs>
        <w:ind w:left="3600" w:hanging="360"/>
      </w:pPr>
      <w:rPr>
        <w:rFonts w:ascii="Symbol" w:hAnsi="Symbol" w:hint="default"/>
      </w:rPr>
    </w:lvl>
    <w:lvl w:ilvl="5" w:tplc="E6ECA502" w:tentative="1">
      <w:start w:val="1"/>
      <w:numFmt w:val="bullet"/>
      <w:lvlText w:val=""/>
      <w:lvlJc w:val="left"/>
      <w:pPr>
        <w:tabs>
          <w:tab w:val="num" w:pos="4320"/>
        </w:tabs>
        <w:ind w:left="4320" w:hanging="360"/>
      </w:pPr>
      <w:rPr>
        <w:rFonts w:ascii="Symbol" w:hAnsi="Symbol" w:hint="default"/>
      </w:rPr>
    </w:lvl>
    <w:lvl w:ilvl="6" w:tplc="BF40799E" w:tentative="1">
      <w:start w:val="1"/>
      <w:numFmt w:val="bullet"/>
      <w:lvlText w:val=""/>
      <w:lvlJc w:val="left"/>
      <w:pPr>
        <w:tabs>
          <w:tab w:val="num" w:pos="5040"/>
        </w:tabs>
        <w:ind w:left="5040" w:hanging="360"/>
      </w:pPr>
      <w:rPr>
        <w:rFonts w:ascii="Symbol" w:hAnsi="Symbol" w:hint="default"/>
      </w:rPr>
    </w:lvl>
    <w:lvl w:ilvl="7" w:tplc="3502FF1A" w:tentative="1">
      <w:start w:val="1"/>
      <w:numFmt w:val="bullet"/>
      <w:lvlText w:val=""/>
      <w:lvlJc w:val="left"/>
      <w:pPr>
        <w:tabs>
          <w:tab w:val="num" w:pos="5760"/>
        </w:tabs>
        <w:ind w:left="5760" w:hanging="360"/>
      </w:pPr>
      <w:rPr>
        <w:rFonts w:ascii="Symbol" w:hAnsi="Symbol" w:hint="default"/>
      </w:rPr>
    </w:lvl>
    <w:lvl w:ilvl="8" w:tplc="3312820E"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72F1680C"/>
    <w:multiLevelType w:val="hybridMultilevel"/>
    <w:tmpl w:val="D9427482"/>
    <w:lvl w:ilvl="0" w:tplc="723CD9BA">
      <w:start w:val="1"/>
      <w:numFmt w:val="bullet"/>
      <w:lvlText w:val=""/>
      <w:lvlPicBulletId w:val="1"/>
      <w:lvlJc w:val="left"/>
      <w:pPr>
        <w:ind w:left="2534" w:hanging="360"/>
      </w:pPr>
      <w:rPr>
        <w:rFonts w:ascii="Symbol" w:hAnsi="Symbol" w:hint="default"/>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31" w15:restartNumberingAfterBreak="0">
    <w:nsid w:val="74B10D0F"/>
    <w:multiLevelType w:val="hybridMultilevel"/>
    <w:tmpl w:val="4CB07190"/>
    <w:lvl w:ilvl="0" w:tplc="248ED36C">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22"/>
  </w:num>
  <w:num w:numId="3">
    <w:abstractNumId w:val="26"/>
  </w:num>
  <w:num w:numId="4">
    <w:abstractNumId w:val="4"/>
  </w:num>
  <w:num w:numId="5">
    <w:abstractNumId w:val="14"/>
  </w:num>
  <w:num w:numId="6">
    <w:abstractNumId w:val="3"/>
  </w:num>
  <w:num w:numId="7">
    <w:abstractNumId w:val="0"/>
  </w:num>
  <w:num w:numId="8">
    <w:abstractNumId w:val="17"/>
  </w:num>
  <w:num w:numId="9">
    <w:abstractNumId w:val="23"/>
  </w:num>
  <w:num w:numId="10">
    <w:abstractNumId w:val="7"/>
  </w:num>
  <w:num w:numId="11">
    <w:abstractNumId w:val="21"/>
  </w:num>
  <w:num w:numId="12">
    <w:abstractNumId w:val="2"/>
  </w:num>
  <w:num w:numId="13">
    <w:abstractNumId w:val="29"/>
  </w:num>
  <w:num w:numId="14">
    <w:abstractNumId w:val="6"/>
  </w:num>
  <w:num w:numId="15">
    <w:abstractNumId w:val="30"/>
  </w:num>
  <w:num w:numId="16">
    <w:abstractNumId w:val="8"/>
  </w:num>
  <w:num w:numId="17">
    <w:abstractNumId w:val="19"/>
  </w:num>
  <w:num w:numId="18">
    <w:abstractNumId w:val="1"/>
  </w:num>
  <w:num w:numId="19">
    <w:abstractNumId w:val="20"/>
  </w:num>
  <w:num w:numId="20">
    <w:abstractNumId w:val="11"/>
  </w:num>
  <w:num w:numId="21">
    <w:abstractNumId w:val="10"/>
  </w:num>
  <w:num w:numId="22">
    <w:abstractNumId w:val="13"/>
  </w:num>
  <w:num w:numId="23">
    <w:abstractNumId w:val="18"/>
  </w:num>
  <w:num w:numId="24">
    <w:abstractNumId w:val="28"/>
  </w:num>
  <w:num w:numId="25">
    <w:abstractNumId w:val="25"/>
  </w:num>
  <w:num w:numId="26">
    <w:abstractNumId w:val="15"/>
  </w:num>
  <w:num w:numId="27">
    <w:abstractNumId w:val="24"/>
  </w:num>
  <w:num w:numId="28">
    <w:abstractNumId w:val="27"/>
  </w:num>
  <w:num w:numId="29">
    <w:abstractNumId w:val="31"/>
  </w:num>
  <w:num w:numId="30">
    <w:abstractNumId w:val="5"/>
  </w:num>
  <w:num w:numId="31">
    <w:abstractNumId w:val="16"/>
  </w:num>
  <w:num w:numId="32">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embedSystemFonts/>
  <w:bordersDoNotSurroundHeader/>
  <w:bordersDoNotSurroundFooter/>
  <w:hideSpellingErrors/>
  <w:hideGrammaticalErrors/>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hdrShapeDefaults>
    <o:shapedefaults v:ext="edit" spidmax="3074" style="mso-position-horizontal:center;mso-width-percent:400;mso-height-percent:200;mso-width-relative:margin;mso-height-relative:margin" fillcolor="white">
      <v:fill color="white"/>
      <v:textbox style="mso-fit-shape-to-text:t"/>
      <o:colormru v:ext="edit" colors="#bd1f2b,#cf1e24,#d90b13,#e31c18"/>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C7E"/>
    <w:rsid w:val="00000148"/>
    <w:rsid w:val="000017DB"/>
    <w:rsid w:val="00001C85"/>
    <w:rsid w:val="000020B7"/>
    <w:rsid w:val="0000242C"/>
    <w:rsid w:val="000026DF"/>
    <w:rsid w:val="00002F2D"/>
    <w:rsid w:val="000034C8"/>
    <w:rsid w:val="00003834"/>
    <w:rsid w:val="00003AAA"/>
    <w:rsid w:val="00003AB5"/>
    <w:rsid w:val="00003AD9"/>
    <w:rsid w:val="00003D07"/>
    <w:rsid w:val="00003F46"/>
    <w:rsid w:val="000041BD"/>
    <w:rsid w:val="000043D5"/>
    <w:rsid w:val="00004794"/>
    <w:rsid w:val="000049DD"/>
    <w:rsid w:val="00004DBB"/>
    <w:rsid w:val="00004DDD"/>
    <w:rsid w:val="00004DF3"/>
    <w:rsid w:val="00004E38"/>
    <w:rsid w:val="00005A6B"/>
    <w:rsid w:val="0000683C"/>
    <w:rsid w:val="00006DB7"/>
    <w:rsid w:val="00007042"/>
    <w:rsid w:val="0000740E"/>
    <w:rsid w:val="000079A1"/>
    <w:rsid w:val="00010041"/>
    <w:rsid w:val="000101B6"/>
    <w:rsid w:val="000102D5"/>
    <w:rsid w:val="00010573"/>
    <w:rsid w:val="0001089C"/>
    <w:rsid w:val="000108ED"/>
    <w:rsid w:val="00010957"/>
    <w:rsid w:val="000109E3"/>
    <w:rsid w:val="00010A46"/>
    <w:rsid w:val="00010B15"/>
    <w:rsid w:val="00010B3C"/>
    <w:rsid w:val="000113F8"/>
    <w:rsid w:val="00011610"/>
    <w:rsid w:val="000119A0"/>
    <w:rsid w:val="00011A51"/>
    <w:rsid w:val="00011F76"/>
    <w:rsid w:val="00012364"/>
    <w:rsid w:val="0001283C"/>
    <w:rsid w:val="00012A11"/>
    <w:rsid w:val="000134A3"/>
    <w:rsid w:val="000135AB"/>
    <w:rsid w:val="00013751"/>
    <w:rsid w:val="00013995"/>
    <w:rsid w:val="00013A1E"/>
    <w:rsid w:val="00013F41"/>
    <w:rsid w:val="00014927"/>
    <w:rsid w:val="00015D22"/>
    <w:rsid w:val="00015EAD"/>
    <w:rsid w:val="00016B13"/>
    <w:rsid w:val="00017353"/>
    <w:rsid w:val="000205CA"/>
    <w:rsid w:val="0002065A"/>
    <w:rsid w:val="000211AD"/>
    <w:rsid w:val="000213E2"/>
    <w:rsid w:val="00021620"/>
    <w:rsid w:val="00021652"/>
    <w:rsid w:val="0002181D"/>
    <w:rsid w:val="00021B34"/>
    <w:rsid w:val="00022197"/>
    <w:rsid w:val="00022763"/>
    <w:rsid w:val="000228CB"/>
    <w:rsid w:val="000241B7"/>
    <w:rsid w:val="00024BDA"/>
    <w:rsid w:val="00025294"/>
    <w:rsid w:val="000254AC"/>
    <w:rsid w:val="0002574E"/>
    <w:rsid w:val="000257C6"/>
    <w:rsid w:val="00025822"/>
    <w:rsid w:val="00025AA7"/>
    <w:rsid w:val="000266A7"/>
    <w:rsid w:val="00027FBC"/>
    <w:rsid w:val="00030BEE"/>
    <w:rsid w:val="0003114F"/>
    <w:rsid w:val="00031258"/>
    <w:rsid w:val="00031864"/>
    <w:rsid w:val="00031934"/>
    <w:rsid w:val="00031C2E"/>
    <w:rsid w:val="000320B7"/>
    <w:rsid w:val="00032318"/>
    <w:rsid w:val="00032A4E"/>
    <w:rsid w:val="00033211"/>
    <w:rsid w:val="00033432"/>
    <w:rsid w:val="000350E3"/>
    <w:rsid w:val="00035164"/>
    <w:rsid w:val="00035837"/>
    <w:rsid w:val="0003629C"/>
    <w:rsid w:val="000363D3"/>
    <w:rsid w:val="0003704B"/>
    <w:rsid w:val="0004002D"/>
    <w:rsid w:val="00040033"/>
    <w:rsid w:val="000402DE"/>
    <w:rsid w:val="00040626"/>
    <w:rsid w:val="00041081"/>
    <w:rsid w:val="00041598"/>
    <w:rsid w:val="00041DD2"/>
    <w:rsid w:val="00041DDD"/>
    <w:rsid w:val="00041DEF"/>
    <w:rsid w:val="0004257E"/>
    <w:rsid w:val="00042B16"/>
    <w:rsid w:val="00042D21"/>
    <w:rsid w:val="00042F77"/>
    <w:rsid w:val="000433C2"/>
    <w:rsid w:val="0004346C"/>
    <w:rsid w:val="00043C67"/>
    <w:rsid w:val="00044806"/>
    <w:rsid w:val="00044BA2"/>
    <w:rsid w:val="000455A6"/>
    <w:rsid w:val="000457A7"/>
    <w:rsid w:val="00045BC9"/>
    <w:rsid w:val="000462ED"/>
    <w:rsid w:val="00046668"/>
    <w:rsid w:val="00046881"/>
    <w:rsid w:val="00046950"/>
    <w:rsid w:val="00046AF5"/>
    <w:rsid w:val="000474A3"/>
    <w:rsid w:val="000478E6"/>
    <w:rsid w:val="000479D4"/>
    <w:rsid w:val="00047CCE"/>
    <w:rsid w:val="00047E42"/>
    <w:rsid w:val="00050117"/>
    <w:rsid w:val="00050441"/>
    <w:rsid w:val="00050489"/>
    <w:rsid w:val="00050496"/>
    <w:rsid w:val="000508D1"/>
    <w:rsid w:val="000512D1"/>
    <w:rsid w:val="0005182E"/>
    <w:rsid w:val="00051D92"/>
    <w:rsid w:val="00051E6A"/>
    <w:rsid w:val="00051FC2"/>
    <w:rsid w:val="00053471"/>
    <w:rsid w:val="000537BB"/>
    <w:rsid w:val="000538A1"/>
    <w:rsid w:val="000541C7"/>
    <w:rsid w:val="0005458A"/>
    <w:rsid w:val="00054645"/>
    <w:rsid w:val="0005548D"/>
    <w:rsid w:val="000557ED"/>
    <w:rsid w:val="00055E26"/>
    <w:rsid w:val="000565A3"/>
    <w:rsid w:val="00056612"/>
    <w:rsid w:val="00056635"/>
    <w:rsid w:val="000567BC"/>
    <w:rsid w:val="000569E0"/>
    <w:rsid w:val="00057588"/>
    <w:rsid w:val="00057640"/>
    <w:rsid w:val="000578A2"/>
    <w:rsid w:val="00060194"/>
    <w:rsid w:val="00060769"/>
    <w:rsid w:val="000607A6"/>
    <w:rsid w:val="000610A0"/>
    <w:rsid w:val="0006148E"/>
    <w:rsid w:val="000617FF"/>
    <w:rsid w:val="00061BEA"/>
    <w:rsid w:val="00061DC7"/>
    <w:rsid w:val="00061E48"/>
    <w:rsid w:val="00061E67"/>
    <w:rsid w:val="000620FB"/>
    <w:rsid w:val="000621DF"/>
    <w:rsid w:val="00062437"/>
    <w:rsid w:val="000629AB"/>
    <w:rsid w:val="00062C7C"/>
    <w:rsid w:val="00062E45"/>
    <w:rsid w:val="000635F7"/>
    <w:rsid w:val="00063763"/>
    <w:rsid w:val="00063D28"/>
    <w:rsid w:val="000641EA"/>
    <w:rsid w:val="000643F7"/>
    <w:rsid w:val="00064404"/>
    <w:rsid w:val="00064E2A"/>
    <w:rsid w:val="0006537C"/>
    <w:rsid w:val="00065467"/>
    <w:rsid w:val="000657E2"/>
    <w:rsid w:val="000662FB"/>
    <w:rsid w:val="0006665B"/>
    <w:rsid w:val="00067AB5"/>
    <w:rsid w:val="00067F81"/>
    <w:rsid w:val="00070718"/>
    <w:rsid w:val="0007076D"/>
    <w:rsid w:val="000708D3"/>
    <w:rsid w:val="00071EFA"/>
    <w:rsid w:val="000720F5"/>
    <w:rsid w:val="000720F8"/>
    <w:rsid w:val="00072142"/>
    <w:rsid w:val="00072711"/>
    <w:rsid w:val="00072728"/>
    <w:rsid w:val="00072B3F"/>
    <w:rsid w:val="00072BE2"/>
    <w:rsid w:val="000732DF"/>
    <w:rsid w:val="0007358E"/>
    <w:rsid w:val="00073872"/>
    <w:rsid w:val="00073F42"/>
    <w:rsid w:val="00074665"/>
    <w:rsid w:val="000746D5"/>
    <w:rsid w:val="00074709"/>
    <w:rsid w:val="000749B9"/>
    <w:rsid w:val="000755F9"/>
    <w:rsid w:val="00075941"/>
    <w:rsid w:val="00075CC6"/>
    <w:rsid w:val="00075E5E"/>
    <w:rsid w:val="0007650D"/>
    <w:rsid w:val="00076C27"/>
    <w:rsid w:val="00077534"/>
    <w:rsid w:val="0007754A"/>
    <w:rsid w:val="00077592"/>
    <w:rsid w:val="00077D8E"/>
    <w:rsid w:val="00077E7D"/>
    <w:rsid w:val="00080263"/>
    <w:rsid w:val="000803AD"/>
    <w:rsid w:val="00080F62"/>
    <w:rsid w:val="000811D8"/>
    <w:rsid w:val="000817F5"/>
    <w:rsid w:val="000818DD"/>
    <w:rsid w:val="000819D4"/>
    <w:rsid w:val="000828E6"/>
    <w:rsid w:val="000829B6"/>
    <w:rsid w:val="00082A62"/>
    <w:rsid w:val="00082E1E"/>
    <w:rsid w:val="00083173"/>
    <w:rsid w:val="00083429"/>
    <w:rsid w:val="00083FE3"/>
    <w:rsid w:val="00084387"/>
    <w:rsid w:val="00084761"/>
    <w:rsid w:val="00084AF6"/>
    <w:rsid w:val="00084E02"/>
    <w:rsid w:val="00084EE6"/>
    <w:rsid w:val="0008506C"/>
    <w:rsid w:val="0008527C"/>
    <w:rsid w:val="0008545A"/>
    <w:rsid w:val="00085AC2"/>
    <w:rsid w:val="00085AFD"/>
    <w:rsid w:val="00085BC7"/>
    <w:rsid w:val="00085C51"/>
    <w:rsid w:val="00085E26"/>
    <w:rsid w:val="0008600B"/>
    <w:rsid w:val="00086154"/>
    <w:rsid w:val="000868F5"/>
    <w:rsid w:val="00086C83"/>
    <w:rsid w:val="000873CD"/>
    <w:rsid w:val="000876FA"/>
    <w:rsid w:val="00087774"/>
    <w:rsid w:val="00087AD6"/>
    <w:rsid w:val="00087BB3"/>
    <w:rsid w:val="0009016A"/>
    <w:rsid w:val="000909B9"/>
    <w:rsid w:val="00090A07"/>
    <w:rsid w:val="00090B9F"/>
    <w:rsid w:val="00090D41"/>
    <w:rsid w:val="00090DE6"/>
    <w:rsid w:val="0009127D"/>
    <w:rsid w:val="000924D4"/>
    <w:rsid w:val="00092C29"/>
    <w:rsid w:val="00094B3C"/>
    <w:rsid w:val="00094CB4"/>
    <w:rsid w:val="00095213"/>
    <w:rsid w:val="00095ABF"/>
    <w:rsid w:val="00096313"/>
    <w:rsid w:val="00096371"/>
    <w:rsid w:val="0009657B"/>
    <w:rsid w:val="00096954"/>
    <w:rsid w:val="00096C13"/>
    <w:rsid w:val="00096DB8"/>
    <w:rsid w:val="000972EF"/>
    <w:rsid w:val="000977C6"/>
    <w:rsid w:val="000A0936"/>
    <w:rsid w:val="000A09E7"/>
    <w:rsid w:val="000A0AC7"/>
    <w:rsid w:val="000A0D76"/>
    <w:rsid w:val="000A1070"/>
    <w:rsid w:val="000A123E"/>
    <w:rsid w:val="000A169F"/>
    <w:rsid w:val="000A2640"/>
    <w:rsid w:val="000A27BB"/>
    <w:rsid w:val="000A32BD"/>
    <w:rsid w:val="000A3E31"/>
    <w:rsid w:val="000A3EBA"/>
    <w:rsid w:val="000A4049"/>
    <w:rsid w:val="000A4087"/>
    <w:rsid w:val="000A40FD"/>
    <w:rsid w:val="000A4E9A"/>
    <w:rsid w:val="000A5314"/>
    <w:rsid w:val="000A5D8F"/>
    <w:rsid w:val="000A5D99"/>
    <w:rsid w:val="000A63AD"/>
    <w:rsid w:val="000A6591"/>
    <w:rsid w:val="000A677A"/>
    <w:rsid w:val="000A69D2"/>
    <w:rsid w:val="000A70C6"/>
    <w:rsid w:val="000A77D6"/>
    <w:rsid w:val="000A78EC"/>
    <w:rsid w:val="000A7B77"/>
    <w:rsid w:val="000A7CF9"/>
    <w:rsid w:val="000B01FA"/>
    <w:rsid w:val="000B022B"/>
    <w:rsid w:val="000B02ED"/>
    <w:rsid w:val="000B0DCE"/>
    <w:rsid w:val="000B1BA4"/>
    <w:rsid w:val="000B1F20"/>
    <w:rsid w:val="000B1F2B"/>
    <w:rsid w:val="000B27E0"/>
    <w:rsid w:val="000B2A82"/>
    <w:rsid w:val="000B2AAC"/>
    <w:rsid w:val="000B32C5"/>
    <w:rsid w:val="000B32E4"/>
    <w:rsid w:val="000B3304"/>
    <w:rsid w:val="000B38EA"/>
    <w:rsid w:val="000B3F89"/>
    <w:rsid w:val="000B51E7"/>
    <w:rsid w:val="000B56C0"/>
    <w:rsid w:val="000B5A90"/>
    <w:rsid w:val="000B5B83"/>
    <w:rsid w:val="000B5DC1"/>
    <w:rsid w:val="000B6575"/>
    <w:rsid w:val="000B6A87"/>
    <w:rsid w:val="000B6C6C"/>
    <w:rsid w:val="000B6D0F"/>
    <w:rsid w:val="000B6E6D"/>
    <w:rsid w:val="000B72E0"/>
    <w:rsid w:val="000B7989"/>
    <w:rsid w:val="000C0226"/>
    <w:rsid w:val="000C076E"/>
    <w:rsid w:val="000C099C"/>
    <w:rsid w:val="000C0F55"/>
    <w:rsid w:val="000C1097"/>
    <w:rsid w:val="000C128D"/>
    <w:rsid w:val="000C1AAD"/>
    <w:rsid w:val="000C1C3E"/>
    <w:rsid w:val="000C233C"/>
    <w:rsid w:val="000C25D8"/>
    <w:rsid w:val="000C267B"/>
    <w:rsid w:val="000C2980"/>
    <w:rsid w:val="000C2FB7"/>
    <w:rsid w:val="000C2FEA"/>
    <w:rsid w:val="000C35FB"/>
    <w:rsid w:val="000C3630"/>
    <w:rsid w:val="000C3830"/>
    <w:rsid w:val="000C39B4"/>
    <w:rsid w:val="000C3DA5"/>
    <w:rsid w:val="000C4457"/>
    <w:rsid w:val="000C4689"/>
    <w:rsid w:val="000C4D5C"/>
    <w:rsid w:val="000C5202"/>
    <w:rsid w:val="000C53F5"/>
    <w:rsid w:val="000C5564"/>
    <w:rsid w:val="000C5602"/>
    <w:rsid w:val="000C59C4"/>
    <w:rsid w:val="000C5B36"/>
    <w:rsid w:val="000C627A"/>
    <w:rsid w:val="000C6F05"/>
    <w:rsid w:val="000C71C5"/>
    <w:rsid w:val="000C727A"/>
    <w:rsid w:val="000C7697"/>
    <w:rsid w:val="000C789E"/>
    <w:rsid w:val="000C7B4C"/>
    <w:rsid w:val="000C7EF4"/>
    <w:rsid w:val="000D072A"/>
    <w:rsid w:val="000D0F51"/>
    <w:rsid w:val="000D1221"/>
    <w:rsid w:val="000D1B06"/>
    <w:rsid w:val="000D1E54"/>
    <w:rsid w:val="000D24E2"/>
    <w:rsid w:val="000D2BA7"/>
    <w:rsid w:val="000D3A7C"/>
    <w:rsid w:val="000D3CAE"/>
    <w:rsid w:val="000D4568"/>
    <w:rsid w:val="000D4EE8"/>
    <w:rsid w:val="000D4FE9"/>
    <w:rsid w:val="000D5383"/>
    <w:rsid w:val="000D53B8"/>
    <w:rsid w:val="000D68E4"/>
    <w:rsid w:val="000D70FA"/>
    <w:rsid w:val="000D7279"/>
    <w:rsid w:val="000D7679"/>
    <w:rsid w:val="000E0D71"/>
    <w:rsid w:val="000E0FC9"/>
    <w:rsid w:val="000E1054"/>
    <w:rsid w:val="000E1473"/>
    <w:rsid w:val="000E162A"/>
    <w:rsid w:val="000E177D"/>
    <w:rsid w:val="000E19F0"/>
    <w:rsid w:val="000E1E6F"/>
    <w:rsid w:val="000E2098"/>
    <w:rsid w:val="000E237E"/>
    <w:rsid w:val="000E23BF"/>
    <w:rsid w:val="000E23EF"/>
    <w:rsid w:val="000E2BE0"/>
    <w:rsid w:val="000E2E1B"/>
    <w:rsid w:val="000E2F16"/>
    <w:rsid w:val="000E3217"/>
    <w:rsid w:val="000E327D"/>
    <w:rsid w:val="000E32BE"/>
    <w:rsid w:val="000E32CD"/>
    <w:rsid w:val="000E3886"/>
    <w:rsid w:val="000E3CFC"/>
    <w:rsid w:val="000E40CB"/>
    <w:rsid w:val="000E420F"/>
    <w:rsid w:val="000E44A9"/>
    <w:rsid w:val="000E4A6D"/>
    <w:rsid w:val="000E5429"/>
    <w:rsid w:val="000E62CE"/>
    <w:rsid w:val="000E63BC"/>
    <w:rsid w:val="000E649F"/>
    <w:rsid w:val="000E66DF"/>
    <w:rsid w:val="000E6B08"/>
    <w:rsid w:val="000E70A5"/>
    <w:rsid w:val="000E7523"/>
    <w:rsid w:val="000E78BC"/>
    <w:rsid w:val="000E7F42"/>
    <w:rsid w:val="000F039B"/>
    <w:rsid w:val="000F0888"/>
    <w:rsid w:val="000F0DEA"/>
    <w:rsid w:val="000F0DFE"/>
    <w:rsid w:val="000F1394"/>
    <w:rsid w:val="000F1519"/>
    <w:rsid w:val="000F1874"/>
    <w:rsid w:val="000F18A3"/>
    <w:rsid w:val="000F19CA"/>
    <w:rsid w:val="000F1A51"/>
    <w:rsid w:val="000F1CEF"/>
    <w:rsid w:val="000F25EE"/>
    <w:rsid w:val="000F269A"/>
    <w:rsid w:val="000F26C0"/>
    <w:rsid w:val="000F2873"/>
    <w:rsid w:val="000F2BE7"/>
    <w:rsid w:val="000F2FB2"/>
    <w:rsid w:val="000F32AC"/>
    <w:rsid w:val="000F370D"/>
    <w:rsid w:val="000F3E1E"/>
    <w:rsid w:val="000F4698"/>
    <w:rsid w:val="000F4D00"/>
    <w:rsid w:val="000F4FE7"/>
    <w:rsid w:val="000F5E41"/>
    <w:rsid w:val="000F5EC4"/>
    <w:rsid w:val="000F6161"/>
    <w:rsid w:val="000F7AD5"/>
    <w:rsid w:val="000F7CB4"/>
    <w:rsid w:val="000F7F64"/>
    <w:rsid w:val="000F7FAE"/>
    <w:rsid w:val="00100058"/>
    <w:rsid w:val="00100268"/>
    <w:rsid w:val="00100472"/>
    <w:rsid w:val="00100B0C"/>
    <w:rsid w:val="00101A55"/>
    <w:rsid w:val="00101F21"/>
    <w:rsid w:val="0010203F"/>
    <w:rsid w:val="00102B37"/>
    <w:rsid w:val="00102E12"/>
    <w:rsid w:val="001030AE"/>
    <w:rsid w:val="0010327A"/>
    <w:rsid w:val="00103356"/>
    <w:rsid w:val="00103433"/>
    <w:rsid w:val="001035FC"/>
    <w:rsid w:val="00103A48"/>
    <w:rsid w:val="00104168"/>
    <w:rsid w:val="00104E68"/>
    <w:rsid w:val="00104EC6"/>
    <w:rsid w:val="00105774"/>
    <w:rsid w:val="00105B08"/>
    <w:rsid w:val="0010607E"/>
    <w:rsid w:val="0010642A"/>
    <w:rsid w:val="0010674F"/>
    <w:rsid w:val="0010687A"/>
    <w:rsid w:val="00106AA3"/>
    <w:rsid w:val="00107126"/>
    <w:rsid w:val="001075A8"/>
    <w:rsid w:val="001079C3"/>
    <w:rsid w:val="00107B24"/>
    <w:rsid w:val="00110856"/>
    <w:rsid w:val="001112CB"/>
    <w:rsid w:val="00111347"/>
    <w:rsid w:val="00111823"/>
    <w:rsid w:val="00111D49"/>
    <w:rsid w:val="001124E6"/>
    <w:rsid w:val="00112A83"/>
    <w:rsid w:val="00112FD6"/>
    <w:rsid w:val="00113BDB"/>
    <w:rsid w:val="00113E20"/>
    <w:rsid w:val="00113E61"/>
    <w:rsid w:val="00113F0D"/>
    <w:rsid w:val="00114045"/>
    <w:rsid w:val="001143AE"/>
    <w:rsid w:val="001143D0"/>
    <w:rsid w:val="001146BF"/>
    <w:rsid w:val="001148C3"/>
    <w:rsid w:val="0011562D"/>
    <w:rsid w:val="001156D5"/>
    <w:rsid w:val="00116DD5"/>
    <w:rsid w:val="00117309"/>
    <w:rsid w:val="00117AF1"/>
    <w:rsid w:val="00117BB0"/>
    <w:rsid w:val="00117EFE"/>
    <w:rsid w:val="0012011D"/>
    <w:rsid w:val="00120457"/>
    <w:rsid w:val="00120D7F"/>
    <w:rsid w:val="00120F89"/>
    <w:rsid w:val="00121177"/>
    <w:rsid w:val="001216FA"/>
    <w:rsid w:val="00121F1E"/>
    <w:rsid w:val="00122912"/>
    <w:rsid w:val="00122976"/>
    <w:rsid w:val="0012380F"/>
    <w:rsid w:val="00123A77"/>
    <w:rsid w:val="001248B9"/>
    <w:rsid w:val="001249B2"/>
    <w:rsid w:val="001254C6"/>
    <w:rsid w:val="00125651"/>
    <w:rsid w:val="00125958"/>
    <w:rsid w:val="00125AC1"/>
    <w:rsid w:val="00125C51"/>
    <w:rsid w:val="00125D56"/>
    <w:rsid w:val="00125FC1"/>
    <w:rsid w:val="001261E2"/>
    <w:rsid w:val="00126235"/>
    <w:rsid w:val="001267F9"/>
    <w:rsid w:val="00126876"/>
    <w:rsid w:val="001273DA"/>
    <w:rsid w:val="00127CCE"/>
    <w:rsid w:val="0013060B"/>
    <w:rsid w:val="001306A7"/>
    <w:rsid w:val="00131084"/>
    <w:rsid w:val="0013114E"/>
    <w:rsid w:val="001315D4"/>
    <w:rsid w:val="001315EA"/>
    <w:rsid w:val="0013171C"/>
    <w:rsid w:val="001319AE"/>
    <w:rsid w:val="00132098"/>
    <w:rsid w:val="0013239A"/>
    <w:rsid w:val="00132674"/>
    <w:rsid w:val="00132A09"/>
    <w:rsid w:val="00132D0E"/>
    <w:rsid w:val="00132D55"/>
    <w:rsid w:val="00132F27"/>
    <w:rsid w:val="001334D9"/>
    <w:rsid w:val="001335FA"/>
    <w:rsid w:val="0013399B"/>
    <w:rsid w:val="0013455F"/>
    <w:rsid w:val="00135207"/>
    <w:rsid w:val="001358CD"/>
    <w:rsid w:val="00135D93"/>
    <w:rsid w:val="00135EC9"/>
    <w:rsid w:val="001376AE"/>
    <w:rsid w:val="00137940"/>
    <w:rsid w:val="00137B50"/>
    <w:rsid w:val="00137FEB"/>
    <w:rsid w:val="0014041C"/>
    <w:rsid w:val="00141524"/>
    <w:rsid w:val="001419EF"/>
    <w:rsid w:val="00141A37"/>
    <w:rsid w:val="00141B4A"/>
    <w:rsid w:val="00141C42"/>
    <w:rsid w:val="001421E4"/>
    <w:rsid w:val="00142F44"/>
    <w:rsid w:val="00143151"/>
    <w:rsid w:val="001431DB"/>
    <w:rsid w:val="00143799"/>
    <w:rsid w:val="00143A49"/>
    <w:rsid w:val="00143C18"/>
    <w:rsid w:val="001440DD"/>
    <w:rsid w:val="00144DF8"/>
    <w:rsid w:val="00145A1D"/>
    <w:rsid w:val="001463B3"/>
    <w:rsid w:val="00146B20"/>
    <w:rsid w:val="00147253"/>
    <w:rsid w:val="0014748A"/>
    <w:rsid w:val="00147559"/>
    <w:rsid w:val="001478BA"/>
    <w:rsid w:val="00147CF6"/>
    <w:rsid w:val="0015027C"/>
    <w:rsid w:val="001511A4"/>
    <w:rsid w:val="0015128D"/>
    <w:rsid w:val="00151343"/>
    <w:rsid w:val="001516DB"/>
    <w:rsid w:val="00151BB3"/>
    <w:rsid w:val="00152E56"/>
    <w:rsid w:val="001532E5"/>
    <w:rsid w:val="001538D3"/>
    <w:rsid w:val="00153A3C"/>
    <w:rsid w:val="00154850"/>
    <w:rsid w:val="0015485C"/>
    <w:rsid w:val="00154B63"/>
    <w:rsid w:val="00154CB3"/>
    <w:rsid w:val="00155117"/>
    <w:rsid w:val="001555D0"/>
    <w:rsid w:val="001559AA"/>
    <w:rsid w:val="00156C7D"/>
    <w:rsid w:val="00156D13"/>
    <w:rsid w:val="0015724F"/>
    <w:rsid w:val="00157260"/>
    <w:rsid w:val="001575D8"/>
    <w:rsid w:val="00157664"/>
    <w:rsid w:val="00157695"/>
    <w:rsid w:val="001600DF"/>
    <w:rsid w:val="00160180"/>
    <w:rsid w:val="00160503"/>
    <w:rsid w:val="00161148"/>
    <w:rsid w:val="001611C8"/>
    <w:rsid w:val="00161230"/>
    <w:rsid w:val="00161444"/>
    <w:rsid w:val="0016149C"/>
    <w:rsid w:val="001614D8"/>
    <w:rsid w:val="00161A69"/>
    <w:rsid w:val="00161AEE"/>
    <w:rsid w:val="00161BFF"/>
    <w:rsid w:val="00162056"/>
    <w:rsid w:val="001622D3"/>
    <w:rsid w:val="00162C0B"/>
    <w:rsid w:val="0016323D"/>
    <w:rsid w:val="001632FB"/>
    <w:rsid w:val="0016343C"/>
    <w:rsid w:val="00163540"/>
    <w:rsid w:val="001645B6"/>
    <w:rsid w:val="00164938"/>
    <w:rsid w:val="00164DAA"/>
    <w:rsid w:val="001654AD"/>
    <w:rsid w:val="00165947"/>
    <w:rsid w:val="00165C76"/>
    <w:rsid w:val="00165E0A"/>
    <w:rsid w:val="001661D3"/>
    <w:rsid w:val="00166288"/>
    <w:rsid w:val="00166316"/>
    <w:rsid w:val="00166319"/>
    <w:rsid w:val="001664CA"/>
    <w:rsid w:val="001671CF"/>
    <w:rsid w:val="00167687"/>
    <w:rsid w:val="001676C0"/>
    <w:rsid w:val="00167757"/>
    <w:rsid w:val="00167891"/>
    <w:rsid w:val="00167A99"/>
    <w:rsid w:val="00167FAA"/>
    <w:rsid w:val="00167FBE"/>
    <w:rsid w:val="00167FDD"/>
    <w:rsid w:val="001703A0"/>
    <w:rsid w:val="00170967"/>
    <w:rsid w:val="00170991"/>
    <w:rsid w:val="00170A4B"/>
    <w:rsid w:val="00170E15"/>
    <w:rsid w:val="00170E70"/>
    <w:rsid w:val="001711C2"/>
    <w:rsid w:val="0017188E"/>
    <w:rsid w:val="00171C5C"/>
    <w:rsid w:val="00172E48"/>
    <w:rsid w:val="00173151"/>
    <w:rsid w:val="001747FB"/>
    <w:rsid w:val="00174879"/>
    <w:rsid w:val="0017489B"/>
    <w:rsid w:val="00174B36"/>
    <w:rsid w:val="00174D35"/>
    <w:rsid w:val="0017508C"/>
    <w:rsid w:val="00175120"/>
    <w:rsid w:val="00175364"/>
    <w:rsid w:val="00175897"/>
    <w:rsid w:val="00175B59"/>
    <w:rsid w:val="00175DBA"/>
    <w:rsid w:val="00175FBA"/>
    <w:rsid w:val="0017600F"/>
    <w:rsid w:val="00176F23"/>
    <w:rsid w:val="001770F1"/>
    <w:rsid w:val="001772A7"/>
    <w:rsid w:val="0018016F"/>
    <w:rsid w:val="00180464"/>
    <w:rsid w:val="00180A46"/>
    <w:rsid w:val="00180B4B"/>
    <w:rsid w:val="00180F58"/>
    <w:rsid w:val="00181180"/>
    <w:rsid w:val="00181555"/>
    <w:rsid w:val="00181A1C"/>
    <w:rsid w:val="00182103"/>
    <w:rsid w:val="001823B9"/>
    <w:rsid w:val="00182A18"/>
    <w:rsid w:val="00182B9D"/>
    <w:rsid w:val="001836BE"/>
    <w:rsid w:val="00183ACA"/>
    <w:rsid w:val="00184047"/>
    <w:rsid w:val="00184632"/>
    <w:rsid w:val="00184694"/>
    <w:rsid w:val="00185048"/>
    <w:rsid w:val="001857BC"/>
    <w:rsid w:val="00185DEC"/>
    <w:rsid w:val="00185F1A"/>
    <w:rsid w:val="00186029"/>
    <w:rsid w:val="001871F1"/>
    <w:rsid w:val="00187799"/>
    <w:rsid w:val="00187F06"/>
    <w:rsid w:val="00190077"/>
    <w:rsid w:val="00190333"/>
    <w:rsid w:val="001906DB"/>
    <w:rsid w:val="0019079B"/>
    <w:rsid w:val="001910F4"/>
    <w:rsid w:val="00191237"/>
    <w:rsid w:val="0019150C"/>
    <w:rsid w:val="00191515"/>
    <w:rsid w:val="00192293"/>
    <w:rsid w:val="001927F0"/>
    <w:rsid w:val="00192880"/>
    <w:rsid w:val="00192E96"/>
    <w:rsid w:val="00192F98"/>
    <w:rsid w:val="00193A14"/>
    <w:rsid w:val="00193A4B"/>
    <w:rsid w:val="00193CF7"/>
    <w:rsid w:val="00193D54"/>
    <w:rsid w:val="00194384"/>
    <w:rsid w:val="00194DAF"/>
    <w:rsid w:val="00195940"/>
    <w:rsid w:val="001959E9"/>
    <w:rsid w:val="001967B2"/>
    <w:rsid w:val="00196C94"/>
    <w:rsid w:val="00196D70"/>
    <w:rsid w:val="001971CB"/>
    <w:rsid w:val="0019720C"/>
    <w:rsid w:val="001977AD"/>
    <w:rsid w:val="00197AD3"/>
    <w:rsid w:val="001A047F"/>
    <w:rsid w:val="001A0668"/>
    <w:rsid w:val="001A0D3B"/>
    <w:rsid w:val="001A11E5"/>
    <w:rsid w:val="001A13B6"/>
    <w:rsid w:val="001A14D5"/>
    <w:rsid w:val="001A19E6"/>
    <w:rsid w:val="001A20C6"/>
    <w:rsid w:val="001A22C1"/>
    <w:rsid w:val="001A2616"/>
    <w:rsid w:val="001A28FB"/>
    <w:rsid w:val="001A2902"/>
    <w:rsid w:val="001A34D7"/>
    <w:rsid w:val="001A3A0A"/>
    <w:rsid w:val="001A3F3F"/>
    <w:rsid w:val="001A41BF"/>
    <w:rsid w:val="001A4D76"/>
    <w:rsid w:val="001A5199"/>
    <w:rsid w:val="001A57C1"/>
    <w:rsid w:val="001A5AFA"/>
    <w:rsid w:val="001A60BE"/>
    <w:rsid w:val="001A7AAD"/>
    <w:rsid w:val="001A7FC6"/>
    <w:rsid w:val="001B000F"/>
    <w:rsid w:val="001B01CB"/>
    <w:rsid w:val="001B07B9"/>
    <w:rsid w:val="001B0ADE"/>
    <w:rsid w:val="001B10B4"/>
    <w:rsid w:val="001B1426"/>
    <w:rsid w:val="001B15BA"/>
    <w:rsid w:val="001B1782"/>
    <w:rsid w:val="001B1A43"/>
    <w:rsid w:val="001B20F5"/>
    <w:rsid w:val="001B28C7"/>
    <w:rsid w:val="001B2A8B"/>
    <w:rsid w:val="001B3221"/>
    <w:rsid w:val="001B3775"/>
    <w:rsid w:val="001B3AD8"/>
    <w:rsid w:val="001B4695"/>
    <w:rsid w:val="001B52C9"/>
    <w:rsid w:val="001B5337"/>
    <w:rsid w:val="001B53BC"/>
    <w:rsid w:val="001B57BC"/>
    <w:rsid w:val="001B599E"/>
    <w:rsid w:val="001B5A78"/>
    <w:rsid w:val="001B5CAF"/>
    <w:rsid w:val="001B6B0B"/>
    <w:rsid w:val="001B7735"/>
    <w:rsid w:val="001B7B68"/>
    <w:rsid w:val="001C061E"/>
    <w:rsid w:val="001C0F4B"/>
    <w:rsid w:val="001C0FBC"/>
    <w:rsid w:val="001C129F"/>
    <w:rsid w:val="001C1F72"/>
    <w:rsid w:val="001C218A"/>
    <w:rsid w:val="001C2213"/>
    <w:rsid w:val="001C2C8A"/>
    <w:rsid w:val="001C2E71"/>
    <w:rsid w:val="001C4B47"/>
    <w:rsid w:val="001C51E1"/>
    <w:rsid w:val="001C5236"/>
    <w:rsid w:val="001C5F64"/>
    <w:rsid w:val="001C6181"/>
    <w:rsid w:val="001C6347"/>
    <w:rsid w:val="001C6C63"/>
    <w:rsid w:val="001C736C"/>
    <w:rsid w:val="001C78BB"/>
    <w:rsid w:val="001D07C1"/>
    <w:rsid w:val="001D0D4A"/>
    <w:rsid w:val="001D0DC3"/>
    <w:rsid w:val="001D1045"/>
    <w:rsid w:val="001D2416"/>
    <w:rsid w:val="001D2592"/>
    <w:rsid w:val="001D26FF"/>
    <w:rsid w:val="001D2C5F"/>
    <w:rsid w:val="001D3155"/>
    <w:rsid w:val="001D35C0"/>
    <w:rsid w:val="001D3A08"/>
    <w:rsid w:val="001D4279"/>
    <w:rsid w:val="001D447C"/>
    <w:rsid w:val="001D4AD4"/>
    <w:rsid w:val="001D4E3C"/>
    <w:rsid w:val="001D5006"/>
    <w:rsid w:val="001D58AB"/>
    <w:rsid w:val="001D5E51"/>
    <w:rsid w:val="001D6B45"/>
    <w:rsid w:val="001D744B"/>
    <w:rsid w:val="001E079A"/>
    <w:rsid w:val="001E081F"/>
    <w:rsid w:val="001E08DA"/>
    <w:rsid w:val="001E0EDB"/>
    <w:rsid w:val="001E15E8"/>
    <w:rsid w:val="001E1B40"/>
    <w:rsid w:val="001E24EA"/>
    <w:rsid w:val="001E2F57"/>
    <w:rsid w:val="001E4755"/>
    <w:rsid w:val="001E4804"/>
    <w:rsid w:val="001E4F73"/>
    <w:rsid w:val="001E51F7"/>
    <w:rsid w:val="001E531B"/>
    <w:rsid w:val="001E54C0"/>
    <w:rsid w:val="001E551F"/>
    <w:rsid w:val="001E5D07"/>
    <w:rsid w:val="001E5DAC"/>
    <w:rsid w:val="001E6089"/>
    <w:rsid w:val="001E67C4"/>
    <w:rsid w:val="001E7779"/>
    <w:rsid w:val="001E779F"/>
    <w:rsid w:val="001E79F6"/>
    <w:rsid w:val="001F0235"/>
    <w:rsid w:val="001F0698"/>
    <w:rsid w:val="001F1597"/>
    <w:rsid w:val="001F1ABF"/>
    <w:rsid w:val="001F1DAA"/>
    <w:rsid w:val="001F21EC"/>
    <w:rsid w:val="001F3366"/>
    <w:rsid w:val="001F352E"/>
    <w:rsid w:val="001F38D3"/>
    <w:rsid w:val="001F3E90"/>
    <w:rsid w:val="001F3EF9"/>
    <w:rsid w:val="001F53EF"/>
    <w:rsid w:val="001F573B"/>
    <w:rsid w:val="001F5C37"/>
    <w:rsid w:val="001F5EA0"/>
    <w:rsid w:val="001F60A2"/>
    <w:rsid w:val="001F6302"/>
    <w:rsid w:val="001F64D7"/>
    <w:rsid w:val="001F66D3"/>
    <w:rsid w:val="001F6F49"/>
    <w:rsid w:val="001F7077"/>
    <w:rsid w:val="001F70B7"/>
    <w:rsid w:val="001F7282"/>
    <w:rsid w:val="001F7D1B"/>
    <w:rsid w:val="002000EB"/>
    <w:rsid w:val="002005F7"/>
    <w:rsid w:val="00200A45"/>
    <w:rsid w:val="00200C03"/>
    <w:rsid w:val="00200DD5"/>
    <w:rsid w:val="00200EAC"/>
    <w:rsid w:val="0020169C"/>
    <w:rsid w:val="00201D2E"/>
    <w:rsid w:val="002023EE"/>
    <w:rsid w:val="00202D48"/>
    <w:rsid w:val="00202FBE"/>
    <w:rsid w:val="002034BA"/>
    <w:rsid w:val="0020368C"/>
    <w:rsid w:val="002039D7"/>
    <w:rsid w:val="00203B8B"/>
    <w:rsid w:val="00203C61"/>
    <w:rsid w:val="00204871"/>
    <w:rsid w:val="00204C24"/>
    <w:rsid w:val="00204C6A"/>
    <w:rsid w:val="002057AA"/>
    <w:rsid w:val="00205C76"/>
    <w:rsid w:val="002068C9"/>
    <w:rsid w:val="00206BBF"/>
    <w:rsid w:val="00206E6F"/>
    <w:rsid w:val="00207188"/>
    <w:rsid w:val="002073C2"/>
    <w:rsid w:val="0020766F"/>
    <w:rsid w:val="00207EF4"/>
    <w:rsid w:val="00210AE3"/>
    <w:rsid w:val="00210DD3"/>
    <w:rsid w:val="00211045"/>
    <w:rsid w:val="00211448"/>
    <w:rsid w:val="00211886"/>
    <w:rsid w:val="00211EC0"/>
    <w:rsid w:val="00211EF1"/>
    <w:rsid w:val="00212661"/>
    <w:rsid w:val="0021357B"/>
    <w:rsid w:val="002142A5"/>
    <w:rsid w:val="0021442F"/>
    <w:rsid w:val="00214777"/>
    <w:rsid w:val="00214B76"/>
    <w:rsid w:val="00215554"/>
    <w:rsid w:val="00215733"/>
    <w:rsid w:val="0021595C"/>
    <w:rsid w:val="00215FC4"/>
    <w:rsid w:val="002161F6"/>
    <w:rsid w:val="002165F4"/>
    <w:rsid w:val="00217777"/>
    <w:rsid w:val="00217C10"/>
    <w:rsid w:val="00217F9A"/>
    <w:rsid w:val="002210D5"/>
    <w:rsid w:val="00221471"/>
    <w:rsid w:val="00221BAA"/>
    <w:rsid w:val="00221EF9"/>
    <w:rsid w:val="002222B9"/>
    <w:rsid w:val="002227FF"/>
    <w:rsid w:val="0022293C"/>
    <w:rsid w:val="00222B53"/>
    <w:rsid w:val="00223A96"/>
    <w:rsid w:val="00223EEC"/>
    <w:rsid w:val="002244F6"/>
    <w:rsid w:val="002244FD"/>
    <w:rsid w:val="0022476B"/>
    <w:rsid w:val="00224A5E"/>
    <w:rsid w:val="00224BE7"/>
    <w:rsid w:val="00224DC1"/>
    <w:rsid w:val="00224E8B"/>
    <w:rsid w:val="00225129"/>
    <w:rsid w:val="0022535F"/>
    <w:rsid w:val="00225B5B"/>
    <w:rsid w:val="00226403"/>
    <w:rsid w:val="00226461"/>
    <w:rsid w:val="00226679"/>
    <w:rsid w:val="00226782"/>
    <w:rsid w:val="00226932"/>
    <w:rsid w:val="002272AB"/>
    <w:rsid w:val="002274CB"/>
    <w:rsid w:val="00227555"/>
    <w:rsid w:val="002300AE"/>
    <w:rsid w:val="00230515"/>
    <w:rsid w:val="00230ABF"/>
    <w:rsid w:val="00230E55"/>
    <w:rsid w:val="002311C5"/>
    <w:rsid w:val="00231891"/>
    <w:rsid w:val="00231899"/>
    <w:rsid w:val="002320ED"/>
    <w:rsid w:val="002328F7"/>
    <w:rsid w:val="0023361F"/>
    <w:rsid w:val="002338C4"/>
    <w:rsid w:val="00233B11"/>
    <w:rsid w:val="002344A7"/>
    <w:rsid w:val="00234B37"/>
    <w:rsid w:val="00234D9F"/>
    <w:rsid w:val="00234F0F"/>
    <w:rsid w:val="00235A66"/>
    <w:rsid w:val="00235EFE"/>
    <w:rsid w:val="0023612D"/>
    <w:rsid w:val="0023622A"/>
    <w:rsid w:val="002363B1"/>
    <w:rsid w:val="00236B78"/>
    <w:rsid w:val="0023707F"/>
    <w:rsid w:val="00237263"/>
    <w:rsid w:val="00237837"/>
    <w:rsid w:val="002403AF"/>
    <w:rsid w:val="00240C21"/>
    <w:rsid w:val="002417D6"/>
    <w:rsid w:val="002417F9"/>
    <w:rsid w:val="00241BE0"/>
    <w:rsid w:val="00242210"/>
    <w:rsid w:val="00242CF9"/>
    <w:rsid w:val="00242D05"/>
    <w:rsid w:val="00243133"/>
    <w:rsid w:val="00243660"/>
    <w:rsid w:val="00243A79"/>
    <w:rsid w:val="00243B1E"/>
    <w:rsid w:val="00244133"/>
    <w:rsid w:val="002443A9"/>
    <w:rsid w:val="00244441"/>
    <w:rsid w:val="002447BE"/>
    <w:rsid w:val="00244C69"/>
    <w:rsid w:val="002450DB"/>
    <w:rsid w:val="00245E94"/>
    <w:rsid w:val="00245ECC"/>
    <w:rsid w:val="00246CF4"/>
    <w:rsid w:val="002471C5"/>
    <w:rsid w:val="002473BB"/>
    <w:rsid w:val="0024768D"/>
    <w:rsid w:val="00247D0F"/>
    <w:rsid w:val="002500FB"/>
    <w:rsid w:val="00250697"/>
    <w:rsid w:val="00250829"/>
    <w:rsid w:val="00251722"/>
    <w:rsid w:val="00251B16"/>
    <w:rsid w:val="0025254B"/>
    <w:rsid w:val="00252594"/>
    <w:rsid w:val="00252F1D"/>
    <w:rsid w:val="002534FD"/>
    <w:rsid w:val="002538CC"/>
    <w:rsid w:val="00253E7F"/>
    <w:rsid w:val="002546FF"/>
    <w:rsid w:val="00254781"/>
    <w:rsid w:val="002548DD"/>
    <w:rsid w:val="00255B2E"/>
    <w:rsid w:val="0025636A"/>
    <w:rsid w:val="00256443"/>
    <w:rsid w:val="002564F9"/>
    <w:rsid w:val="00256A69"/>
    <w:rsid w:val="00256C8A"/>
    <w:rsid w:val="00256E1E"/>
    <w:rsid w:val="0025771E"/>
    <w:rsid w:val="00257EA6"/>
    <w:rsid w:val="00257F9D"/>
    <w:rsid w:val="0026018C"/>
    <w:rsid w:val="00260508"/>
    <w:rsid w:val="00260A10"/>
    <w:rsid w:val="00260A19"/>
    <w:rsid w:val="00260B0F"/>
    <w:rsid w:val="00260C44"/>
    <w:rsid w:val="00261067"/>
    <w:rsid w:val="002610AB"/>
    <w:rsid w:val="0026158D"/>
    <w:rsid w:val="00261836"/>
    <w:rsid w:val="00261967"/>
    <w:rsid w:val="0026196A"/>
    <w:rsid w:val="002619F6"/>
    <w:rsid w:val="002621B0"/>
    <w:rsid w:val="0026234A"/>
    <w:rsid w:val="0026240F"/>
    <w:rsid w:val="00262636"/>
    <w:rsid w:val="00262C3B"/>
    <w:rsid w:val="002639B6"/>
    <w:rsid w:val="00263B9E"/>
    <w:rsid w:val="0026417C"/>
    <w:rsid w:val="0026450C"/>
    <w:rsid w:val="002645E0"/>
    <w:rsid w:val="002646BC"/>
    <w:rsid w:val="00264C3C"/>
    <w:rsid w:val="00264D1C"/>
    <w:rsid w:val="002651C4"/>
    <w:rsid w:val="002652E2"/>
    <w:rsid w:val="0026533A"/>
    <w:rsid w:val="00265594"/>
    <w:rsid w:val="002656E7"/>
    <w:rsid w:val="00265A7E"/>
    <w:rsid w:val="002660E7"/>
    <w:rsid w:val="00266427"/>
    <w:rsid w:val="0026688C"/>
    <w:rsid w:val="0026698A"/>
    <w:rsid w:val="00266A37"/>
    <w:rsid w:val="00266A4E"/>
    <w:rsid w:val="0026788C"/>
    <w:rsid w:val="002703EE"/>
    <w:rsid w:val="00270486"/>
    <w:rsid w:val="00270BA6"/>
    <w:rsid w:val="00271495"/>
    <w:rsid w:val="00271BB0"/>
    <w:rsid w:val="00272239"/>
    <w:rsid w:val="0027254B"/>
    <w:rsid w:val="0027257D"/>
    <w:rsid w:val="0027278D"/>
    <w:rsid w:val="002727F1"/>
    <w:rsid w:val="0027284A"/>
    <w:rsid w:val="002733D4"/>
    <w:rsid w:val="0027349E"/>
    <w:rsid w:val="00273798"/>
    <w:rsid w:val="0027381D"/>
    <w:rsid w:val="0027386A"/>
    <w:rsid w:val="00273D08"/>
    <w:rsid w:val="002743FA"/>
    <w:rsid w:val="00274620"/>
    <w:rsid w:val="00274BBB"/>
    <w:rsid w:val="0027566E"/>
    <w:rsid w:val="00275A35"/>
    <w:rsid w:val="00275D3C"/>
    <w:rsid w:val="00275D68"/>
    <w:rsid w:val="00276171"/>
    <w:rsid w:val="00276900"/>
    <w:rsid w:val="00276C62"/>
    <w:rsid w:val="0027710B"/>
    <w:rsid w:val="0027752A"/>
    <w:rsid w:val="00277743"/>
    <w:rsid w:val="00277C1C"/>
    <w:rsid w:val="00277D4A"/>
    <w:rsid w:val="00277E37"/>
    <w:rsid w:val="00277E82"/>
    <w:rsid w:val="00280061"/>
    <w:rsid w:val="00280377"/>
    <w:rsid w:val="002804AC"/>
    <w:rsid w:val="002804EB"/>
    <w:rsid w:val="00281059"/>
    <w:rsid w:val="00281554"/>
    <w:rsid w:val="00281A05"/>
    <w:rsid w:val="00281C4A"/>
    <w:rsid w:val="00282236"/>
    <w:rsid w:val="002828FD"/>
    <w:rsid w:val="00283AE9"/>
    <w:rsid w:val="002840A3"/>
    <w:rsid w:val="00284AB7"/>
    <w:rsid w:val="00284D53"/>
    <w:rsid w:val="002850DB"/>
    <w:rsid w:val="00285D73"/>
    <w:rsid w:val="00285F5C"/>
    <w:rsid w:val="002862AB"/>
    <w:rsid w:val="002862DE"/>
    <w:rsid w:val="002865EA"/>
    <w:rsid w:val="00286CFA"/>
    <w:rsid w:val="00287290"/>
    <w:rsid w:val="0028777D"/>
    <w:rsid w:val="00290211"/>
    <w:rsid w:val="00290DD8"/>
    <w:rsid w:val="0029200F"/>
    <w:rsid w:val="00292686"/>
    <w:rsid w:val="00292729"/>
    <w:rsid w:val="00292E42"/>
    <w:rsid w:val="002930F0"/>
    <w:rsid w:val="0029317C"/>
    <w:rsid w:val="00293802"/>
    <w:rsid w:val="00293972"/>
    <w:rsid w:val="002939A1"/>
    <w:rsid w:val="00293E11"/>
    <w:rsid w:val="00294271"/>
    <w:rsid w:val="0029428F"/>
    <w:rsid w:val="002943C8"/>
    <w:rsid w:val="002943D6"/>
    <w:rsid w:val="00294CC4"/>
    <w:rsid w:val="00294DB4"/>
    <w:rsid w:val="00294E55"/>
    <w:rsid w:val="00294E58"/>
    <w:rsid w:val="002957D8"/>
    <w:rsid w:val="0029661E"/>
    <w:rsid w:val="00296AA9"/>
    <w:rsid w:val="00296BFD"/>
    <w:rsid w:val="00296CA0"/>
    <w:rsid w:val="00296E94"/>
    <w:rsid w:val="00296FAB"/>
    <w:rsid w:val="0029700A"/>
    <w:rsid w:val="002973ED"/>
    <w:rsid w:val="00297699"/>
    <w:rsid w:val="00297761"/>
    <w:rsid w:val="002978BE"/>
    <w:rsid w:val="002A0347"/>
    <w:rsid w:val="002A09E1"/>
    <w:rsid w:val="002A0A1D"/>
    <w:rsid w:val="002A2244"/>
    <w:rsid w:val="002A373D"/>
    <w:rsid w:val="002A3DE5"/>
    <w:rsid w:val="002A3E42"/>
    <w:rsid w:val="002A3EE0"/>
    <w:rsid w:val="002A44A4"/>
    <w:rsid w:val="002A4657"/>
    <w:rsid w:val="002A484E"/>
    <w:rsid w:val="002A489F"/>
    <w:rsid w:val="002A629A"/>
    <w:rsid w:val="002A670F"/>
    <w:rsid w:val="002A6EF8"/>
    <w:rsid w:val="002A7D91"/>
    <w:rsid w:val="002A7EC9"/>
    <w:rsid w:val="002B0249"/>
    <w:rsid w:val="002B03F7"/>
    <w:rsid w:val="002B0CB4"/>
    <w:rsid w:val="002B113A"/>
    <w:rsid w:val="002B130B"/>
    <w:rsid w:val="002B1735"/>
    <w:rsid w:val="002B1812"/>
    <w:rsid w:val="002B1B82"/>
    <w:rsid w:val="002B25FB"/>
    <w:rsid w:val="002B3064"/>
    <w:rsid w:val="002B323E"/>
    <w:rsid w:val="002B3352"/>
    <w:rsid w:val="002B34FF"/>
    <w:rsid w:val="002B3890"/>
    <w:rsid w:val="002B3C30"/>
    <w:rsid w:val="002B3EB9"/>
    <w:rsid w:val="002B487A"/>
    <w:rsid w:val="002B4B86"/>
    <w:rsid w:val="002B4EA8"/>
    <w:rsid w:val="002B596F"/>
    <w:rsid w:val="002B5A11"/>
    <w:rsid w:val="002B5B1A"/>
    <w:rsid w:val="002B5BCB"/>
    <w:rsid w:val="002B5D56"/>
    <w:rsid w:val="002B5EAA"/>
    <w:rsid w:val="002B645E"/>
    <w:rsid w:val="002B6831"/>
    <w:rsid w:val="002B6F8C"/>
    <w:rsid w:val="002B706E"/>
    <w:rsid w:val="002B745C"/>
    <w:rsid w:val="002B7529"/>
    <w:rsid w:val="002B75CB"/>
    <w:rsid w:val="002B7983"/>
    <w:rsid w:val="002B7AB9"/>
    <w:rsid w:val="002C0080"/>
    <w:rsid w:val="002C01B5"/>
    <w:rsid w:val="002C03CE"/>
    <w:rsid w:val="002C0E2C"/>
    <w:rsid w:val="002C0ECE"/>
    <w:rsid w:val="002C112A"/>
    <w:rsid w:val="002C13AE"/>
    <w:rsid w:val="002C17A3"/>
    <w:rsid w:val="002C1BD4"/>
    <w:rsid w:val="002C1C92"/>
    <w:rsid w:val="002C1FF9"/>
    <w:rsid w:val="002C2097"/>
    <w:rsid w:val="002C217E"/>
    <w:rsid w:val="002C28FB"/>
    <w:rsid w:val="002C29DD"/>
    <w:rsid w:val="002C2BAC"/>
    <w:rsid w:val="002C2FD9"/>
    <w:rsid w:val="002C3122"/>
    <w:rsid w:val="002C362C"/>
    <w:rsid w:val="002C3714"/>
    <w:rsid w:val="002C421F"/>
    <w:rsid w:val="002C44A8"/>
    <w:rsid w:val="002C4BCB"/>
    <w:rsid w:val="002C4F15"/>
    <w:rsid w:val="002C63C4"/>
    <w:rsid w:val="002C64C2"/>
    <w:rsid w:val="002C6AB6"/>
    <w:rsid w:val="002C6C39"/>
    <w:rsid w:val="002C702C"/>
    <w:rsid w:val="002C77D8"/>
    <w:rsid w:val="002C7905"/>
    <w:rsid w:val="002C7A4F"/>
    <w:rsid w:val="002D0179"/>
    <w:rsid w:val="002D07EA"/>
    <w:rsid w:val="002D0F38"/>
    <w:rsid w:val="002D2D74"/>
    <w:rsid w:val="002D3487"/>
    <w:rsid w:val="002D377F"/>
    <w:rsid w:val="002D37B7"/>
    <w:rsid w:val="002D3D34"/>
    <w:rsid w:val="002D40B9"/>
    <w:rsid w:val="002D44D5"/>
    <w:rsid w:val="002D45C1"/>
    <w:rsid w:val="002D45DD"/>
    <w:rsid w:val="002D4F3A"/>
    <w:rsid w:val="002D6341"/>
    <w:rsid w:val="002D66F4"/>
    <w:rsid w:val="002D7C26"/>
    <w:rsid w:val="002E0647"/>
    <w:rsid w:val="002E09D6"/>
    <w:rsid w:val="002E0A17"/>
    <w:rsid w:val="002E0BFA"/>
    <w:rsid w:val="002E0E0F"/>
    <w:rsid w:val="002E167C"/>
    <w:rsid w:val="002E1E79"/>
    <w:rsid w:val="002E223A"/>
    <w:rsid w:val="002E27E0"/>
    <w:rsid w:val="002E35E0"/>
    <w:rsid w:val="002E4450"/>
    <w:rsid w:val="002E478E"/>
    <w:rsid w:val="002E4DA4"/>
    <w:rsid w:val="002E525F"/>
    <w:rsid w:val="002E52A5"/>
    <w:rsid w:val="002E54A7"/>
    <w:rsid w:val="002E5E0C"/>
    <w:rsid w:val="002E60B7"/>
    <w:rsid w:val="002E62E9"/>
    <w:rsid w:val="002E6345"/>
    <w:rsid w:val="002E6375"/>
    <w:rsid w:val="002E6590"/>
    <w:rsid w:val="002E663C"/>
    <w:rsid w:val="002E6B6F"/>
    <w:rsid w:val="002F03F0"/>
    <w:rsid w:val="002F0F72"/>
    <w:rsid w:val="002F1260"/>
    <w:rsid w:val="002F1774"/>
    <w:rsid w:val="002F17CD"/>
    <w:rsid w:val="002F1EC3"/>
    <w:rsid w:val="002F1F01"/>
    <w:rsid w:val="002F204E"/>
    <w:rsid w:val="002F2215"/>
    <w:rsid w:val="002F2678"/>
    <w:rsid w:val="002F27B8"/>
    <w:rsid w:val="002F2916"/>
    <w:rsid w:val="002F2DB7"/>
    <w:rsid w:val="002F3222"/>
    <w:rsid w:val="002F37DE"/>
    <w:rsid w:val="002F3B21"/>
    <w:rsid w:val="002F3DA7"/>
    <w:rsid w:val="002F4141"/>
    <w:rsid w:val="002F498C"/>
    <w:rsid w:val="002F53DF"/>
    <w:rsid w:val="002F57F2"/>
    <w:rsid w:val="002F58AD"/>
    <w:rsid w:val="002F5CD6"/>
    <w:rsid w:val="002F5E1F"/>
    <w:rsid w:val="002F68A4"/>
    <w:rsid w:val="002F7122"/>
    <w:rsid w:val="002F72FC"/>
    <w:rsid w:val="002F7538"/>
    <w:rsid w:val="002F7D08"/>
    <w:rsid w:val="002F7D8B"/>
    <w:rsid w:val="002F7ED7"/>
    <w:rsid w:val="0030043E"/>
    <w:rsid w:val="0030088A"/>
    <w:rsid w:val="0030190B"/>
    <w:rsid w:val="00301DD8"/>
    <w:rsid w:val="0030234B"/>
    <w:rsid w:val="003026B2"/>
    <w:rsid w:val="00302A3F"/>
    <w:rsid w:val="00302FF0"/>
    <w:rsid w:val="00303350"/>
    <w:rsid w:val="00303393"/>
    <w:rsid w:val="003037E8"/>
    <w:rsid w:val="00303AD6"/>
    <w:rsid w:val="00303B74"/>
    <w:rsid w:val="003048AB"/>
    <w:rsid w:val="00304B86"/>
    <w:rsid w:val="00304EC3"/>
    <w:rsid w:val="003051F6"/>
    <w:rsid w:val="0030522F"/>
    <w:rsid w:val="003055A0"/>
    <w:rsid w:val="003057A5"/>
    <w:rsid w:val="00305F64"/>
    <w:rsid w:val="003075F3"/>
    <w:rsid w:val="00307B6D"/>
    <w:rsid w:val="00307D3C"/>
    <w:rsid w:val="00307EA9"/>
    <w:rsid w:val="00307F9B"/>
    <w:rsid w:val="00310271"/>
    <w:rsid w:val="0031082C"/>
    <w:rsid w:val="0031090A"/>
    <w:rsid w:val="00310C18"/>
    <w:rsid w:val="00311741"/>
    <w:rsid w:val="00311FF1"/>
    <w:rsid w:val="003122C6"/>
    <w:rsid w:val="00312529"/>
    <w:rsid w:val="00312636"/>
    <w:rsid w:val="0031271D"/>
    <w:rsid w:val="00312A54"/>
    <w:rsid w:val="003137B8"/>
    <w:rsid w:val="003138A5"/>
    <w:rsid w:val="00313A64"/>
    <w:rsid w:val="00313B75"/>
    <w:rsid w:val="00313E32"/>
    <w:rsid w:val="003143E5"/>
    <w:rsid w:val="00314DE9"/>
    <w:rsid w:val="00314E9E"/>
    <w:rsid w:val="003155AC"/>
    <w:rsid w:val="00315C41"/>
    <w:rsid w:val="00315EBD"/>
    <w:rsid w:val="00316068"/>
    <w:rsid w:val="0031766A"/>
    <w:rsid w:val="003201D6"/>
    <w:rsid w:val="00320550"/>
    <w:rsid w:val="00320DF2"/>
    <w:rsid w:val="0032185F"/>
    <w:rsid w:val="00321E0F"/>
    <w:rsid w:val="003227AE"/>
    <w:rsid w:val="00322CF8"/>
    <w:rsid w:val="003230EF"/>
    <w:rsid w:val="00323185"/>
    <w:rsid w:val="0032400C"/>
    <w:rsid w:val="00324153"/>
    <w:rsid w:val="003241B5"/>
    <w:rsid w:val="00324B8F"/>
    <w:rsid w:val="00326311"/>
    <w:rsid w:val="003266E3"/>
    <w:rsid w:val="003267AB"/>
    <w:rsid w:val="00326ED5"/>
    <w:rsid w:val="0032779B"/>
    <w:rsid w:val="003277C6"/>
    <w:rsid w:val="0032797F"/>
    <w:rsid w:val="003279B1"/>
    <w:rsid w:val="00330CD1"/>
    <w:rsid w:val="00330F96"/>
    <w:rsid w:val="00331402"/>
    <w:rsid w:val="00331564"/>
    <w:rsid w:val="00331C83"/>
    <w:rsid w:val="00331F43"/>
    <w:rsid w:val="00332085"/>
    <w:rsid w:val="00332227"/>
    <w:rsid w:val="00332258"/>
    <w:rsid w:val="00332651"/>
    <w:rsid w:val="00332C71"/>
    <w:rsid w:val="00332E1C"/>
    <w:rsid w:val="00332FE7"/>
    <w:rsid w:val="0033326F"/>
    <w:rsid w:val="00334216"/>
    <w:rsid w:val="00334FEC"/>
    <w:rsid w:val="00335234"/>
    <w:rsid w:val="003357A5"/>
    <w:rsid w:val="003358AC"/>
    <w:rsid w:val="00335A67"/>
    <w:rsid w:val="00335ACF"/>
    <w:rsid w:val="00335DFC"/>
    <w:rsid w:val="003369E9"/>
    <w:rsid w:val="00336AF8"/>
    <w:rsid w:val="00336D82"/>
    <w:rsid w:val="00336E00"/>
    <w:rsid w:val="00336FB7"/>
    <w:rsid w:val="00336FCE"/>
    <w:rsid w:val="003402B4"/>
    <w:rsid w:val="00340943"/>
    <w:rsid w:val="00340D6C"/>
    <w:rsid w:val="00341201"/>
    <w:rsid w:val="0034151E"/>
    <w:rsid w:val="00341652"/>
    <w:rsid w:val="003417A1"/>
    <w:rsid w:val="00341F7B"/>
    <w:rsid w:val="0034221D"/>
    <w:rsid w:val="003428A8"/>
    <w:rsid w:val="00342971"/>
    <w:rsid w:val="00342CDD"/>
    <w:rsid w:val="003433E1"/>
    <w:rsid w:val="0034376F"/>
    <w:rsid w:val="0034379A"/>
    <w:rsid w:val="00343C4C"/>
    <w:rsid w:val="003444EA"/>
    <w:rsid w:val="00344820"/>
    <w:rsid w:val="00345DA7"/>
    <w:rsid w:val="00345E28"/>
    <w:rsid w:val="00345F3F"/>
    <w:rsid w:val="003466C2"/>
    <w:rsid w:val="00346AE9"/>
    <w:rsid w:val="00346CD9"/>
    <w:rsid w:val="0034755D"/>
    <w:rsid w:val="0034781D"/>
    <w:rsid w:val="00347A7B"/>
    <w:rsid w:val="00347C78"/>
    <w:rsid w:val="003502D4"/>
    <w:rsid w:val="003506A3"/>
    <w:rsid w:val="0035073E"/>
    <w:rsid w:val="003508F5"/>
    <w:rsid w:val="00350ED6"/>
    <w:rsid w:val="00351508"/>
    <w:rsid w:val="003516AB"/>
    <w:rsid w:val="003520F2"/>
    <w:rsid w:val="00352478"/>
    <w:rsid w:val="00352844"/>
    <w:rsid w:val="00352DD2"/>
    <w:rsid w:val="00352F42"/>
    <w:rsid w:val="00353066"/>
    <w:rsid w:val="003530D0"/>
    <w:rsid w:val="003534F2"/>
    <w:rsid w:val="00353A33"/>
    <w:rsid w:val="00354081"/>
    <w:rsid w:val="00354271"/>
    <w:rsid w:val="00354501"/>
    <w:rsid w:val="00354590"/>
    <w:rsid w:val="003552DE"/>
    <w:rsid w:val="003552EC"/>
    <w:rsid w:val="00355346"/>
    <w:rsid w:val="0035597C"/>
    <w:rsid w:val="0035733C"/>
    <w:rsid w:val="00357450"/>
    <w:rsid w:val="00357726"/>
    <w:rsid w:val="00357DB0"/>
    <w:rsid w:val="0036024D"/>
    <w:rsid w:val="003602E7"/>
    <w:rsid w:val="00360878"/>
    <w:rsid w:val="00361487"/>
    <w:rsid w:val="003617E9"/>
    <w:rsid w:val="00361AD2"/>
    <w:rsid w:val="00362655"/>
    <w:rsid w:val="00362B31"/>
    <w:rsid w:val="00362CAD"/>
    <w:rsid w:val="00363320"/>
    <w:rsid w:val="00363362"/>
    <w:rsid w:val="0036364D"/>
    <w:rsid w:val="00363751"/>
    <w:rsid w:val="00363892"/>
    <w:rsid w:val="00363BA9"/>
    <w:rsid w:val="00364218"/>
    <w:rsid w:val="003645AF"/>
    <w:rsid w:val="003646B0"/>
    <w:rsid w:val="00364B65"/>
    <w:rsid w:val="00364C67"/>
    <w:rsid w:val="003656F1"/>
    <w:rsid w:val="003662D4"/>
    <w:rsid w:val="0036650E"/>
    <w:rsid w:val="0036682B"/>
    <w:rsid w:val="0036699E"/>
    <w:rsid w:val="00366C89"/>
    <w:rsid w:val="00366D2A"/>
    <w:rsid w:val="00366D35"/>
    <w:rsid w:val="003672B7"/>
    <w:rsid w:val="00367842"/>
    <w:rsid w:val="00370778"/>
    <w:rsid w:val="00370DCA"/>
    <w:rsid w:val="00371329"/>
    <w:rsid w:val="003715A2"/>
    <w:rsid w:val="00372319"/>
    <w:rsid w:val="00372368"/>
    <w:rsid w:val="003739FC"/>
    <w:rsid w:val="00373ED7"/>
    <w:rsid w:val="003742E8"/>
    <w:rsid w:val="003749B0"/>
    <w:rsid w:val="00374C56"/>
    <w:rsid w:val="00375811"/>
    <w:rsid w:val="00375FDA"/>
    <w:rsid w:val="0037600D"/>
    <w:rsid w:val="003760B4"/>
    <w:rsid w:val="0037686F"/>
    <w:rsid w:val="00376C06"/>
    <w:rsid w:val="00377031"/>
    <w:rsid w:val="00377691"/>
    <w:rsid w:val="003779B7"/>
    <w:rsid w:val="00377ACB"/>
    <w:rsid w:val="00377BBF"/>
    <w:rsid w:val="00377D23"/>
    <w:rsid w:val="0038003F"/>
    <w:rsid w:val="00380240"/>
    <w:rsid w:val="00380684"/>
    <w:rsid w:val="003812C2"/>
    <w:rsid w:val="0038131C"/>
    <w:rsid w:val="00381419"/>
    <w:rsid w:val="00381751"/>
    <w:rsid w:val="003825B1"/>
    <w:rsid w:val="00382C4F"/>
    <w:rsid w:val="00382DFD"/>
    <w:rsid w:val="003830F2"/>
    <w:rsid w:val="003831BB"/>
    <w:rsid w:val="00383416"/>
    <w:rsid w:val="0038342A"/>
    <w:rsid w:val="0038386C"/>
    <w:rsid w:val="00383AEB"/>
    <w:rsid w:val="00383C01"/>
    <w:rsid w:val="003847F8"/>
    <w:rsid w:val="00384DCF"/>
    <w:rsid w:val="0038543F"/>
    <w:rsid w:val="0038587C"/>
    <w:rsid w:val="003858E3"/>
    <w:rsid w:val="00385B90"/>
    <w:rsid w:val="0038662D"/>
    <w:rsid w:val="00386C51"/>
    <w:rsid w:val="003870C7"/>
    <w:rsid w:val="00387279"/>
    <w:rsid w:val="003873EC"/>
    <w:rsid w:val="0038758C"/>
    <w:rsid w:val="003877FA"/>
    <w:rsid w:val="00387B14"/>
    <w:rsid w:val="0039050A"/>
    <w:rsid w:val="00390BBB"/>
    <w:rsid w:val="00391051"/>
    <w:rsid w:val="00391722"/>
    <w:rsid w:val="003918C2"/>
    <w:rsid w:val="003923C9"/>
    <w:rsid w:val="003929B9"/>
    <w:rsid w:val="0039302C"/>
    <w:rsid w:val="003930E4"/>
    <w:rsid w:val="00393B51"/>
    <w:rsid w:val="00393D4D"/>
    <w:rsid w:val="0039486E"/>
    <w:rsid w:val="00395136"/>
    <w:rsid w:val="00395D05"/>
    <w:rsid w:val="00395D07"/>
    <w:rsid w:val="0039625A"/>
    <w:rsid w:val="00396DE8"/>
    <w:rsid w:val="00396E03"/>
    <w:rsid w:val="00397213"/>
    <w:rsid w:val="003974F3"/>
    <w:rsid w:val="003977A3"/>
    <w:rsid w:val="00397B3F"/>
    <w:rsid w:val="00397E52"/>
    <w:rsid w:val="003A050D"/>
    <w:rsid w:val="003A0C00"/>
    <w:rsid w:val="003A0E36"/>
    <w:rsid w:val="003A1006"/>
    <w:rsid w:val="003A117A"/>
    <w:rsid w:val="003A13A2"/>
    <w:rsid w:val="003A1870"/>
    <w:rsid w:val="003A2214"/>
    <w:rsid w:val="003A2282"/>
    <w:rsid w:val="003A2290"/>
    <w:rsid w:val="003A2350"/>
    <w:rsid w:val="003A248D"/>
    <w:rsid w:val="003A265D"/>
    <w:rsid w:val="003A36FC"/>
    <w:rsid w:val="003A3841"/>
    <w:rsid w:val="003A3DF1"/>
    <w:rsid w:val="003A3F86"/>
    <w:rsid w:val="003A3FE5"/>
    <w:rsid w:val="003A518A"/>
    <w:rsid w:val="003A577F"/>
    <w:rsid w:val="003A5977"/>
    <w:rsid w:val="003A61A8"/>
    <w:rsid w:val="003A6CD3"/>
    <w:rsid w:val="003A7FE6"/>
    <w:rsid w:val="003B030F"/>
    <w:rsid w:val="003B0761"/>
    <w:rsid w:val="003B076F"/>
    <w:rsid w:val="003B0AB5"/>
    <w:rsid w:val="003B0C3B"/>
    <w:rsid w:val="003B0E7D"/>
    <w:rsid w:val="003B1525"/>
    <w:rsid w:val="003B1CD3"/>
    <w:rsid w:val="003B1D7D"/>
    <w:rsid w:val="003B1EF7"/>
    <w:rsid w:val="003B220C"/>
    <w:rsid w:val="003B2492"/>
    <w:rsid w:val="003B25F9"/>
    <w:rsid w:val="003B2805"/>
    <w:rsid w:val="003B2C01"/>
    <w:rsid w:val="003B2C2C"/>
    <w:rsid w:val="003B2F20"/>
    <w:rsid w:val="003B2F26"/>
    <w:rsid w:val="003B384A"/>
    <w:rsid w:val="003B40B4"/>
    <w:rsid w:val="003B4338"/>
    <w:rsid w:val="003B4529"/>
    <w:rsid w:val="003B4643"/>
    <w:rsid w:val="003B4C8E"/>
    <w:rsid w:val="003B53D3"/>
    <w:rsid w:val="003B573B"/>
    <w:rsid w:val="003B574D"/>
    <w:rsid w:val="003B5B18"/>
    <w:rsid w:val="003B5E91"/>
    <w:rsid w:val="003B635A"/>
    <w:rsid w:val="003B6BED"/>
    <w:rsid w:val="003B6C70"/>
    <w:rsid w:val="003B6EA9"/>
    <w:rsid w:val="003B7026"/>
    <w:rsid w:val="003B7BFB"/>
    <w:rsid w:val="003B7C67"/>
    <w:rsid w:val="003B7D50"/>
    <w:rsid w:val="003B7E52"/>
    <w:rsid w:val="003C017E"/>
    <w:rsid w:val="003C06C4"/>
    <w:rsid w:val="003C0F4D"/>
    <w:rsid w:val="003C1208"/>
    <w:rsid w:val="003C1441"/>
    <w:rsid w:val="003C14F9"/>
    <w:rsid w:val="003C1B9D"/>
    <w:rsid w:val="003C1BBD"/>
    <w:rsid w:val="003C25CD"/>
    <w:rsid w:val="003C292B"/>
    <w:rsid w:val="003C3836"/>
    <w:rsid w:val="003C3B3F"/>
    <w:rsid w:val="003C44CC"/>
    <w:rsid w:val="003C47CE"/>
    <w:rsid w:val="003C48A9"/>
    <w:rsid w:val="003C48AB"/>
    <w:rsid w:val="003C4BDA"/>
    <w:rsid w:val="003C4C04"/>
    <w:rsid w:val="003C4DED"/>
    <w:rsid w:val="003C4EEE"/>
    <w:rsid w:val="003C56AF"/>
    <w:rsid w:val="003C5803"/>
    <w:rsid w:val="003C6B1B"/>
    <w:rsid w:val="003C6D66"/>
    <w:rsid w:val="003C7D1B"/>
    <w:rsid w:val="003D17D8"/>
    <w:rsid w:val="003D1848"/>
    <w:rsid w:val="003D1C2B"/>
    <w:rsid w:val="003D21BE"/>
    <w:rsid w:val="003D25ED"/>
    <w:rsid w:val="003D2CD5"/>
    <w:rsid w:val="003D2D9F"/>
    <w:rsid w:val="003D30AC"/>
    <w:rsid w:val="003D33F5"/>
    <w:rsid w:val="003D3628"/>
    <w:rsid w:val="003D4770"/>
    <w:rsid w:val="003D52BE"/>
    <w:rsid w:val="003D560D"/>
    <w:rsid w:val="003D615C"/>
    <w:rsid w:val="003D64AC"/>
    <w:rsid w:val="003D6539"/>
    <w:rsid w:val="003D6F1B"/>
    <w:rsid w:val="003D7233"/>
    <w:rsid w:val="003D77A5"/>
    <w:rsid w:val="003D78BB"/>
    <w:rsid w:val="003E05F3"/>
    <w:rsid w:val="003E06FC"/>
    <w:rsid w:val="003E14E7"/>
    <w:rsid w:val="003E17C2"/>
    <w:rsid w:val="003E18FD"/>
    <w:rsid w:val="003E2081"/>
    <w:rsid w:val="003E2087"/>
    <w:rsid w:val="003E22BD"/>
    <w:rsid w:val="003E2BD1"/>
    <w:rsid w:val="003E399B"/>
    <w:rsid w:val="003E3B7C"/>
    <w:rsid w:val="003E3B8B"/>
    <w:rsid w:val="003E42DF"/>
    <w:rsid w:val="003E457C"/>
    <w:rsid w:val="003E477B"/>
    <w:rsid w:val="003E50B6"/>
    <w:rsid w:val="003E5238"/>
    <w:rsid w:val="003E5560"/>
    <w:rsid w:val="003E5695"/>
    <w:rsid w:val="003E584F"/>
    <w:rsid w:val="003E5B51"/>
    <w:rsid w:val="003E5D2A"/>
    <w:rsid w:val="003E5E29"/>
    <w:rsid w:val="003E6417"/>
    <w:rsid w:val="003E6717"/>
    <w:rsid w:val="003E6E80"/>
    <w:rsid w:val="003E7764"/>
    <w:rsid w:val="003E7F5A"/>
    <w:rsid w:val="003F0B3C"/>
    <w:rsid w:val="003F0C5A"/>
    <w:rsid w:val="003F14CC"/>
    <w:rsid w:val="003F1B38"/>
    <w:rsid w:val="003F1DD9"/>
    <w:rsid w:val="003F223B"/>
    <w:rsid w:val="003F22A7"/>
    <w:rsid w:val="003F361C"/>
    <w:rsid w:val="003F3CEC"/>
    <w:rsid w:val="003F3D11"/>
    <w:rsid w:val="003F3F99"/>
    <w:rsid w:val="003F4863"/>
    <w:rsid w:val="003F4893"/>
    <w:rsid w:val="003F49EB"/>
    <w:rsid w:val="003F4E7B"/>
    <w:rsid w:val="003F5639"/>
    <w:rsid w:val="003F56A8"/>
    <w:rsid w:val="003F5E6C"/>
    <w:rsid w:val="003F614A"/>
    <w:rsid w:val="003F6271"/>
    <w:rsid w:val="003F6511"/>
    <w:rsid w:val="003F6BDC"/>
    <w:rsid w:val="003F6CD8"/>
    <w:rsid w:val="003F6D10"/>
    <w:rsid w:val="003F734A"/>
    <w:rsid w:val="003F7809"/>
    <w:rsid w:val="00400F9C"/>
    <w:rsid w:val="00401933"/>
    <w:rsid w:val="00401A73"/>
    <w:rsid w:val="00401D27"/>
    <w:rsid w:val="00401ED6"/>
    <w:rsid w:val="00402072"/>
    <w:rsid w:val="00402141"/>
    <w:rsid w:val="00402420"/>
    <w:rsid w:val="004025BF"/>
    <w:rsid w:val="00402C58"/>
    <w:rsid w:val="0040359C"/>
    <w:rsid w:val="00403783"/>
    <w:rsid w:val="00404B2C"/>
    <w:rsid w:val="00404BA0"/>
    <w:rsid w:val="0040523B"/>
    <w:rsid w:val="00405905"/>
    <w:rsid w:val="00405963"/>
    <w:rsid w:val="00405A4B"/>
    <w:rsid w:val="00405D4C"/>
    <w:rsid w:val="004065D7"/>
    <w:rsid w:val="0040672B"/>
    <w:rsid w:val="00406E02"/>
    <w:rsid w:val="00406F3C"/>
    <w:rsid w:val="004077BD"/>
    <w:rsid w:val="00407978"/>
    <w:rsid w:val="00407D29"/>
    <w:rsid w:val="004106ED"/>
    <w:rsid w:val="00410977"/>
    <w:rsid w:val="00410B07"/>
    <w:rsid w:val="00410BEC"/>
    <w:rsid w:val="0041103D"/>
    <w:rsid w:val="0041201D"/>
    <w:rsid w:val="004120EB"/>
    <w:rsid w:val="00412449"/>
    <w:rsid w:val="004124B7"/>
    <w:rsid w:val="00412A73"/>
    <w:rsid w:val="00413355"/>
    <w:rsid w:val="004135B3"/>
    <w:rsid w:val="004158A8"/>
    <w:rsid w:val="00415C52"/>
    <w:rsid w:val="00415DE2"/>
    <w:rsid w:val="0041602E"/>
    <w:rsid w:val="0041679A"/>
    <w:rsid w:val="00416911"/>
    <w:rsid w:val="004169B9"/>
    <w:rsid w:val="00416A32"/>
    <w:rsid w:val="004175B6"/>
    <w:rsid w:val="00417714"/>
    <w:rsid w:val="00417BB4"/>
    <w:rsid w:val="00417C32"/>
    <w:rsid w:val="00417C33"/>
    <w:rsid w:val="00417D16"/>
    <w:rsid w:val="00417E1D"/>
    <w:rsid w:val="00417ECD"/>
    <w:rsid w:val="00420545"/>
    <w:rsid w:val="00420620"/>
    <w:rsid w:val="00420AA9"/>
    <w:rsid w:val="00420CB5"/>
    <w:rsid w:val="00420F56"/>
    <w:rsid w:val="00421675"/>
    <w:rsid w:val="00421A7F"/>
    <w:rsid w:val="00421ED1"/>
    <w:rsid w:val="00422146"/>
    <w:rsid w:val="00422ED6"/>
    <w:rsid w:val="004239E4"/>
    <w:rsid w:val="004239FF"/>
    <w:rsid w:val="00423A39"/>
    <w:rsid w:val="00423C08"/>
    <w:rsid w:val="004243F9"/>
    <w:rsid w:val="004244D4"/>
    <w:rsid w:val="00424647"/>
    <w:rsid w:val="00425437"/>
    <w:rsid w:val="00425724"/>
    <w:rsid w:val="00425AC0"/>
    <w:rsid w:val="00425AED"/>
    <w:rsid w:val="00425DA0"/>
    <w:rsid w:val="00425E97"/>
    <w:rsid w:val="0042609B"/>
    <w:rsid w:val="00426210"/>
    <w:rsid w:val="00426B1C"/>
    <w:rsid w:val="00426B82"/>
    <w:rsid w:val="00426F10"/>
    <w:rsid w:val="004279EA"/>
    <w:rsid w:val="00427AF4"/>
    <w:rsid w:val="00427ED8"/>
    <w:rsid w:val="00427FF2"/>
    <w:rsid w:val="00430489"/>
    <w:rsid w:val="004309C8"/>
    <w:rsid w:val="00430B6C"/>
    <w:rsid w:val="00430B7F"/>
    <w:rsid w:val="00430EA4"/>
    <w:rsid w:val="00430F36"/>
    <w:rsid w:val="00431975"/>
    <w:rsid w:val="00431E54"/>
    <w:rsid w:val="004323D0"/>
    <w:rsid w:val="00432932"/>
    <w:rsid w:val="00432A85"/>
    <w:rsid w:val="00432A8E"/>
    <w:rsid w:val="00432B6E"/>
    <w:rsid w:val="00432E67"/>
    <w:rsid w:val="00432E68"/>
    <w:rsid w:val="00433B94"/>
    <w:rsid w:val="00434015"/>
    <w:rsid w:val="00434325"/>
    <w:rsid w:val="0043456C"/>
    <w:rsid w:val="00434932"/>
    <w:rsid w:val="004349F7"/>
    <w:rsid w:val="00434D0D"/>
    <w:rsid w:val="004350BA"/>
    <w:rsid w:val="00435802"/>
    <w:rsid w:val="004358FA"/>
    <w:rsid w:val="00435A1B"/>
    <w:rsid w:val="00435D51"/>
    <w:rsid w:val="00436758"/>
    <w:rsid w:val="00436860"/>
    <w:rsid w:val="00436BBA"/>
    <w:rsid w:val="00436D25"/>
    <w:rsid w:val="00437253"/>
    <w:rsid w:val="004375A1"/>
    <w:rsid w:val="004404A2"/>
    <w:rsid w:val="00440F98"/>
    <w:rsid w:val="004416A0"/>
    <w:rsid w:val="00441AF8"/>
    <w:rsid w:val="00441B06"/>
    <w:rsid w:val="004423DE"/>
    <w:rsid w:val="004425B2"/>
    <w:rsid w:val="00442A1A"/>
    <w:rsid w:val="00442C1F"/>
    <w:rsid w:val="00442DCC"/>
    <w:rsid w:val="00443AEA"/>
    <w:rsid w:val="0044408A"/>
    <w:rsid w:val="00444495"/>
    <w:rsid w:val="00444508"/>
    <w:rsid w:val="00444509"/>
    <w:rsid w:val="00445096"/>
    <w:rsid w:val="0044536C"/>
    <w:rsid w:val="00445D71"/>
    <w:rsid w:val="00445DEB"/>
    <w:rsid w:val="00445FBF"/>
    <w:rsid w:val="004461DD"/>
    <w:rsid w:val="0044666B"/>
    <w:rsid w:val="0044694C"/>
    <w:rsid w:val="00446A13"/>
    <w:rsid w:val="00446AD8"/>
    <w:rsid w:val="004474D4"/>
    <w:rsid w:val="00447576"/>
    <w:rsid w:val="00447A29"/>
    <w:rsid w:val="00447EA3"/>
    <w:rsid w:val="00450DD9"/>
    <w:rsid w:val="00450FD5"/>
    <w:rsid w:val="00451137"/>
    <w:rsid w:val="0045113B"/>
    <w:rsid w:val="004514A2"/>
    <w:rsid w:val="00451A05"/>
    <w:rsid w:val="00451FAA"/>
    <w:rsid w:val="0045250F"/>
    <w:rsid w:val="00452F7A"/>
    <w:rsid w:val="004535F3"/>
    <w:rsid w:val="00453AA8"/>
    <w:rsid w:val="004541FD"/>
    <w:rsid w:val="0045489F"/>
    <w:rsid w:val="00454AF8"/>
    <w:rsid w:val="00454BC1"/>
    <w:rsid w:val="00454D1F"/>
    <w:rsid w:val="0045558E"/>
    <w:rsid w:val="0045580C"/>
    <w:rsid w:val="004559EF"/>
    <w:rsid w:val="00455B62"/>
    <w:rsid w:val="004567AC"/>
    <w:rsid w:val="00457730"/>
    <w:rsid w:val="00457ACC"/>
    <w:rsid w:val="004600F6"/>
    <w:rsid w:val="0046021A"/>
    <w:rsid w:val="00460457"/>
    <w:rsid w:val="00460B08"/>
    <w:rsid w:val="00460D19"/>
    <w:rsid w:val="00461421"/>
    <w:rsid w:val="0046173B"/>
    <w:rsid w:val="004617BA"/>
    <w:rsid w:val="00461E39"/>
    <w:rsid w:val="0046294F"/>
    <w:rsid w:val="0046299E"/>
    <w:rsid w:val="00462C08"/>
    <w:rsid w:val="004639FB"/>
    <w:rsid w:val="00463A4F"/>
    <w:rsid w:val="00464124"/>
    <w:rsid w:val="004643BC"/>
    <w:rsid w:val="0046482D"/>
    <w:rsid w:val="00464EF5"/>
    <w:rsid w:val="00464F80"/>
    <w:rsid w:val="00464FF5"/>
    <w:rsid w:val="00464FFD"/>
    <w:rsid w:val="004651F3"/>
    <w:rsid w:val="004656C0"/>
    <w:rsid w:val="00465E50"/>
    <w:rsid w:val="00465FDA"/>
    <w:rsid w:val="00466BDF"/>
    <w:rsid w:val="004676F6"/>
    <w:rsid w:val="00467A80"/>
    <w:rsid w:val="0047006B"/>
    <w:rsid w:val="0047052B"/>
    <w:rsid w:val="00470865"/>
    <w:rsid w:val="00470A44"/>
    <w:rsid w:val="00470B17"/>
    <w:rsid w:val="00470E31"/>
    <w:rsid w:val="00470EB6"/>
    <w:rsid w:val="0047136E"/>
    <w:rsid w:val="004713E7"/>
    <w:rsid w:val="00471561"/>
    <w:rsid w:val="00471613"/>
    <w:rsid w:val="00471A4D"/>
    <w:rsid w:val="00471AB2"/>
    <w:rsid w:val="00471E45"/>
    <w:rsid w:val="00471E6F"/>
    <w:rsid w:val="00472254"/>
    <w:rsid w:val="004723C5"/>
    <w:rsid w:val="004723FC"/>
    <w:rsid w:val="00472862"/>
    <w:rsid w:val="00472E5B"/>
    <w:rsid w:val="004730F6"/>
    <w:rsid w:val="004732E0"/>
    <w:rsid w:val="00473874"/>
    <w:rsid w:val="00473F62"/>
    <w:rsid w:val="00474027"/>
    <w:rsid w:val="004742D9"/>
    <w:rsid w:val="00474822"/>
    <w:rsid w:val="004748AB"/>
    <w:rsid w:val="00474E36"/>
    <w:rsid w:val="004756C6"/>
    <w:rsid w:val="00475B31"/>
    <w:rsid w:val="00476048"/>
    <w:rsid w:val="0047614F"/>
    <w:rsid w:val="00476711"/>
    <w:rsid w:val="00477A5B"/>
    <w:rsid w:val="00480FF9"/>
    <w:rsid w:val="004810CF"/>
    <w:rsid w:val="00481340"/>
    <w:rsid w:val="004814B3"/>
    <w:rsid w:val="004818A1"/>
    <w:rsid w:val="004818D5"/>
    <w:rsid w:val="00482465"/>
    <w:rsid w:val="004826CF"/>
    <w:rsid w:val="004828B2"/>
    <w:rsid w:val="00482C3D"/>
    <w:rsid w:val="00482DD6"/>
    <w:rsid w:val="00482DFE"/>
    <w:rsid w:val="00482FFB"/>
    <w:rsid w:val="004830AA"/>
    <w:rsid w:val="00483112"/>
    <w:rsid w:val="004835A5"/>
    <w:rsid w:val="00483858"/>
    <w:rsid w:val="00483AF3"/>
    <w:rsid w:val="00483E9E"/>
    <w:rsid w:val="00484059"/>
    <w:rsid w:val="00484066"/>
    <w:rsid w:val="00484A4E"/>
    <w:rsid w:val="00484ABB"/>
    <w:rsid w:val="00484F00"/>
    <w:rsid w:val="00485296"/>
    <w:rsid w:val="00485453"/>
    <w:rsid w:val="0048546D"/>
    <w:rsid w:val="00485A12"/>
    <w:rsid w:val="00485CF8"/>
    <w:rsid w:val="0048614A"/>
    <w:rsid w:val="00486649"/>
    <w:rsid w:val="00486F36"/>
    <w:rsid w:val="004871D6"/>
    <w:rsid w:val="00487B38"/>
    <w:rsid w:val="004903B1"/>
    <w:rsid w:val="00490A4A"/>
    <w:rsid w:val="00490BD2"/>
    <w:rsid w:val="0049192C"/>
    <w:rsid w:val="00491BE4"/>
    <w:rsid w:val="00491D4B"/>
    <w:rsid w:val="00491F82"/>
    <w:rsid w:val="0049220C"/>
    <w:rsid w:val="00492783"/>
    <w:rsid w:val="0049283C"/>
    <w:rsid w:val="00493428"/>
    <w:rsid w:val="0049365E"/>
    <w:rsid w:val="00493C5A"/>
    <w:rsid w:val="00493FBF"/>
    <w:rsid w:val="0049414A"/>
    <w:rsid w:val="004942B5"/>
    <w:rsid w:val="00494DAD"/>
    <w:rsid w:val="004959DC"/>
    <w:rsid w:val="00495A78"/>
    <w:rsid w:val="00495FFC"/>
    <w:rsid w:val="0049623F"/>
    <w:rsid w:val="004964F6"/>
    <w:rsid w:val="0049652D"/>
    <w:rsid w:val="004967C5"/>
    <w:rsid w:val="00497101"/>
    <w:rsid w:val="004973CB"/>
    <w:rsid w:val="004975D3"/>
    <w:rsid w:val="00497D34"/>
    <w:rsid w:val="004A13A5"/>
    <w:rsid w:val="004A2072"/>
    <w:rsid w:val="004A211E"/>
    <w:rsid w:val="004A294B"/>
    <w:rsid w:val="004A2E90"/>
    <w:rsid w:val="004A3338"/>
    <w:rsid w:val="004A3B43"/>
    <w:rsid w:val="004A4236"/>
    <w:rsid w:val="004A446A"/>
    <w:rsid w:val="004A52D6"/>
    <w:rsid w:val="004A5940"/>
    <w:rsid w:val="004A5A98"/>
    <w:rsid w:val="004A627E"/>
    <w:rsid w:val="004A6374"/>
    <w:rsid w:val="004A6626"/>
    <w:rsid w:val="004A6663"/>
    <w:rsid w:val="004A6853"/>
    <w:rsid w:val="004A68A5"/>
    <w:rsid w:val="004A6D0F"/>
    <w:rsid w:val="004A6FC8"/>
    <w:rsid w:val="004A764F"/>
    <w:rsid w:val="004A7B47"/>
    <w:rsid w:val="004A7B8D"/>
    <w:rsid w:val="004B022E"/>
    <w:rsid w:val="004B062D"/>
    <w:rsid w:val="004B07E8"/>
    <w:rsid w:val="004B0CFF"/>
    <w:rsid w:val="004B0EA3"/>
    <w:rsid w:val="004B111F"/>
    <w:rsid w:val="004B2CA3"/>
    <w:rsid w:val="004B35E9"/>
    <w:rsid w:val="004B36DA"/>
    <w:rsid w:val="004B3A98"/>
    <w:rsid w:val="004B3BF8"/>
    <w:rsid w:val="004B4635"/>
    <w:rsid w:val="004B49EC"/>
    <w:rsid w:val="004B5039"/>
    <w:rsid w:val="004B561B"/>
    <w:rsid w:val="004B5A8F"/>
    <w:rsid w:val="004B60B9"/>
    <w:rsid w:val="004B66B3"/>
    <w:rsid w:val="004B6FB0"/>
    <w:rsid w:val="004B72C1"/>
    <w:rsid w:val="004B7659"/>
    <w:rsid w:val="004C0362"/>
    <w:rsid w:val="004C070B"/>
    <w:rsid w:val="004C0BCE"/>
    <w:rsid w:val="004C0C66"/>
    <w:rsid w:val="004C0D32"/>
    <w:rsid w:val="004C0F9B"/>
    <w:rsid w:val="004C120F"/>
    <w:rsid w:val="004C1282"/>
    <w:rsid w:val="004C1AC5"/>
    <w:rsid w:val="004C1E26"/>
    <w:rsid w:val="004C2078"/>
    <w:rsid w:val="004C23A0"/>
    <w:rsid w:val="004C2741"/>
    <w:rsid w:val="004C28FA"/>
    <w:rsid w:val="004C30CB"/>
    <w:rsid w:val="004C3D63"/>
    <w:rsid w:val="004C412C"/>
    <w:rsid w:val="004C45C2"/>
    <w:rsid w:val="004C4C21"/>
    <w:rsid w:val="004C525C"/>
    <w:rsid w:val="004C5631"/>
    <w:rsid w:val="004C5984"/>
    <w:rsid w:val="004C61A1"/>
    <w:rsid w:val="004C6290"/>
    <w:rsid w:val="004C66C7"/>
    <w:rsid w:val="004C6F2C"/>
    <w:rsid w:val="004C75F5"/>
    <w:rsid w:val="004C77EE"/>
    <w:rsid w:val="004D0A7F"/>
    <w:rsid w:val="004D11BC"/>
    <w:rsid w:val="004D1ED3"/>
    <w:rsid w:val="004D1F46"/>
    <w:rsid w:val="004D2648"/>
    <w:rsid w:val="004D273F"/>
    <w:rsid w:val="004D291C"/>
    <w:rsid w:val="004D3058"/>
    <w:rsid w:val="004D34CA"/>
    <w:rsid w:val="004D3724"/>
    <w:rsid w:val="004D373F"/>
    <w:rsid w:val="004D4106"/>
    <w:rsid w:val="004D4529"/>
    <w:rsid w:val="004D487E"/>
    <w:rsid w:val="004D4ACB"/>
    <w:rsid w:val="004D55F2"/>
    <w:rsid w:val="004D5867"/>
    <w:rsid w:val="004D587F"/>
    <w:rsid w:val="004D5BB2"/>
    <w:rsid w:val="004D5D1A"/>
    <w:rsid w:val="004D5D79"/>
    <w:rsid w:val="004D600D"/>
    <w:rsid w:val="004D6A6F"/>
    <w:rsid w:val="004D6AEA"/>
    <w:rsid w:val="004D79B1"/>
    <w:rsid w:val="004D7D67"/>
    <w:rsid w:val="004E0357"/>
    <w:rsid w:val="004E0770"/>
    <w:rsid w:val="004E0A8C"/>
    <w:rsid w:val="004E0EA4"/>
    <w:rsid w:val="004E111C"/>
    <w:rsid w:val="004E18AB"/>
    <w:rsid w:val="004E276C"/>
    <w:rsid w:val="004E27A6"/>
    <w:rsid w:val="004E3690"/>
    <w:rsid w:val="004E427E"/>
    <w:rsid w:val="004E4484"/>
    <w:rsid w:val="004E4626"/>
    <w:rsid w:val="004E46F6"/>
    <w:rsid w:val="004E4733"/>
    <w:rsid w:val="004E4741"/>
    <w:rsid w:val="004E4797"/>
    <w:rsid w:val="004E49C7"/>
    <w:rsid w:val="004E50E3"/>
    <w:rsid w:val="004E5438"/>
    <w:rsid w:val="004E5B05"/>
    <w:rsid w:val="004E5BE2"/>
    <w:rsid w:val="004E6686"/>
    <w:rsid w:val="004E6C70"/>
    <w:rsid w:val="004E71BF"/>
    <w:rsid w:val="004E7682"/>
    <w:rsid w:val="004E7DDD"/>
    <w:rsid w:val="004E7E80"/>
    <w:rsid w:val="004F0402"/>
    <w:rsid w:val="004F0475"/>
    <w:rsid w:val="004F0B3E"/>
    <w:rsid w:val="004F0EA3"/>
    <w:rsid w:val="004F0F5F"/>
    <w:rsid w:val="004F1036"/>
    <w:rsid w:val="004F1721"/>
    <w:rsid w:val="004F1952"/>
    <w:rsid w:val="004F1B8E"/>
    <w:rsid w:val="004F2160"/>
    <w:rsid w:val="004F236E"/>
    <w:rsid w:val="004F275E"/>
    <w:rsid w:val="004F2EEE"/>
    <w:rsid w:val="004F44F5"/>
    <w:rsid w:val="004F4635"/>
    <w:rsid w:val="004F466B"/>
    <w:rsid w:val="004F47B9"/>
    <w:rsid w:val="004F48D3"/>
    <w:rsid w:val="004F4C5B"/>
    <w:rsid w:val="004F52EC"/>
    <w:rsid w:val="004F5506"/>
    <w:rsid w:val="004F550E"/>
    <w:rsid w:val="004F5B9D"/>
    <w:rsid w:val="004F5F3C"/>
    <w:rsid w:val="004F61B7"/>
    <w:rsid w:val="004F6307"/>
    <w:rsid w:val="004F6D60"/>
    <w:rsid w:val="004F6FE6"/>
    <w:rsid w:val="004F7698"/>
    <w:rsid w:val="004F7981"/>
    <w:rsid w:val="004F7AF8"/>
    <w:rsid w:val="00500993"/>
    <w:rsid w:val="005009E7"/>
    <w:rsid w:val="00500A9D"/>
    <w:rsid w:val="00500AED"/>
    <w:rsid w:val="00500BCA"/>
    <w:rsid w:val="005019C1"/>
    <w:rsid w:val="00501A5B"/>
    <w:rsid w:val="00501C42"/>
    <w:rsid w:val="00501FAE"/>
    <w:rsid w:val="005029EA"/>
    <w:rsid w:val="00502B83"/>
    <w:rsid w:val="00502C39"/>
    <w:rsid w:val="0050352B"/>
    <w:rsid w:val="00504CBF"/>
    <w:rsid w:val="005052E6"/>
    <w:rsid w:val="005054CE"/>
    <w:rsid w:val="00505513"/>
    <w:rsid w:val="005055AD"/>
    <w:rsid w:val="00505A02"/>
    <w:rsid w:val="00505A25"/>
    <w:rsid w:val="00505C93"/>
    <w:rsid w:val="00505EAA"/>
    <w:rsid w:val="00506C0D"/>
    <w:rsid w:val="005071B5"/>
    <w:rsid w:val="005078A9"/>
    <w:rsid w:val="00507D67"/>
    <w:rsid w:val="005100B9"/>
    <w:rsid w:val="005104E5"/>
    <w:rsid w:val="00510E9E"/>
    <w:rsid w:val="00511695"/>
    <w:rsid w:val="00511D35"/>
    <w:rsid w:val="00511D69"/>
    <w:rsid w:val="00512064"/>
    <w:rsid w:val="0051213E"/>
    <w:rsid w:val="00512229"/>
    <w:rsid w:val="00512C7E"/>
    <w:rsid w:val="00513571"/>
    <w:rsid w:val="005144CB"/>
    <w:rsid w:val="005147EC"/>
    <w:rsid w:val="00514DE6"/>
    <w:rsid w:val="00515AA5"/>
    <w:rsid w:val="0051648A"/>
    <w:rsid w:val="00516615"/>
    <w:rsid w:val="00516959"/>
    <w:rsid w:val="005169FE"/>
    <w:rsid w:val="00517372"/>
    <w:rsid w:val="005177D9"/>
    <w:rsid w:val="005203BD"/>
    <w:rsid w:val="00520D81"/>
    <w:rsid w:val="00520EA3"/>
    <w:rsid w:val="00520ECF"/>
    <w:rsid w:val="00521000"/>
    <w:rsid w:val="00521384"/>
    <w:rsid w:val="00521472"/>
    <w:rsid w:val="00521AA6"/>
    <w:rsid w:val="0052214D"/>
    <w:rsid w:val="005226FB"/>
    <w:rsid w:val="00522C59"/>
    <w:rsid w:val="00522E13"/>
    <w:rsid w:val="0052427A"/>
    <w:rsid w:val="005243CA"/>
    <w:rsid w:val="00524881"/>
    <w:rsid w:val="00524EF6"/>
    <w:rsid w:val="0052501C"/>
    <w:rsid w:val="00526407"/>
    <w:rsid w:val="0052642A"/>
    <w:rsid w:val="005264A6"/>
    <w:rsid w:val="005266AC"/>
    <w:rsid w:val="00526ACD"/>
    <w:rsid w:val="00526DCA"/>
    <w:rsid w:val="0053046D"/>
    <w:rsid w:val="0053075E"/>
    <w:rsid w:val="00530E63"/>
    <w:rsid w:val="00531B2A"/>
    <w:rsid w:val="00531E8E"/>
    <w:rsid w:val="00532384"/>
    <w:rsid w:val="00532546"/>
    <w:rsid w:val="0053256F"/>
    <w:rsid w:val="00532C0D"/>
    <w:rsid w:val="00532C76"/>
    <w:rsid w:val="005335A3"/>
    <w:rsid w:val="005337BB"/>
    <w:rsid w:val="005339F1"/>
    <w:rsid w:val="00533FC9"/>
    <w:rsid w:val="00534409"/>
    <w:rsid w:val="005346DF"/>
    <w:rsid w:val="0053524F"/>
    <w:rsid w:val="0053570E"/>
    <w:rsid w:val="005359C9"/>
    <w:rsid w:val="00536101"/>
    <w:rsid w:val="00536135"/>
    <w:rsid w:val="005362EC"/>
    <w:rsid w:val="00536602"/>
    <w:rsid w:val="005367FB"/>
    <w:rsid w:val="00536978"/>
    <w:rsid w:val="005370CE"/>
    <w:rsid w:val="0053731C"/>
    <w:rsid w:val="0053731D"/>
    <w:rsid w:val="00537340"/>
    <w:rsid w:val="00537574"/>
    <w:rsid w:val="00540326"/>
    <w:rsid w:val="0054037E"/>
    <w:rsid w:val="00540397"/>
    <w:rsid w:val="00541120"/>
    <w:rsid w:val="00541C8C"/>
    <w:rsid w:val="00541EE6"/>
    <w:rsid w:val="00542C96"/>
    <w:rsid w:val="00542D7D"/>
    <w:rsid w:val="00543451"/>
    <w:rsid w:val="005436DD"/>
    <w:rsid w:val="00543A24"/>
    <w:rsid w:val="00543A6E"/>
    <w:rsid w:val="005445B1"/>
    <w:rsid w:val="005445FE"/>
    <w:rsid w:val="0054464D"/>
    <w:rsid w:val="00544853"/>
    <w:rsid w:val="00544C51"/>
    <w:rsid w:val="0054536F"/>
    <w:rsid w:val="005453D3"/>
    <w:rsid w:val="005455AE"/>
    <w:rsid w:val="00545DA7"/>
    <w:rsid w:val="00545FB1"/>
    <w:rsid w:val="005460F4"/>
    <w:rsid w:val="005462CD"/>
    <w:rsid w:val="00546304"/>
    <w:rsid w:val="005466E7"/>
    <w:rsid w:val="005468A8"/>
    <w:rsid w:val="00546C96"/>
    <w:rsid w:val="00546D8B"/>
    <w:rsid w:val="00547374"/>
    <w:rsid w:val="00547531"/>
    <w:rsid w:val="0054762D"/>
    <w:rsid w:val="00547863"/>
    <w:rsid w:val="00547BE3"/>
    <w:rsid w:val="00547CA8"/>
    <w:rsid w:val="00547CC6"/>
    <w:rsid w:val="00550236"/>
    <w:rsid w:val="0055059F"/>
    <w:rsid w:val="005514CC"/>
    <w:rsid w:val="0055186E"/>
    <w:rsid w:val="005518A0"/>
    <w:rsid w:val="00551954"/>
    <w:rsid w:val="00551AAC"/>
    <w:rsid w:val="00551EE2"/>
    <w:rsid w:val="0055270E"/>
    <w:rsid w:val="00552FB7"/>
    <w:rsid w:val="005531E1"/>
    <w:rsid w:val="005539F0"/>
    <w:rsid w:val="00553C86"/>
    <w:rsid w:val="00553F99"/>
    <w:rsid w:val="00554C9E"/>
    <w:rsid w:val="005556C6"/>
    <w:rsid w:val="00555EF9"/>
    <w:rsid w:val="005561B1"/>
    <w:rsid w:val="00556490"/>
    <w:rsid w:val="00556E69"/>
    <w:rsid w:val="0055730B"/>
    <w:rsid w:val="005574A0"/>
    <w:rsid w:val="00557931"/>
    <w:rsid w:val="00557C08"/>
    <w:rsid w:val="00557C0C"/>
    <w:rsid w:val="00557CC0"/>
    <w:rsid w:val="00557CC8"/>
    <w:rsid w:val="005601CC"/>
    <w:rsid w:val="00560290"/>
    <w:rsid w:val="00560CE7"/>
    <w:rsid w:val="005614DB"/>
    <w:rsid w:val="00562072"/>
    <w:rsid w:val="00563272"/>
    <w:rsid w:val="00563469"/>
    <w:rsid w:val="005637CE"/>
    <w:rsid w:val="005639EE"/>
    <w:rsid w:val="00563A79"/>
    <w:rsid w:val="00563C1C"/>
    <w:rsid w:val="00563D5A"/>
    <w:rsid w:val="00563D88"/>
    <w:rsid w:val="0056464C"/>
    <w:rsid w:val="00564E6B"/>
    <w:rsid w:val="005654C9"/>
    <w:rsid w:val="0056555F"/>
    <w:rsid w:val="00565EE7"/>
    <w:rsid w:val="005661E3"/>
    <w:rsid w:val="0056632A"/>
    <w:rsid w:val="00566DFE"/>
    <w:rsid w:val="005675A6"/>
    <w:rsid w:val="005675C6"/>
    <w:rsid w:val="0056782D"/>
    <w:rsid w:val="005679BA"/>
    <w:rsid w:val="00567A74"/>
    <w:rsid w:val="00567F2B"/>
    <w:rsid w:val="00570020"/>
    <w:rsid w:val="005701C2"/>
    <w:rsid w:val="005704F0"/>
    <w:rsid w:val="00570C7E"/>
    <w:rsid w:val="00571242"/>
    <w:rsid w:val="0057162B"/>
    <w:rsid w:val="005716D4"/>
    <w:rsid w:val="00572550"/>
    <w:rsid w:val="0057292F"/>
    <w:rsid w:val="00572A47"/>
    <w:rsid w:val="00572D62"/>
    <w:rsid w:val="00572E69"/>
    <w:rsid w:val="00572EA3"/>
    <w:rsid w:val="00573016"/>
    <w:rsid w:val="00573BAC"/>
    <w:rsid w:val="00573E5F"/>
    <w:rsid w:val="00573F4E"/>
    <w:rsid w:val="00573F76"/>
    <w:rsid w:val="00574441"/>
    <w:rsid w:val="0057454F"/>
    <w:rsid w:val="00574AB0"/>
    <w:rsid w:val="00574C3C"/>
    <w:rsid w:val="00575956"/>
    <w:rsid w:val="00575965"/>
    <w:rsid w:val="00576354"/>
    <w:rsid w:val="00576826"/>
    <w:rsid w:val="00576895"/>
    <w:rsid w:val="005771E7"/>
    <w:rsid w:val="005779B1"/>
    <w:rsid w:val="005800AF"/>
    <w:rsid w:val="005801FE"/>
    <w:rsid w:val="00581337"/>
    <w:rsid w:val="005816BC"/>
    <w:rsid w:val="00581858"/>
    <w:rsid w:val="0058195D"/>
    <w:rsid w:val="00581DB5"/>
    <w:rsid w:val="00581F34"/>
    <w:rsid w:val="00582346"/>
    <w:rsid w:val="00582646"/>
    <w:rsid w:val="00582805"/>
    <w:rsid w:val="005830D0"/>
    <w:rsid w:val="00583169"/>
    <w:rsid w:val="00583190"/>
    <w:rsid w:val="00583528"/>
    <w:rsid w:val="005838F8"/>
    <w:rsid w:val="00583C20"/>
    <w:rsid w:val="00583DA9"/>
    <w:rsid w:val="00583EED"/>
    <w:rsid w:val="00584391"/>
    <w:rsid w:val="00584585"/>
    <w:rsid w:val="00584686"/>
    <w:rsid w:val="0058509F"/>
    <w:rsid w:val="005853DA"/>
    <w:rsid w:val="0058559D"/>
    <w:rsid w:val="00585B3C"/>
    <w:rsid w:val="00585FB4"/>
    <w:rsid w:val="00586C8D"/>
    <w:rsid w:val="0058705F"/>
    <w:rsid w:val="00587264"/>
    <w:rsid w:val="00587A4F"/>
    <w:rsid w:val="00587BB0"/>
    <w:rsid w:val="00587CCF"/>
    <w:rsid w:val="0059033A"/>
    <w:rsid w:val="005905D1"/>
    <w:rsid w:val="005905E0"/>
    <w:rsid w:val="005908DD"/>
    <w:rsid w:val="00590CF0"/>
    <w:rsid w:val="00591818"/>
    <w:rsid w:val="00591F9B"/>
    <w:rsid w:val="00592224"/>
    <w:rsid w:val="005923EC"/>
    <w:rsid w:val="00592801"/>
    <w:rsid w:val="005933C1"/>
    <w:rsid w:val="00593F10"/>
    <w:rsid w:val="005942FC"/>
    <w:rsid w:val="0059435E"/>
    <w:rsid w:val="00594AA5"/>
    <w:rsid w:val="00594B0B"/>
    <w:rsid w:val="00595312"/>
    <w:rsid w:val="00595A23"/>
    <w:rsid w:val="00596E06"/>
    <w:rsid w:val="00597F7B"/>
    <w:rsid w:val="005A023F"/>
    <w:rsid w:val="005A034F"/>
    <w:rsid w:val="005A08EA"/>
    <w:rsid w:val="005A0C21"/>
    <w:rsid w:val="005A0F92"/>
    <w:rsid w:val="005A11ED"/>
    <w:rsid w:val="005A1483"/>
    <w:rsid w:val="005A1C99"/>
    <w:rsid w:val="005A1DFE"/>
    <w:rsid w:val="005A2CBF"/>
    <w:rsid w:val="005A3318"/>
    <w:rsid w:val="005A3340"/>
    <w:rsid w:val="005A36A9"/>
    <w:rsid w:val="005A3C94"/>
    <w:rsid w:val="005A4647"/>
    <w:rsid w:val="005A4D17"/>
    <w:rsid w:val="005A5553"/>
    <w:rsid w:val="005A5759"/>
    <w:rsid w:val="005A6164"/>
    <w:rsid w:val="005A6943"/>
    <w:rsid w:val="005A6A4A"/>
    <w:rsid w:val="005A6F96"/>
    <w:rsid w:val="005A73AC"/>
    <w:rsid w:val="005A7610"/>
    <w:rsid w:val="005A766C"/>
    <w:rsid w:val="005A7678"/>
    <w:rsid w:val="005A77E4"/>
    <w:rsid w:val="005A7BFA"/>
    <w:rsid w:val="005A7FD1"/>
    <w:rsid w:val="005B0566"/>
    <w:rsid w:val="005B057D"/>
    <w:rsid w:val="005B09DA"/>
    <w:rsid w:val="005B1BF1"/>
    <w:rsid w:val="005B1EEB"/>
    <w:rsid w:val="005B2213"/>
    <w:rsid w:val="005B25A9"/>
    <w:rsid w:val="005B26D6"/>
    <w:rsid w:val="005B2DE4"/>
    <w:rsid w:val="005B3189"/>
    <w:rsid w:val="005B31E3"/>
    <w:rsid w:val="005B4515"/>
    <w:rsid w:val="005B4B35"/>
    <w:rsid w:val="005B4EE2"/>
    <w:rsid w:val="005B5222"/>
    <w:rsid w:val="005B548A"/>
    <w:rsid w:val="005B5731"/>
    <w:rsid w:val="005B5A68"/>
    <w:rsid w:val="005B5E13"/>
    <w:rsid w:val="005B62D5"/>
    <w:rsid w:val="005B7489"/>
    <w:rsid w:val="005B79E3"/>
    <w:rsid w:val="005B7DBB"/>
    <w:rsid w:val="005C0587"/>
    <w:rsid w:val="005C07A8"/>
    <w:rsid w:val="005C193F"/>
    <w:rsid w:val="005C1C27"/>
    <w:rsid w:val="005C1FB8"/>
    <w:rsid w:val="005C2014"/>
    <w:rsid w:val="005C2472"/>
    <w:rsid w:val="005C2955"/>
    <w:rsid w:val="005C2A35"/>
    <w:rsid w:val="005C2CC3"/>
    <w:rsid w:val="005C3863"/>
    <w:rsid w:val="005C396B"/>
    <w:rsid w:val="005C3FDB"/>
    <w:rsid w:val="005C46FB"/>
    <w:rsid w:val="005C506B"/>
    <w:rsid w:val="005C53BC"/>
    <w:rsid w:val="005C54E7"/>
    <w:rsid w:val="005C55C4"/>
    <w:rsid w:val="005C5751"/>
    <w:rsid w:val="005C5C12"/>
    <w:rsid w:val="005C60B1"/>
    <w:rsid w:val="005C656B"/>
    <w:rsid w:val="005C68D8"/>
    <w:rsid w:val="005C6DAD"/>
    <w:rsid w:val="005C71BC"/>
    <w:rsid w:val="005C72B4"/>
    <w:rsid w:val="005C75E1"/>
    <w:rsid w:val="005C7C1A"/>
    <w:rsid w:val="005D06C7"/>
    <w:rsid w:val="005D0970"/>
    <w:rsid w:val="005D1014"/>
    <w:rsid w:val="005D1077"/>
    <w:rsid w:val="005D1145"/>
    <w:rsid w:val="005D1252"/>
    <w:rsid w:val="005D132E"/>
    <w:rsid w:val="005D1A79"/>
    <w:rsid w:val="005D1A98"/>
    <w:rsid w:val="005D1B7A"/>
    <w:rsid w:val="005D2232"/>
    <w:rsid w:val="005D2496"/>
    <w:rsid w:val="005D2525"/>
    <w:rsid w:val="005D26B6"/>
    <w:rsid w:val="005D2A4D"/>
    <w:rsid w:val="005D30AD"/>
    <w:rsid w:val="005D3301"/>
    <w:rsid w:val="005D3FD1"/>
    <w:rsid w:val="005D4478"/>
    <w:rsid w:val="005D4893"/>
    <w:rsid w:val="005D48D7"/>
    <w:rsid w:val="005D4DDA"/>
    <w:rsid w:val="005D4F94"/>
    <w:rsid w:val="005D57C0"/>
    <w:rsid w:val="005D5828"/>
    <w:rsid w:val="005D5957"/>
    <w:rsid w:val="005D5B3C"/>
    <w:rsid w:val="005D5BCF"/>
    <w:rsid w:val="005D64E1"/>
    <w:rsid w:val="005D64F4"/>
    <w:rsid w:val="005D6BBA"/>
    <w:rsid w:val="005D712C"/>
    <w:rsid w:val="005D73B5"/>
    <w:rsid w:val="005D7644"/>
    <w:rsid w:val="005D7699"/>
    <w:rsid w:val="005D7BC9"/>
    <w:rsid w:val="005D7C11"/>
    <w:rsid w:val="005D7DB8"/>
    <w:rsid w:val="005E0350"/>
    <w:rsid w:val="005E06D1"/>
    <w:rsid w:val="005E15F6"/>
    <w:rsid w:val="005E16DE"/>
    <w:rsid w:val="005E19AF"/>
    <w:rsid w:val="005E1D39"/>
    <w:rsid w:val="005E1F66"/>
    <w:rsid w:val="005E2363"/>
    <w:rsid w:val="005E2863"/>
    <w:rsid w:val="005E2D34"/>
    <w:rsid w:val="005E2DD5"/>
    <w:rsid w:val="005E30AB"/>
    <w:rsid w:val="005E3537"/>
    <w:rsid w:val="005E36E1"/>
    <w:rsid w:val="005E3787"/>
    <w:rsid w:val="005E45FC"/>
    <w:rsid w:val="005E46BE"/>
    <w:rsid w:val="005E493E"/>
    <w:rsid w:val="005E4A8B"/>
    <w:rsid w:val="005E4E38"/>
    <w:rsid w:val="005E51E7"/>
    <w:rsid w:val="005E5BC9"/>
    <w:rsid w:val="005E601A"/>
    <w:rsid w:val="005E675A"/>
    <w:rsid w:val="005E7A42"/>
    <w:rsid w:val="005E7DD7"/>
    <w:rsid w:val="005F095B"/>
    <w:rsid w:val="005F0A50"/>
    <w:rsid w:val="005F106A"/>
    <w:rsid w:val="005F1784"/>
    <w:rsid w:val="005F1862"/>
    <w:rsid w:val="005F191C"/>
    <w:rsid w:val="005F1A18"/>
    <w:rsid w:val="005F24DF"/>
    <w:rsid w:val="005F29EE"/>
    <w:rsid w:val="005F35D0"/>
    <w:rsid w:val="005F4065"/>
    <w:rsid w:val="005F40C7"/>
    <w:rsid w:val="005F4825"/>
    <w:rsid w:val="005F4C1D"/>
    <w:rsid w:val="005F4E3A"/>
    <w:rsid w:val="005F51CE"/>
    <w:rsid w:val="005F5450"/>
    <w:rsid w:val="005F5915"/>
    <w:rsid w:val="005F59C3"/>
    <w:rsid w:val="005F5D0B"/>
    <w:rsid w:val="005F5E88"/>
    <w:rsid w:val="005F5EA8"/>
    <w:rsid w:val="005F62C8"/>
    <w:rsid w:val="005F690F"/>
    <w:rsid w:val="005F6B06"/>
    <w:rsid w:val="005F6DC4"/>
    <w:rsid w:val="005F7279"/>
    <w:rsid w:val="005F7A00"/>
    <w:rsid w:val="005F7C4B"/>
    <w:rsid w:val="005F7CCD"/>
    <w:rsid w:val="0060014F"/>
    <w:rsid w:val="00600636"/>
    <w:rsid w:val="00600895"/>
    <w:rsid w:val="00600913"/>
    <w:rsid w:val="00600CDA"/>
    <w:rsid w:val="00600D05"/>
    <w:rsid w:val="00601018"/>
    <w:rsid w:val="006014B9"/>
    <w:rsid w:val="00601B18"/>
    <w:rsid w:val="00601C56"/>
    <w:rsid w:val="00601E0F"/>
    <w:rsid w:val="006022D0"/>
    <w:rsid w:val="0060265A"/>
    <w:rsid w:val="00602A02"/>
    <w:rsid w:val="00602BAC"/>
    <w:rsid w:val="00602FB5"/>
    <w:rsid w:val="006033D1"/>
    <w:rsid w:val="006034AC"/>
    <w:rsid w:val="0060350B"/>
    <w:rsid w:val="00603728"/>
    <w:rsid w:val="00603C58"/>
    <w:rsid w:val="00603CEC"/>
    <w:rsid w:val="0060458B"/>
    <w:rsid w:val="0060485B"/>
    <w:rsid w:val="00604A07"/>
    <w:rsid w:val="00604AE2"/>
    <w:rsid w:val="00604B99"/>
    <w:rsid w:val="00604C2B"/>
    <w:rsid w:val="00606892"/>
    <w:rsid w:val="0060788F"/>
    <w:rsid w:val="00607A72"/>
    <w:rsid w:val="00607B4B"/>
    <w:rsid w:val="00607B86"/>
    <w:rsid w:val="00607EFD"/>
    <w:rsid w:val="0061043C"/>
    <w:rsid w:val="006104EE"/>
    <w:rsid w:val="00610C0E"/>
    <w:rsid w:val="00610D3C"/>
    <w:rsid w:val="00611920"/>
    <w:rsid w:val="00611FCD"/>
    <w:rsid w:val="00612BC0"/>
    <w:rsid w:val="00612C6B"/>
    <w:rsid w:val="006137C7"/>
    <w:rsid w:val="00613926"/>
    <w:rsid w:val="00613E8C"/>
    <w:rsid w:val="00614BDC"/>
    <w:rsid w:val="00614E13"/>
    <w:rsid w:val="0061551E"/>
    <w:rsid w:val="0061640F"/>
    <w:rsid w:val="006166D3"/>
    <w:rsid w:val="006169B4"/>
    <w:rsid w:val="00617183"/>
    <w:rsid w:val="006174DB"/>
    <w:rsid w:val="00617671"/>
    <w:rsid w:val="00617726"/>
    <w:rsid w:val="00617CE5"/>
    <w:rsid w:val="00617EFF"/>
    <w:rsid w:val="00620200"/>
    <w:rsid w:val="00620233"/>
    <w:rsid w:val="006202FD"/>
    <w:rsid w:val="006203BA"/>
    <w:rsid w:val="00620BE8"/>
    <w:rsid w:val="00620E26"/>
    <w:rsid w:val="00620E54"/>
    <w:rsid w:val="00620EE5"/>
    <w:rsid w:val="00621257"/>
    <w:rsid w:val="0062130B"/>
    <w:rsid w:val="006217A7"/>
    <w:rsid w:val="00621A3E"/>
    <w:rsid w:val="00621C3A"/>
    <w:rsid w:val="00622700"/>
    <w:rsid w:val="00622D1B"/>
    <w:rsid w:val="00623676"/>
    <w:rsid w:val="00623B19"/>
    <w:rsid w:val="00623E20"/>
    <w:rsid w:val="0062448E"/>
    <w:rsid w:val="00624B0B"/>
    <w:rsid w:val="00625608"/>
    <w:rsid w:val="00625693"/>
    <w:rsid w:val="0062588E"/>
    <w:rsid w:val="00626B95"/>
    <w:rsid w:val="006272BF"/>
    <w:rsid w:val="00627403"/>
    <w:rsid w:val="00627936"/>
    <w:rsid w:val="00627DCC"/>
    <w:rsid w:val="00630122"/>
    <w:rsid w:val="00630242"/>
    <w:rsid w:val="00630ABA"/>
    <w:rsid w:val="006312AC"/>
    <w:rsid w:val="006318DC"/>
    <w:rsid w:val="006321A3"/>
    <w:rsid w:val="00632261"/>
    <w:rsid w:val="006325F8"/>
    <w:rsid w:val="00632785"/>
    <w:rsid w:val="0063331B"/>
    <w:rsid w:val="00633463"/>
    <w:rsid w:val="00633C81"/>
    <w:rsid w:val="006344FA"/>
    <w:rsid w:val="00634D42"/>
    <w:rsid w:val="00635ACA"/>
    <w:rsid w:val="00635B21"/>
    <w:rsid w:val="00635C6A"/>
    <w:rsid w:val="006365E1"/>
    <w:rsid w:val="0063691E"/>
    <w:rsid w:val="00636B8B"/>
    <w:rsid w:val="00636CB3"/>
    <w:rsid w:val="006377B6"/>
    <w:rsid w:val="00637997"/>
    <w:rsid w:val="006379AD"/>
    <w:rsid w:val="00637D45"/>
    <w:rsid w:val="00637FAC"/>
    <w:rsid w:val="00640DAB"/>
    <w:rsid w:val="0064143F"/>
    <w:rsid w:val="006417B1"/>
    <w:rsid w:val="00641FBB"/>
    <w:rsid w:val="00642219"/>
    <w:rsid w:val="00642256"/>
    <w:rsid w:val="006423FD"/>
    <w:rsid w:val="00642D0C"/>
    <w:rsid w:val="006430A2"/>
    <w:rsid w:val="00643520"/>
    <w:rsid w:val="006446F6"/>
    <w:rsid w:val="006448B6"/>
    <w:rsid w:val="00644CE0"/>
    <w:rsid w:val="00644E81"/>
    <w:rsid w:val="00645811"/>
    <w:rsid w:val="00646836"/>
    <w:rsid w:val="00646FBB"/>
    <w:rsid w:val="00647448"/>
    <w:rsid w:val="00647558"/>
    <w:rsid w:val="0064782C"/>
    <w:rsid w:val="00647ED2"/>
    <w:rsid w:val="0065006D"/>
    <w:rsid w:val="00650A10"/>
    <w:rsid w:val="00650AE3"/>
    <w:rsid w:val="00650CB5"/>
    <w:rsid w:val="00651564"/>
    <w:rsid w:val="0065175B"/>
    <w:rsid w:val="00651773"/>
    <w:rsid w:val="00651D79"/>
    <w:rsid w:val="00652056"/>
    <w:rsid w:val="00652520"/>
    <w:rsid w:val="00652C6C"/>
    <w:rsid w:val="00653BA1"/>
    <w:rsid w:val="00653F80"/>
    <w:rsid w:val="00653FA3"/>
    <w:rsid w:val="00654083"/>
    <w:rsid w:val="00654534"/>
    <w:rsid w:val="00654AA3"/>
    <w:rsid w:val="00654B25"/>
    <w:rsid w:val="00654BC4"/>
    <w:rsid w:val="00654E13"/>
    <w:rsid w:val="00654EE1"/>
    <w:rsid w:val="006556B5"/>
    <w:rsid w:val="00655C54"/>
    <w:rsid w:val="00655CE8"/>
    <w:rsid w:val="00655DA6"/>
    <w:rsid w:val="00655E22"/>
    <w:rsid w:val="00655F70"/>
    <w:rsid w:val="006563EC"/>
    <w:rsid w:val="00656714"/>
    <w:rsid w:val="006569B7"/>
    <w:rsid w:val="006572BF"/>
    <w:rsid w:val="0065794F"/>
    <w:rsid w:val="00660477"/>
    <w:rsid w:val="0066087F"/>
    <w:rsid w:val="00661005"/>
    <w:rsid w:val="006612EB"/>
    <w:rsid w:val="0066164E"/>
    <w:rsid w:val="0066198F"/>
    <w:rsid w:val="006619D1"/>
    <w:rsid w:val="00661FBD"/>
    <w:rsid w:val="006630CF"/>
    <w:rsid w:val="006634A5"/>
    <w:rsid w:val="00663612"/>
    <w:rsid w:val="00663C65"/>
    <w:rsid w:val="00663FB4"/>
    <w:rsid w:val="00664035"/>
    <w:rsid w:val="00664229"/>
    <w:rsid w:val="00664A6E"/>
    <w:rsid w:val="00664D05"/>
    <w:rsid w:val="00664F1A"/>
    <w:rsid w:val="006655F5"/>
    <w:rsid w:val="00665662"/>
    <w:rsid w:val="00665995"/>
    <w:rsid w:val="00665A05"/>
    <w:rsid w:val="00666490"/>
    <w:rsid w:val="0066677D"/>
    <w:rsid w:val="00666D8F"/>
    <w:rsid w:val="00666DAA"/>
    <w:rsid w:val="006670F1"/>
    <w:rsid w:val="006675E5"/>
    <w:rsid w:val="00667837"/>
    <w:rsid w:val="00667B96"/>
    <w:rsid w:val="00667CC3"/>
    <w:rsid w:val="00670787"/>
    <w:rsid w:val="00670B97"/>
    <w:rsid w:val="00670CFF"/>
    <w:rsid w:val="006710B7"/>
    <w:rsid w:val="00671281"/>
    <w:rsid w:val="00671A8E"/>
    <w:rsid w:val="00672B02"/>
    <w:rsid w:val="00673203"/>
    <w:rsid w:val="00673AA4"/>
    <w:rsid w:val="00673C33"/>
    <w:rsid w:val="00673E27"/>
    <w:rsid w:val="00674272"/>
    <w:rsid w:val="006744F2"/>
    <w:rsid w:val="006748BB"/>
    <w:rsid w:val="00674E3E"/>
    <w:rsid w:val="006756C6"/>
    <w:rsid w:val="00676A30"/>
    <w:rsid w:val="00676ACF"/>
    <w:rsid w:val="00676B5B"/>
    <w:rsid w:val="00676B77"/>
    <w:rsid w:val="00676E00"/>
    <w:rsid w:val="00676F19"/>
    <w:rsid w:val="00676F49"/>
    <w:rsid w:val="006770AC"/>
    <w:rsid w:val="00677224"/>
    <w:rsid w:val="00677365"/>
    <w:rsid w:val="00680393"/>
    <w:rsid w:val="006817BA"/>
    <w:rsid w:val="00681971"/>
    <w:rsid w:val="00681A85"/>
    <w:rsid w:val="00681CD5"/>
    <w:rsid w:val="00681EF8"/>
    <w:rsid w:val="00681F10"/>
    <w:rsid w:val="00682035"/>
    <w:rsid w:val="00683452"/>
    <w:rsid w:val="00683482"/>
    <w:rsid w:val="0068400B"/>
    <w:rsid w:val="0068411F"/>
    <w:rsid w:val="006842A8"/>
    <w:rsid w:val="006849BB"/>
    <w:rsid w:val="006851DD"/>
    <w:rsid w:val="00685288"/>
    <w:rsid w:val="00685950"/>
    <w:rsid w:val="00685BF8"/>
    <w:rsid w:val="00685CC7"/>
    <w:rsid w:val="0068616E"/>
    <w:rsid w:val="006862A6"/>
    <w:rsid w:val="00686A19"/>
    <w:rsid w:val="006871B1"/>
    <w:rsid w:val="00690365"/>
    <w:rsid w:val="00690755"/>
    <w:rsid w:val="00690829"/>
    <w:rsid w:val="00690DF3"/>
    <w:rsid w:val="006914D2"/>
    <w:rsid w:val="00691523"/>
    <w:rsid w:val="006916E5"/>
    <w:rsid w:val="00691A16"/>
    <w:rsid w:val="00691B02"/>
    <w:rsid w:val="00691BEE"/>
    <w:rsid w:val="00691D58"/>
    <w:rsid w:val="00691D7A"/>
    <w:rsid w:val="00692183"/>
    <w:rsid w:val="006939EC"/>
    <w:rsid w:val="00694EC6"/>
    <w:rsid w:val="00694F8F"/>
    <w:rsid w:val="00695937"/>
    <w:rsid w:val="0069597C"/>
    <w:rsid w:val="00695D95"/>
    <w:rsid w:val="006960B9"/>
    <w:rsid w:val="00696258"/>
    <w:rsid w:val="00696326"/>
    <w:rsid w:val="00696736"/>
    <w:rsid w:val="00696D35"/>
    <w:rsid w:val="006970D5"/>
    <w:rsid w:val="00697118"/>
    <w:rsid w:val="0069739D"/>
    <w:rsid w:val="0069758F"/>
    <w:rsid w:val="00697CDE"/>
    <w:rsid w:val="006A0293"/>
    <w:rsid w:val="006A08C1"/>
    <w:rsid w:val="006A0BE2"/>
    <w:rsid w:val="006A0D51"/>
    <w:rsid w:val="006A0DCB"/>
    <w:rsid w:val="006A1186"/>
    <w:rsid w:val="006A1CE9"/>
    <w:rsid w:val="006A1E83"/>
    <w:rsid w:val="006A1EE1"/>
    <w:rsid w:val="006A1F2C"/>
    <w:rsid w:val="006A2159"/>
    <w:rsid w:val="006A249B"/>
    <w:rsid w:val="006A2F88"/>
    <w:rsid w:val="006A3897"/>
    <w:rsid w:val="006A38F6"/>
    <w:rsid w:val="006A4211"/>
    <w:rsid w:val="006A4AE2"/>
    <w:rsid w:val="006A4D8A"/>
    <w:rsid w:val="006A4F99"/>
    <w:rsid w:val="006A50C8"/>
    <w:rsid w:val="006A5EE5"/>
    <w:rsid w:val="006A625E"/>
    <w:rsid w:val="006A64A9"/>
    <w:rsid w:val="006A661F"/>
    <w:rsid w:val="006A6AF9"/>
    <w:rsid w:val="006A6B52"/>
    <w:rsid w:val="006A71F6"/>
    <w:rsid w:val="006A7AD0"/>
    <w:rsid w:val="006A7D66"/>
    <w:rsid w:val="006A7DFF"/>
    <w:rsid w:val="006B0469"/>
    <w:rsid w:val="006B0925"/>
    <w:rsid w:val="006B1C87"/>
    <w:rsid w:val="006B24E1"/>
    <w:rsid w:val="006B277A"/>
    <w:rsid w:val="006B2C28"/>
    <w:rsid w:val="006B311C"/>
    <w:rsid w:val="006B38A8"/>
    <w:rsid w:val="006B3B09"/>
    <w:rsid w:val="006B3F25"/>
    <w:rsid w:val="006B46B9"/>
    <w:rsid w:val="006B4785"/>
    <w:rsid w:val="006B4949"/>
    <w:rsid w:val="006B4C57"/>
    <w:rsid w:val="006B52D9"/>
    <w:rsid w:val="006B556C"/>
    <w:rsid w:val="006B56EC"/>
    <w:rsid w:val="006B5A06"/>
    <w:rsid w:val="006B5ADB"/>
    <w:rsid w:val="006B69D2"/>
    <w:rsid w:val="006B6B5B"/>
    <w:rsid w:val="006B6CB4"/>
    <w:rsid w:val="006B6DC5"/>
    <w:rsid w:val="006B73B9"/>
    <w:rsid w:val="006B741B"/>
    <w:rsid w:val="006B757D"/>
    <w:rsid w:val="006B7642"/>
    <w:rsid w:val="006B7EFE"/>
    <w:rsid w:val="006C0522"/>
    <w:rsid w:val="006C06D7"/>
    <w:rsid w:val="006C0CF3"/>
    <w:rsid w:val="006C0DBD"/>
    <w:rsid w:val="006C1021"/>
    <w:rsid w:val="006C13CB"/>
    <w:rsid w:val="006C145B"/>
    <w:rsid w:val="006C1A1F"/>
    <w:rsid w:val="006C25F1"/>
    <w:rsid w:val="006C2626"/>
    <w:rsid w:val="006C2966"/>
    <w:rsid w:val="006C2C29"/>
    <w:rsid w:val="006C2EF3"/>
    <w:rsid w:val="006C355C"/>
    <w:rsid w:val="006C3E91"/>
    <w:rsid w:val="006C44CD"/>
    <w:rsid w:val="006C4FD2"/>
    <w:rsid w:val="006C5448"/>
    <w:rsid w:val="006C567D"/>
    <w:rsid w:val="006C56B8"/>
    <w:rsid w:val="006C6FE4"/>
    <w:rsid w:val="006C746C"/>
    <w:rsid w:val="006C758D"/>
    <w:rsid w:val="006C7693"/>
    <w:rsid w:val="006D103A"/>
    <w:rsid w:val="006D1DE1"/>
    <w:rsid w:val="006D2317"/>
    <w:rsid w:val="006D266D"/>
    <w:rsid w:val="006D2BFD"/>
    <w:rsid w:val="006D2C7E"/>
    <w:rsid w:val="006D2F68"/>
    <w:rsid w:val="006D31EC"/>
    <w:rsid w:val="006D32CD"/>
    <w:rsid w:val="006D3749"/>
    <w:rsid w:val="006D37B0"/>
    <w:rsid w:val="006D3A92"/>
    <w:rsid w:val="006D4211"/>
    <w:rsid w:val="006D489D"/>
    <w:rsid w:val="006D4D7F"/>
    <w:rsid w:val="006D4FD3"/>
    <w:rsid w:val="006D51B1"/>
    <w:rsid w:val="006D5A15"/>
    <w:rsid w:val="006D5BAE"/>
    <w:rsid w:val="006D5D7E"/>
    <w:rsid w:val="006D5FF2"/>
    <w:rsid w:val="006D6048"/>
    <w:rsid w:val="006D65CA"/>
    <w:rsid w:val="006D6C3A"/>
    <w:rsid w:val="006D6F55"/>
    <w:rsid w:val="006D6F58"/>
    <w:rsid w:val="006D73BB"/>
    <w:rsid w:val="006D76B9"/>
    <w:rsid w:val="006D7B26"/>
    <w:rsid w:val="006D7FB5"/>
    <w:rsid w:val="006D7FD1"/>
    <w:rsid w:val="006E0448"/>
    <w:rsid w:val="006E09DE"/>
    <w:rsid w:val="006E0B90"/>
    <w:rsid w:val="006E0E9C"/>
    <w:rsid w:val="006E1377"/>
    <w:rsid w:val="006E143C"/>
    <w:rsid w:val="006E1582"/>
    <w:rsid w:val="006E165D"/>
    <w:rsid w:val="006E1938"/>
    <w:rsid w:val="006E1970"/>
    <w:rsid w:val="006E1C2E"/>
    <w:rsid w:val="006E1DDE"/>
    <w:rsid w:val="006E2136"/>
    <w:rsid w:val="006E2191"/>
    <w:rsid w:val="006E2329"/>
    <w:rsid w:val="006E24B2"/>
    <w:rsid w:val="006E2816"/>
    <w:rsid w:val="006E2AF2"/>
    <w:rsid w:val="006E3280"/>
    <w:rsid w:val="006E44D9"/>
    <w:rsid w:val="006E47C7"/>
    <w:rsid w:val="006E50A3"/>
    <w:rsid w:val="006E53B4"/>
    <w:rsid w:val="006E5E48"/>
    <w:rsid w:val="006E6220"/>
    <w:rsid w:val="006E62EB"/>
    <w:rsid w:val="006E64C8"/>
    <w:rsid w:val="006E6607"/>
    <w:rsid w:val="006E6CFE"/>
    <w:rsid w:val="006E6E11"/>
    <w:rsid w:val="006E71C1"/>
    <w:rsid w:val="006E71F3"/>
    <w:rsid w:val="006E7410"/>
    <w:rsid w:val="006E778C"/>
    <w:rsid w:val="006E7AC2"/>
    <w:rsid w:val="006F00FD"/>
    <w:rsid w:val="006F0854"/>
    <w:rsid w:val="006F08CF"/>
    <w:rsid w:val="006F0C20"/>
    <w:rsid w:val="006F13A7"/>
    <w:rsid w:val="006F144F"/>
    <w:rsid w:val="006F155C"/>
    <w:rsid w:val="006F1A01"/>
    <w:rsid w:val="006F2241"/>
    <w:rsid w:val="006F2800"/>
    <w:rsid w:val="006F28B2"/>
    <w:rsid w:val="006F3306"/>
    <w:rsid w:val="006F3DA0"/>
    <w:rsid w:val="006F43CD"/>
    <w:rsid w:val="006F46D2"/>
    <w:rsid w:val="006F513C"/>
    <w:rsid w:val="006F5E2D"/>
    <w:rsid w:val="006F5E70"/>
    <w:rsid w:val="006F61F8"/>
    <w:rsid w:val="006F6789"/>
    <w:rsid w:val="006F68F6"/>
    <w:rsid w:val="006F70DB"/>
    <w:rsid w:val="006F74EA"/>
    <w:rsid w:val="006F77E7"/>
    <w:rsid w:val="006F7D2B"/>
    <w:rsid w:val="00700017"/>
    <w:rsid w:val="007004C2"/>
    <w:rsid w:val="007007E6"/>
    <w:rsid w:val="00700A01"/>
    <w:rsid w:val="00701027"/>
    <w:rsid w:val="007012C0"/>
    <w:rsid w:val="007016AF"/>
    <w:rsid w:val="00701A74"/>
    <w:rsid w:val="00702372"/>
    <w:rsid w:val="007023B6"/>
    <w:rsid w:val="0070283F"/>
    <w:rsid w:val="00702E7F"/>
    <w:rsid w:val="00703056"/>
    <w:rsid w:val="00703459"/>
    <w:rsid w:val="00703BB5"/>
    <w:rsid w:val="00703C0D"/>
    <w:rsid w:val="00703E31"/>
    <w:rsid w:val="00704676"/>
    <w:rsid w:val="007047E3"/>
    <w:rsid w:val="00704935"/>
    <w:rsid w:val="00704CB9"/>
    <w:rsid w:val="00704CBD"/>
    <w:rsid w:val="00704D7E"/>
    <w:rsid w:val="00705194"/>
    <w:rsid w:val="00705322"/>
    <w:rsid w:val="00705411"/>
    <w:rsid w:val="00706065"/>
    <w:rsid w:val="0070635D"/>
    <w:rsid w:val="00706390"/>
    <w:rsid w:val="007067A8"/>
    <w:rsid w:val="00706A36"/>
    <w:rsid w:val="00706E83"/>
    <w:rsid w:val="00707489"/>
    <w:rsid w:val="007075CD"/>
    <w:rsid w:val="00707882"/>
    <w:rsid w:val="007078B4"/>
    <w:rsid w:val="007079E1"/>
    <w:rsid w:val="00707AAA"/>
    <w:rsid w:val="00707B1D"/>
    <w:rsid w:val="00707B2B"/>
    <w:rsid w:val="00707CC9"/>
    <w:rsid w:val="007105D2"/>
    <w:rsid w:val="0071073E"/>
    <w:rsid w:val="00710855"/>
    <w:rsid w:val="007112C8"/>
    <w:rsid w:val="007113AF"/>
    <w:rsid w:val="00711462"/>
    <w:rsid w:val="00711694"/>
    <w:rsid w:val="00711875"/>
    <w:rsid w:val="00711CB6"/>
    <w:rsid w:val="00712148"/>
    <w:rsid w:val="00712FE6"/>
    <w:rsid w:val="00713110"/>
    <w:rsid w:val="007134AA"/>
    <w:rsid w:val="00713D54"/>
    <w:rsid w:val="00713EEF"/>
    <w:rsid w:val="00714433"/>
    <w:rsid w:val="00714FEA"/>
    <w:rsid w:val="00715B06"/>
    <w:rsid w:val="00715CED"/>
    <w:rsid w:val="00715DED"/>
    <w:rsid w:val="0071687A"/>
    <w:rsid w:val="00716ADF"/>
    <w:rsid w:val="00716D12"/>
    <w:rsid w:val="00716E53"/>
    <w:rsid w:val="00720335"/>
    <w:rsid w:val="00720DE0"/>
    <w:rsid w:val="00720F78"/>
    <w:rsid w:val="00721627"/>
    <w:rsid w:val="00722509"/>
    <w:rsid w:val="00722834"/>
    <w:rsid w:val="00722986"/>
    <w:rsid w:val="00722CB5"/>
    <w:rsid w:val="00722E20"/>
    <w:rsid w:val="007232BF"/>
    <w:rsid w:val="007236C8"/>
    <w:rsid w:val="00723718"/>
    <w:rsid w:val="00723918"/>
    <w:rsid w:val="00723961"/>
    <w:rsid w:val="00723E17"/>
    <w:rsid w:val="0072437F"/>
    <w:rsid w:val="00724530"/>
    <w:rsid w:val="007245EF"/>
    <w:rsid w:val="007247D2"/>
    <w:rsid w:val="00724F70"/>
    <w:rsid w:val="007251C7"/>
    <w:rsid w:val="007258F9"/>
    <w:rsid w:val="00725D09"/>
    <w:rsid w:val="00725E74"/>
    <w:rsid w:val="00725F82"/>
    <w:rsid w:val="00726714"/>
    <w:rsid w:val="00726E61"/>
    <w:rsid w:val="0073050E"/>
    <w:rsid w:val="00730824"/>
    <w:rsid w:val="007309FE"/>
    <w:rsid w:val="00731273"/>
    <w:rsid w:val="0073150E"/>
    <w:rsid w:val="007315C2"/>
    <w:rsid w:val="007315FD"/>
    <w:rsid w:val="007316EF"/>
    <w:rsid w:val="00731A34"/>
    <w:rsid w:val="00731CFE"/>
    <w:rsid w:val="00731E22"/>
    <w:rsid w:val="00731EE5"/>
    <w:rsid w:val="00732307"/>
    <w:rsid w:val="00732999"/>
    <w:rsid w:val="00732E97"/>
    <w:rsid w:val="0073358D"/>
    <w:rsid w:val="0073369D"/>
    <w:rsid w:val="007343B2"/>
    <w:rsid w:val="0073441B"/>
    <w:rsid w:val="007346A0"/>
    <w:rsid w:val="007348EF"/>
    <w:rsid w:val="007350D1"/>
    <w:rsid w:val="00735462"/>
    <w:rsid w:val="007356E3"/>
    <w:rsid w:val="007358D2"/>
    <w:rsid w:val="00735CCB"/>
    <w:rsid w:val="007368F9"/>
    <w:rsid w:val="00736B25"/>
    <w:rsid w:val="00736BF9"/>
    <w:rsid w:val="00736F63"/>
    <w:rsid w:val="007370A6"/>
    <w:rsid w:val="007371A5"/>
    <w:rsid w:val="00737A30"/>
    <w:rsid w:val="00737C75"/>
    <w:rsid w:val="0074018D"/>
    <w:rsid w:val="00740478"/>
    <w:rsid w:val="00740AA1"/>
    <w:rsid w:val="00741BCC"/>
    <w:rsid w:val="0074295A"/>
    <w:rsid w:val="00742B99"/>
    <w:rsid w:val="00742C38"/>
    <w:rsid w:val="00742DA3"/>
    <w:rsid w:val="0074315D"/>
    <w:rsid w:val="007448E2"/>
    <w:rsid w:val="00744F0A"/>
    <w:rsid w:val="007451C7"/>
    <w:rsid w:val="0074537E"/>
    <w:rsid w:val="0074547C"/>
    <w:rsid w:val="00745967"/>
    <w:rsid w:val="00746346"/>
    <w:rsid w:val="00746716"/>
    <w:rsid w:val="0074771B"/>
    <w:rsid w:val="00747C06"/>
    <w:rsid w:val="00750DD0"/>
    <w:rsid w:val="0075126E"/>
    <w:rsid w:val="00751707"/>
    <w:rsid w:val="00751752"/>
    <w:rsid w:val="007517EE"/>
    <w:rsid w:val="0075201C"/>
    <w:rsid w:val="007520EF"/>
    <w:rsid w:val="00752233"/>
    <w:rsid w:val="007522C7"/>
    <w:rsid w:val="00752D88"/>
    <w:rsid w:val="00753027"/>
    <w:rsid w:val="007532E9"/>
    <w:rsid w:val="00754993"/>
    <w:rsid w:val="00754D82"/>
    <w:rsid w:val="00754DE8"/>
    <w:rsid w:val="00755432"/>
    <w:rsid w:val="007556FD"/>
    <w:rsid w:val="00755C06"/>
    <w:rsid w:val="00755DB0"/>
    <w:rsid w:val="00756547"/>
    <w:rsid w:val="00756B09"/>
    <w:rsid w:val="00756F1A"/>
    <w:rsid w:val="007571EA"/>
    <w:rsid w:val="007571FF"/>
    <w:rsid w:val="00757678"/>
    <w:rsid w:val="0075772A"/>
    <w:rsid w:val="007600F8"/>
    <w:rsid w:val="0076010A"/>
    <w:rsid w:val="0076020B"/>
    <w:rsid w:val="00760B48"/>
    <w:rsid w:val="00760C7B"/>
    <w:rsid w:val="00760F46"/>
    <w:rsid w:val="007611B5"/>
    <w:rsid w:val="007613B7"/>
    <w:rsid w:val="00761810"/>
    <w:rsid w:val="007619D0"/>
    <w:rsid w:val="00761CD9"/>
    <w:rsid w:val="00761EDE"/>
    <w:rsid w:val="00762164"/>
    <w:rsid w:val="0076233F"/>
    <w:rsid w:val="00762442"/>
    <w:rsid w:val="0076249D"/>
    <w:rsid w:val="00762BE7"/>
    <w:rsid w:val="00762D9F"/>
    <w:rsid w:val="00762FE0"/>
    <w:rsid w:val="007631AF"/>
    <w:rsid w:val="0076339A"/>
    <w:rsid w:val="00763873"/>
    <w:rsid w:val="0076399F"/>
    <w:rsid w:val="00763E9D"/>
    <w:rsid w:val="00763EA4"/>
    <w:rsid w:val="00764AA1"/>
    <w:rsid w:val="00764E54"/>
    <w:rsid w:val="00765421"/>
    <w:rsid w:val="0076545E"/>
    <w:rsid w:val="0076565B"/>
    <w:rsid w:val="00765BCF"/>
    <w:rsid w:val="0076609F"/>
    <w:rsid w:val="0076664B"/>
    <w:rsid w:val="00766AF8"/>
    <w:rsid w:val="00766FA4"/>
    <w:rsid w:val="00767202"/>
    <w:rsid w:val="00770A1C"/>
    <w:rsid w:val="007715A4"/>
    <w:rsid w:val="00771A7F"/>
    <w:rsid w:val="00771B1C"/>
    <w:rsid w:val="00771B52"/>
    <w:rsid w:val="00771C84"/>
    <w:rsid w:val="00772522"/>
    <w:rsid w:val="00772561"/>
    <w:rsid w:val="00772E18"/>
    <w:rsid w:val="00773314"/>
    <w:rsid w:val="00773DD3"/>
    <w:rsid w:val="007742B8"/>
    <w:rsid w:val="00774DF7"/>
    <w:rsid w:val="0077531C"/>
    <w:rsid w:val="00775433"/>
    <w:rsid w:val="0077553B"/>
    <w:rsid w:val="00776418"/>
    <w:rsid w:val="00777086"/>
    <w:rsid w:val="00777463"/>
    <w:rsid w:val="007775D7"/>
    <w:rsid w:val="00777D4F"/>
    <w:rsid w:val="007801AC"/>
    <w:rsid w:val="00780314"/>
    <w:rsid w:val="0078044D"/>
    <w:rsid w:val="007806A7"/>
    <w:rsid w:val="00780BA7"/>
    <w:rsid w:val="00780CA2"/>
    <w:rsid w:val="00781240"/>
    <w:rsid w:val="0078144F"/>
    <w:rsid w:val="0078170C"/>
    <w:rsid w:val="0078173E"/>
    <w:rsid w:val="0078173F"/>
    <w:rsid w:val="00781AC4"/>
    <w:rsid w:val="00781CFE"/>
    <w:rsid w:val="007823F9"/>
    <w:rsid w:val="007824AA"/>
    <w:rsid w:val="007824C2"/>
    <w:rsid w:val="007825C1"/>
    <w:rsid w:val="007826EF"/>
    <w:rsid w:val="007827A0"/>
    <w:rsid w:val="00782875"/>
    <w:rsid w:val="00782A52"/>
    <w:rsid w:val="00782B0E"/>
    <w:rsid w:val="00783331"/>
    <w:rsid w:val="00783366"/>
    <w:rsid w:val="0078366B"/>
    <w:rsid w:val="00783D4D"/>
    <w:rsid w:val="0078468E"/>
    <w:rsid w:val="00784BB6"/>
    <w:rsid w:val="007855CC"/>
    <w:rsid w:val="00785C47"/>
    <w:rsid w:val="007865C5"/>
    <w:rsid w:val="0078689A"/>
    <w:rsid w:val="00786E0E"/>
    <w:rsid w:val="00790163"/>
    <w:rsid w:val="00790436"/>
    <w:rsid w:val="00790754"/>
    <w:rsid w:val="00790E3B"/>
    <w:rsid w:val="00791223"/>
    <w:rsid w:val="007913B5"/>
    <w:rsid w:val="00791504"/>
    <w:rsid w:val="00791923"/>
    <w:rsid w:val="00791C30"/>
    <w:rsid w:val="0079249D"/>
    <w:rsid w:val="007928D6"/>
    <w:rsid w:val="00793099"/>
    <w:rsid w:val="007932A5"/>
    <w:rsid w:val="00793877"/>
    <w:rsid w:val="00793D17"/>
    <w:rsid w:val="00794A31"/>
    <w:rsid w:val="00794B7C"/>
    <w:rsid w:val="007951C7"/>
    <w:rsid w:val="007954DA"/>
    <w:rsid w:val="00795726"/>
    <w:rsid w:val="00795FD5"/>
    <w:rsid w:val="00796150"/>
    <w:rsid w:val="00796678"/>
    <w:rsid w:val="0079690E"/>
    <w:rsid w:val="00796A2B"/>
    <w:rsid w:val="00796E22"/>
    <w:rsid w:val="00797567"/>
    <w:rsid w:val="00797972"/>
    <w:rsid w:val="007A00ED"/>
    <w:rsid w:val="007A05CB"/>
    <w:rsid w:val="007A06FB"/>
    <w:rsid w:val="007A0CBD"/>
    <w:rsid w:val="007A0CED"/>
    <w:rsid w:val="007A0E94"/>
    <w:rsid w:val="007A1246"/>
    <w:rsid w:val="007A181C"/>
    <w:rsid w:val="007A1ADA"/>
    <w:rsid w:val="007A1D64"/>
    <w:rsid w:val="007A1F9C"/>
    <w:rsid w:val="007A205C"/>
    <w:rsid w:val="007A2384"/>
    <w:rsid w:val="007A2AA3"/>
    <w:rsid w:val="007A2CF4"/>
    <w:rsid w:val="007A3104"/>
    <w:rsid w:val="007A31C0"/>
    <w:rsid w:val="007A31F5"/>
    <w:rsid w:val="007A3796"/>
    <w:rsid w:val="007A3D3B"/>
    <w:rsid w:val="007A4A95"/>
    <w:rsid w:val="007A4FD8"/>
    <w:rsid w:val="007A5281"/>
    <w:rsid w:val="007A55DB"/>
    <w:rsid w:val="007A5D16"/>
    <w:rsid w:val="007A62C1"/>
    <w:rsid w:val="007A7172"/>
    <w:rsid w:val="007A71DC"/>
    <w:rsid w:val="007A738A"/>
    <w:rsid w:val="007A77DA"/>
    <w:rsid w:val="007A7CC0"/>
    <w:rsid w:val="007B07D4"/>
    <w:rsid w:val="007B0A8F"/>
    <w:rsid w:val="007B1355"/>
    <w:rsid w:val="007B136F"/>
    <w:rsid w:val="007B137E"/>
    <w:rsid w:val="007B1592"/>
    <w:rsid w:val="007B1D51"/>
    <w:rsid w:val="007B1F60"/>
    <w:rsid w:val="007B23C8"/>
    <w:rsid w:val="007B26CA"/>
    <w:rsid w:val="007B26FA"/>
    <w:rsid w:val="007B27AB"/>
    <w:rsid w:val="007B2D58"/>
    <w:rsid w:val="007B30F3"/>
    <w:rsid w:val="007B37B2"/>
    <w:rsid w:val="007B4161"/>
    <w:rsid w:val="007B640B"/>
    <w:rsid w:val="007B666C"/>
    <w:rsid w:val="007B6A7C"/>
    <w:rsid w:val="007B6A99"/>
    <w:rsid w:val="007B6B23"/>
    <w:rsid w:val="007B6CF6"/>
    <w:rsid w:val="007B755C"/>
    <w:rsid w:val="007B7860"/>
    <w:rsid w:val="007B7C64"/>
    <w:rsid w:val="007B7D7F"/>
    <w:rsid w:val="007C0026"/>
    <w:rsid w:val="007C0730"/>
    <w:rsid w:val="007C096A"/>
    <w:rsid w:val="007C0D75"/>
    <w:rsid w:val="007C1068"/>
    <w:rsid w:val="007C1905"/>
    <w:rsid w:val="007C1B9A"/>
    <w:rsid w:val="007C1E2B"/>
    <w:rsid w:val="007C29C9"/>
    <w:rsid w:val="007C335F"/>
    <w:rsid w:val="007C3D9B"/>
    <w:rsid w:val="007C4751"/>
    <w:rsid w:val="007C4CD1"/>
    <w:rsid w:val="007C51A5"/>
    <w:rsid w:val="007C58A8"/>
    <w:rsid w:val="007C5E69"/>
    <w:rsid w:val="007C62BF"/>
    <w:rsid w:val="007C62DB"/>
    <w:rsid w:val="007C751A"/>
    <w:rsid w:val="007C75ED"/>
    <w:rsid w:val="007C7670"/>
    <w:rsid w:val="007C7E63"/>
    <w:rsid w:val="007D01EE"/>
    <w:rsid w:val="007D0D63"/>
    <w:rsid w:val="007D1164"/>
    <w:rsid w:val="007D13D5"/>
    <w:rsid w:val="007D174D"/>
    <w:rsid w:val="007D1B4F"/>
    <w:rsid w:val="007D1CF3"/>
    <w:rsid w:val="007D1E1D"/>
    <w:rsid w:val="007D210C"/>
    <w:rsid w:val="007D26A3"/>
    <w:rsid w:val="007D282C"/>
    <w:rsid w:val="007D2FC1"/>
    <w:rsid w:val="007D302F"/>
    <w:rsid w:val="007D34E9"/>
    <w:rsid w:val="007D358F"/>
    <w:rsid w:val="007D3D55"/>
    <w:rsid w:val="007D45D6"/>
    <w:rsid w:val="007D53D5"/>
    <w:rsid w:val="007D56E5"/>
    <w:rsid w:val="007D575E"/>
    <w:rsid w:val="007D58AA"/>
    <w:rsid w:val="007D59B1"/>
    <w:rsid w:val="007D59D7"/>
    <w:rsid w:val="007D5B21"/>
    <w:rsid w:val="007D5F07"/>
    <w:rsid w:val="007D65D0"/>
    <w:rsid w:val="007D67C3"/>
    <w:rsid w:val="007D68F6"/>
    <w:rsid w:val="007D70A1"/>
    <w:rsid w:val="007D7590"/>
    <w:rsid w:val="007E0048"/>
    <w:rsid w:val="007E05D3"/>
    <w:rsid w:val="007E07EC"/>
    <w:rsid w:val="007E1A7F"/>
    <w:rsid w:val="007E1B21"/>
    <w:rsid w:val="007E2AB7"/>
    <w:rsid w:val="007E3776"/>
    <w:rsid w:val="007E3896"/>
    <w:rsid w:val="007E395A"/>
    <w:rsid w:val="007E3B5F"/>
    <w:rsid w:val="007E3D1B"/>
    <w:rsid w:val="007E3E92"/>
    <w:rsid w:val="007E3FED"/>
    <w:rsid w:val="007E45E1"/>
    <w:rsid w:val="007E4D23"/>
    <w:rsid w:val="007E5235"/>
    <w:rsid w:val="007E5326"/>
    <w:rsid w:val="007E53F4"/>
    <w:rsid w:val="007E55F6"/>
    <w:rsid w:val="007E57BC"/>
    <w:rsid w:val="007E5AA7"/>
    <w:rsid w:val="007E5DFD"/>
    <w:rsid w:val="007E5E8D"/>
    <w:rsid w:val="007E7329"/>
    <w:rsid w:val="007E751D"/>
    <w:rsid w:val="007E771A"/>
    <w:rsid w:val="007E7ABA"/>
    <w:rsid w:val="007E7EB1"/>
    <w:rsid w:val="007E7FBB"/>
    <w:rsid w:val="007F0233"/>
    <w:rsid w:val="007F09C3"/>
    <w:rsid w:val="007F0E42"/>
    <w:rsid w:val="007F189B"/>
    <w:rsid w:val="007F1CD1"/>
    <w:rsid w:val="007F24E3"/>
    <w:rsid w:val="007F28F6"/>
    <w:rsid w:val="007F2A61"/>
    <w:rsid w:val="007F2C5C"/>
    <w:rsid w:val="007F2CAD"/>
    <w:rsid w:val="007F34E6"/>
    <w:rsid w:val="007F3764"/>
    <w:rsid w:val="007F3BE7"/>
    <w:rsid w:val="007F3F5A"/>
    <w:rsid w:val="007F40F2"/>
    <w:rsid w:val="007F4590"/>
    <w:rsid w:val="007F5573"/>
    <w:rsid w:val="007F5B9A"/>
    <w:rsid w:val="007F6477"/>
    <w:rsid w:val="007F69E3"/>
    <w:rsid w:val="007F6AE1"/>
    <w:rsid w:val="007F723D"/>
    <w:rsid w:val="007F7644"/>
    <w:rsid w:val="007F76F8"/>
    <w:rsid w:val="007F7F94"/>
    <w:rsid w:val="0080079C"/>
    <w:rsid w:val="008008FC"/>
    <w:rsid w:val="008014EA"/>
    <w:rsid w:val="00801D98"/>
    <w:rsid w:val="00802752"/>
    <w:rsid w:val="00802C86"/>
    <w:rsid w:val="00802E93"/>
    <w:rsid w:val="008030E7"/>
    <w:rsid w:val="0080328F"/>
    <w:rsid w:val="00803DC4"/>
    <w:rsid w:val="00803E8C"/>
    <w:rsid w:val="00804CAB"/>
    <w:rsid w:val="00806291"/>
    <w:rsid w:val="008062CA"/>
    <w:rsid w:val="008065DF"/>
    <w:rsid w:val="008068C2"/>
    <w:rsid w:val="00806A50"/>
    <w:rsid w:val="00806AD5"/>
    <w:rsid w:val="00807133"/>
    <w:rsid w:val="00807170"/>
    <w:rsid w:val="00807F2F"/>
    <w:rsid w:val="00810093"/>
    <w:rsid w:val="0081054C"/>
    <w:rsid w:val="00810933"/>
    <w:rsid w:val="00810C38"/>
    <w:rsid w:val="00811265"/>
    <w:rsid w:val="0081163A"/>
    <w:rsid w:val="00811BAF"/>
    <w:rsid w:val="0081217E"/>
    <w:rsid w:val="008121FF"/>
    <w:rsid w:val="008126AB"/>
    <w:rsid w:val="00812766"/>
    <w:rsid w:val="0081423A"/>
    <w:rsid w:val="00814313"/>
    <w:rsid w:val="008147A3"/>
    <w:rsid w:val="008147EC"/>
    <w:rsid w:val="00814C2B"/>
    <w:rsid w:val="00814D64"/>
    <w:rsid w:val="008152AC"/>
    <w:rsid w:val="008154D4"/>
    <w:rsid w:val="008158DF"/>
    <w:rsid w:val="00815AD3"/>
    <w:rsid w:val="00816AB7"/>
    <w:rsid w:val="00817337"/>
    <w:rsid w:val="00817414"/>
    <w:rsid w:val="00817744"/>
    <w:rsid w:val="0082006A"/>
    <w:rsid w:val="0082014E"/>
    <w:rsid w:val="0082055E"/>
    <w:rsid w:val="008205EF"/>
    <w:rsid w:val="00820973"/>
    <w:rsid w:val="00820BAB"/>
    <w:rsid w:val="00820FFE"/>
    <w:rsid w:val="00821972"/>
    <w:rsid w:val="00821DC8"/>
    <w:rsid w:val="00821F62"/>
    <w:rsid w:val="00822071"/>
    <w:rsid w:val="008221F9"/>
    <w:rsid w:val="00823F27"/>
    <w:rsid w:val="0082412B"/>
    <w:rsid w:val="0082424A"/>
    <w:rsid w:val="008242B6"/>
    <w:rsid w:val="008243F6"/>
    <w:rsid w:val="00824B97"/>
    <w:rsid w:val="00824F90"/>
    <w:rsid w:val="008259B7"/>
    <w:rsid w:val="00825F59"/>
    <w:rsid w:val="00826056"/>
    <w:rsid w:val="00826B7A"/>
    <w:rsid w:val="00826BF3"/>
    <w:rsid w:val="00826C2D"/>
    <w:rsid w:val="00826F9A"/>
    <w:rsid w:val="00827005"/>
    <w:rsid w:val="0083034E"/>
    <w:rsid w:val="00830526"/>
    <w:rsid w:val="008305F8"/>
    <w:rsid w:val="00830979"/>
    <w:rsid w:val="00830B95"/>
    <w:rsid w:val="00830D58"/>
    <w:rsid w:val="0083121B"/>
    <w:rsid w:val="0083155A"/>
    <w:rsid w:val="00831BD1"/>
    <w:rsid w:val="00831C72"/>
    <w:rsid w:val="00832366"/>
    <w:rsid w:val="008323FF"/>
    <w:rsid w:val="00833962"/>
    <w:rsid w:val="00834467"/>
    <w:rsid w:val="008349CC"/>
    <w:rsid w:val="00834DFE"/>
    <w:rsid w:val="0083511B"/>
    <w:rsid w:val="008364A3"/>
    <w:rsid w:val="00836812"/>
    <w:rsid w:val="008368BB"/>
    <w:rsid w:val="00836B42"/>
    <w:rsid w:val="00837477"/>
    <w:rsid w:val="00837B10"/>
    <w:rsid w:val="00837CD0"/>
    <w:rsid w:val="0084004E"/>
    <w:rsid w:val="0084034D"/>
    <w:rsid w:val="008409FF"/>
    <w:rsid w:val="00840F84"/>
    <w:rsid w:val="00841349"/>
    <w:rsid w:val="008413E7"/>
    <w:rsid w:val="008415C9"/>
    <w:rsid w:val="00842390"/>
    <w:rsid w:val="00842413"/>
    <w:rsid w:val="00842F58"/>
    <w:rsid w:val="00843BEA"/>
    <w:rsid w:val="00844390"/>
    <w:rsid w:val="00844498"/>
    <w:rsid w:val="00844A96"/>
    <w:rsid w:val="00844DE4"/>
    <w:rsid w:val="008459B4"/>
    <w:rsid w:val="008459DC"/>
    <w:rsid w:val="00845A4B"/>
    <w:rsid w:val="00845FE8"/>
    <w:rsid w:val="008461E0"/>
    <w:rsid w:val="008463DD"/>
    <w:rsid w:val="00846492"/>
    <w:rsid w:val="008464B2"/>
    <w:rsid w:val="008464CA"/>
    <w:rsid w:val="00847E69"/>
    <w:rsid w:val="00850148"/>
    <w:rsid w:val="008501F3"/>
    <w:rsid w:val="008502F6"/>
    <w:rsid w:val="00850458"/>
    <w:rsid w:val="00850839"/>
    <w:rsid w:val="00850A76"/>
    <w:rsid w:val="00850C40"/>
    <w:rsid w:val="0085133B"/>
    <w:rsid w:val="008513DD"/>
    <w:rsid w:val="008516B7"/>
    <w:rsid w:val="0085190E"/>
    <w:rsid w:val="0085198C"/>
    <w:rsid w:val="00851B2E"/>
    <w:rsid w:val="00852123"/>
    <w:rsid w:val="00852214"/>
    <w:rsid w:val="00852344"/>
    <w:rsid w:val="0085281F"/>
    <w:rsid w:val="00852944"/>
    <w:rsid w:val="00852B35"/>
    <w:rsid w:val="00852DD4"/>
    <w:rsid w:val="00853373"/>
    <w:rsid w:val="00853B35"/>
    <w:rsid w:val="00853C96"/>
    <w:rsid w:val="008547B0"/>
    <w:rsid w:val="00854931"/>
    <w:rsid w:val="00854B57"/>
    <w:rsid w:val="00854BB8"/>
    <w:rsid w:val="00854DB2"/>
    <w:rsid w:val="00855571"/>
    <w:rsid w:val="00855E2E"/>
    <w:rsid w:val="00856167"/>
    <w:rsid w:val="008563A7"/>
    <w:rsid w:val="008563D4"/>
    <w:rsid w:val="0085692D"/>
    <w:rsid w:val="00857024"/>
    <w:rsid w:val="0085782F"/>
    <w:rsid w:val="00857995"/>
    <w:rsid w:val="0086011A"/>
    <w:rsid w:val="008607B6"/>
    <w:rsid w:val="00860A42"/>
    <w:rsid w:val="00860C5C"/>
    <w:rsid w:val="00861CAC"/>
    <w:rsid w:val="00861E55"/>
    <w:rsid w:val="0086266C"/>
    <w:rsid w:val="00862F14"/>
    <w:rsid w:val="008634C3"/>
    <w:rsid w:val="00863517"/>
    <w:rsid w:val="00863BA8"/>
    <w:rsid w:val="00863E9C"/>
    <w:rsid w:val="00864252"/>
    <w:rsid w:val="008644AF"/>
    <w:rsid w:val="00864827"/>
    <w:rsid w:val="0086490C"/>
    <w:rsid w:val="00864910"/>
    <w:rsid w:val="00864F2C"/>
    <w:rsid w:val="00865052"/>
    <w:rsid w:val="00865594"/>
    <w:rsid w:val="00865A4D"/>
    <w:rsid w:val="00865CF8"/>
    <w:rsid w:val="00867360"/>
    <w:rsid w:val="0086747C"/>
    <w:rsid w:val="008675D9"/>
    <w:rsid w:val="008677C6"/>
    <w:rsid w:val="00867B5B"/>
    <w:rsid w:val="0087081C"/>
    <w:rsid w:val="00870DEA"/>
    <w:rsid w:val="0087173D"/>
    <w:rsid w:val="00871C2E"/>
    <w:rsid w:val="008720CB"/>
    <w:rsid w:val="008723CD"/>
    <w:rsid w:val="008723F8"/>
    <w:rsid w:val="00872659"/>
    <w:rsid w:val="008726CC"/>
    <w:rsid w:val="00873478"/>
    <w:rsid w:val="008736AC"/>
    <w:rsid w:val="008736F2"/>
    <w:rsid w:val="00873D60"/>
    <w:rsid w:val="00873EFF"/>
    <w:rsid w:val="00874331"/>
    <w:rsid w:val="00874BDC"/>
    <w:rsid w:val="00874C04"/>
    <w:rsid w:val="00875158"/>
    <w:rsid w:val="008752D8"/>
    <w:rsid w:val="00875714"/>
    <w:rsid w:val="00875BC5"/>
    <w:rsid w:val="00875DBE"/>
    <w:rsid w:val="00875E74"/>
    <w:rsid w:val="00875F00"/>
    <w:rsid w:val="00876250"/>
    <w:rsid w:val="008762FE"/>
    <w:rsid w:val="008771C1"/>
    <w:rsid w:val="008774DE"/>
    <w:rsid w:val="00877B1A"/>
    <w:rsid w:val="00880262"/>
    <w:rsid w:val="008805CA"/>
    <w:rsid w:val="0088111D"/>
    <w:rsid w:val="008812C6"/>
    <w:rsid w:val="008822D0"/>
    <w:rsid w:val="008822FA"/>
    <w:rsid w:val="0088252D"/>
    <w:rsid w:val="008829BA"/>
    <w:rsid w:val="008835CC"/>
    <w:rsid w:val="00883B6D"/>
    <w:rsid w:val="00883F48"/>
    <w:rsid w:val="0088435E"/>
    <w:rsid w:val="00884E33"/>
    <w:rsid w:val="008851A5"/>
    <w:rsid w:val="00885284"/>
    <w:rsid w:val="0088537B"/>
    <w:rsid w:val="00885527"/>
    <w:rsid w:val="008859F7"/>
    <w:rsid w:val="00885BD8"/>
    <w:rsid w:val="00885E0A"/>
    <w:rsid w:val="00885F5E"/>
    <w:rsid w:val="00886073"/>
    <w:rsid w:val="00891F05"/>
    <w:rsid w:val="00891FFD"/>
    <w:rsid w:val="00892450"/>
    <w:rsid w:val="008926F9"/>
    <w:rsid w:val="0089335D"/>
    <w:rsid w:val="0089338C"/>
    <w:rsid w:val="00893814"/>
    <w:rsid w:val="0089438A"/>
    <w:rsid w:val="00894398"/>
    <w:rsid w:val="00894E81"/>
    <w:rsid w:val="008950FD"/>
    <w:rsid w:val="008956C6"/>
    <w:rsid w:val="008957F0"/>
    <w:rsid w:val="00895FEE"/>
    <w:rsid w:val="0089606E"/>
    <w:rsid w:val="0089616F"/>
    <w:rsid w:val="00896179"/>
    <w:rsid w:val="00896424"/>
    <w:rsid w:val="00896887"/>
    <w:rsid w:val="00896DFD"/>
    <w:rsid w:val="00896E4E"/>
    <w:rsid w:val="00896F82"/>
    <w:rsid w:val="00896FC8"/>
    <w:rsid w:val="008A01A2"/>
    <w:rsid w:val="008A0204"/>
    <w:rsid w:val="008A03E5"/>
    <w:rsid w:val="008A0722"/>
    <w:rsid w:val="008A0AB9"/>
    <w:rsid w:val="008A1621"/>
    <w:rsid w:val="008A1666"/>
    <w:rsid w:val="008A17F3"/>
    <w:rsid w:val="008A1B7E"/>
    <w:rsid w:val="008A2249"/>
    <w:rsid w:val="008A25A5"/>
    <w:rsid w:val="008A25B9"/>
    <w:rsid w:val="008A2C3C"/>
    <w:rsid w:val="008A2FE5"/>
    <w:rsid w:val="008A324A"/>
    <w:rsid w:val="008A35BC"/>
    <w:rsid w:val="008A38C3"/>
    <w:rsid w:val="008A3998"/>
    <w:rsid w:val="008A3AA8"/>
    <w:rsid w:val="008A3B00"/>
    <w:rsid w:val="008A3B78"/>
    <w:rsid w:val="008A4372"/>
    <w:rsid w:val="008A4523"/>
    <w:rsid w:val="008A4A19"/>
    <w:rsid w:val="008A4CCF"/>
    <w:rsid w:val="008A5ABA"/>
    <w:rsid w:val="008A5C12"/>
    <w:rsid w:val="008A5F6F"/>
    <w:rsid w:val="008A5F89"/>
    <w:rsid w:val="008A6502"/>
    <w:rsid w:val="008A6AFA"/>
    <w:rsid w:val="008A6B74"/>
    <w:rsid w:val="008A6EB1"/>
    <w:rsid w:val="008B01D4"/>
    <w:rsid w:val="008B0292"/>
    <w:rsid w:val="008B03C8"/>
    <w:rsid w:val="008B0660"/>
    <w:rsid w:val="008B1296"/>
    <w:rsid w:val="008B1311"/>
    <w:rsid w:val="008B1370"/>
    <w:rsid w:val="008B1D08"/>
    <w:rsid w:val="008B1E63"/>
    <w:rsid w:val="008B2356"/>
    <w:rsid w:val="008B28CF"/>
    <w:rsid w:val="008B2903"/>
    <w:rsid w:val="008B2956"/>
    <w:rsid w:val="008B45BA"/>
    <w:rsid w:val="008B51C0"/>
    <w:rsid w:val="008B5382"/>
    <w:rsid w:val="008B561D"/>
    <w:rsid w:val="008B568F"/>
    <w:rsid w:val="008B574C"/>
    <w:rsid w:val="008B5DD8"/>
    <w:rsid w:val="008B64E9"/>
    <w:rsid w:val="008B6663"/>
    <w:rsid w:val="008B6B43"/>
    <w:rsid w:val="008B6CE1"/>
    <w:rsid w:val="008B71E0"/>
    <w:rsid w:val="008B7302"/>
    <w:rsid w:val="008B7D50"/>
    <w:rsid w:val="008C0182"/>
    <w:rsid w:val="008C1567"/>
    <w:rsid w:val="008C1868"/>
    <w:rsid w:val="008C1CC6"/>
    <w:rsid w:val="008C258F"/>
    <w:rsid w:val="008C2B30"/>
    <w:rsid w:val="008C2BEA"/>
    <w:rsid w:val="008C2DF8"/>
    <w:rsid w:val="008C30D6"/>
    <w:rsid w:val="008C320F"/>
    <w:rsid w:val="008C3475"/>
    <w:rsid w:val="008C3E19"/>
    <w:rsid w:val="008C4196"/>
    <w:rsid w:val="008C48D4"/>
    <w:rsid w:val="008C4B36"/>
    <w:rsid w:val="008C580D"/>
    <w:rsid w:val="008C6067"/>
    <w:rsid w:val="008C60AC"/>
    <w:rsid w:val="008C6988"/>
    <w:rsid w:val="008C6EAA"/>
    <w:rsid w:val="008C7112"/>
    <w:rsid w:val="008C7126"/>
    <w:rsid w:val="008C7653"/>
    <w:rsid w:val="008C7822"/>
    <w:rsid w:val="008C7AAA"/>
    <w:rsid w:val="008C7DAA"/>
    <w:rsid w:val="008C7ECE"/>
    <w:rsid w:val="008D00AB"/>
    <w:rsid w:val="008D0501"/>
    <w:rsid w:val="008D07A0"/>
    <w:rsid w:val="008D0B43"/>
    <w:rsid w:val="008D1628"/>
    <w:rsid w:val="008D1CBE"/>
    <w:rsid w:val="008D1DFE"/>
    <w:rsid w:val="008D1EDF"/>
    <w:rsid w:val="008D28F0"/>
    <w:rsid w:val="008D3504"/>
    <w:rsid w:val="008D3893"/>
    <w:rsid w:val="008D413B"/>
    <w:rsid w:val="008D47A3"/>
    <w:rsid w:val="008D4B6E"/>
    <w:rsid w:val="008D4EE3"/>
    <w:rsid w:val="008D548C"/>
    <w:rsid w:val="008D579A"/>
    <w:rsid w:val="008D669E"/>
    <w:rsid w:val="008D6CAC"/>
    <w:rsid w:val="008D73BF"/>
    <w:rsid w:val="008D7436"/>
    <w:rsid w:val="008D75C5"/>
    <w:rsid w:val="008D7C94"/>
    <w:rsid w:val="008E0925"/>
    <w:rsid w:val="008E0E12"/>
    <w:rsid w:val="008E1301"/>
    <w:rsid w:val="008E1894"/>
    <w:rsid w:val="008E1A18"/>
    <w:rsid w:val="008E1C4C"/>
    <w:rsid w:val="008E1CE0"/>
    <w:rsid w:val="008E1CFF"/>
    <w:rsid w:val="008E1D3D"/>
    <w:rsid w:val="008E1FFA"/>
    <w:rsid w:val="008E21CA"/>
    <w:rsid w:val="008E28F8"/>
    <w:rsid w:val="008E29E4"/>
    <w:rsid w:val="008E2D4E"/>
    <w:rsid w:val="008E30EF"/>
    <w:rsid w:val="008E3971"/>
    <w:rsid w:val="008E3BE8"/>
    <w:rsid w:val="008E3CE4"/>
    <w:rsid w:val="008E4D8C"/>
    <w:rsid w:val="008E4F22"/>
    <w:rsid w:val="008E527F"/>
    <w:rsid w:val="008E52FD"/>
    <w:rsid w:val="008E5B64"/>
    <w:rsid w:val="008E5E59"/>
    <w:rsid w:val="008E5F71"/>
    <w:rsid w:val="008E6525"/>
    <w:rsid w:val="008E6A9A"/>
    <w:rsid w:val="008E6D97"/>
    <w:rsid w:val="008E7E70"/>
    <w:rsid w:val="008F000C"/>
    <w:rsid w:val="008F05E2"/>
    <w:rsid w:val="008F07F5"/>
    <w:rsid w:val="008F13F1"/>
    <w:rsid w:val="008F26C8"/>
    <w:rsid w:val="008F3187"/>
    <w:rsid w:val="008F3841"/>
    <w:rsid w:val="008F3999"/>
    <w:rsid w:val="008F3B69"/>
    <w:rsid w:val="008F41F7"/>
    <w:rsid w:val="008F453A"/>
    <w:rsid w:val="008F48FC"/>
    <w:rsid w:val="008F4F60"/>
    <w:rsid w:val="008F51EF"/>
    <w:rsid w:val="008F53E4"/>
    <w:rsid w:val="008F5901"/>
    <w:rsid w:val="008F5C8A"/>
    <w:rsid w:val="008F68B2"/>
    <w:rsid w:val="008F6B68"/>
    <w:rsid w:val="009001DF"/>
    <w:rsid w:val="0090024F"/>
    <w:rsid w:val="009002D2"/>
    <w:rsid w:val="00900B2B"/>
    <w:rsid w:val="00900FCF"/>
    <w:rsid w:val="00901902"/>
    <w:rsid w:val="009019AA"/>
    <w:rsid w:val="00901CEE"/>
    <w:rsid w:val="00901D3C"/>
    <w:rsid w:val="009020B9"/>
    <w:rsid w:val="009020F5"/>
    <w:rsid w:val="00902833"/>
    <w:rsid w:val="00903121"/>
    <w:rsid w:val="00904556"/>
    <w:rsid w:val="00904564"/>
    <w:rsid w:val="00904A60"/>
    <w:rsid w:val="00904B9A"/>
    <w:rsid w:val="009050CE"/>
    <w:rsid w:val="00905A07"/>
    <w:rsid w:val="00905A7E"/>
    <w:rsid w:val="00905EBD"/>
    <w:rsid w:val="0090609A"/>
    <w:rsid w:val="00906113"/>
    <w:rsid w:val="00906749"/>
    <w:rsid w:val="00906C67"/>
    <w:rsid w:val="009070A6"/>
    <w:rsid w:val="009077E5"/>
    <w:rsid w:val="00907AD1"/>
    <w:rsid w:val="00910498"/>
    <w:rsid w:val="0091081B"/>
    <w:rsid w:val="00910C10"/>
    <w:rsid w:val="00911ADD"/>
    <w:rsid w:val="00911E8C"/>
    <w:rsid w:val="009126C8"/>
    <w:rsid w:val="00912B74"/>
    <w:rsid w:val="00912B86"/>
    <w:rsid w:val="00912C9E"/>
    <w:rsid w:val="00913081"/>
    <w:rsid w:val="00913DF4"/>
    <w:rsid w:val="00914B20"/>
    <w:rsid w:val="00914DC5"/>
    <w:rsid w:val="00915206"/>
    <w:rsid w:val="00915408"/>
    <w:rsid w:val="009154B0"/>
    <w:rsid w:val="00915E0E"/>
    <w:rsid w:val="00915F88"/>
    <w:rsid w:val="00916886"/>
    <w:rsid w:val="00916B03"/>
    <w:rsid w:val="009170CE"/>
    <w:rsid w:val="0091712F"/>
    <w:rsid w:val="00917AA5"/>
    <w:rsid w:val="00917DB1"/>
    <w:rsid w:val="00920004"/>
    <w:rsid w:val="00920AF7"/>
    <w:rsid w:val="00921094"/>
    <w:rsid w:val="00922030"/>
    <w:rsid w:val="00922CEF"/>
    <w:rsid w:val="00922F37"/>
    <w:rsid w:val="0092319A"/>
    <w:rsid w:val="00923D78"/>
    <w:rsid w:val="00923D8D"/>
    <w:rsid w:val="00923DE9"/>
    <w:rsid w:val="00923EEE"/>
    <w:rsid w:val="009247AD"/>
    <w:rsid w:val="009248AD"/>
    <w:rsid w:val="00924907"/>
    <w:rsid w:val="009249CE"/>
    <w:rsid w:val="00924EA8"/>
    <w:rsid w:val="009250C0"/>
    <w:rsid w:val="0092511E"/>
    <w:rsid w:val="00925521"/>
    <w:rsid w:val="009257CF"/>
    <w:rsid w:val="00925EDA"/>
    <w:rsid w:val="00925F87"/>
    <w:rsid w:val="00926139"/>
    <w:rsid w:val="00926B7F"/>
    <w:rsid w:val="00927595"/>
    <w:rsid w:val="00927695"/>
    <w:rsid w:val="00927B80"/>
    <w:rsid w:val="00927E16"/>
    <w:rsid w:val="00927F2F"/>
    <w:rsid w:val="009303FB"/>
    <w:rsid w:val="00930419"/>
    <w:rsid w:val="009304C8"/>
    <w:rsid w:val="00930BC0"/>
    <w:rsid w:val="00930F75"/>
    <w:rsid w:val="00931F77"/>
    <w:rsid w:val="00932205"/>
    <w:rsid w:val="00932883"/>
    <w:rsid w:val="00932B09"/>
    <w:rsid w:val="00932CA6"/>
    <w:rsid w:val="00932E44"/>
    <w:rsid w:val="00933262"/>
    <w:rsid w:val="0093356A"/>
    <w:rsid w:val="00933616"/>
    <w:rsid w:val="00933A7C"/>
    <w:rsid w:val="00933DD8"/>
    <w:rsid w:val="009359E3"/>
    <w:rsid w:val="00936382"/>
    <w:rsid w:val="00936A09"/>
    <w:rsid w:val="00936DAE"/>
    <w:rsid w:val="00937002"/>
    <w:rsid w:val="0093743D"/>
    <w:rsid w:val="00937B84"/>
    <w:rsid w:val="00937D55"/>
    <w:rsid w:val="00937EE0"/>
    <w:rsid w:val="009408FE"/>
    <w:rsid w:val="00940F01"/>
    <w:rsid w:val="009415E8"/>
    <w:rsid w:val="00941639"/>
    <w:rsid w:val="00941690"/>
    <w:rsid w:val="0094246A"/>
    <w:rsid w:val="00942B1B"/>
    <w:rsid w:val="00942EAA"/>
    <w:rsid w:val="00943E55"/>
    <w:rsid w:val="00944DCC"/>
    <w:rsid w:val="00944F23"/>
    <w:rsid w:val="009450FE"/>
    <w:rsid w:val="00945157"/>
    <w:rsid w:val="00945485"/>
    <w:rsid w:val="00945C32"/>
    <w:rsid w:val="00945C8F"/>
    <w:rsid w:val="00946201"/>
    <w:rsid w:val="009466D3"/>
    <w:rsid w:val="00946FAD"/>
    <w:rsid w:val="009506E2"/>
    <w:rsid w:val="00950B2E"/>
    <w:rsid w:val="00950BBD"/>
    <w:rsid w:val="00951270"/>
    <w:rsid w:val="009512B8"/>
    <w:rsid w:val="009516F6"/>
    <w:rsid w:val="00951CD5"/>
    <w:rsid w:val="00951D23"/>
    <w:rsid w:val="0095215B"/>
    <w:rsid w:val="00952429"/>
    <w:rsid w:val="00952EAD"/>
    <w:rsid w:val="009530E5"/>
    <w:rsid w:val="0095328E"/>
    <w:rsid w:val="009536FC"/>
    <w:rsid w:val="0095426A"/>
    <w:rsid w:val="00954A77"/>
    <w:rsid w:val="00954BD6"/>
    <w:rsid w:val="00954CEC"/>
    <w:rsid w:val="00954D87"/>
    <w:rsid w:val="00955CBA"/>
    <w:rsid w:val="009564C9"/>
    <w:rsid w:val="00956787"/>
    <w:rsid w:val="0095773C"/>
    <w:rsid w:val="00957C1B"/>
    <w:rsid w:val="00957E8B"/>
    <w:rsid w:val="0096044D"/>
    <w:rsid w:val="009604C4"/>
    <w:rsid w:val="009606D0"/>
    <w:rsid w:val="009613A2"/>
    <w:rsid w:val="0096141C"/>
    <w:rsid w:val="00961DE1"/>
    <w:rsid w:val="00962E14"/>
    <w:rsid w:val="00962EC1"/>
    <w:rsid w:val="00963D9E"/>
    <w:rsid w:val="00964089"/>
    <w:rsid w:val="0096410E"/>
    <w:rsid w:val="009645AC"/>
    <w:rsid w:val="00964A1F"/>
    <w:rsid w:val="00964ABF"/>
    <w:rsid w:val="00964AD7"/>
    <w:rsid w:val="00965485"/>
    <w:rsid w:val="00965B0F"/>
    <w:rsid w:val="00965BEA"/>
    <w:rsid w:val="0096602B"/>
    <w:rsid w:val="0096632F"/>
    <w:rsid w:val="00966805"/>
    <w:rsid w:val="00966CDD"/>
    <w:rsid w:val="00966E54"/>
    <w:rsid w:val="009670AF"/>
    <w:rsid w:val="00967A79"/>
    <w:rsid w:val="00967B9C"/>
    <w:rsid w:val="009700C9"/>
    <w:rsid w:val="00970BD9"/>
    <w:rsid w:val="00970EA4"/>
    <w:rsid w:val="00970FBB"/>
    <w:rsid w:val="00971B9B"/>
    <w:rsid w:val="00971DF9"/>
    <w:rsid w:val="009720E3"/>
    <w:rsid w:val="009725B5"/>
    <w:rsid w:val="00972CB8"/>
    <w:rsid w:val="009737F5"/>
    <w:rsid w:val="00973F66"/>
    <w:rsid w:val="009741D8"/>
    <w:rsid w:val="009742F3"/>
    <w:rsid w:val="0097466B"/>
    <w:rsid w:val="00975838"/>
    <w:rsid w:val="00975A3C"/>
    <w:rsid w:val="00975F13"/>
    <w:rsid w:val="00975F49"/>
    <w:rsid w:val="0097696C"/>
    <w:rsid w:val="00977014"/>
    <w:rsid w:val="009775F3"/>
    <w:rsid w:val="00977993"/>
    <w:rsid w:val="00977FA5"/>
    <w:rsid w:val="00980351"/>
    <w:rsid w:val="009805A7"/>
    <w:rsid w:val="009806CA"/>
    <w:rsid w:val="00980F0D"/>
    <w:rsid w:val="0098158D"/>
    <w:rsid w:val="009819D9"/>
    <w:rsid w:val="00981CAE"/>
    <w:rsid w:val="00981FA8"/>
    <w:rsid w:val="00982088"/>
    <w:rsid w:val="00982125"/>
    <w:rsid w:val="00983235"/>
    <w:rsid w:val="00983AB5"/>
    <w:rsid w:val="00983DCF"/>
    <w:rsid w:val="009845C8"/>
    <w:rsid w:val="00984682"/>
    <w:rsid w:val="009847AA"/>
    <w:rsid w:val="00984A6C"/>
    <w:rsid w:val="00984D4C"/>
    <w:rsid w:val="009850A0"/>
    <w:rsid w:val="009857EF"/>
    <w:rsid w:val="00985AC6"/>
    <w:rsid w:val="00985D98"/>
    <w:rsid w:val="00985FC0"/>
    <w:rsid w:val="00986069"/>
    <w:rsid w:val="0098611D"/>
    <w:rsid w:val="009862FF"/>
    <w:rsid w:val="009864AE"/>
    <w:rsid w:val="0098758E"/>
    <w:rsid w:val="0098777E"/>
    <w:rsid w:val="00987A14"/>
    <w:rsid w:val="009908F4"/>
    <w:rsid w:val="00990DDE"/>
    <w:rsid w:val="00991222"/>
    <w:rsid w:val="0099158E"/>
    <w:rsid w:val="00991B1A"/>
    <w:rsid w:val="00991F38"/>
    <w:rsid w:val="00992041"/>
    <w:rsid w:val="00992179"/>
    <w:rsid w:val="00992802"/>
    <w:rsid w:val="009928C6"/>
    <w:rsid w:val="0099298A"/>
    <w:rsid w:val="0099308D"/>
    <w:rsid w:val="009936EE"/>
    <w:rsid w:val="00993B80"/>
    <w:rsid w:val="0099409E"/>
    <w:rsid w:val="00994274"/>
    <w:rsid w:val="00994305"/>
    <w:rsid w:val="0099479A"/>
    <w:rsid w:val="009948F1"/>
    <w:rsid w:val="009949FD"/>
    <w:rsid w:val="00994F80"/>
    <w:rsid w:val="009954E6"/>
    <w:rsid w:val="0099575D"/>
    <w:rsid w:val="00995A25"/>
    <w:rsid w:val="00995F1F"/>
    <w:rsid w:val="00996749"/>
    <w:rsid w:val="00996B53"/>
    <w:rsid w:val="00997417"/>
    <w:rsid w:val="009975F5"/>
    <w:rsid w:val="00997FC7"/>
    <w:rsid w:val="009A0B64"/>
    <w:rsid w:val="009A1563"/>
    <w:rsid w:val="009A1E4F"/>
    <w:rsid w:val="009A21E2"/>
    <w:rsid w:val="009A21E3"/>
    <w:rsid w:val="009A268F"/>
    <w:rsid w:val="009A2D03"/>
    <w:rsid w:val="009A39DC"/>
    <w:rsid w:val="009A3F27"/>
    <w:rsid w:val="009A43FC"/>
    <w:rsid w:val="009A4EE2"/>
    <w:rsid w:val="009A52B5"/>
    <w:rsid w:val="009A531C"/>
    <w:rsid w:val="009A5753"/>
    <w:rsid w:val="009A57EB"/>
    <w:rsid w:val="009A6437"/>
    <w:rsid w:val="009A6465"/>
    <w:rsid w:val="009A65B0"/>
    <w:rsid w:val="009A6612"/>
    <w:rsid w:val="009A67A3"/>
    <w:rsid w:val="009A68C8"/>
    <w:rsid w:val="009A699B"/>
    <w:rsid w:val="009A6CA4"/>
    <w:rsid w:val="009A7168"/>
    <w:rsid w:val="009A71BC"/>
    <w:rsid w:val="009A7BA5"/>
    <w:rsid w:val="009B103D"/>
    <w:rsid w:val="009B1162"/>
    <w:rsid w:val="009B1313"/>
    <w:rsid w:val="009B180C"/>
    <w:rsid w:val="009B2036"/>
    <w:rsid w:val="009B3624"/>
    <w:rsid w:val="009B3EBA"/>
    <w:rsid w:val="009B3EFA"/>
    <w:rsid w:val="009B42F4"/>
    <w:rsid w:val="009B45B9"/>
    <w:rsid w:val="009B4A9B"/>
    <w:rsid w:val="009B585F"/>
    <w:rsid w:val="009B6ACC"/>
    <w:rsid w:val="009B6DDA"/>
    <w:rsid w:val="009B6EBC"/>
    <w:rsid w:val="009B7A84"/>
    <w:rsid w:val="009B7A96"/>
    <w:rsid w:val="009B7C85"/>
    <w:rsid w:val="009B7E02"/>
    <w:rsid w:val="009B7E22"/>
    <w:rsid w:val="009B7FD9"/>
    <w:rsid w:val="009C04E9"/>
    <w:rsid w:val="009C08B7"/>
    <w:rsid w:val="009C09B8"/>
    <w:rsid w:val="009C0B9A"/>
    <w:rsid w:val="009C0D95"/>
    <w:rsid w:val="009C17C5"/>
    <w:rsid w:val="009C17E2"/>
    <w:rsid w:val="009C181F"/>
    <w:rsid w:val="009C1AD6"/>
    <w:rsid w:val="009C2214"/>
    <w:rsid w:val="009C239A"/>
    <w:rsid w:val="009C3130"/>
    <w:rsid w:val="009C34BB"/>
    <w:rsid w:val="009C3668"/>
    <w:rsid w:val="009C36AB"/>
    <w:rsid w:val="009C387F"/>
    <w:rsid w:val="009C404D"/>
    <w:rsid w:val="009C42D6"/>
    <w:rsid w:val="009C4A1B"/>
    <w:rsid w:val="009C4AE7"/>
    <w:rsid w:val="009C4CDB"/>
    <w:rsid w:val="009C4DC8"/>
    <w:rsid w:val="009C4ECF"/>
    <w:rsid w:val="009C53E7"/>
    <w:rsid w:val="009C610F"/>
    <w:rsid w:val="009C659F"/>
    <w:rsid w:val="009C65A2"/>
    <w:rsid w:val="009C6DB8"/>
    <w:rsid w:val="009C6EA2"/>
    <w:rsid w:val="009C77BF"/>
    <w:rsid w:val="009C7C37"/>
    <w:rsid w:val="009D0196"/>
    <w:rsid w:val="009D0DB2"/>
    <w:rsid w:val="009D0FD1"/>
    <w:rsid w:val="009D1077"/>
    <w:rsid w:val="009D11E4"/>
    <w:rsid w:val="009D1AA9"/>
    <w:rsid w:val="009D2210"/>
    <w:rsid w:val="009D23A2"/>
    <w:rsid w:val="009D262A"/>
    <w:rsid w:val="009D2B03"/>
    <w:rsid w:val="009D2F81"/>
    <w:rsid w:val="009D4309"/>
    <w:rsid w:val="009D4C9F"/>
    <w:rsid w:val="009D4D90"/>
    <w:rsid w:val="009D4F93"/>
    <w:rsid w:val="009D5081"/>
    <w:rsid w:val="009D53F2"/>
    <w:rsid w:val="009D5747"/>
    <w:rsid w:val="009D5F65"/>
    <w:rsid w:val="009D6576"/>
    <w:rsid w:val="009D65A0"/>
    <w:rsid w:val="009D65C9"/>
    <w:rsid w:val="009D6A08"/>
    <w:rsid w:val="009D6AC0"/>
    <w:rsid w:val="009D6D69"/>
    <w:rsid w:val="009D7226"/>
    <w:rsid w:val="009D73E3"/>
    <w:rsid w:val="009D7A5B"/>
    <w:rsid w:val="009D7DCA"/>
    <w:rsid w:val="009D7E2C"/>
    <w:rsid w:val="009E00F5"/>
    <w:rsid w:val="009E05A1"/>
    <w:rsid w:val="009E0E64"/>
    <w:rsid w:val="009E1113"/>
    <w:rsid w:val="009E1457"/>
    <w:rsid w:val="009E15BA"/>
    <w:rsid w:val="009E17D9"/>
    <w:rsid w:val="009E1A69"/>
    <w:rsid w:val="009E1B6C"/>
    <w:rsid w:val="009E25D4"/>
    <w:rsid w:val="009E3284"/>
    <w:rsid w:val="009E3321"/>
    <w:rsid w:val="009E33BA"/>
    <w:rsid w:val="009E33D7"/>
    <w:rsid w:val="009E3CEB"/>
    <w:rsid w:val="009E425A"/>
    <w:rsid w:val="009E47FF"/>
    <w:rsid w:val="009E4E20"/>
    <w:rsid w:val="009E505F"/>
    <w:rsid w:val="009E5F03"/>
    <w:rsid w:val="009E6094"/>
    <w:rsid w:val="009E610F"/>
    <w:rsid w:val="009E61EB"/>
    <w:rsid w:val="009E6753"/>
    <w:rsid w:val="009E688A"/>
    <w:rsid w:val="009E692D"/>
    <w:rsid w:val="009E6DDC"/>
    <w:rsid w:val="009E6EA8"/>
    <w:rsid w:val="009E72CB"/>
    <w:rsid w:val="009E73F1"/>
    <w:rsid w:val="009E780B"/>
    <w:rsid w:val="009F0C2B"/>
    <w:rsid w:val="009F12F9"/>
    <w:rsid w:val="009F22CF"/>
    <w:rsid w:val="009F3357"/>
    <w:rsid w:val="009F3547"/>
    <w:rsid w:val="009F364B"/>
    <w:rsid w:val="009F384E"/>
    <w:rsid w:val="009F3959"/>
    <w:rsid w:val="009F456B"/>
    <w:rsid w:val="009F5237"/>
    <w:rsid w:val="009F56AB"/>
    <w:rsid w:val="009F57AF"/>
    <w:rsid w:val="009F58DF"/>
    <w:rsid w:val="009F5D02"/>
    <w:rsid w:val="009F6117"/>
    <w:rsid w:val="009F6229"/>
    <w:rsid w:val="009F622D"/>
    <w:rsid w:val="009F6536"/>
    <w:rsid w:val="009F65D3"/>
    <w:rsid w:val="009F66E8"/>
    <w:rsid w:val="009F68F0"/>
    <w:rsid w:val="009F6E86"/>
    <w:rsid w:val="009F7293"/>
    <w:rsid w:val="009F7437"/>
    <w:rsid w:val="009F7512"/>
    <w:rsid w:val="009F7857"/>
    <w:rsid w:val="00A00806"/>
    <w:rsid w:val="00A008B2"/>
    <w:rsid w:val="00A00FFC"/>
    <w:rsid w:val="00A011BD"/>
    <w:rsid w:val="00A0182E"/>
    <w:rsid w:val="00A018E6"/>
    <w:rsid w:val="00A01900"/>
    <w:rsid w:val="00A01AE7"/>
    <w:rsid w:val="00A02024"/>
    <w:rsid w:val="00A03B4E"/>
    <w:rsid w:val="00A03DFB"/>
    <w:rsid w:val="00A04005"/>
    <w:rsid w:val="00A04ADC"/>
    <w:rsid w:val="00A04C02"/>
    <w:rsid w:val="00A04F2A"/>
    <w:rsid w:val="00A05612"/>
    <w:rsid w:val="00A05DBE"/>
    <w:rsid w:val="00A0603E"/>
    <w:rsid w:val="00A06ABB"/>
    <w:rsid w:val="00A06AD0"/>
    <w:rsid w:val="00A06C25"/>
    <w:rsid w:val="00A06CFC"/>
    <w:rsid w:val="00A07088"/>
    <w:rsid w:val="00A0751F"/>
    <w:rsid w:val="00A075DE"/>
    <w:rsid w:val="00A076CB"/>
    <w:rsid w:val="00A077BA"/>
    <w:rsid w:val="00A07AF7"/>
    <w:rsid w:val="00A07B61"/>
    <w:rsid w:val="00A10FDB"/>
    <w:rsid w:val="00A11122"/>
    <w:rsid w:val="00A1156A"/>
    <w:rsid w:val="00A11AD2"/>
    <w:rsid w:val="00A11F58"/>
    <w:rsid w:val="00A12016"/>
    <w:rsid w:val="00A122AA"/>
    <w:rsid w:val="00A1242F"/>
    <w:rsid w:val="00A12C70"/>
    <w:rsid w:val="00A12CE4"/>
    <w:rsid w:val="00A1328C"/>
    <w:rsid w:val="00A13377"/>
    <w:rsid w:val="00A135B0"/>
    <w:rsid w:val="00A13671"/>
    <w:rsid w:val="00A1400A"/>
    <w:rsid w:val="00A141FA"/>
    <w:rsid w:val="00A146D1"/>
    <w:rsid w:val="00A14E04"/>
    <w:rsid w:val="00A15012"/>
    <w:rsid w:val="00A1506E"/>
    <w:rsid w:val="00A150E9"/>
    <w:rsid w:val="00A1514F"/>
    <w:rsid w:val="00A152D9"/>
    <w:rsid w:val="00A15539"/>
    <w:rsid w:val="00A15544"/>
    <w:rsid w:val="00A1556E"/>
    <w:rsid w:val="00A162F2"/>
    <w:rsid w:val="00A16D1B"/>
    <w:rsid w:val="00A17435"/>
    <w:rsid w:val="00A17883"/>
    <w:rsid w:val="00A179E2"/>
    <w:rsid w:val="00A200E6"/>
    <w:rsid w:val="00A20330"/>
    <w:rsid w:val="00A20340"/>
    <w:rsid w:val="00A205F5"/>
    <w:rsid w:val="00A20838"/>
    <w:rsid w:val="00A20857"/>
    <w:rsid w:val="00A20F23"/>
    <w:rsid w:val="00A215A1"/>
    <w:rsid w:val="00A217AB"/>
    <w:rsid w:val="00A21B72"/>
    <w:rsid w:val="00A21B97"/>
    <w:rsid w:val="00A21BAC"/>
    <w:rsid w:val="00A221B4"/>
    <w:rsid w:val="00A2235E"/>
    <w:rsid w:val="00A2275D"/>
    <w:rsid w:val="00A228E9"/>
    <w:rsid w:val="00A22EC6"/>
    <w:rsid w:val="00A23559"/>
    <w:rsid w:val="00A23C96"/>
    <w:rsid w:val="00A23E9B"/>
    <w:rsid w:val="00A24133"/>
    <w:rsid w:val="00A245F3"/>
    <w:rsid w:val="00A24784"/>
    <w:rsid w:val="00A24F53"/>
    <w:rsid w:val="00A24F6F"/>
    <w:rsid w:val="00A2514B"/>
    <w:rsid w:val="00A25189"/>
    <w:rsid w:val="00A255A1"/>
    <w:rsid w:val="00A25694"/>
    <w:rsid w:val="00A25ABE"/>
    <w:rsid w:val="00A2611F"/>
    <w:rsid w:val="00A26418"/>
    <w:rsid w:val="00A2645A"/>
    <w:rsid w:val="00A26CA1"/>
    <w:rsid w:val="00A26CE0"/>
    <w:rsid w:val="00A26E88"/>
    <w:rsid w:val="00A2716C"/>
    <w:rsid w:val="00A27384"/>
    <w:rsid w:val="00A274B1"/>
    <w:rsid w:val="00A27656"/>
    <w:rsid w:val="00A278C2"/>
    <w:rsid w:val="00A278ED"/>
    <w:rsid w:val="00A30214"/>
    <w:rsid w:val="00A306A3"/>
    <w:rsid w:val="00A308F7"/>
    <w:rsid w:val="00A30A4C"/>
    <w:rsid w:val="00A30B15"/>
    <w:rsid w:val="00A30CDE"/>
    <w:rsid w:val="00A30F44"/>
    <w:rsid w:val="00A31230"/>
    <w:rsid w:val="00A313C7"/>
    <w:rsid w:val="00A316C7"/>
    <w:rsid w:val="00A318CD"/>
    <w:rsid w:val="00A31C08"/>
    <w:rsid w:val="00A323F8"/>
    <w:rsid w:val="00A324E6"/>
    <w:rsid w:val="00A32976"/>
    <w:rsid w:val="00A33B30"/>
    <w:rsid w:val="00A33C06"/>
    <w:rsid w:val="00A3497D"/>
    <w:rsid w:val="00A356D0"/>
    <w:rsid w:val="00A36550"/>
    <w:rsid w:val="00A367F4"/>
    <w:rsid w:val="00A36A27"/>
    <w:rsid w:val="00A36C0F"/>
    <w:rsid w:val="00A36E14"/>
    <w:rsid w:val="00A36EFB"/>
    <w:rsid w:val="00A36F86"/>
    <w:rsid w:val="00A37EB8"/>
    <w:rsid w:val="00A40BC5"/>
    <w:rsid w:val="00A40BEE"/>
    <w:rsid w:val="00A40CE5"/>
    <w:rsid w:val="00A4108A"/>
    <w:rsid w:val="00A410F6"/>
    <w:rsid w:val="00A41628"/>
    <w:rsid w:val="00A41808"/>
    <w:rsid w:val="00A41944"/>
    <w:rsid w:val="00A423D0"/>
    <w:rsid w:val="00A43532"/>
    <w:rsid w:val="00A43911"/>
    <w:rsid w:val="00A43C72"/>
    <w:rsid w:val="00A43D37"/>
    <w:rsid w:val="00A4486E"/>
    <w:rsid w:val="00A44AE3"/>
    <w:rsid w:val="00A44C61"/>
    <w:rsid w:val="00A44F3C"/>
    <w:rsid w:val="00A457FA"/>
    <w:rsid w:val="00A45E22"/>
    <w:rsid w:val="00A470DE"/>
    <w:rsid w:val="00A47B80"/>
    <w:rsid w:val="00A47EDC"/>
    <w:rsid w:val="00A47FD4"/>
    <w:rsid w:val="00A502FB"/>
    <w:rsid w:val="00A505E6"/>
    <w:rsid w:val="00A509A8"/>
    <w:rsid w:val="00A5107F"/>
    <w:rsid w:val="00A51251"/>
    <w:rsid w:val="00A5134B"/>
    <w:rsid w:val="00A514C5"/>
    <w:rsid w:val="00A515E5"/>
    <w:rsid w:val="00A519AB"/>
    <w:rsid w:val="00A51CEB"/>
    <w:rsid w:val="00A521C4"/>
    <w:rsid w:val="00A5278C"/>
    <w:rsid w:val="00A536A6"/>
    <w:rsid w:val="00A53A2A"/>
    <w:rsid w:val="00A53D09"/>
    <w:rsid w:val="00A5424A"/>
    <w:rsid w:val="00A54745"/>
    <w:rsid w:val="00A547A7"/>
    <w:rsid w:val="00A553B6"/>
    <w:rsid w:val="00A55655"/>
    <w:rsid w:val="00A5585F"/>
    <w:rsid w:val="00A55F96"/>
    <w:rsid w:val="00A5689F"/>
    <w:rsid w:val="00A5690B"/>
    <w:rsid w:val="00A56CE6"/>
    <w:rsid w:val="00A56DBB"/>
    <w:rsid w:val="00A57043"/>
    <w:rsid w:val="00A571D0"/>
    <w:rsid w:val="00A57A51"/>
    <w:rsid w:val="00A57D8F"/>
    <w:rsid w:val="00A60085"/>
    <w:rsid w:val="00A60334"/>
    <w:rsid w:val="00A603D4"/>
    <w:rsid w:val="00A607E6"/>
    <w:rsid w:val="00A60BF3"/>
    <w:rsid w:val="00A60CD8"/>
    <w:rsid w:val="00A60D0E"/>
    <w:rsid w:val="00A60DCE"/>
    <w:rsid w:val="00A60E81"/>
    <w:rsid w:val="00A615DC"/>
    <w:rsid w:val="00A61C57"/>
    <w:rsid w:val="00A61F6B"/>
    <w:rsid w:val="00A623B3"/>
    <w:rsid w:val="00A6240E"/>
    <w:rsid w:val="00A62509"/>
    <w:rsid w:val="00A627D3"/>
    <w:rsid w:val="00A628F0"/>
    <w:rsid w:val="00A62E44"/>
    <w:rsid w:val="00A63157"/>
    <w:rsid w:val="00A635D0"/>
    <w:rsid w:val="00A63748"/>
    <w:rsid w:val="00A63F11"/>
    <w:rsid w:val="00A63F61"/>
    <w:rsid w:val="00A646A5"/>
    <w:rsid w:val="00A646C5"/>
    <w:rsid w:val="00A6477A"/>
    <w:rsid w:val="00A64AC4"/>
    <w:rsid w:val="00A65514"/>
    <w:rsid w:val="00A6637E"/>
    <w:rsid w:val="00A66E3F"/>
    <w:rsid w:val="00A66EF9"/>
    <w:rsid w:val="00A67147"/>
    <w:rsid w:val="00A6761C"/>
    <w:rsid w:val="00A67BD4"/>
    <w:rsid w:val="00A67F45"/>
    <w:rsid w:val="00A70267"/>
    <w:rsid w:val="00A703E7"/>
    <w:rsid w:val="00A70689"/>
    <w:rsid w:val="00A71362"/>
    <w:rsid w:val="00A717D3"/>
    <w:rsid w:val="00A71AED"/>
    <w:rsid w:val="00A721D9"/>
    <w:rsid w:val="00A722BF"/>
    <w:rsid w:val="00A7244B"/>
    <w:rsid w:val="00A727FB"/>
    <w:rsid w:val="00A7289E"/>
    <w:rsid w:val="00A72FF7"/>
    <w:rsid w:val="00A73121"/>
    <w:rsid w:val="00A734C6"/>
    <w:rsid w:val="00A73AAD"/>
    <w:rsid w:val="00A73CAB"/>
    <w:rsid w:val="00A73EBE"/>
    <w:rsid w:val="00A7403D"/>
    <w:rsid w:val="00A74528"/>
    <w:rsid w:val="00A74873"/>
    <w:rsid w:val="00A74F51"/>
    <w:rsid w:val="00A75133"/>
    <w:rsid w:val="00A752D3"/>
    <w:rsid w:val="00A75482"/>
    <w:rsid w:val="00A7565B"/>
    <w:rsid w:val="00A758CC"/>
    <w:rsid w:val="00A75AFD"/>
    <w:rsid w:val="00A76359"/>
    <w:rsid w:val="00A764AE"/>
    <w:rsid w:val="00A76806"/>
    <w:rsid w:val="00A769AA"/>
    <w:rsid w:val="00A769D2"/>
    <w:rsid w:val="00A76FAD"/>
    <w:rsid w:val="00A770E5"/>
    <w:rsid w:val="00A7737D"/>
    <w:rsid w:val="00A77789"/>
    <w:rsid w:val="00A778CE"/>
    <w:rsid w:val="00A77B09"/>
    <w:rsid w:val="00A77C7A"/>
    <w:rsid w:val="00A80298"/>
    <w:rsid w:val="00A80459"/>
    <w:rsid w:val="00A80A52"/>
    <w:rsid w:val="00A80AF5"/>
    <w:rsid w:val="00A80BE4"/>
    <w:rsid w:val="00A81507"/>
    <w:rsid w:val="00A8165A"/>
    <w:rsid w:val="00A81A0C"/>
    <w:rsid w:val="00A81A2F"/>
    <w:rsid w:val="00A81B09"/>
    <w:rsid w:val="00A81BEB"/>
    <w:rsid w:val="00A8284D"/>
    <w:rsid w:val="00A82C1B"/>
    <w:rsid w:val="00A82E27"/>
    <w:rsid w:val="00A83786"/>
    <w:rsid w:val="00A83981"/>
    <w:rsid w:val="00A83EC4"/>
    <w:rsid w:val="00A84301"/>
    <w:rsid w:val="00A84396"/>
    <w:rsid w:val="00A84988"/>
    <w:rsid w:val="00A84B75"/>
    <w:rsid w:val="00A867A3"/>
    <w:rsid w:val="00A86B25"/>
    <w:rsid w:val="00A86EAA"/>
    <w:rsid w:val="00A8715A"/>
    <w:rsid w:val="00A87763"/>
    <w:rsid w:val="00A87B6B"/>
    <w:rsid w:val="00A9047E"/>
    <w:rsid w:val="00A907A8"/>
    <w:rsid w:val="00A90F5C"/>
    <w:rsid w:val="00A917CE"/>
    <w:rsid w:val="00A9188E"/>
    <w:rsid w:val="00A91927"/>
    <w:rsid w:val="00A928E9"/>
    <w:rsid w:val="00A92969"/>
    <w:rsid w:val="00A92CCA"/>
    <w:rsid w:val="00A93F0E"/>
    <w:rsid w:val="00A94149"/>
    <w:rsid w:val="00A943B4"/>
    <w:rsid w:val="00A95944"/>
    <w:rsid w:val="00A959E1"/>
    <w:rsid w:val="00A95BC4"/>
    <w:rsid w:val="00A960CE"/>
    <w:rsid w:val="00A96165"/>
    <w:rsid w:val="00A9629E"/>
    <w:rsid w:val="00A969BD"/>
    <w:rsid w:val="00A96A6F"/>
    <w:rsid w:val="00A96E5F"/>
    <w:rsid w:val="00A9704E"/>
    <w:rsid w:val="00A973F7"/>
    <w:rsid w:val="00A97B28"/>
    <w:rsid w:val="00A97E5F"/>
    <w:rsid w:val="00A97E7A"/>
    <w:rsid w:val="00AA0264"/>
    <w:rsid w:val="00AA02ED"/>
    <w:rsid w:val="00AA0833"/>
    <w:rsid w:val="00AA0BB9"/>
    <w:rsid w:val="00AA0CB5"/>
    <w:rsid w:val="00AA0DAD"/>
    <w:rsid w:val="00AA111F"/>
    <w:rsid w:val="00AA1445"/>
    <w:rsid w:val="00AA2C28"/>
    <w:rsid w:val="00AA30EC"/>
    <w:rsid w:val="00AA3350"/>
    <w:rsid w:val="00AA34B2"/>
    <w:rsid w:val="00AA35FE"/>
    <w:rsid w:val="00AA3734"/>
    <w:rsid w:val="00AA3E2F"/>
    <w:rsid w:val="00AA3EAF"/>
    <w:rsid w:val="00AA3EE1"/>
    <w:rsid w:val="00AA4119"/>
    <w:rsid w:val="00AA414C"/>
    <w:rsid w:val="00AA41C6"/>
    <w:rsid w:val="00AA47C9"/>
    <w:rsid w:val="00AA5249"/>
    <w:rsid w:val="00AA5510"/>
    <w:rsid w:val="00AA558B"/>
    <w:rsid w:val="00AA5BAB"/>
    <w:rsid w:val="00AA5FD2"/>
    <w:rsid w:val="00AA638C"/>
    <w:rsid w:val="00AA7131"/>
    <w:rsid w:val="00AA719D"/>
    <w:rsid w:val="00AA71CF"/>
    <w:rsid w:val="00AA747B"/>
    <w:rsid w:val="00AA750F"/>
    <w:rsid w:val="00AA798E"/>
    <w:rsid w:val="00AA79AD"/>
    <w:rsid w:val="00AA7C9B"/>
    <w:rsid w:val="00AB09A0"/>
    <w:rsid w:val="00AB130D"/>
    <w:rsid w:val="00AB13B9"/>
    <w:rsid w:val="00AB1401"/>
    <w:rsid w:val="00AB1D65"/>
    <w:rsid w:val="00AB264F"/>
    <w:rsid w:val="00AB2C2B"/>
    <w:rsid w:val="00AB2FA6"/>
    <w:rsid w:val="00AB30D5"/>
    <w:rsid w:val="00AB3359"/>
    <w:rsid w:val="00AB3381"/>
    <w:rsid w:val="00AB35DD"/>
    <w:rsid w:val="00AB38F0"/>
    <w:rsid w:val="00AB392B"/>
    <w:rsid w:val="00AB431E"/>
    <w:rsid w:val="00AB49AA"/>
    <w:rsid w:val="00AB4EEF"/>
    <w:rsid w:val="00AB5485"/>
    <w:rsid w:val="00AB5569"/>
    <w:rsid w:val="00AB6456"/>
    <w:rsid w:val="00AB71B1"/>
    <w:rsid w:val="00AB7534"/>
    <w:rsid w:val="00AC0229"/>
    <w:rsid w:val="00AC056A"/>
    <w:rsid w:val="00AC1381"/>
    <w:rsid w:val="00AC16D7"/>
    <w:rsid w:val="00AC2483"/>
    <w:rsid w:val="00AC2574"/>
    <w:rsid w:val="00AC2BB7"/>
    <w:rsid w:val="00AC33F6"/>
    <w:rsid w:val="00AC35C9"/>
    <w:rsid w:val="00AC36A4"/>
    <w:rsid w:val="00AC39C2"/>
    <w:rsid w:val="00AC46E1"/>
    <w:rsid w:val="00AC4B96"/>
    <w:rsid w:val="00AC4D32"/>
    <w:rsid w:val="00AC4E64"/>
    <w:rsid w:val="00AC5399"/>
    <w:rsid w:val="00AC56B6"/>
    <w:rsid w:val="00AC5700"/>
    <w:rsid w:val="00AC573D"/>
    <w:rsid w:val="00AC638C"/>
    <w:rsid w:val="00AC673A"/>
    <w:rsid w:val="00AC680F"/>
    <w:rsid w:val="00AC68A7"/>
    <w:rsid w:val="00AC71A9"/>
    <w:rsid w:val="00AC77B9"/>
    <w:rsid w:val="00AC7CAC"/>
    <w:rsid w:val="00AC7D29"/>
    <w:rsid w:val="00AC7E98"/>
    <w:rsid w:val="00AD04AE"/>
    <w:rsid w:val="00AD0E35"/>
    <w:rsid w:val="00AD109E"/>
    <w:rsid w:val="00AD190A"/>
    <w:rsid w:val="00AD1936"/>
    <w:rsid w:val="00AD2000"/>
    <w:rsid w:val="00AD20B2"/>
    <w:rsid w:val="00AD20E2"/>
    <w:rsid w:val="00AD2773"/>
    <w:rsid w:val="00AD29C0"/>
    <w:rsid w:val="00AD2FB7"/>
    <w:rsid w:val="00AD37E1"/>
    <w:rsid w:val="00AD436F"/>
    <w:rsid w:val="00AD4EFB"/>
    <w:rsid w:val="00AD565B"/>
    <w:rsid w:val="00AD5740"/>
    <w:rsid w:val="00AD5B7B"/>
    <w:rsid w:val="00AD5EB9"/>
    <w:rsid w:val="00AD5EEC"/>
    <w:rsid w:val="00AD681A"/>
    <w:rsid w:val="00AD6ECE"/>
    <w:rsid w:val="00AD6F53"/>
    <w:rsid w:val="00AD6F8C"/>
    <w:rsid w:val="00AD73BB"/>
    <w:rsid w:val="00AD74E4"/>
    <w:rsid w:val="00AD7789"/>
    <w:rsid w:val="00AD78D4"/>
    <w:rsid w:val="00AD7C05"/>
    <w:rsid w:val="00AD7EB6"/>
    <w:rsid w:val="00AD7FE8"/>
    <w:rsid w:val="00AE0B82"/>
    <w:rsid w:val="00AE0BFA"/>
    <w:rsid w:val="00AE0DCF"/>
    <w:rsid w:val="00AE0F15"/>
    <w:rsid w:val="00AE14BB"/>
    <w:rsid w:val="00AE1DD7"/>
    <w:rsid w:val="00AE28D8"/>
    <w:rsid w:val="00AE2D20"/>
    <w:rsid w:val="00AE2F23"/>
    <w:rsid w:val="00AE342D"/>
    <w:rsid w:val="00AE356F"/>
    <w:rsid w:val="00AE3696"/>
    <w:rsid w:val="00AE3908"/>
    <w:rsid w:val="00AE391E"/>
    <w:rsid w:val="00AE3999"/>
    <w:rsid w:val="00AE39E1"/>
    <w:rsid w:val="00AE4002"/>
    <w:rsid w:val="00AE53BB"/>
    <w:rsid w:val="00AE618D"/>
    <w:rsid w:val="00AE6D4B"/>
    <w:rsid w:val="00AE75F9"/>
    <w:rsid w:val="00AE7666"/>
    <w:rsid w:val="00AE7C98"/>
    <w:rsid w:val="00AE7E21"/>
    <w:rsid w:val="00AE7F5C"/>
    <w:rsid w:val="00AF06E4"/>
    <w:rsid w:val="00AF0868"/>
    <w:rsid w:val="00AF0AD2"/>
    <w:rsid w:val="00AF1B8B"/>
    <w:rsid w:val="00AF2311"/>
    <w:rsid w:val="00AF2F58"/>
    <w:rsid w:val="00AF3468"/>
    <w:rsid w:val="00AF3AEF"/>
    <w:rsid w:val="00AF3BD5"/>
    <w:rsid w:val="00AF3C81"/>
    <w:rsid w:val="00AF3CC6"/>
    <w:rsid w:val="00AF4972"/>
    <w:rsid w:val="00AF4DA5"/>
    <w:rsid w:val="00AF5711"/>
    <w:rsid w:val="00AF5833"/>
    <w:rsid w:val="00AF59B1"/>
    <w:rsid w:val="00AF5C54"/>
    <w:rsid w:val="00AF5C5B"/>
    <w:rsid w:val="00AF5D43"/>
    <w:rsid w:val="00AF658C"/>
    <w:rsid w:val="00AF67B0"/>
    <w:rsid w:val="00AF6888"/>
    <w:rsid w:val="00AF6A67"/>
    <w:rsid w:val="00AF6CA5"/>
    <w:rsid w:val="00AF6D0C"/>
    <w:rsid w:val="00AF6E9D"/>
    <w:rsid w:val="00AF717F"/>
    <w:rsid w:val="00AF7301"/>
    <w:rsid w:val="00AF75DA"/>
    <w:rsid w:val="00B008AC"/>
    <w:rsid w:val="00B0092E"/>
    <w:rsid w:val="00B013A5"/>
    <w:rsid w:val="00B018CA"/>
    <w:rsid w:val="00B019F2"/>
    <w:rsid w:val="00B01CE9"/>
    <w:rsid w:val="00B027ED"/>
    <w:rsid w:val="00B02A25"/>
    <w:rsid w:val="00B02EAF"/>
    <w:rsid w:val="00B032A5"/>
    <w:rsid w:val="00B039F8"/>
    <w:rsid w:val="00B047A4"/>
    <w:rsid w:val="00B05042"/>
    <w:rsid w:val="00B05DBF"/>
    <w:rsid w:val="00B066BD"/>
    <w:rsid w:val="00B06ABF"/>
    <w:rsid w:val="00B07069"/>
    <w:rsid w:val="00B074F9"/>
    <w:rsid w:val="00B100A1"/>
    <w:rsid w:val="00B100BE"/>
    <w:rsid w:val="00B10340"/>
    <w:rsid w:val="00B10570"/>
    <w:rsid w:val="00B10AAB"/>
    <w:rsid w:val="00B10AD2"/>
    <w:rsid w:val="00B10B33"/>
    <w:rsid w:val="00B10E33"/>
    <w:rsid w:val="00B110CD"/>
    <w:rsid w:val="00B11939"/>
    <w:rsid w:val="00B11D8B"/>
    <w:rsid w:val="00B12AC4"/>
    <w:rsid w:val="00B12C30"/>
    <w:rsid w:val="00B1324C"/>
    <w:rsid w:val="00B13F30"/>
    <w:rsid w:val="00B1512E"/>
    <w:rsid w:val="00B1558E"/>
    <w:rsid w:val="00B155C5"/>
    <w:rsid w:val="00B15CC5"/>
    <w:rsid w:val="00B15E8B"/>
    <w:rsid w:val="00B1653E"/>
    <w:rsid w:val="00B16557"/>
    <w:rsid w:val="00B16786"/>
    <w:rsid w:val="00B16838"/>
    <w:rsid w:val="00B16924"/>
    <w:rsid w:val="00B16AA9"/>
    <w:rsid w:val="00B17019"/>
    <w:rsid w:val="00B17169"/>
    <w:rsid w:val="00B20664"/>
    <w:rsid w:val="00B2077B"/>
    <w:rsid w:val="00B20DF1"/>
    <w:rsid w:val="00B211AB"/>
    <w:rsid w:val="00B2143A"/>
    <w:rsid w:val="00B2147B"/>
    <w:rsid w:val="00B214D8"/>
    <w:rsid w:val="00B2150D"/>
    <w:rsid w:val="00B216C5"/>
    <w:rsid w:val="00B21D68"/>
    <w:rsid w:val="00B21EC7"/>
    <w:rsid w:val="00B21FC8"/>
    <w:rsid w:val="00B225D8"/>
    <w:rsid w:val="00B22DBD"/>
    <w:rsid w:val="00B23291"/>
    <w:rsid w:val="00B23292"/>
    <w:rsid w:val="00B234BD"/>
    <w:rsid w:val="00B238C6"/>
    <w:rsid w:val="00B23CD9"/>
    <w:rsid w:val="00B23FB0"/>
    <w:rsid w:val="00B24812"/>
    <w:rsid w:val="00B249D0"/>
    <w:rsid w:val="00B24AD9"/>
    <w:rsid w:val="00B25002"/>
    <w:rsid w:val="00B250AF"/>
    <w:rsid w:val="00B251F0"/>
    <w:rsid w:val="00B25F41"/>
    <w:rsid w:val="00B260F8"/>
    <w:rsid w:val="00B26484"/>
    <w:rsid w:val="00B26CE3"/>
    <w:rsid w:val="00B26D34"/>
    <w:rsid w:val="00B273A9"/>
    <w:rsid w:val="00B27A3D"/>
    <w:rsid w:val="00B27CED"/>
    <w:rsid w:val="00B27D14"/>
    <w:rsid w:val="00B30216"/>
    <w:rsid w:val="00B3149B"/>
    <w:rsid w:val="00B31D29"/>
    <w:rsid w:val="00B31D5F"/>
    <w:rsid w:val="00B31DED"/>
    <w:rsid w:val="00B3206C"/>
    <w:rsid w:val="00B32120"/>
    <w:rsid w:val="00B3248E"/>
    <w:rsid w:val="00B32CDA"/>
    <w:rsid w:val="00B33705"/>
    <w:rsid w:val="00B33A27"/>
    <w:rsid w:val="00B34308"/>
    <w:rsid w:val="00B3450E"/>
    <w:rsid w:val="00B3463A"/>
    <w:rsid w:val="00B34D8B"/>
    <w:rsid w:val="00B35218"/>
    <w:rsid w:val="00B35835"/>
    <w:rsid w:val="00B36426"/>
    <w:rsid w:val="00B3652C"/>
    <w:rsid w:val="00B3673D"/>
    <w:rsid w:val="00B36BDB"/>
    <w:rsid w:val="00B3757A"/>
    <w:rsid w:val="00B37652"/>
    <w:rsid w:val="00B37EDE"/>
    <w:rsid w:val="00B40037"/>
    <w:rsid w:val="00B4026F"/>
    <w:rsid w:val="00B409E8"/>
    <w:rsid w:val="00B40B0D"/>
    <w:rsid w:val="00B41019"/>
    <w:rsid w:val="00B412D8"/>
    <w:rsid w:val="00B41EBD"/>
    <w:rsid w:val="00B41F7E"/>
    <w:rsid w:val="00B42359"/>
    <w:rsid w:val="00B4236A"/>
    <w:rsid w:val="00B4255B"/>
    <w:rsid w:val="00B426B6"/>
    <w:rsid w:val="00B42C5A"/>
    <w:rsid w:val="00B435B7"/>
    <w:rsid w:val="00B43678"/>
    <w:rsid w:val="00B436AE"/>
    <w:rsid w:val="00B44595"/>
    <w:rsid w:val="00B448A0"/>
    <w:rsid w:val="00B448EC"/>
    <w:rsid w:val="00B44B9A"/>
    <w:rsid w:val="00B44D64"/>
    <w:rsid w:val="00B45C6D"/>
    <w:rsid w:val="00B462C6"/>
    <w:rsid w:val="00B46663"/>
    <w:rsid w:val="00B46811"/>
    <w:rsid w:val="00B46859"/>
    <w:rsid w:val="00B46D59"/>
    <w:rsid w:val="00B46FD9"/>
    <w:rsid w:val="00B47B6A"/>
    <w:rsid w:val="00B47E7F"/>
    <w:rsid w:val="00B47E94"/>
    <w:rsid w:val="00B47EF8"/>
    <w:rsid w:val="00B504B9"/>
    <w:rsid w:val="00B5078E"/>
    <w:rsid w:val="00B50AA1"/>
    <w:rsid w:val="00B50EBB"/>
    <w:rsid w:val="00B512CA"/>
    <w:rsid w:val="00B51303"/>
    <w:rsid w:val="00B51403"/>
    <w:rsid w:val="00B515B9"/>
    <w:rsid w:val="00B5187B"/>
    <w:rsid w:val="00B52337"/>
    <w:rsid w:val="00B524FD"/>
    <w:rsid w:val="00B530A8"/>
    <w:rsid w:val="00B53813"/>
    <w:rsid w:val="00B53E79"/>
    <w:rsid w:val="00B53FA4"/>
    <w:rsid w:val="00B54AFB"/>
    <w:rsid w:val="00B54C97"/>
    <w:rsid w:val="00B54E35"/>
    <w:rsid w:val="00B55245"/>
    <w:rsid w:val="00B554BA"/>
    <w:rsid w:val="00B55A00"/>
    <w:rsid w:val="00B56584"/>
    <w:rsid w:val="00B567FE"/>
    <w:rsid w:val="00B56D7F"/>
    <w:rsid w:val="00B57BA8"/>
    <w:rsid w:val="00B57C45"/>
    <w:rsid w:val="00B57D10"/>
    <w:rsid w:val="00B57F11"/>
    <w:rsid w:val="00B60628"/>
    <w:rsid w:val="00B6066E"/>
    <w:rsid w:val="00B60A7A"/>
    <w:rsid w:val="00B614FF"/>
    <w:rsid w:val="00B621ED"/>
    <w:rsid w:val="00B6237B"/>
    <w:rsid w:val="00B626F3"/>
    <w:rsid w:val="00B628A0"/>
    <w:rsid w:val="00B62BC2"/>
    <w:rsid w:val="00B62C50"/>
    <w:rsid w:val="00B62DF9"/>
    <w:rsid w:val="00B632E9"/>
    <w:rsid w:val="00B63AB2"/>
    <w:rsid w:val="00B63BA0"/>
    <w:rsid w:val="00B63E65"/>
    <w:rsid w:val="00B63FB4"/>
    <w:rsid w:val="00B646F0"/>
    <w:rsid w:val="00B651B4"/>
    <w:rsid w:val="00B65828"/>
    <w:rsid w:val="00B6585E"/>
    <w:rsid w:val="00B6649C"/>
    <w:rsid w:val="00B66550"/>
    <w:rsid w:val="00B665DE"/>
    <w:rsid w:val="00B669FC"/>
    <w:rsid w:val="00B673C0"/>
    <w:rsid w:val="00B679D2"/>
    <w:rsid w:val="00B70164"/>
    <w:rsid w:val="00B704A5"/>
    <w:rsid w:val="00B70FB3"/>
    <w:rsid w:val="00B712B9"/>
    <w:rsid w:val="00B71ABE"/>
    <w:rsid w:val="00B73352"/>
    <w:rsid w:val="00B735C8"/>
    <w:rsid w:val="00B73A3D"/>
    <w:rsid w:val="00B73A55"/>
    <w:rsid w:val="00B74169"/>
    <w:rsid w:val="00B7431C"/>
    <w:rsid w:val="00B744C5"/>
    <w:rsid w:val="00B749AB"/>
    <w:rsid w:val="00B74F01"/>
    <w:rsid w:val="00B74FC4"/>
    <w:rsid w:val="00B75161"/>
    <w:rsid w:val="00B7563F"/>
    <w:rsid w:val="00B756E4"/>
    <w:rsid w:val="00B757AA"/>
    <w:rsid w:val="00B763F0"/>
    <w:rsid w:val="00B76712"/>
    <w:rsid w:val="00B7686B"/>
    <w:rsid w:val="00B76A33"/>
    <w:rsid w:val="00B76F4E"/>
    <w:rsid w:val="00B77315"/>
    <w:rsid w:val="00B775C7"/>
    <w:rsid w:val="00B77A36"/>
    <w:rsid w:val="00B807AF"/>
    <w:rsid w:val="00B81060"/>
    <w:rsid w:val="00B810B8"/>
    <w:rsid w:val="00B81E47"/>
    <w:rsid w:val="00B8222B"/>
    <w:rsid w:val="00B82264"/>
    <w:rsid w:val="00B8233F"/>
    <w:rsid w:val="00B829D9"/>
    <w:rsid w:val="00B82C93"/>
    <w:rsid w:val="00B82D53"/>
    <w:rsid w:val="00B82E48"/>
    <w:rsid w:val="00B82FF6"/>
    <w:rsid w:val="00B83F4B"/>
    <w:rsid w:val="00B845B2"/>
    <w:rsid w:val="00B84E07"/>
    <w:rsid w:val="00B8534A"/>
    <w:rsid w:val="00B8574E"/>
    <w:rsid w:val="00B85FE2"/>
    <w:rsid w:val="00B86573"/>
    <w:rsid w:val="00B86732"/>
    <w:rsid w:val="00B86C85"/>
    <w:rsid w:val="00B875A4"/>
    <w:rsid w:val="00B877F4"/>
    <w:rsid w:val="00B8797F"/>
    <w:rsid w:val="00B90E19"/>
    <w:rsid w:val="00B91025"/>
    <w:rsid w:val="00B9207A"/>
    <w:rsid w:val="00B92123"/>
    <w:rsid w:val="00B929EC"/>
    <w:rsid w:val="00B92C64"/>
    <w:rsid w:val="00B939BA"/>
    <w:rsid w:val="00B93D00"/>
    <w:rsid w:val="00B9405C"/>
    <w:rsid w:val="00B940DF"/>
    <w:rsid w:val="00B940E7"/>
    <w:rsid w:val="00B9454B"/>
    <w:rsid w:val="00B9523A"/>
    <w:rsid w:val="00B961BC"/>
    <w:rsid w:val="00B9633D"/>
    <w:rsid w:val="00B96EAE"/>
    <w:rsid w:val="00B97465"/>
    <w:rsid w:val="00B9787D"/>
    <w:rsid w:val="00BA004D"/>
    <w:rsid w:val="00BA058B"/>
    <w:rsid w:val="00BA0C4C"/>
    <w:rsid w:val="00BA138D"/>
    <w:rsid w:val="00BA18B0"/>
    <w:rsid w:val="00BA1976"/>
    <w:rsid w:val="00BA1BDA"/>
    <w:rsid w:val="00BA1C9F"/>
    <w:rsid w:val="00BA22CB"/>
    <w:rsid w:val="00BA2532"/>
    <w:rsid w:val="00BA2913"/>
    <w:rsid w:val="00BA2C11"/>
    <w:rsid w:val="00BA3168"/>
    <w:rsid w:val="00BA3404"/>
    <w:rsid w:val="00BA39F7"/>
    <w:rsid w:val="00BA4029"/>
    <w:rsid w:val="00BA4099"/>
    <w:rsid w:val="00BA43F7"/>
    <w:rsid w:val="00BA459C"/>
    <w:rsid w:val="00BA4E72"/>
    <w:rsid w:val="00BA5629"/>
    <w:rsid w:val="00BA57B2"/>
    <w:rsid w:val="00BA5A5C"/>
    <w:rsid w:val="00BA5D78"/>
    <w:rsid w:val="00BA67F1"/>
    <w:rsid w:val="00BA68E1"/>
    <w:rsid w:val="00BA6E60"/>
    <w:rsid w:val="00BA7165"/>
    <w:rsid w:val="00BA7842"/>
    <w:rsid w:val="00BA7CBF"/>
    <w:rsid w:val="00BA7F96"/>
    <w:rsid w:val="00BB061C"/>
    <w:rsid w:val="00BB0AD6"/>
    <w:rsid w:val="00BB1900"/>
    <w:rsid w:val="00BB1A63"/>
    <w:rsid w:val="00BB1E50"/>
    <w:rsid w:val="00BB22F7"/>
    <w:rsid w:val="00BB36D8"/>
    <w:rsid w:val="00BB3D8E"/>
    <w:rsid w:val="00BB4141"/>
    <w:rsid w:val="00BB4A08"/>
    <w:rsid w:val="00BB5C41"/>
    <w:rsid w:val="00BB6088"/>
    <w:rsid w:val="00BB61CE"/>
    <w:rsid w:val="00BB6868"/>
    <w:rsid w:val="00BB6948"/>
    <w:rsid w:val="00BB69C2"/>
    <w:rsid w:val="00BB69EA"/>
    <w:rsid w:val="00BB6AE9"/>
    <w:rsid w:val="00BB6C8A"/>
    <w:rsid w:val="00BB7727"/>
    <w:rsid w:val="00BB7AEC"/>
    <w:rsid w:val="00BC0438"/>
    <w:rsid w:val="00BC0463"/>
    <w:rsid w:val="00BC06EE"/>
    <w:rsid w:val="00BC0703"/>
    <w:rsid w:val="00BC0AAF"/>
    <w:rsid w:val="00BC0FCA"/>
    <w:rsid w:val="00BC14BE"/>
    <w:rsid w:val="00BC1B8F"/>
    <w:rsid w:val="00BC1DBF"/>
    <w:rsid w:val="00BC1EE9"/>
    <w:rsid w:val="00BC1FC8"/>
    <w:rsid w:val="00BC2283"/>
    <w:rsid w:val="00BC2F1E"/>
    <w:rsid w:val="00BC322F"/>
    <w:rsid w:val="00BC331C"/>
    <w:rsid w:val="00BC35AC"/>
    <w:rsid w:val="00BC3791"/>
    <w:rsid w:val="00BC3BBE"/>
    <w:rsid w:val="00BC3DB8"/>
    <w:rsid w:val="00BC3F17"/>
    <w:rsid w:val="00BC3F78"/>
    <w:rsid w:val="00BC3FFD"/>
    <w:rsid w:val="00BC48AB"/>
    <w:rsid w:val="00BC48C6"/>
    <w:rsid w:val="00BC4DD4"/>
    <w:rsid w:val="00BC4E91"/>
    <w:rsid w:val="00BC51BC"/>
    <w:rsid w:val="00BC5219"/>
    <w:rsid w:val="00BC5D44"/>
    <w:rsid w:val="00BC613A"/>
    <w:rsid w:val="00BC6378"/>
    <w:rsid w:val="00BC64BF"/>
    <w:rsid w:val="00BC6A08"/>
    <w:rsid w:val="00BC6AEB"/>
    <w:rsid w:val="00BC768B"/>
    <w:rsid w:val="00BC772A"/>
    <w:rsid w:val="00BC7829"/>
    <w:rsid w:val="00BC788D"/>
    <w:rsid w:val="00BC7BAB"/>
    <w:rsid w:val="00BD03BA"/>
    <w:rsid w:val="00BD088E"/>
    <w:rsid w:val="00BD0B76"/>
    <w:rsid w:val="00BD0FE9"/>
    <w:rsid w:val="00BD18A7"/>
    <w:rsid w:val="00BD1907"/>
    <w:rsid w:val="00BD209D"/>
    <w:rsid w:val="00BD2180"/>
    <w:rsid w:val="00BD2400"/>
    <w:rsid w:val="00BD2493"/>
    <w:rsid w:val="00BD2972"/>
    <w:rsid w:val="00BD2980"/>
    <w:rsid w:val="00BD2C18"/>
    <w:rsid w:val="00BD2E0F"/>
    <w:rsid w:val="00BD383D"/>
    <w:rsid w:val="00BD4556"/>
    <w:rsid w:val="00BD4710"/>
    <w:rsid w:val="00BD490C"/>
    <w:rsid w:val="00BD5627"/>
    <w:rsid w:val="00BD579A"/>
    <w:rsid w:val="00BD6143"/>
    <w:rsid w:val="00BD61C4"/>
    <w:rsid w:val="00BD677D"/>
    <w:rsid w:val="00BD7657"/>
    <w:rsid w:val="00BD766F"/>
    <w:rsid w:val="00BD7731"/>
    <w:rsid w:val="00BD7774"/>
    <w:rsid w:val="00BD7CA0"/>
    <w:rsid w:val="00BD7E9E"/>
    <w:rsid w:val="00BE0272"/>
    <w:rsid w:val="00BE0A0D"/>
    <w:rsid w:val="00BE0D14"/>
    <w:rsid w:val="00BE1215"/>
    <w:rsid w:val="00BE1855"/>
    <w:rsid w:val="00BE1AE5"/>
    <w:rsid w:val="00BE1EA8"/>
    <w:rsid w:val="00BE29EB"/>
    <w:rsid w:val="00BE3EA4"/>
    <w:rsid w:val="00BE41BD"/>
    <w:rsid w:val="00BE46BD"/>
    <w:rsid w:val="00BE4A44"/>
    <w:rsid w:val="00BE4E1D"/>
    <w:rsid w:val="00BE5542"/>
    <w:rsid w:val="00BE5C3F"/>
    <w:rsid w:val="00BE5FB1"/>
    <w:rsid w:val="00BE6206"/>
    <w:rsid w:val="00BE63A0"/>
    <w:rsid w:val="00BE6579"/>
    <w:rsid w:val="00BE6C2A"/>
    <w:rsid w:val="00BE6F7E"/>
    <w:rsid w:val="00BE7008"/>
    <w:rsid w:val="00BE7364"/>
    <w:rsid w:val="00BE7503"/>
    <w:rsid w:val="00BE7ED9"/>
    <w:rsid w:val="00BF08EE"/>
    <w:rsid w:val="00BF0BD8"/>
    <w:rsid w:val="00BF158D"/>
    <w:rsid w:val="00BF1771"/>
    <w:rsid w:val="00BF1986"/>
    <w:rsid w:val="00BF1BBE"/>
    <w:rsid w:val="00BF1CB1"/>
    <w:rsid w:val="00BF1D2B"/>
    <w:rsid w:val="00BF1DE9"/>
    <w:rsid w:val="00BF2002"/>
    <w:rsid w:val="00BF2354"/>
    <w:rsid w:val="00BF2556"/>
    <w:rsid w:val="00BF2F0E"/>
    <w:rsid w:val="00BF2F5F"/>
    <w:rsid w:val="00BF3E3B"/>
    <w:rsid w:val="00BF4078"/>
    <w:rsid w:val="00BF479A"/>
    <w:rsid w:val="00BF4CA2"/>
    <w:rsid w:val="00BF4F01"/>
    <w:rsid w:val="00BF4F81"/>
    <w:rsid w:val="00BF5368"/>
    <w:rsid w:val="00BF55FF"/>
    <w:rsid w:val="00BF56CC"/>
    <w:rsid w:val="00BF5739"/>
    <w:rsid w:val="00BF594E"/>
    <w:rsid w:val="00BF59CD"/>
    <w:rsid w:val="00BF63DC"/>
    <w:rsid w:val="00BF68E0"/>
    <w:rsid w:val="00BF6BB4"/>
    <w:rsid w:val="00BF6E99"/>
    <w:rsid w:val="00BF701B"/>
    <w:rsid w:val="00BF7792"/>
    <w:rsid w:val="00BF7A9B"/>
    <w:rsid w:val="00BF7BDB"/>
    <w:rsid w:val="00C009AF"/>
    <w:rsid w:val="00C00A57"/>
    <w:rsid w:val="00C00B7D"/>
    <w:rsid w:val="00C012B1"/>
    <w:rsid w:val="00C0144E"/>
    <w:rsid w:val="00C01F5F"/>
    <w:rsid w:val="00C02065"/>
    <w:rsid w:val="00C02416"/>
    <w:rsid w:val="00C02585"/>
    <w:rsid w:val="00C028A0"/>
    <w:rsid w:val="00C0317B"/>
    <w:rsid w:val="00C031D2"/>
    <w:rsid w:val="00C0320C"/>
    <w:rsid w:val="00C03372"/>
    <w:rsid w:val="00C034E3"/>
    <w:rsid w:val="00C04B8A"/>
    <w:rsid w:val="00C05430"/>
    <w:rsid w:val="00C05483"/>
    <w:rsid w:val="00C055E0"/>
    <w:rsid w:val="00C0563C"/>
    <w:rsid w:val="00C0581A"/>
    <w:rsid w:val="00C05FE2"/>
    <w:rsid w:val="00C062D4"/>
    <w:rsid w:val="00C06425"/>
    <w:rsid w:val="00C066EF"/>
    <w:rsid w:val="00C06A42"/>
    <w:rsid w:val="00C06C17"/>
    <w:rsid w:val="00C06CA1"/>
    <w:rsid w:val="00C0701B"/>
    <w:rsid w:val="00C073F4"/>
    <w:rsid w:val="00C078D5"/>
    <w:rsid w:val="00C07B22"/>
    <w:rsid w:val="00C10567"/>
    <w:rsid w:val="00C1079E"/>
    <w:rsid w:val="00C108C2"/>
    <w:rsid w:val="00C11084"/>
    <w:rsid w:val="00C11BC4"/>
    <w:rsid w:val="00C11DC3"/>
    <w:rsid w:val="00C11ECD"/>
    <w:rsid w:val="00C121ED"/>
    <w:rsid w:val="00C122F7"/>
    <w:rsid w:val="00C12357"/>
    <w:rsid w:val="00C125FA"/>
    <w:rsid w:val="00C12901"/>
    <w:rsid w:val="00C12983"/>
    <w:rsid w:val="00C12B69"/>
    <w:rsid w:val="00C12BF5"/>
    <w:rsid w:val="00C12C26"/>
    <w:rsid w:val="00C133CF"/>
    <w:rsid w:val="00C1344F"/>
    <w:rsid w:val="00C13E94"/>
    <w:rsid w:val="00C14120"/>
    <w:rsid w:val="00C14306"/>
    <w:rsid w:val="00C148E6"/>
    <w:rsid w:val="00C14917"/>
    <w:rsid w:val="00C14DA6"/>
    <w:rsid w:val="00C15CF5"/>
    <w:rsid w:val="00C16311"/>
    <w:rsid w:val="00C163CB"/>
    <w:rsid w:val="00C1644D"/>
    <w:rsid w:val="00C167AF"/>
    <w:rsid w:val="00C16E9B"/>
    <w:rsid w:val="00C17131"/>
    <w:rsid w:val="00C17DFF"/>
    <w:rsid w:val="00C17F53"/>
    <w:rsid w:val="00C20E78"/>
    <w:rsid w:val="00C20EDE"/>
    <w:rsid w:val="00C214A0"/>
    <w:rsid w:val="00C21DCE"/>
    <w:rsid w:val="00C21E26"/>
    <w:rsid w:val="00C21F99"/>
    <w:rsid w:val="00C2227E"/>
    <w:rsid w:val="00C226FA"/>
    <w:rsid w:val="00C22817"/>
    <w:rsid w:val="00C22DF9"/>
    <w:rsid w:val="00C237B9"/>
    <w:rsid w:val="00C24338"/>
    <w:rsid w:val="00C2546A"/>
    <w:rsid w:val="00C25A29"/>
    <w:rsid w:val="00C263FD"/>
    <w:rsid w:val="00C26B8B"/>
    <w:rsid w:val="00C26CC1"/>
    <w:rsid w:val="00C26D1C"/>
    <w:rsid w:val="00C26F5E"/>
    <w:rsid w:val="00C2703C"/>
    <w:rsid w:val="00C27118"/>
    <w:rsid w:val="00C2713C"/>
    <w:rsid w:val="00C2735D"/>
    <w:rsid w:val="00C27460"/>
    <w:rsid w:val="00C27A9F"/>
    <w:rsid w:val="00C27C99"/>
    <w:rsid w:val="00C27D5B"/>
    <w:rsid w:val="00C27E47"/>
    <w:rsid w:val="00C302D1"/>
    <w:rsid w:val="00C305BF"/>
    <w:rsid w:val="00C30946"/>
    <w:rsid w:val="00C30BAB"/>
    <w:rsid w:val="00C3106A"/>
    <w:rsid w:val="00C31077"/>
    <w:rsid w:val="00C311C6"/>
    <w:rsid w:val="00C31224"/>
    <w:rsid w:val="00C3165F"/>
    <w:rsid w:val="00C31947"/>
    <w:rsid w:val="00C31AED"/>
    <w:rsid w:val="00C31C37"/>
    <w:rsid w:val="00C31C40"/>
    <w:rsid w:val="00C31F96"/>
    <w:rsid w:val="00C32332"/>
    <w:rsid w:val="00C32C69"/>
    <w:rsid w:val="00C32D48"/>
    <w:rsid w:val="00C32E74"/>
    <w:rsid w:val="00C33175"/>
    <w:rsid w:val="00C332D7"/>
    <w:rsid w:val="00C33405"/>
    <w:rsid w:val="00C33557"/>
    <w:rsid w:val="00C336E1"/>
    <w:rsid w:val="00C337DF"/>
    <w:rsid w:val="00C3384D"/>
    <w:rsid w:val="00C33D23"/>
    <w:rsid w:val="00C3462F"/>
    <w:rsid w:val="00C34C86"/>
    <w:rsid w:val="00C35BC6"/>
    <w:rsid w:val="00C35D41"/>
    <w:rsid w:val="00C36471"/>
    <w:rsid w:val="00C36C95"/>
    <w:rsid w:val="00C36FED"/>
    <w:rsid w:val="00C37AB4"/>
    <w:rsid w:val="00C40CF8"/>
    <w:rsid w:val="00C41204"/>
    <w:rsid w:val="00C41370"/>
    <w:rsid w:val="00C41693"/>
    <w:rsid w:val="00C419B0"/>
    <w:rsid w:val="00C41BDE"/>
    <w:rsid w:val="00C41E8C"/>
    <w:rsid w:val="00C41F5E"/>
    <w:rsid w:val="00C42360"/>
    <w:rsid w:val="00C423C7"/>
    <w:rsid w:val="00C4279E"/>
    <w:rsid w:val="00C42A14"/>
    <w:rsid w:val="00C42E37"/>
    <w:rsid w:val="00C43422"/>
    <w:rsid w:val="00C4376C"/>
    <w:rsid w:val="00C43778"/>
    <w:rsid w:val="00C43F30"/>
    <w:rsid w:val="00C43F9B"/>
    <w:rsid w:val="00C440C3"/>
    <w:rsid w:val="00C44247"/>
    <w:rsid w:val="00C44555"/>
    <w:rsid w:val="00C451C8"/>
    <w:rsid w:val="00C45237"/>
    <w:rsid w:val="00C453DB"/>
    <w:rsid w:val="00C46C46"/>
    <w:rsid w:val="00C473F0"/>
    <w:rsid w:val="00C474DC"/>
    <w:rsid w:val="00C47672"/>
    <w:rsid w:val="00C47A91"/>
    <w:rsid w:val="00C503F3"/>
    <w:rsid w:val="00C50621"/>
    <w:rsid w:val="00C50884"/>
    <w:rsid w:val="00C5096E"/>
    <w:rsid w:val="00C50C2A"/>
    <w:rsid w:val="00C50D17"/>
    <w:rsid w:val="00C50D22"/>
    <w:rsid w:val="00C50D63"/>
    <w:rsid w:val="00C51262"/>
    <w:rsid w:val="00C51951"/>
    <w:rsid w:val="00C51BDD"/>
    <w:rsid w:val="00C52019"/>
    <w:rsid w:val="00C5205D"/>
    <w:rsid w:val="00C5208A"/>
    <w:rsid w:val="00C52486"/>
    <w:rsid w:val="00C52725"/>
    <w:rsid w:val="00C53217"/>
    <w:rsid w:val="00C53329"/>
    <w:rsid w:val="00C537E2"/>
    <w:rsid w:val="00C542ED"/>
    <w:rsid w:val="00C54CAB"/>
    <w:rsid w:val="00C550D6"/>
    <w:rsid w:val="00C5516C"/>
    <w:rsid w:val="00C55368"/>
    <w:rsid w:val="00C55998"/>
    <w:rsid w:val="00C55FAD"/>
    <w:rsid w:val="00C565E6"/>
    <w:rsid w:val="00C567A2"/>
    <w:rsid w:val="00C567B7"/>
    <w:rsid w:val="00C56B58"/>
    <w:rsid w:val="00C56C71"/>
    <w:rsid w:val="00C56F42"/>
    <w:rsid w:val="00C571D3"/>
    <w:rsid w:val="00C57524"/>
    <w:rsid w:val="00C576DA"/>
    <w:rsid w:val="00C5786F"/>
    <w:rsid w:val="00C57A96"/>
    <w:rsid w:val="00C57D0B"/>
    <w:rsid w:val="00C57DAC"/>
    <w:rsid w:val="00C57F91"/>
    <w:rsid w:val="00C6043A"/>
    <w:rsid w:val="00C60446"/>
    <w:rsid w:val="00C60A0B"/>
    <w:rsid w:val="00C60E00"/>
    <w:rsid w:val="00C617BE"/>
    <w:rsid w:val="00C62BC6"/>
    <w:rsid w:val="00C62F59"/>
    <w:rsid w:val="00C6345F"/>
    <w:rsid w:val="00C63B43"/>
    <w:rsid w:val="00C644F1"/>
    <w:rsid w:val="00C652EE"/>
    <w:rsid w:val="00C65466"/>
    <w:rsid w:val="00C65A3A"/>
    <w:rsid w:val="00C65CF2"/>
    <w:rsid w:val="00C65ED9"/>
    <w:rsid w:val="00C664E7"/>
    <w:rsid w:val="00C668BD"/>
    <w:rsid w:val="00C66B33"/>
    <w:rsid w:val="00C66BA4"/>
    <w:rsid w:val="00C67260"/>
    <w:rsid w:val="00C70004"/>
    <w:rsid w:val="00C70DEA"/>
    <w:rsid w:val="00C71C7C"/>
    <w:rsid w:val="00C72020"/>
    <w:rsid w:val="00C72062"/>
    <w:rsid w:val="00C723F1"/>
    <w:rsid w:val="00C7241D"/>
    <w:rsid w:val="00C726B6"/>
    <w:rsid w:val="00C72820"/>
    <w:rsid w:val="00C72CA8"/>
    <w:rsid w:val="00C73D1F"/>
    <w:rsid w:val="00C749B3"/>
    <w:rsid w:val="00C75E03"/>
    <w:rsid w:val="00C75EDF"/>
    <w:rsid w:val="00C76004"/>
    <w:rsid w:val="00C76356"/>
    <w:rsid w:val="00C76734"/>
    <w:rsid w:val="00C76BC0"/>
    <w:rsid w:val="00C77503"/>
    <w:rsid w:val="00C7790A"/>
    <w:rsid w:val="00C77BA6"/>
    <w:rsid w:val="00C77BE5"/>
    <w:rsid w:val="00C77E4C"/>
    <w:rsid w:val="00C80072"/>
    <w:rsid w:val="00C801C3"/>
    <w:rsid w:val="00C802B3"/>
    <w:rsid w:val="00C81106"/>
    <w:rsid w:val="00C81180"/>
    <w:rsid w:val="00C816F1"/>
    <w:rsid w:val="00C81AC1"/>
    <w:rsid w:val="00C826EE"/>
    <w:rsid w:val="00C82DCA"/>
    <w:rsid w:val="00C82E03"/>
    <w:rsid w:val="00C82F60"/>
    <w:rsid w:val="00C831DF"/>
    <w:rsid w:val="00C83861"/>
    <w:rsid w:val="00C83A0F"/>
    <w:rsid w:val="00C83D3B"/>
    <w:rsid w:val="00C8423D"/>
    <w:rsid w:val="00C8447F"/>
    <w:rsid w:val="00C8496E"/>
    <w:rsid w:val="00C84AC5"/>
    <w:rsid w:val="00C85490"/>
    <w:rsid w:val="00C859BA"/>
    <w:rsid w:val="00C85A00"/>
    <w:rsid w:val="00C85C22"/>
    <w:rsid w:val="00C86003"/>
    <w:rsid w:val="00C860FF"/>
    <w:rsid w:val="00C86BC2"/>
    <w:rsid w:val="00C86ED7"/>
    <w:rsid w:val="00C8747B"/>
    <w:rsid w:val="00C90103"/>
    <w:rsid w:val="00C9022C"/>
    <w:rsid w:val="00C90317"/>
    <w:rsid w:val="00C90322"/>
    <w:rsid w:val="00C91552"/>
    <w:rsid w:val="00C9235E"/>
    <w:rsid w:val="00C923B8"/>
    <w:rsid w:val="00C92578"/>
    <w:rsid w:val="00C92CC6"/>
    <w:rsid w:val="00C94152"/>
    <w:rsid w:val="00C9451D"/>
    <w:rsid w:val="00C948D6"/>
    <w:rsid w:val="00C949D7"/>
    <w:rsid w:val="00C94BFF"/>
    <w:rsid w:val="00C94DB0"/>
    <w:rsid w:val="00C94EFE"/>
    <w:rsid w:val="00C94F1A"/>
    <w:rsid w:val="00C9568B"/>
    <w:rsid w:val="00C95CC2"/>
    <w:rsid w:val="00C95E0F"/>
    <w:rsid w:val="00C9638C"/>
    <w:rsid w:val="00C969C6"/>
    <w:rsid w:val="00C96C40"/>
    <w:rsid w:val="00C96DB7"/>
    <w:rsid w:val="00C97C4B"/>
    <w:rsid w:val="00C97DB0"/>
    <w:rsid w:val="00C97F38"/>
    <w:rsid w:val="00C97FB7"/>
    <w:rsid w:val="00CA0538"/>
    <w:rsid w:val="00CA096B"/>
    <w:rsid w:val="00CA11C6"/>
    <w:rsid w:val="00CA18A1"/>
    <w:rsid w:val="00CA1C43"/>
    <w:rsid w:val="00CA211D"/>
    <w:rsid w:val="00CA22DE"/>
    <w:rsid w:val="00CA259B"/>
    <w:rsid w:val="00CA26DE"/>
    <w:rsid w:val="00CA332E"/>
    <w:rsid w:val="00CA345A"/>
    <w:rsid w:val="00CA390C"/>
    <w:rsid w:val="00CA393D"/>
    <w:rsid w:val="00CA3D16"/>
    <w:rsid w:val="00CA47D3"/>
    <w:rsid w:val="00CA4E24"/>
    <w:rsid w:val="00CA50C9"/>
    <w:rsid w:val="00CA56C1"/>
    <w:rsid w:val="00CA5CB4"/>
    <w:rsid w:val="00CA60EC"/>
    <w:rsid w:val="00CA64D4"/>
    <w:rsid w:val="00CA66DB"/>
    <w:rsid w:val="00CA6F13"/>
    <w:rsid w:val="00CA7608"/>
    <w:rsid w:val="00CB0363"/>
    <w:rsid w:val="00CB0665"/>
    <w:rsid w:val="00CB06CB"/>
    <w:rsid w:val="00CB08B0"/>
    <w:rsid w:val="00CB0E0F"/>
    <w:rsid w:val="00CB0E70"/>
    <w:rsid w:val="00CB1025"/>
    <w:rsid w:val="00CB105F"/>
    <w:rsid w:val="00CB1F62"/>
    <w:rsid w:val="00CB23E4"/>
    <w:rsid w:val="00CB2964"/>
    <w:rsid w:val="00CB2BAB"/>
    <w:rsid w:val="00CB2FC2"/>
    <w:rsid w:val="00CB325B"/>
    <w:rsid w:val="00CB3286"/>
    <w:rsid w:val="00CB3996"/>
    <w:rsid w:val="00CB3D51"/>
    <w:rsid w:val="00CB3DC2"/>
    <w:rsid w:val="00CB3F2E"/>
    <w:rsid w:val="00CB4F35"/>
    <w:rsid w:val="00CB53AF"/>
    <w:rsid w:val="00CB5731"/>
    <w:rsid w:val="00CB5803"/>
    <w:rsid w:val="00CB5C5E"/>
    <w:rsid w:val="00CB63DB"/>
    <w:rsid w:val="00CB667E"/>
    <w:rsid w:val="00CB6AE7"/>
    <w:rsid w:val="00CB7094"/>
    <w:rsid w:val="00CB71DF"/>
    <w:rsid w:val="00CB78CD"/>
    <w:rsid w:val="00CC00BB"/>
    <w:rsid w:val="00CC0C43"/>
    <w:rsid w:val="00CC128F"/>
    <w:rsid w:val="00CC148B"/>
    <w:rsid w:val="00CC14A5"/>
    <w:rsid w:val="00CC18DC"/>
    <w:rsid w:val="00CC1991"/>
    <w:rsid w:val="00CC1C4D"/>
    <w:rsid w:val="00CC1FB5"/>
    <w:rsid w:val="00CC2576"/>
    <w:rsid w:val="00CC3A23"/>
    <w:rsid w:val="00CC3AF9"/>
    <w:rsid w:val="00CC3B76"/>
    <w:rsid w:val="00CC48BD"/>
    <w:rsid w:val="00CC48FC"/>
    <w:rsid w:val="00CC4F94"/>
    <w:rsid w:val="00CC532E"/>
    <w:rsid w:val="00CC540A"/>
    <w:rsid w:val="00CC609D"/>
    <w:rsid w:val="00CC60B2"/>
    <w:rsid w:val="00CC61D8"/>
    <w:rsid w:val="00CC6995"/>
    <w:rsid w:val="00CC72E5"/>
    <w:rsid w:val="00CC7559"/>
    <w:rsid w:val="00CC79D0"/>
    <w:rsid w:val="00CD0238"/>
    <w:rsid w:val="00CD0866"/>
    <w:rsid w:val="00CD0A2E"/>
    <w:rsid w:val="00CD1128"/>
    <w:rsid w:val="00CD1408"/>
    <w:rsid w:val="00CD177C"/>
    <w:rsid w:val="00CD17F5"/>
    <w:rsid w:val="00CD18CC"/>
    <w:rsid w:val="00CD1E15"/>
    <w:rsid w:val="00CD2A44"/>
    <w:rsid w:val="00CD2C52"/>
    <w:rsid w:val="00CD2C81"/>
    <w:rsid w:val="00CD3389"/>
    <w:rsid w:val="00CD3D74"/>
    <w:rsid w:val="00CD3DBF"/>
    <w:rsid w:val="00CD3E93"/>
    <w:rsid w:val="00CD4A47"/>
    <w:rsid w:val="00CD4C92"/>
    <w:rsid w:val="00CD4CCD"/>
    <w:rsid w:val="00CD4E36"/>
    <w:rsid w:val="00CD5365"/>
    <w:rsid w:val="00CD5853"/>
    <w:rsid w:val="00CD6427"/>
    <w:rsid w:val="00CD648F"/>
    <w:rsid w:val="00CD6D15"/>
    <w:rsid w:val="00CD6E28"/>
    <w:rsid w:val="00CD6FD8"/>
    <w:rsid w:val="00CD736B"/>
    <w:rsid w:val="00CD7D27"/>
    <w:rsid w:val="00CE02C8"/>
    <w:rsid w:val="00CE0404"/>
    <w:rsid w:val="00CE0608"/>
    <w:rsid w:val="00CE09D1"/>
    <w:rsid w:val="00CE0E5C"/>
    <w:rsid w:val="00CE100F"/>
    <w:rsid w:val="00CE1374"/>
    <w:rsid w:val="00CE1966"/>
    <w:rsid w:val="00CE1F91"/>
    <w:rsid w:val="00CE2117"/>
    <w:rsid w:val="00CE2278"/>
    <w:rsid w:val="00CE2502"/>
    <w:rsid w:val="00CE25A4"/>
    <w:rsid w:val="00CE3250"/>
    <w:rsid w:val="00CE3867"/>
    <w:rsid w:val="00CE3F54"/>
    <w:rsid w:val="00CE5401"/>
    <w:rsid w:val="00CE573A"/>
    <w:rsid w:val="00CE5929"/>
    <w:rsid w:val="00CE5C37"/>
    <w:rsid w:val="00CE5D8B"/>
    <w:rsid w:val="00CE5DAE"/>
    <w:rsid w:val="00CE6457"/>
    <w:rsid w:val="00CE64E4"/>
    <w:rsid w:val="00CE67D6"/>
    <w:rsid w:val="00CE6E1B"/>
    <w:rsid w:val="00CE7092"/>
    <w:rsid w:val="00CE73C2"/>
    <w:rsid w:val="00CE744F"/>
    <w:rsid w:val="00CE74DB"/>
    <w:rsid w:val="00CE7807"/>
    <w:rsid w:val="00CE78CA"/>
    <w:rsid w:val="00CE7B50"/>
    <w:rsid w:val="00CF03DC"/>
    <w:rsid w:val="00CF06BA"/>
    <w:rsid w:val="00CF103C"/>
    <w:rsid w:val="00CF111E"/>
    <w:rsid w:val="00CF1251"/>
    <w:rsid w:val="00CF14DF"/>
    <w:rsid w:val="00CF1F3E"/>
    <w:rsid w:val="00CF1F6B"/>
    <w:rsid w:val="00CF2247"/>
    <w:rsid w:val="00CF2A64"/>
    <w:rsid w:val="00CF2D79"/>
    <w:rsid w:val="00CF2DC1"/>
    <w:rsid w:val="00CF2FA7"/>
    <w:rsid w:val="00CF31C1"/>
    <w:rsid w:val="00CF32DC"/>
    <w:rsid w:val="00CF335C"/>
    <w:rsid w:val="00CF346E"/>
    <w:rsid w:val="00CF38F9"/>
    <w:rsid w:val="00CF42B8"/>
    <w:rsid w:val="00CF42C3"/>
    <w:rsid w:val="00CF4B04"/>
    <w:rsid w:val="00CF4B56"/>
    <w:rsid w:val="00CF508A"/>
    <w:rsid w:val="00CF52C7"/>
    <w:rsid w:val="00CF5932"/>
    <w:rsid w:val="00CF6756"/>
    <w:rsid w:val="00CF6E2E"/>
    <w:rsid w:val="00CF7655"/>
    <w:rsid w:val="00D002A3"/>
    <w:rsid w:val="00D00D86"/>
    <w:rsid w:val="00D01C1B"/>
    <w:rsid w:val="00D01D45"/>
    <w:rsid w:val="00D02C7F"/>
    <w:rsid w:val="00D02F55"/>
    <w:rsid w:val="00D04D5E"/>
    <w:rsid w:val="00D04E71"/>
    <w:rsid w:val="00D05AAE"/>
    <w:rsid w:val="00D069C9"/>
    <w:rsid w:val="00D06A4C"/>
    <w:rsid w:val="00D06C78"/>
    <w:rsid w:val="00D06F47"/>
    <w:rsid w:val="00D07440"/>
    <w:rsid w:val="00D07D71"/>
    <w:rsid w:val="00D1043D"/>
    <w:rsid w:val="00D10C26"/>
    <w:rsid w:val="00D1155C"/>
    <w:rsid w:val="00D11594"/>
    <w:rsid w:val="00D11983"/>
    <w:rsid w:val="00D11AFB"/>
    <w:rsid w:val="00D1217E"/>
    <w:rsid w:val="00D12A33"/>
    <w:rsid w:val="00D12F3D"/>
    <w:rsid w:val="00D13044"/>
    <w:rsid w:val="00D13169"/>
    <w:rsid w:val="00D132DF"/>
    <w:rsid w:val="00D13C6E"/>
    <w:rsid w:val="00D13DF4"/>
    <w:rsid w:val="00D140C6"/>
    <w:rsid w:val="00D141BC"/>
    <w:rsid w:val="00D14511"/>
    <w:rsid w:val="00D14538"/>
    <w:rsid w:val="00D14D42"/>
    <w:rsid w:val="00D14DA5"/>
    <w:rsid w:val="00D150B1"/>
    <w:rsid w:val="00D158D5"/>
    <w:rsid w:val="00D1595F"/>
    <w:rsid w:val="00D15BCB"/>
    <w:rsid w:val="00D17742"/>
    <w:rsid w:val="00D178B7"/>
    <w:rsid w:val="00D17F4E"/>
    <w:rsid w:val="00D208D4"/>
    <w:rsid w:val="00D20B8E"/>
    <w:rsid w:val="00D20C73"/>
    <w:rsid w:val="00D20E16"/>
    <w:rsid w:val="00D21D6E"/>
    <w:rsid w:val="00D222B9"/>
    <w:rsid w:val="00D228EE"/>
    <w:rsid w:val="00D23005"/>
    <w:rsid w:val="00D24100"/>
    <w:rsid w:val="00D2413E"/>
    <w:rsid w:val="00D24568"/>
    <w:rsid w:val="00D24B71"/>
    <w:rsid w:val="00D24F67"/>
    <w:rsid w:val="00D26A13"/>
    <w:rsid w:val="00D27218"/>
    <w:rsid w:val="00D275E5"/>
    <w:rsid w:val="00D275EF"/>
    <w:rsid w:val="00D27888"/>
    <w:rsid w:val="00D27A7F"/>
    <w:rsid w:val="00D27E9B"/>
    <w:rsid w:val="00D27FA9"/>
    <w:rsid w:val="00D305BC"/>
    <w:rsid w:val="00D3083E"/>
    <w:rsid w:val="00D30AF0"/>
    <w:rsid w:val="00D30CAC"/>
    <w:rsid w:val="00D30ED3"/>
    <w:rsid w:val="00D310E0"/>
    <w:rsid w:val="00D31684"/>
    <w:rsid w:val="00D31CA7"/>
    <w:rsid w:val="00D322C8"/>
    <w:rsid w:val="00D32585"/>
    <w:rsid w:val="00D328C5"/>
    <w:rsid w:val="00D3293D"/>
    <w:rsid w:val="00D32D9A"/>
    <w:rsid w:val="00D32E91"/>
    <w:rsid w:val="00D33BB0"/>
    <w:rsid w:val="00D342A2"/>
    <w:rsid w:val="00D34506"/>
    <w:rsid w:val="00D34A46"/>
    <w:rsid w:val="00D34B50"/>
    <w:rsid w:val="00D34CCB"/>
    <w:rsid w:val="00D351A3"/>
    <w:rsid w:val="00D35326"/>
    <w:rsid w:val="00D3558A"/>
    <w:rsid w:val="00D35B63"/>
    <w:rsid w:val="00D35EC4"/>
    <w:rsid w:val="00D36373"/>
    <w:rsid w:val="00D36423"/>
    <w:rsid w:val="00D36A50"/>
    <w:rsid w:val="00D371B2"/>
    <w:rsid w:val="00D37258"/>
    <w:rsid w:val="00D374E9"/>
    <w:rsid w:val="00D37C80"/>
    <w:rsid w:val="00D400CA"/>
    <w:rsid w:val="00D4028C"/>
    <w:rsid w:val="00D40383"/>
    <w:rsid w:val="00D40789"/>
    <w:rsid w:val="00D40BA9"/>
    <w:rsid w:val="00D40CC0"/>
    <w:rsid w:val="00D4121D"/>
    <w:rsid w:val="00D41526"/>
    <w:rsid w:val="00D416AB"/>
    <w:rsid w:val="00D41A3B"/>
    <w:rsid w:val="00D41BF8"/>
    <w:rsid w:val="00D41CDF"/>
    <w:rsid w:val="00D42381"/>
    <w:rsid w:val="00D426BF"/>
    <w:rsid w:val="00D42FCF"/>
    <w:rsid w:val="00D43081"/>
    <w:rsid w:val="00D43132"/>
    <w:rsid w:val="00D4345D"/>
    <w:rsid w:val="00D435C2"/>
    <w:rsid w:val="00D435EC"/>
    <w:rsid w:val="00D43BF2"/>
    <w:rsid w:val="00D43DA9"/>
    <w:rsid w:val="00D43EEA"/>
    <w:rsid w:val="00D448EC"/>
    <w:rsid w:val="00D44B4E"/>
    <w:rsid w:val="00D44FCC"/>
    <w:rsid w:val="00D453D8"/>
    <w:rsid w:val="00D45778"/>
    <w:rsid w:val="00D45B67"/>
    <w:rsid w:val="00D4660B"/>
    <w:rsid w:val="00D47820"/>
    <w:rsid w:val="00D47998"/>
    <w:rsid w:val="00D47D34"/>
    <w:rsid w:val="00D502CD"/>
    <w:rsid w:val="00D50458"/>
    <w:rsid w:val="00D505FE"/>
    <w:rsid w:val="00D50615"/>
    <w:rsid w:val="00D508EC"/>
    <w:rsid w:val="00D50C09"/>
    <w:rsid w:val="00D5103F"/>
    <w:rsid w:val="00D515DF"/>
    <w:rsid w:val="00D516DB"/>
    <w:rsid w:val="00D51998"/>
    <w:rsid w:val="00D51E1A"/>
    <w:rsid w:val="00D51FB2"/>
    <w:rsid w:val="00D5245B"/>
    <w:rsid w:val="00D53053"/>
    <w:rsid w:val="00D530DA"/>
    <w:rsid w:val="00D53189"/>
    <w:rsid w:val="00D532A0"/>
    <w:rsid w:val="00D536B6"/>
    <w:rsid w:val="00D53779"/>
    <w:rsid w:val="00D54020"/>
    <w:rsid w:val="00D545AB"/>
    <w:rsid w:val="00D5462F"/>
    <w:rsid w:val="00D5470A"/>
    <w:rsid w:val="00D54C95"/>
    <w:rsid w:val="00D54CFA"/>
    <w:rsid w:val="00D5515E"/>
    <w:rsid w:val="00D5637E"/>
    <w:rsid w:val="00D56570"/>
    <w:rsid w:val="00D568BB"/>
    <w:rsid w:val="00D56C39"/>
    <w:rsid w:val="00D56D5D"/>
    <w:rsid w:val="00D57019"/>
    <w:rsid w:val="00D5729A"/>
    <w:rsid w:val="00D572C6"/>
    <w:rsid w:val="00D5790B"/>
    <w:rsid w:val="00D57A78"/>
    <w:rsid w:val="00D57B9B"/>
    <w:rsid w:val="00D57BD1"/>
    <w:rsid w:val="00D57D8C"/>
    <w:rsid w:val="00D60358"/>
    <w:rsid w:val="00D60411"/>
    <w:rsid w:val="00D605ED"/>
    <w:rsid w:val="00D60B62"/>
    <w:rsid w:val="00D61046"/>
    <w:rsid w:val="00D6119E"/>
    <w:rsid w:val="00D615E0"/>
    <w:rsid w:val="00D61676"/>
    <w:rsid w:val="00D62782"/>
    <w:rsid w:val="00D62903"/>
    <w:rsid w:val="00D62AAB"/>
    <w:rsid w:val="00D62B0F"/>
    <w:rsid w:val="00D62B93"/>
    <w:rsid w:val="00D62C06"/>
    <w:rsid w:val="00D62C9B"/>
    <w:rsid w:val="00D6325B"/>
    <w:rsid w:val="00D633CC"/>
    <w:rsid w:val="00D63B87"/>
    <w:rsid w:val="00D63CBC"/>
    <w:rsid w:val="00D6406B"/>
    <w:rsid w:val="00D640ED"/>
    <w:rsid w:val="00D6456E"/>
    <w:rsid w:val="00D648CB"/>
    <w:rsid w:val="00D64BAD"/>
    <w:rsid w:val="00D64F20"/>
    <w:rsid w:val="00D652D2"/>
    <w:rsid w:val="00D65555"/>
    <w:rsid w:val="00D657D6"/>
    <w:rsid w:val="00D667F6"/>
    <w:rsid w:val="00D669CB"/>
    <w:rsid w:val="00D66EF2"/>
    <w:rsid w:val="00D67371"/>
    <w:rsid w:val="00D67A69"/>
    <w:rsid w:val="00D67A93"/>
    <w:rsid w:val="00D67CB9"/>
    <w:rsid w:val="00D7039D"/>
    <w:rsid w:val="00D703E5"/>
    <w:rsid w:val="00D71000"/>
    <w:rsid w:val="00D71005"/>
    <w:rsid w:val="00D71148"/>
    <w:rsid w:val="00D711AA"/>
    <w:rsid w:val="00D715F9"/>
    <w:rsid w:val="00D71C0E"/>
    <w:rsid w:val="00D72F92"/>
    <w:rsid w:val="00D730F3"/>
    <w:rsid w:val="00D73430"/>
    <w:rsid w:val="00D73776"/>
    <w:rsid w:val="00D73892"/>
    <w:rsid w:val="00D73B16"/>
    <w:rsid w:val="00D7406F"/>
    <w:rsid w:val="00D74165"/>
    <w:rsid w:val="00D741B3"/>
    <w:rsid w:val="00D7432A"/>
    <w:rsid w:val="00D746AC"/>
    <w:rsid w:val="00D755FF"/>
    <w:rsid w:val="00D756BC"/>
    <w:rsid w:val="00D757D9"/>
    <w:rsid w:val="00D770F6"/>
    <w:rsid w:val="00D775D9"/>
    <w:rsid w:val="00D8013C"/>
    <w:rsid w:val="00D802FE"/>
    <w:rsid w:val="00D8053C"/>
    <w:rsid w:val="00D80CBD"/>
    <w:rsid w:val="00D815E5"/>
    <w:rsid w:val="00D818E9"/>
    <w:rsid w:val="00D81F78"/>
    <w:rsid w:val="00D821A6"/>
    <w:rsid w:val="00D828CC"/>
    <w:rsid w:val="00D82A11"/>
    <w:rsid w:val="00D83E21"/>
    <w:rsid w:val="00D84487"/>
    <w:rsid w:val="00D844E5"/>
    <w:rsid w:val="00D848F9"/>
    <w:rsid w:val="00D84F9A"/>
    <w:rsid w:val="00D86038"/>
    <w:rsid w:val="00D86180"/>
    <w:rsid w:val="00D865D0"/>
    <w:rsid w:val="00D86780"/>
    <w:rsid w:val="00D86B20"/>
    <w:rsid w:val="00D86C64"/>
    <w:rsid w:val="00D86D80"/>
    <w:rsid w:val="00D8700E"/>
    <w:rsid w:val="00D87207"/>
    <w:rsid w:val="00D875C2"/>
    <w:rsid w:val="00D87761"/>
    <w:rsid w:val="00D87A74"/>
    <w:rsid w:val="00D87DCC"/>
    <w:rsid w:val="00D907E9"/>
    <w:rsid w:val="00D908C9"/>
    <w:rsid w:val="00D90DC6"/>
    <w:rsid w:val="00D9130F"/>
    <w:rsid w:val="00D91931"/>
    <w:rsid w:val="00D9230B"/>
    <w:rsid w:val="00D92A46"/>
    <w:rsid w:val="00D935FF"/>
    <w:rsid w:val="00D94050"/>
    <w:rsid w:val="00D94139"/>
    <w:rsid w:val="00D942F5"/>
    <w:rsid w:val="00D944B6"/>
    <w:rsid w:val="00D9492C"/>
    <w:rsid w:val="00D94D85"/>
    <w:rsid w:val="00D957C4"/>
    <w:rsid w:val="00D958DF"/>
    <w:rsid w:val="00D95902"/>
    <w:rsid w:val="00D95EE7"/>
    <w:rsid w:val="00D9600A"/>
    <w:rsid w:val="00D9635E"/>
    <w:rsid w:val="00D96474"/>
    <w:rsid w:val="00D96818"/>
    <w:rsid w:val="00D968A3"/>
    <w:rsid w:val="00D96AA6"/>
    <w:rsid w:val="00D96AAC"/>
    <w:rsid w:val="00D96EDA"/>
    <w:rsid w:val="00D97411"/>
    <w:rsid w:val="00D978CE"/>
    <w:rsid w:val="00D97AA2"/>
    <w:rsid w:val="00DA08D8"/>
    <w:rsid w:val="00DA0BBB"/>
    <w:rsid w:val="00DA0E70"/>
    <w:rsid w:val="00DA10FE"/>
    <w:rsid w:val="00DA1795"/>
    <w:rsid w:val="00DA20DA"/>
    <w:rsid w:val="00DA27F1"/>
    <w:rsid w:val="00DA27FB"/>
    <w:rsid w:val="00DA2A87"/>
    <w:rsid w:val="00DA2E25"/>
    <w:rsid w:val="00DA37AC"/>
    <w:rsid w:val="00DA3878"/>
    <w:rsid w:val="00DA3B1B"/>
    <w:rsid w:val="00DA45A6"/>
    <w:rsid w:val="00DA484A"/>
    <w:rsid w:val="00DA4C61"/>
    <w:rsid w:val="00DA5385"/>
    <w:rsid w:val="00DA5CB9"/>
    <w:rsid w:val="00DA5F28"/>
    <w:rsid w:val="00DA659B"/>
    <w:rsid w:val="00DA6AAF"/>
    <w:rsid w:val="00DA6BAD"/>
    <w:rsid w:val="00DA6C9B"/>
    <w:rsid w:val="00DA73BB"/>
    <w:rsid w:val="00DA7492"/>
    <w:rsid w:val="00DA74A5"/>
    <w:rsid w:val="00DA7849"/>
    <w:rsid w:val="00DA7C64"/>
    <w:rsid w:val="00DA7ECB"/>
    <w:rsid w:val="00DB03C6"/>
    <w:rsid w:val="00DB05C3"/>
    <w:rsid w:val="00DB0B8D"/>
    <w:rsid w:val="00DB153C"/>
    <w:rsid w:val="00DB15CA"/>
    <w:rsid w:val="00DB17CC"/>
    <w:rsid w:val="00DB1E03"/>
    <w:rsid w:val="00DB2106"/>
    <w:rsid w:val="00DB2519"/>
    <w:rsid w:val="00DB28A7"/>
    <w:rsid w:val="00DB2B2F"/>
    <w:rsid w:val="00DB3122"/>
    <w:rsid w:val="00DB33B5"/>
    <w:rsid w:val="00DB3461"/>
    <w:rsid w:val="00DB3491"/>
    <w:rsid w:val="00DB35FB"/>
    <w:rsid w:val="00DB3F7E"/>
    <w:rsid w:val="00DB430E"/>
    <w:rsid w:val="00DB4649"/>
    <w:rsid w:val="00DB48AB"/>
    <w:rsid w:val="00DB4B0B"/>
    <w:rsid w:val="00DB4B18"/>
    <w:rsid w:val="00DB4B2A"/>
    <w:rsid w:val="00DB56A2"/>
    <w:rsid w:val="00DB580D"/>
    <w:rsid w:val="00DB5DA0"/>
    <w:rsid w:val="00DB676C"/>
    <w:rsid w:val="00DB6884"/>
    <w:rsid w:val="00DB6895"/>
    <w:rsid w:val="00DB6E79"/>
    <w:rsid w:val="00DB6F46"/>
    <w:rsid w:val="00DB7CC1"/>
    <w:rsid w:val="00DC1172"/>
    <w:rsid w:val="00DC1786"/>
    <w:rsid w:val="00DC1BA5"/>
    <w:rsid w:val="00DC2100"/>
    <w:rsid w:val="00DC237C"/>
    <w:rsid w:val="00DC2527"/>
    <w:rsid w:val="00DC284F"/>
    <w:rsid w:val="00DC339F"/>
    <w:rsid w:val="00DC3B2F"/>
    <w:rsid w:val="00DC4F1E"/>
    <w:rsid w:val="00DC51A7"/>
    <w:rsid w:val="00DC5488"/>
    <w:rsid w:val="00DC5499"/>
    <w:rsid w:val="00DC58E9"/>
    <w:rsid w:val="00DC60A4"/>
    <w:rsid w:val="00DC62EA"/>
    <w:rsid w:val="00DC6945"/>
    <w:rsid w:val="00DC6C2D"/>
    <w:rsid w:val="00DC6DCD"/>
    <w:rsid w:val="00DC740F"/>
    <w:rsid w:val="00DC760D"/>
    <w:rsid w:val="00DC7678"/>
    <w:rsid w:val="00DC7DC5"/>
    <w:rsid w:val="00DC7E8A"/>
    <w:rsid w:val="00DC7FC2"/>
    <w:rsid w:val="00DD0167"/>
    <w:rsid w:val="00DD0ADD"/>
    <w:rsid w:val="00DD122C"/>
    <w:rsid w:val="00DD16EF"/>
    <w:rsid w:val="00DD1905"/>
    <w:rsid w:val="00DD194E"/>
    <w:rsid w:val="00DD1C93"/>
    <w:rsid w:val="00DD1E0F"/>
    <w:rsid w:val="00DD217C"/>
    <w:rsid w:val="00DD233B"/>
    <w:rsid w:val="00DD2370"/>
    <w:rsid w:val="00DD2404"/>
    <w:rsid w:val="00DD2F84"/>
    <w:rsid w:val="00DD3DB1"/>
    <w:rsid w:val="00DD41ED"/>
    <w:rsid w:val="00DD45EC"/>
    <w:rsid w:val="00DD483A"/>
    <w:rsid w:val="00DD4C71"/>
    <w:rsid w:val="00DD4EF9"/>
    <w:rsid w:val="00DD58ED"/>
    <w:rsid w:val="00DD58F5"/>
    <w:rsid w:val="00DD59AB"/>
    <w:rsid w:val="00DD5C06"/>
    <w:rsid w:val="00DD6120"/>
    <w:rsid w:val="00DD6386"/>
    <w:rsid w:val="00DD63D5"/>
    <w:rsid w:val="00DD7053"/>
    <w:rsid w:val="00DD74AD"/>
    <w:rsid w:val="00DD7A63"/>
    <w:rsid w:val="00DE0049"/>
    <w:rsid w:val="00DE01CF"/>
    <w:rsid w:val="00DE033B"/>
    <w:rsid w:val="00DE0BA0"/>
    <w:rsid w:val="00DE0ED8"/>
    <w:rsid w:val="00DE0FFF"/>
    <w:rsid w:val="00DE169D"/>
    <w:rsid w:val="00DE1D7F"/>
    <w:rsid w:val="00DE1DBE"/>
    <w:rsid w:val="00DE1EA3"/>
    <w:rsid w:val="00DE1F43"/>
    <w:rsid w:val="00DE2227"/>
    <w:rsid w:val="00DE22D9"/>
    <w:rsid w:val="00DE265E"/>
    <w:rsid w:val="00DE2EDA"/>
    <w:rsid w:val="00DE39E4"/>
    <w:rsid w:val="00DE39F0"/>
    <w:rsid w:val="00DE3CEE"/>
    <w:rsid w:val="00DE4A05"/>
    <w:rsid w:val="00DE4F03"/>
    <w:rsid w:val="00DE4FA9"/>
    <w:rsid w:val="00DE5550"/>
    <w:rsid w:val="00DE601A"/>
    <w:rsid w:val="00DE684F"/>
    <w:rsid w:val="00DE6F16"/>
    <w:rsid w:val="00DE718A"/>
    <w:rsid w:val="00DF0684"/>
    <w:rsid w:val="00DF0872"/>
    <w:rsid w:val="00DF0A22"/>
    <w:rsid w:val="00DF139D"/>
    <w:rsid w:val="00DF168B"/>
    <w:rsid w:val="00DF27EF"/>
    <w:rsid w:val="00DF2D9C"/>
    <w:rsid w:val="00DF3655"/>
    <w:rsid w:val="00DF3C0C"/>
    <w:rsid w:val="00DF3FE8"/>
    <w:rsid w:val="00DF43B3"/>
    <w:rsid w:val="00DF4840"/>
    <w:rsid w:val="00DF4E43"/>
    <w:rsid w:val="00DF53FE"/>
    <w:rsid w:val="00DF55B6"/>
    <w:rsid w:val="00DF560F"/>
    <w:rsid w:val="00DF5A99"/>
    <w:rsid w:val="00DF5BC0"/>
    <w:rsid w:val="00DF647E"/>
    <w:rsid w:val="00DF6778"/>
    <w:rsid w:val="00DF6811"/>
    <w:rsid w:val="00DF6862"/>
    <w:rsid w:val="00DF6CB1"/>
    <w:rsid w:val="00DF7674"/>
    <w:rsid w:val="00DF7A37"/>
    <w:rsid w:val="00DF7F92"/>
    <w:rsid w:val="00E003A7"/>
    <w:rsid w:val="00E004F7"/>
    <w:rsid w:val="00E00654"/>
    <w:rsid w:val="00E0073B"/>
    <w:rsid w:val="00E00DAA"/>
    <w:rsid w:val="00E00DD2"/>
    <w:rsid w:val="00E00FC1"/>
    <w:rsid w:val="00E01037"/>
    <w:rsid w:val="00E010D6"/>
    <w:rsid w:val="00E01110"/>
    <w:rsid w:val="00E02715"/>
    <w:rsid w:val="00E02A26"/>
    <w:rsid w:val="00E0316C"/>
    <w:rsid w:val="00E031C8"/>
    <w:rsid w:val="00E048E2"/>
    <w:rsid w:val="00E04F60"/>
    <w:rsid w:val="00E054D8"/>
    <w:rsid w:val="00E05529"/>
    <w:rsid w:val="00E05FB4"/>
    <w:rsid w:val="00E07181"/>
    <w:rsid w:val="00E0778E"/>
    <w:rsid w:val="00E07F9C"/>
    <w:rsid w:val="00E108B0"/>
    <w:rsid w:val="00E110BF"/>
    <w:rsid w:val="00E11418"/>
    <w:rsid w:val="00E1159D"/>
    <w:rsid w:val="00E11A65"/>
    <w:rsid w:val="00E11B3E"/>
    <w:rsid w:val="00E11E54"/>
    <w:rsid w:val="00E12080"/>
    <w:rsid w:val="00E12237"/>
    <w:rsid w:val="00E12882"/>
    <w:rsid w:val="00E12B6B"/>
    <w:rsid w:val="00E12EF5"/>
    <w:rsid w:val="00E139FC"/>
    <w:rsid w:val="00E13A61"/>
    <w:rsid w:val="00E13C63"/>
    <w:rsid w:val="00E13C95"/>
    <w:rsid w:val="00E13EB2"/>
    <w:rsid w:val="00E15136"/>
    <w:rsid w:val="00E156F0"/>
    <w:rsid w:val="00E158A3"/>
    <w:rsid w:val="00E159EF"/>
    <w:rsid w:val="00E15F31"/>
    <w:rsid w:val="00E162DD"/>
    <w:rsid w:val="00E16312"/>
    <w:rsid w:val="00E169CE"/>
    <w:rsid w:val="00E17043"/>
    <w:rsid w:val="00E1722D"/>
    <w:rsid w:val="00E179E0"/>
    <w:rsid w:val="00E20072"/>
    <w:rsid w:val="00E201F9"/>
    <w:rsid w:val="00E2078F"/>
    <w:rsid w:val="00E21446"/>
    <w:rsid w:val="00E2150C"/>
    <w:rsid w:val="00E219AA"/>
    <w:rsid w:val="00E21F48"/>
    <w:rsid w:val="00E22045"/>
    <w:rsid w:val="00E228A4"/>
    <w:rsid w:val="00E23187"/>
    <w:rsid w:val="00E232A2"/>
    <w:rsid w:val="00E233F7"/>
    <w:rsid w:val="00E23909"/>
    <w:rsid w:val="00E239D0"/>
    <w:rsid w:val="00E23A28"/>
    <w:rsid w:val="00E23A4A"/>
    <w:rsid w:val="00E2444C"/>
    <w:rsid w:val="00E244D1"/>
    <w:rsid w:val="00E2461B"/>
    <w:rsid w:val="00E25558"/>
    <w:rsid w:val="00E25CA6"/>
    <w:rsid w:val="00E25E1C"/>
    <w:rsid w:val="00E265AC"/>
    <w:rsid w:val="00E26602"/>
    <w:rsid w:val="00E26957"/>
    <w:rsid w:val="00E27127"/>
    <w:rsid w:val="00E272CD"/>
    <w:rsid w:val="00E27609"/>
    <w:rsid w:val="00E27D03"/>
    <w:rsid w:val="00E27E69"/>
    <w:rsid w:val="00E30879"/>
    <w:rsid w:val="00E30F38"/>
    <w:rsid w:val="00E3105C"/>
    <w:rsid w:val="00E31063"/>
    <w:rsid w:val="00E31852"/>
    <w:rsid w:val="00E31C73"/>
    <w:rsid w:val="00E31CBD"/>
    <w:rsid w:val="00E31F10"/>
    <w:rsid w:val="00E322CD"/>
    <w:rsid w:val="00E327CB"/>
    <w:rsid w:val="00E32C2C"/>
    <w:rsid w:val="00E32C6C"/>
    <w:rsid w:val="00E32FFF"/>
    <w:rsid w:val="00E332AB"/>
    <w:rsid w:val="00E33682"/>
    <w:rsid w:val="00E34044"/>
    <w:rsid w:val="00E35A90"/>
    <w:rsid w:val="00E36481"/>
    <w:rsid w:val="00E36DC7"/>
    <w:rsid w:val="00E370E7"/>
    <w:rsid w:val="00E3733D"/>
    <w:rsid w:val="00E37947"/>
    <w:rsid w:val="00E37C21"/>
    <w:rsid w:val="00E37C61"/>
    <w:rsid w:val="00E37C69"/>
    <w:rsid w:val="00E37EE1"/>
    <w:rsid w:val="00E401E9"/>
    <w:rsid w:val="00E40369"/>
    <w:rsid w:val="00E40545"/>
    <w:rsid w:val="00E42630"/>
    <w:rsid w:val="00E426D7"/>
    <w:rsid w:val="00E427B8"/>
    <w:rsid w:val="00E428AB"/>
    <w:rsid w:val="00E428E0"/>
    <w:rsid w:val="00E42A95"/>
    <w:rsid w:val="00E42AC5"/>
    <w:rsid w:val="00E42B1D"/>
    <w:rsid w:val="00E42C47"/>
    <w:rsid w:val="00E42E25"/>
    <w:rsid w:val="00E43AD5"/>
    <w:rsid w:val="00E44075"/>
    <w:rsid w:val="00E44C7A"/>
    <w:rsid w:val="00E44C99"/>
    <w:rsid w:val="00E44C9D"/>
    <w:rsid w:val="00E44D64"/>
    <w:rsid w:val="00E452DF"/>
    <w:rsid w:val="00E4577B"/>
    <w:rsid w:val="00E45A92"/>
    <w:rsid w:val="00E45DCC"/>
    <w:rsid w:val="00E45E03"/>
    <w:rsid w:val="00E4620A"/>
    <w:rsid w:val="00E4650F"/>
    <w:rsid w:val="00E46775"/>
    <w:rsid w:val="00E46926"/>
    <w:rsid w:val="00E46C32"/>
    <w:rsid w:val="00E474A1"/>
    <w:rsid w:val="00E47505"/>
    <w:rsid w:val="00E47D3F"/>
    <w:rsid w:val="00E50074"/>
    <w:rsid w:val="00E501E8"/>
    <w:rsid w:val="00E50311"/>
    <w:rsid w:val="00E50640"/>
    <w:rsid w:val="00E51486"/>
    <w:rsid w:val="00E51AA2"/>
    <w:rsid w:val="00E51AB0"/>
    <w:rsid w:val="00E52711"/>
    <w:rsid w:val="00E52805"/>
    <w:rsid w:val="00E52816"/>
    <w:rsid w:val="00E52B7F"/>
    <w:rsid w:val="00E534EF"/>
    <w:rsid w:val="00E53642"/>
    <w:rsid w:val="00E536DE"/>
    <w:rsid w:val="00E53976"/>
    <w:rsid w:val="00E540FB"/>
    <w:rsid w:val="00E54335"/>
    <w:rsid w:val="00E546BE"/>
    <w:rsid w:val="00E546D4"/>
    <w:rsid w:val="00E54A55"/>
    <w:rsid w:val="00E54D4D"/>
    <w:rsid w:val="00E54EBC"/>
    <w:rsid w:val="00E54EC8"/>
    <w:rsid w:val="00E553A8"/>
    <w:rsid w:val="00E55DA6"/>
    <w:rsid w:val="00E55E52"/>
    <w:rsid w:val="00E56042"/>
    <w:rsid w:val="00E56B69"/>
    <w:rsid w:val="00E56CE1"/>
    <w:rsid w:val="00E5726C"/>
    <w:rsid w:val="00E60258"/>
    <w:rsid w:val="00E6034B"/>
    <w:rsid w:val="00E60754"/>
    <w:rsid w:val="00E61070"/>
    <w:rsid w:val="00E6126A"/>
    <w:rsid w:val="00E615A0"/>
    <w:rsid w:val="00E61920"/>
    <w:rsid w:val="00E61ECE"/>
    <w:rsid w:val="00E61F58"/>
    <w:rsid w:val="00E625ED"/>
    <w:rsid w:val="00E631BE"/>
    <w:rsid w:val="00E63232"/>
    <w:rsid w:val="00E6359F"/>
    <w:rsid w:val="00E638C6"/>
    <w:rsid w:val="00E63B4F"/>
    <w:rsid w:val="00E644F3"/>
    <w:rsid w:val="00E644F5"/>
    <w:rsid w:val="00E64727"/>
    <w:rsid w:val="00E647F1"/>
    <w:rsid w:val="00E64845"/>
    <w:rsid w:val="00E6487E"/>
    <w:rsid w:val="00E649CB"/>
    <w:rsid w:val="00E64A8C"/>
    <w:rsid w:val="00E65112"/>
    <w:rsid w:val="00E65141"/>
    <w:rsid w:val="00E65453"/>
    <w:rsid w:val="00E65BC3"/>
    <w:rsid w:val="00E66150"/>
    <w:rsid w:val="00E66BC8"/>
    <w:rsid w:val="00E66E95"/>
    <w:rsid w:val="00E677B9"/>
    <w:rsid w:val="00E67B8D"/>
    <w:rsid w:val="00E67D52"/>
    <w:rsid w:val="00E704FA"/>
    <w:rsid w:val="00E70800"/>
    <w:rsid w:val="00E71247"/>
    <w:rsid w:val="00E71CCA"/>
    <w:rsid w:val="00E722B2"/>
    <w:rsid w:val="00E7237D"/>
    <w:rsid w:val="00E72750"/>
    <w:rsid w:val="00E72918"/>
    <w:rsid w:val="00E72949"/>
    <w:rsid w:val="00E73DDF"/>
    <w:rsid w:val="00E74A35"/>
    <w:rsid w:val="00E74DE8"/>
    <w:rsid w:val="00E758DE"/>
    <w:rsid w:val="00E75DCC"/>
    <w:rsid w:val="00E76915"/>
    <w:rsid w:val="00E769C8"/>
    <w:rsid w:val="00E76C05"/>
    <w:rsid w:val="00E76CE2"/>
    <w:rsid w:val="00E76D14"/>
    <w:rsid w:val="00E8024C"/>
    <w:rsid w:val="00E8042C"/>
    <w:rsid w:val="00E80666"/>
    <w:rsid w:val="00E80F5A"/>
    <w:rsid w:val="00E80FB8"/>
    <w:rsid w:val="00E81CEC"/>
    <w:rsid w:val="00E82E2A"/>
    <w:rsid w:val="00E83747"/>
    <w:rsid w:val="00E83989"/>
    <w:rsid w:val="00E83CF2"/>
    <w:rsid w:val="00E8442C"/>
    <w:rsid w:val="00E848D1"/>
    <w:rsid w:val="00E84AC5"/>
    <w:rsid w:val="00E856EB"/>
    <w:rsid w:val="00E85786"/>
    <w:rsid w:val="00E8582D"/>
    <w:rsid w:val="00E8589C"/>
    <w:rsid w:val="00E85DE1"/>
    <w:rsid w:val="00E85EAB"/>
    <w:rsid w:val="00E860AB"/>
    <w:rsid w:val="00E8621B"/>
    <w:rsid w:val="00E8628A"/>
    <w:rsid w:val="00E86B0F"/>
    <w:rsid w:val="00E86D5B"/>
    <w:rsid w:val="00E8704F"/>
    <w:rsid w:val="00E875DC"/>
    <w:rsid w:val="00E87927"/>
    <w:rsid w:val="00E910EA"/>
    <w:rsid w:val="00E91459"/>
    <w:rsid w:val="00E91C6A"/>
    <w:rsid w:val="00E920D4"/>
    <w:rsid w:val="00E924AB"/>
    <w:rsid w:val="00E9256C"/>
    <w:rsid w:val="00E92809"/>
    <w:rsid w:val="00E92B04"/>
    <w:rsid w:val="00E93C4A"/>
    <w:rsid w:val="00E93DA2"/>
    <w:rsid w:val="00E9543D"/>
    <w:rsid w:val="00E9564F"/>
    <w:rsid w:val="00E9576B"/>
    <w:rsid w:val="00E95777"/>
    <w:rsid w:val="00E960F9"/>
    <w:rsid w:val="00E96482"/>
    <w:rsid w:val="00E96F1D"/>
    <w:rsid w:val="00E97002"/>
    <w:rsid w:val="00E9738A"/>
    <w:rsid w:val="00E974AA"/>
    <w:rsid w:val="00E97A6A"/>
    <w:rsid w:val="00E97A6B"/>
    <w:rsid w:val="00EA036C"/>
    <w:rsid w:val="00EA03DD"/>
    <w:rsid w:val="00EA0885"/>
    <w:rsid w:val="00EA0A64"/>
    <w:rsid w:val="00EA0A8A"/>
    <w:rsid w:val="00EA116A"/>
    <w:rsid w:val="00EA116C"/>
    <w:rsid w:val="00EA1395"/>
    <w:rsid w:val="00EA1435"/>
    <w:rsid w:val="00EA1737"/>
    <w:rsid w:val="00EA1B2B"/>
    <w:rsid w:val="00EA1BE1"/>
    <w:rsid w:val="00EA1E72"/>
    <w:rsid w:val="00EA2113"/>
    <w:rsid w:val="00EA25BB"/>
    <w:rsid w:val="00EA26DD"/>
    <w:rsid w:val="00EA276C"/>
    <w:rsid w:val="00EA289D"/>
    <w:rsid w:val="00EA30A4"/>
    <w:rsid w:val="00EA316C"/>
    <w:rsid w:val="00EA3708"/>
    <w:rsid w:val="00EA3B6D"/>
    <w:rsid w:val="00EA3D28"/>
    <w:rsid w:val="00EA401A"/>
    <w:rsid w:val="00EA41AE"/>
    <w:rsid w:val="00EA4456"/>
    <w:rsid w:val="00EA4806"/>
    <w:rsid w:val="00EA4E81"/>
    <w:rsid w:val="00EA5515"/>
    <w:rsid w:val="00EA6167"/>
    <w:rsid w:val="00EA6765"/>
    <w:rsid w:val="00EA67D5"/>
    <w:rsid w:val="00EA683C"/>
    <w:rsid w:val="00EA6D8A"/>
    <w:rsid w:val="00EA6ED9"/>
    <w:rsid w:val="00EA731C"/>
    <w:rsid w:val="00EA7738"/>
    <w:rsid w:val="00EB0573"/>
    <w:rsid w:val="00EB07B6"/>
    <w:rsid w:val="00EB1003"/>
    <w:rsid w:val="00EB121B"/>
    <w:rsid w:val="00EB1300"/>
    <w:rsid w:val="00EB1574"/>
    <w:rsid w:val="00EB158F"/>
    <w:rsid w:val="00EB1906"/>
    <w:rsid w:val="00EB1926"/>
    <w:rsid w:val="00EB1C99"/>
    <w:rsid w:val="00EB1D51"/>
    <w:rsid w:val="00EB1EAB"/>
    <w:rsid w:val="00EB2288"/>
    <w:rsid w:val="00EB2356"/>
    <w:rsid w:val="00EB24CF"/>
    <w:rsid w:val="00EB2895"/>
    <w:rsid w:val="00EB2990"/>
    <w:rsid w:val="00EB2A65"/>
    <w:rsid w:val="00EB3559"/>
    <w:rsid w:val="00EB41D2"/>
    <w:rsid w:val="00EB430D"/>
    <w:rsid w:val="00EB4465"/>
    <w:rsid w:val="00EB46BF"/>
    <w:rsid w:val="00EB5107"/>
    <w:rsid w:val="00EB5658"/>
    <w:rsid w:val="00EB57EB"/>
    <w:rsid w:val="00EB5B11"/>
    <w:rsid w:val="00EB5C24"/>
    <w:rsid w:val="00EB5CA0"/>
    <w:rsid w:val="00EB62DF"/>
    <w:rsid w:val="00EB6894"/>
    <w:rsid w:val="00EB68FB"/>
    <w:rsid w:val="00EB6CD0"/>
    <w:rsid w:val="00EB7191"/>
    <w:rsid w:val="00EB71CB"/>
    <w:rsid w:val="00EB7281"/>
    <w:rsid w:val="00EC06BD"/>
    <w:rsid w:val="00EC0ACE"/>
    <w:rsid w:val="00EC0B82"/>
    <w:rsid w:val="00EC0DD9"/>
    <w:rsid w:val="00EC0E6A"/>
    <w:rsid w:val="00EC11DE"/>
    <w:rsid w:val="00EC1344"/>
    <w:rsid w:val="00EC1484"/>
    <w:rsid w:val="00EC157B"/>
    <w:rsid w:val="00EC17C0"/>
    <w:rsid w:val="00EC21E1"/>
    <w:rsid w:val="00EC2262"/>
    <w:rsid w:val="00EC22F9"/>
    <w:rsid w:val="00EC237A"/>
    <w:rsid w:val="00EC24C1"/>
    <w:rsid w:val="00EC2D86"/>
    <w:rsid w:val="00EC2FDE"/>
    <w:rsid w:val="00EC3261"/>
    <w:rsid w:val="00EC38DA"/>
    <w:rsid w:val="00EC3F42"/>
    <w:rsid w:val="00EC3FE2"/>
    <w:rsid w:val="00EC429F"/>
    <w:rsid w:val="00EC4B50"/>
    <w:rsid w:val="00EC4D5F"/>
    <w:rsid w:val="00EC4EED"/>
    <w:rsid w:val="00EC5D0C"/>
    <w:rsid w:val="00EC67E6"/>
    <w:rsid w:val="00EC6CC3"/>
    <w:rsid w:val="00EC71A5"/>
    <w:rsid w:val="00EC7FF6"/>
    <w:rsid w:val="00ED135C"/>
    <w:rsid w:val="00ED1755"/>
    <w:rsid w:val="00ED1AEA"/>
    <w:rsid w:val="00ED1E37"/>
    <w:rsid w:val="00ED1F47"/>
    <w:rsid w:val="00ED2157"/>
    <w:rsid w:val="00ED295B"/>
    <w:rsid w:val="00ED30FD"/>
    <w:rsid w:val="00ED3750"/>
    <w:rsid w:val="00ED3B4E"/>
    <w:rsid w:val="00ED3C48"/>
    <w:rsid w:val="00ED3CD3"/>
    <w:rsid w:val="00ED3EA4"/>
    <w:rsid w:val="00ED4481"/>
    <w:rsid w:val="00ED4657"/>
    <w:rsid w:val="00ED46D2"/>
    <w:rsid w:val="00ED548B"/>
    <w:rsid w:val="00ED5E25"/>
    <w:rsid w:val="00ED623B"/>
    <w:rsid w:val="00ED67E2"/>
    <w:rsid w:val="00ED6A05"/>
    <w:rsid w:val="00ED6CDF"/>
    <w:rsid w:val="00ED71B4"/>
    <w:rsid w:val="00ED7473"/>
    <w:rsid w:val="00ED7DE6"/>
    <w:rsid w:val="00EE00C8"/>
    <w:rsid w:val="00EE04C8"/>
    <w:rsid w:val="00EE0F6D"/>
    <w:rsid w:val="00EE135F"/>
    <w:rsid w:val="00EE17D0"/>
    <w:rsid w:val="00EE1823"/>
    <w:rsid w:val="00EE20DF"/>
    <w:rsid w:val="00EE25CA"/>
    <w:rsid w:val="00EE28F0"/>
    <w:rsid w:val="00EE2B0F"/>
    <w:rsid w:val="00EE2EA6"/>
    <w:rsid w:val="00EE3754"/>
    <w:rsid w:val="00EE3CD1"/>
    <w:rsid w:val="00EE42DD"/>
    <w:rsid w:val="00EE46F1"/>
    <w:rsid w:val="00EE4A0F"/>
    <w:rsid w:val="00EE50DD"/>
    <w:rsid w:val="00EE50EA"/>
    <w:rsid w:val="00EE5133"/>
    <w:rsid w:val="00EE5A17"/>
    <w:rsid w:val="00EE5C44"/>
    <w:rsid w:val="00EE62E8"/>
    <w:rsid w:val="00EE6939"/>
    <w:rsid w:val="00EE71F0"/>
    <w:rsid w:val="00EE74F5"/>
    <w:rsid w:val="00EF00BC"/>
    <w:rsid w:val="00EF02AD"/>
    <w:rsid w:val="00EF0393"/>
    <w:rsid w:val="00EF0B50"/>
    <w:rsid w:val="00EF0C17"/>
    <w:rsid w:val="00EF18AF"/>
    <w:rsid w:val="00EF1A5A"/>
    <w:rsid w:val="00EF1EB2"/>
    <w:rsid w:val="00EF228A"/>
    <w:rsid w:val="00EF31E3"/>
    <w:rsid w:val="00EF322A"/>
    <w:rsid w:val="00EF3E0C"/>
    <w:rsid w:val="00EF4431"/>
    <w:rsid w:val="00EF44C3"/>
    <w:rsid w:val="00EF46E4"/>
    <w:rsid w:val="00EF4F2D"/>
    <w:rsid w:val="00EF4FD4"/>
    <w:rsid w:val="00EF51DE"/>
    <w:rsid w:val="00EF57E4"/>
    <w:rsid w:val="00EF5BEA"/>
    <w:rsid w:val="00F00397"/>
    <w:rsid w:val="00F008B9"/>
    <w:rsid w:val="00F008D1"/>
    <w:rsid w:val="00F01C1A"/>
    <w:rsid w:val="00F01DA9"/>
    <w:rsid w:val="00F023E7"/>
    <w:rsid w:val="00F024CC"/>
    <w:rsid w:val="00F02A5D"/>
    <w:rsid w:val="00F02E79"/>
    <w:rsid w:val="00F02E7A"/>
    <w:rsid w:val="00F0317B"/>
    <w:rsid w:val="00F0341B"/>
    <w:rsid w:val="00F04052"/>
    <w:rsid w:val="00F04081"/>
    <w:rsid w:val="00F047FA"/>
    <w:rsid w:val="00F0519D"/>
    <w:rsid w:val="00F051E7"/>
    <w:rsid w:val="00F05B63"/>
    <w:rsid w:val="00F05FF9"/>
    <w:rsid w:val="00F06343"/>
    <w:rsid w:val="00F0670C"/>
    <w:rsid w:val="00F06D46"/>
    <w:rsid w:val="00F06E9B"/>
    <w:rsid w:val="00F0747B"/>
    <w:rsid w:val="00F07766"/>
    <w:rsid w:val="00F07F71"/>
    <w:rsid w:val="00F1033E"/>
    <w:rsid w:val="00F10431"/>
    <w:rsid w:val="00F10929"/>
    <w:rsid w:val="00F1159B"/>
    <w:rsid w:val="00F116D4"/>
    <w:rsid w:val="00F12172"/>
    <w:rsid w:val="00F1278E"/>
    <w:rsid w:val="00F12AEF"/>
    <w:rsid w:val="00F13045"/>
    <w:rsid w:val="00F131F2"/>
    <w:rsid w:val="00F13355"/>
    <w:rsid w:val="00F13E84"/>
    <w:rsid w:val="00F140DF"/>
    <w:rsid w:val="00F14546"/>
    <w:rsid w:val="00F148A0"/>
    <w:rsid w:val="00F14949"/>
    <w:rsid w:val="00F14C52"/>
    <w:rsid w:val="00F14DD5"/>
    <w:rsid w:val="00F150B0"/>
    <w:rsid w:val="00F15F00"/>
    <w:rsid w:val="00F17209"/>
    <w:rsid w:val="00F20209"/>
    <w:rsid w:val="00F209E2"/>
    <w:rsid w:val="00F20FF1"/>
    <w:rsid w:val="00F21116"/>
    <w:rsid w:val="00F21925"/>
    <w:rsid w:val="00F224A3"/>
    <w:rsid w:val="00F22E59"/>
    <w:rsid w:val="00F234FD"/>
    <w:rsid w:val="00F2351E"/>
    <w:rsid w:val="00F23681"/>
    <w:rsid w:val="00F23793"/>
    <w:rsid w:val="00F23C6D"/>
    <w:rsid w:val="00F25001"/>
    <w:rsid w:val="00F25104"/>
    <w:rsid w:val="00F2515F"/>
    <w:rsid w:val="00F256FB"/>
    <w:rsid w:val="00F2591B"/>
    <w:rsid w:val="00F25BCD"/>
    <w:rsid w:val="00F261B8"/>
    <w:rsid w:val="00F2631E"/>
    <w:rsid w:val="00F26CE9"/>
    <w:rsid w:val="00F26EF9"/>
    <w:rsid w:val="00F27107"/>
    <w:rsid w:val="00F2730E"/>
    <w:rsid w:val="00F2733D"/>
    <w:rsid w:val="00F273E2"/>
    <w:rsid w:val="00F27AA6"/>
    <w:rsid w:val="00F27C6A"/>
    <w:rsid w:val="00F302F3"/>
    <w:rsid w:val="00F311A8"/>
    <w:rsid w:val="00F31785"/>
    <w:rsid w:val="00F317A6"/>
    <w:rsid w:val="00F31834"/>
    <w:rsid w:val="00F3234A"/>
    <w:rsid w:val="00F3276F"/>
    <w:rsid w:val="00F32CB4"/>
    <w:rsid w:val="00F335DC"/>
    <w:rsid w:val="00F33731"/>
    <w:rsid w:val="00F33B32"/>
    <w:rsid w:val="00F33F21"/>
    <w:rsid w:val="00F34245"/>
    <w:rsid w:val="00F349BA"/>
    <w:rsid w:val="00F34B5D"/>
    <w:rsid w:val="00F34BB8"/>
    <w:rsid w:val="00F34C75"/>
    <w:rsid w:val="00F356F4"/>
    <w:rsid w:val="00F35C4F"/>
    <w:rsid w:val="00F36273"/>
    <w:rsid w:val="00F368DB"/>
    <w:rsid w:val="00F36DEC"/>
    <w:rsid w:val="00F3708C"/>
    <w:rsid w:val="00F3746F"/>
    <w:rsid w:val="00F37481"/>
    <w:rsid w:val="00F37771"/>
    <w:rsid w:val="00F4031C"/>
    <w:rsid w:val="00F40C80"/>
    <w:rsid w:val="00F40F0E"/>
    <w:rsid w:val="00F410D0"/>
    <w:rsid w:val="00F411A5"/>
    <w:rsid w:val="00F41429"/>
    <w:rsid w:val="00F41791"/>
    <w:rsid w:val="00F41A99"/>
    <w:rsid w:val="00F41AA2"/>
    <w:rsid w:val="00F41AAD"/>
    <w:rsid w:val="00F41CF3"/>
    <w:rsid w:val="00F41EC4"/>
    <w:rsid w:val="00F41F8E"/>
    <w:rsid w:val="00F41FE5"/>
    <w:rsid w:val="00F423FD"/>
    <w:rsid w:val="00F42F66"/>
    <w:rsid w:val="00F4368F"/>
    <w:rsid w:val="00F43732"/>
    <w:rsid w:val="00F43960"/>
    <w:rsid w:val="00F43C50"/>
    <w:rsid w:val="00F43DE1"/>
    <w:rsid w:val="00F44399"/>
    <w:rsid w:val="00F44F05"/>
    <w:rsid w:val="00F45EC3"/>
    <w:rsid w:val="00F460F1"/>
    <w:rsid w:val="00F466D8"/>
    <w:rsid w:val="00F46CD4"/>
    <w:rsid w:val="00F46FF9"/>
    <w:rsid w:val="00F47292"/>
    <w:rsid w:val="00F47530"/>
    <w:rsid w:val="00F47C22"/>
    <w:rsid w:val="00F50783"/>
    <w:rsid w:val="00F5086C"/>
    <w:rsid w:val="00F51433"/>
    <w:rsid w:val="00F524E0"/>
    <w:rsid w:val="00F52AD0"/>
    <w:rsid w:val="00F52F78"/>
    <w:rsid w:val="00F53290"/>
    <w:rsid w:val="00F533CE"/>
    <w:rsid w:val="00F535C4"/>
    <w:rsid w:val="00F53928"/>
    <w:rsid w:val="00F53BCB"/>
    <w:rsid w:val="00F53C72"/>
    <w:rsid w:val="00F55226"/>
    <w:rsid w:val="00F55A98"/>
    <w:rsid w:val="00F56A0A"/>
    <w:rsid w:val="00F56D63"/>
    <w:rsid w:val="00F576A4"/>
    <w:rsid w:val="00F60485"/>
    <w:rsid w:val="00F60771"/>
    <w:rsid w:val="00F608C4"/>
    <w:rsid w:val="00F60C9C"/>
    <w:rsid w:val="00F6131D"/>
    <w:rsid w:val="00F61913"/>
    <w:rsid w:val="00F61F02"/>
    <w:rsid w:val="00F62D33"/>
    <w:rsid w:val="00F62F80"/>
    <w:rsid w:val="00F632C4"/>
    <w:rsid w:val="00F63A87"/>
    <w:rsid w:val="00F64280"/>
    <w:rsid w:val="00F6461E"/>
    <w:rsid w:val="00F64AEC"/>
    <w:rsid w:val="00F64ECC"/>
    <w:rsid w:val="00F65327"/>
    <w:rsid w:val="00F662A5"/>
    <w:rsid w:val="00F6663E"/>
    <w:rsid w:val="00F667D5"/>
    <w:rsid w:val="00F66C18"/>
    <w:rsid w:val="00F66D4F"/>
    <w:rsid w:val="00F67308"/>
    <w:rsid w:val="00F674FD"/>
    <w:rsid w:val="00F70719"/>
    <w:rsid w:val="00F71508"/>
    <w:rsid w:val="00F71509"/>
    <w:rsid w:val="00F71623"/>
    <w:rsid w:val="00F7176C"/>
    <w:rsid w:val="00F717EB"/>
    <w:rsid w:val="00F71986"/>
    <w:rsid w:val="00F720CC"/>
    <w:rsid w:val="00F72538"/>
    <w:rsid w:val="00F725C3"/>
    <w:rsid w:val="00F72679"/>
    <w:rsid w:val="00F7270F"/>
    <w:rsid w:val="00F72805"/>
    <w:rsid w:val="00F72A48"/>
    <w:rsid w:val="00F72F8D"/>
    <w:rsid w:val="00F730ED"/>
    <w:rsid w:val="00F736F1"/>
    <w:rsid w:val="00F73AFF"/>
    <w:rsid w:val="00F73E85"/>
    <w:rsid w:val="00F73EC7"/>
    <w:rsid w:val="00F73F05"/>
    <w:rsid w:val="00F7402D"/>
    <w:rsid w:val="00F743C2"/>
    <w:rsid w:val="00F74678"/>
    <w:rsid w:val="00F74993"/>
    <w:rsid w:val="00F749D9"/>
    <w:rsid w:val="00F74BD3"/>
    <w:rsid w:val="00F75A40"/>
    <w:rsid w:val="00F765BB"/>
    <w:rsid w:val="00F766F9"/>
    <w:rsid w:val="00F76C16"/>
    <w:rsid w:val="00F76EDA"/>
    <w:rsid w:val="00F77C79"/>
    <w:rsid w:val="00F802FF"/>
    <w:rsid w:val="00F8051A"/>
    <w:rsid w:val="00F805A4"/>
    <w:rsid w:val="00F80C59"/>
    <w:rsid w:val="00F81468"/>
    <w:rsid w:val="00F81B60"/>
    <w:rsid w:val="00F81D86"/>
    <w:rsid w:val="00F82906"/>
    <w:rsid w:val="00F82B4B"/>
    <w:rsid w:val="00F831C4"/>
    <w:rsid w:val="00F83728"/>
    <w:rsid w:val="00F838E5"/>
    <w:rsid w:val="00F841B5"/>
    <w:rsid w:val="00F84290"/>
    <w:rsid w:val="00F8429D"/>
    <w:rsid w:val="00F84CCF"/>
    <w:rsid w:val="00F84F62"/>
    <w:rsid w:val="00F85A92"/>
    <w:rsid w:val="00F85AAC"/>
    <w:rsid w:val="00F85E18"/>
    <w:rsid w:val="00F86295"/>
    <w:rsid w:val="00F8694F"/>
    <w:rsid w:val="00F86C1F"/>
    <w:rsid w:val="00F87CC2"/>
    <w:rsid w:val="00F901C7"/>
    <w:rsid w:val="00F90DD7"/>
    <w:rsid w:val="00F911C5"/>
    <w:rsid w:val="00F9154F"/>
    <w:rsid w:val="00F91930"/>
    <w:rsid w:val="00F92DB2"/>
    <w:rsid w:val="00F93915"/>
    <w:rsid w:val="00F93E95"/>
    <w:rsid w:val="00F950D1"/>
    <w:rsid w:val="00F953C9"/>
    <w:rsid w:val="00F957F3"/>
    <w:rsid w:val="00F9592B"/>
    <w:rsid w:val="00F95E29"/>
    <w:rsid w:val="00F962B0"/>
    <w:rsid w:val="00F969A9"/>
    <w:rsid w:val="00F96B62"/>
    <w:rsid w:val="00F970BE"/>
    <w:rsid w:val="00F979BF"/>
    <w:rsid w:val="00F97B48"/>
    <w:rsid w:val="00F97CB5"/>
    <w:rsid w:val="00FA001F"/>
    <w:rsid w:val="00FA013F"/>
    <w:rsid w:val="00FA0522"/>
    <w:rsid w:val="00FA099F"/>
    <w:rsid w:val="00FA0C75"/>
    <w:rsid w:val="00FA0FE1"/>
    <w:rsid w:val="00FA115B"/>
    <w:rsid w:val="00FA14BA"/>
    <w:rsid w:val="00FA163D"/>
    <w:rsid w:val="00FA17F9"/>
    <w:rsid w:val="00FA1B85"/>
    <w:rsid w:val="00FA1EFA"/>
    <w:rsid w:val="00FA252D"/>
    <w:rsid w:val="00FA2635"/>
    <w:rsid w:val="00FA3789"/>
    <w:rsid w:val="00FA37B9"/>
    <w:rsid w:val="00FA3947"/>
    <w:rsid w:val="00FA48B0"/>
    <w:rsid w:val="00FA4AD4"/>
    <w:rsid w:val="00FA5231"/>
    <w:rsid w:val="00FA5A93"/>
    <w:rsid w:val="00FA5DE4"/>
    <w:rsid w:val="00FA649C"/>
    <w:rsid w:val="00FA67A1"/>
    <w:rsid w:val="00FA693E"/>
    <w:rsid w:val="00FA6A2A"/>
    <w:rsid w:val="00FA6E9A"/>
    <w:rsid w:val="00FA6EDE"/>
    <w:rsid w:val="00FA7094"/>
    <w:rsid w:val="00FA7647"/>
    <w:rsid w:val="00FA76CE"/>
    <w:rsid w:val="00FA7885"/>
    <w:rsid w:val="00FA7A98"/>
    <w:rsid w:val="00FB0879"/>
    <w:rsid w:val="00FB0971"/>
    <w:rsid w:val="00FB1989"/>
    <w:rsid w:val="00FB19A8"/>
    <w:rsid w:val="00FB2341"/>
    <w:rsid w:val="00FB255D"/>
    <w:rsid w:val="00FB2602"/>
    <w:rsid w:val="00FB2772"/>
    <w:rsid w:val="00FB2A88"/>
    <w:rsid w:val="00FB2D78"/>
    <w:rsid w:val="00FB314B"/>
    <w:rsid w:val="00FB32CE"/>
    <w:rsid w:val="00FB3339"/>
    <w:rsid w:val="00FB36D0"/>
    <w:rsid w:val="00FB3E56"/>
    <w:rsid w:val="00FB421E"/>
    <w:rsid w:val="00FB4437"/>
    <w:rsid w:val="00FB473F"/>
    <w:rsid w:val="00FB4918"/>
    <w:rsid w:val="00FB4CC9"/>
    <w:rsid w:val="00FB4D01"/>
    <w:rsid w:val="00FB4EE1"/>
    <w:rsid w:val="00FB5952"/>
    <w:rsid w:val="00FB5DBC"/>
    <w:rsid w:val="00FB6297"/>
    <w:rsid w:val="00FB62E0"/>
    <w:rsid w:val="00FB6783"/>
    <w:rsid w:val="00FB685B"/>
    <w:rsid w:val="00FB6CED"/>
    <w:rsid w:val="00FB6F44"/>
    <w:rsid w:val="00FB7DD0"/>
    <w:rsid w:val="00FB7E89"/>
    <w:rsid w:val="00FC08A3"/>
    <w:rsid w:val="00FC08AA"/>
    <w:rsid w:val="00FC148B"/>
    <w:rsid w:val="00FC17BD"/>
    <w:rsid w:val="00FC1BA0"/>
    <w:rsid w:val="00FC1DBA"/>
    <w:rsid w:val="00FC1DCE"/>
    <w:rsid w:val="00FC1E06"/>
    <w:rsid w:val="00FC2258"/>
    <w:rsid w:val="00FC2730"/>
    <w:rsid w:val="00FC2B31"/>
    <w:rsid w:val="00FC3209"/>
    <w:rsid w:val="00FC3C7E"/>
    <w:rsid w:val="00FC3CBE"/>
    <w:rsid w:val="00FC405B"/>
    <w:rsid w:val="00FC45EF"/>
    <w:rsid w:val="00FC47CC"/>
    <w:rsid w:val="00FC4B4B"/>
    <w:rsid w:val="00FC525E"/>
    <w:rsid w:val="00FC5369"/>
    <w:rsid w:val="00FC5A17"/>
    <w:rsid w:val="00FC6042"/>
    <w:rsid w:val="00FC6287"/>
    <w:rsid w:val="00FC6365"/>
    <w:rsid w:val="00FC757A"/>
    <w:rsid w:val="00FC75F7"/>
    <w:rsid w:val="00FC78A4"/>
    <w:rsid w:val="00FD0001"/>
    <w:rsid w:val="00FD014C"/>
    <w:rsid w:val="00FD154E"/>
    <w:rsid w:val="00FD1874"/>
    <w:rsid w:val="00FD1E61"/>
    <w:rsid w:val="00FD1EEE"/>
    <w:rsid w:val="00FD2141"/>
    <w:rsid w:val="00FD23CA"/>
    <w:rsid w:val="00FD263C"/>
    <w:rsid w:val="00FD28CF"/>
    <w:rsid w:val="00FD291A"/>
    <w:rsid w:val="00FD296A"/>
    <w:rsid w:val="00FD2AFD"/>
    <w:rsid w:val="00FD2EE9"/>
    <w:rsid w:val="00FD3702"/>
    <w:rsid w:val="00FD3C49"/>
    <w:rsid w:val="00FD3FF3"/>
    <w:rsid w:val="00FD439D"/>
    <w:rsid w:val="00FD479F"/>
    <w:rsid w:val="00FD4E45"/>
    <w:rsid w:val="00FD505D"/>
    <w:rsid w:val="00FD56AD"/>
    <w:rsid w:val="00FD5BF9"/>
    <w:rsid w:val="00FD6342"/>
    <w:rsid w:val="00FD648B"/>
    <w:rsid w:val="00FD681A"/>
    <w:rsid w:val="00FD76B1"/>
    <w:rsid w:val="00FD7884"/>
    <w:rsid w:val="00FD7A5A"/>
    <w:rsid w:val="00FE04B8"/>
    <w:rsid w:val="00FE05D6"/>
    <w:rsid w:val="00FE06E0"/>
    <w:rsid w:val="00FE0A1D"/>
    <w:rsid w:val="00FE0AE2"/>
    <w:rsid w:val="00FE0B9E"/>
    <w:rsid w:val="00FE1414"/>
    <w:rsid w:val="00FE21B3"/>
    <w:rsid w:val="00FE2267"/>
    <w:rsid w:val="00FE2333"/>
    <w:rsid w:val="00FE2789"/>
    <w:rsid w:val="00FE27F4"/>
    <w:rsid w:val="00FE29DB"/>
    <w:rsid w:val="00FE2A6B"/>
    <w:rsid w:val="00FE30F6"/>
    <w:rsid w:val="00FE389C"/>
    <w:rsid w:val="00FE3ABA"/>
    <w:rsid w:val="00FE3FF7"/>
    <w:rsid w:val="00FE44C9"/>
    <w:rsid w:val="00FE4A60"/>
    <w:rsid w:val="00FE4C3C"/>
    <w:rsid w:val="00FE4CD8"/>
    <w:rsid w:val="00FE4D9B"/>
    <w:rsid w:val="00FE4E8D"/>
    <w:rsid w:val="00FE5540"/>
    <w:rsid w:val="00FE560B"/>
    <w:rsid w:val="00FE5B80"/>
    <w:rsid w:val="00FE5F3B"/>
    <w:rsid w:val="00FE6021"/>
    <w:rsid w:val="00FE634B"/>
    <w:rsid w:val="00FE63FD"/>
    <w:rsid w:val="00FE6EB2"/>
    <w:rsid w:val="00FF0A05"/>
    <w:rsid w:val="00FF0CFB"/>
    <w:rsid w:val="00FF1095"/>
    <w:rsid w:val="00FF1163"/>
    <w:rsid w:val="00FF13DC"/>
    <w:rsid w:val="00FF16BE"/>
    <w:rsid w:val="00FF208B"/>
    <w:rsid w:val="00FF2163"/>
    <w:rsid w:val="00FF2237"/>
    <w:rsid w:val="00FF2ADE"/>
    <w:rsid w:val="00FF2D1C"/>
    <w:rsid w:val="00FF2D24"/>
    <w:rsid w:val="00FF360A"/>
    <w:rsid w:val="00FF3B8E"/>
    <w:rsid w:val="00FF4194"/>
    <w:rsid w:val="00FF4B37"/>
    <w:rsid w:val="00FF5327"/>
    <w:rsid w:val="00FF65A5"/>
    <w:rsid w:val="00FF65BA"/>
    <w:rsid w:val="00FF6BBB"/>
    <w:rsid w:val="00FF6D03"/>
    <w:rsid w:val="00FF701E"/>
    <w:rsid w:val="00FF744F"/>
    <w:rsid w:val="00FF7D47"/>
    <w:rsid w:val="00FF7EB5"/>
    <w:rsid w:val="00FF7F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style="mso-position-horizontal:center;mso-width-percent:400;mso-height-percent:200;mso-width-relative:margin;mso-height-relative:margin" fillcolor="white">
      <v:fill color="white"/>
      <v:textbox style="mso-fit-shape-to-text:t"/>
      <o:colormru v:ext="edit" colors="#bd1f2b,#cf1e24,#d90b13,#e31c18"/>
    </o:shapedefaults>
    <o:shapelayout v:ext="edit">
      <o:idmap v:ext="edit" data="1"/>
    </o:shapelayout>
  </w:shapeDefaults>
  <w:decimalSymbol w:val="."/>
  <w:listSeparator w:val=";"/>
  <w14:docId w14:val="06ABAE1F"/>
  <w15:chartTrackingRefBased/>
  <w15:docId w15:val="{C57227B6-8B37-43AD-BF28-91ED74725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36550"/>
    <w:pPr>
      <w:widowControl w:val="0"/>
      <w:overflowPunct w:val="0"/>
      <w:autoSpaceDE w:val="0"/>
      <w:autoSpaceDN w:val="0"/>
      <w:adjustRightInd w:val="0"/>
      <w:spacing w:before="100" w:after="100"/>
    </w:pPr>
    <w:rPr>
      <w:kern w:val="28"/>
    </w:rPr>
  </w:style>
  <w:style w:type="paragraph" w:styleId="Titolo1">
    <w:name w:val="heading 1"/>
    <w:basedOn w:val="Normale"/>
    <w:next w:val="Normale"/>
    <w:link w:val="Titolo1Carattere"/>
    <w:uiPriority w:val="99"/>
    <w:qFormat/>
    <w:rsid w:val="00BC3FFD"/>
    <w:pPr>
      <w:keepNext/>
      <w:spacing w:before="0" w:after="120"/>
      <w:jc w:val="both"/>
      <w:outlineLvl w:val="0"/>
    </w:pPr>
    <w:rPr>
      <w:rFonts w:ascii="Cambria" w:hAnsi="Cambria"/>
      <w:b/>
      <w:kern w:val="32"/>
      <w:sz w:val="32"/>
    </w:rPr>
  </w:style>
  <w:style w:type="paragraph" w:styleId="Titolo3">
    <w:name w:val="heading 3"/>
    <w:basedOn w:val="Normale"/>
    <w:next w:val="Normale"/>
    <w:link w:val="Titolo3Carattere"/>
    <w:qFormat/>
    <w:locked/>
    <w:rsid w:val="003C4C04"/>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qFormat/>
    <w:locked/>
    <w:rsid w:val="00CD17F5"/>
    <w:pPr>
      <w:keepNext/>
      <w:keepLines/>
      <w:spacing w:before="200" w:after="0"/>
      <w:outlineLvl w:val="3"/>
    </w:pPr>
    <w:rPr>
      <w:rFonts w:ascii="Cambria" w:hAnsi="Cambria"/>
      <w:b/>
      <w:bCs/>
      <w:i/>
      <w:iCs/>
      <w:color w:val="4F81BD"/>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226782"/>
    <w:rPr>
      <w:rFonts w:ascii="Cambria" w:hAnsi="Cambria" w:cs="Times New Roman"/>
      <w:b/>
      <w:kern w:val="32"/>
      <w:sz w:val="32"/>
    </w:rPr>
  </w:style>
  <w:style w:type="paragraph" w:styleId="Corpotesto">
    <w:name w:val="Body Text"/>
    <w:basedOn w:val="Normale"/>
    <w:link w:val="CorpotestoCarattere"/>
    <w:uiPriority w:val="99"/>
    <w:rsid w:val="00BC3FFD"/>
    <w:pPr>
      <w:spacing w:before="0" w:after="0" w:line="360" w:lineRule="auto"/>
    </w:pPr>
  </w:style>
  <w:style w:type="character" w:customStyle="1" w:styleId="CorpotestoCarattere">
    <w:name w:val="Corpo testo Carattere"/>
    <w:link w:val="Corpotesto"/>
    <w:uiPriority w:val="99"/>
    <w:locked/>
    <w:rsid w:val="00226782"/>
    <w:rPr>
      <w:rFonts w:cs="Times New Roman"/>
      <w:kern w:val="28"/>
      <w:sz w:val="20"/>
    </w:rPr>
  </w:style>
  <w:style w:type="paragraph" w:styleId="Pidipagina">
    <w:name w:val="footer"/>
    <w:basedOn w:val="Normale"/>
    <w:link w:val="PidipaginaCarattere"/>
    <w:uiPriority w:val="99"/>
    <w:rsid w:val="00BC3FFD"/>
    <w:pPr>
      <w:tabs>
        <w:tab w:val="center" w:pos="4818"/>
        <w:tab w:val="right" w:pos="9637"/>
      </w:tabs>
      <w:spacing w:before="0" w:after="0"/>
      <w:jc w:val="both"/>
    </w:pPr>
  </w:style>
  <w:style w:type="character" w:customStyle="1" w:styleId="PidipaginaCarattere">
    <w:name w:val="Piè di pagina Carattere"/>
    <w:link w:val="Pidipagina"/>
    <w:uiPriority w:val="99"/>
    <w:locked/>
    <w:rsid w:val="00226782"/>
    <w:rPr>
      <w:rFonts w:cs="Times New Roman"/>
      <w:kern w:val="28"/>
      <w:sz w:val="20"/>
    </w:rPr>
  </w:style>
  <w:style w:type="character" w:styleId="Collegamentoipertestuale">
    <w:name w:val="Hyperlink"/>
    <w:uiPriority w:val="99"/>
    <w:rsid w:val="001F7282"/>
    <w:rPr>
      <w:rFonts w:cs="Times New Roman"/>
      <w:color w:val="0000FF"/>
      <w:u w:val="single"/>
    </w:rPr>
  </w:style>
  <w:style w:type="paragraph" w:styleId="Intestazione">
    <w:name w:val="header"/>
    <w:basedOn w:val="Normale"/>
    <w:link w:val="IntestazioneCarattere"/>
    <w:uiPriority w:val="99"/>
    <w:rsid w:val="000F6161"/>
    <w:pPr>
      <w:tabs>
        <w:tab w:val="center" w:pos="4819"/>
        <w:tab w:val="right" w:pos="9638"/>
      </w:tabs>
    </w:pPr>
  </w:style>
  <w:style w:type="character" w:customStyle="1" w:styleId="IntestazioneCarattere">
    <w:name w:val="Intestazione Carattere"/>
    <w:link w:val="Intestazione"/>
    <w:uiPriority w:val="99"/>
    <w:locked/>
    <w:rsid w:val="00226782"/>
    <w:rPr>
      <w:rFonts w:cs="Times New Roman"/>
      <w:kern w:val="28"/>
      <w:sz w:val="20"/>
    </w:rPr>
  </w:style>
  <w:style w:type="character" w:styleId="Numeropagina">
    <w:name w:val="page number"/>
    <w:uiPriority w:val="99"/>
    <w:rsid w:val="0026018C"/>
    <w:rPr>
      <w:rFonts w:cs="Times New Roman"/>
    </w:rPr>
  </w:style>
  <w:style w:type="paragraph" w:styleId="Testofumetto">
    <w:name w:val="Balloon Text"/>
    <w:basedOn w:val="Normale"/>
    <w:link w:val="TestofumettoCarattere"/>
    <w:uiPriority w:val="99"/>
    <w:semiHidden/>
    <w:rsid w:val="00486F36"/>
    <w:rPr>
      <w:sz w:val="2"/>
    </w:rPr>
  </w:style>
  <w:style w:type="character" w:customStyle="1" w:styleId="TestofumettoCarattere">
    <w:name w:val="Testo fumetto Carattere"/>
    <w:link w:val="Testofumetto"/>
    <w:uiPriority w:val="99"/>
    <w:semiHidden/>
    <w:locked/>
    <w:rsid w:val="00226782"/>
    <w:rPr>
      <w:rFonts w:cs="Times New Roman"/>
      <w:kern w:val="28"/>
      <w:sz w:val="2"/>
    </w:rPr>
  </w:style>
  <w:style w:type="paragraph" w:styleId="NormaleWeb">
    <w:name w:val="Normal (Web)"/>
    <w:basedOn w:val="Normale"/>
    <w:uiPriority w:val="99"/>
    <w:rsid w:val="00100058"/>
    <w:pPr>
      <w:widowControl/>
      <w:overflowPunct/>
      <w:autoSpaceDE/>
      <w:autoSpaceDN/>
      <w:adjustRightInd/>
      <w:spacing w:beforeAutospacing="1" w:afterAutospacing="1"/>
    </w:pPr>
    <w:rPr>
      <w:kern w:val="0"/>
      <w:sz w:val="24"/>
      <w:szCs w:val="24"/>
    </w:rPr>
  </w:style>
  <w:style w:type="paragraph" w:styleId="PreformattatoHTML">
    <w:name w:val="HTML Preformatted"/>
    <w:basedOn w:val="Normale"/>
    <w:link w:val="PreformattatoHTMLCarattere"/>
    <w:uiPriority w:val="99"/>
    <w:rsid w:val="009060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after="0"/>
    </w:pPr>
    <w:rPr>
      <w:rFonts w:ascii="Courier New" w:hAnsi="Courier New"/>
    </w:rPr>
  </w:style>
  <w:style w:type="character" w:customStyle="1" w:styleId="PreformattatoHTMLCarattere">
    <w:name w:val="Preformattato HTML Carattere"/>
    <w:link w:val="PreformattatoHTML"/>
    <w:uiPriority w:val="99"/>
    <w:semiHidden/>
    <w:locked/>
    <w:rsid w:val="00226782"/>
    <w:rPr>
      <w:rFonts w:ascii="Courier New" w:hAnsi="Courier New" w:cs="Times New Roman"/>
      <w:kern w:val="28"/>
      <w:sz w:val="20"/>
    </w:rPr>
  </w:style>
  <w:style w:type="character" w:styleId="Enfasigrassetto">
    <w:name w:val="Strong"/>
    <w:uiPriority w:val="99"/>
    <w:qFormat/>
    <w:rsid w:val="008C6EAA"/>
    <w:rPr>
      <w:rFonts w:cs="Times New Roman"/>
      <w:b/>
    </w:rPr>
  </w:style>
  <w:style w:type="table" w:styleId="Grigliatabella">
    <w:name w:val="Table Grid"/>
    <w:basedOn w:val="Tabellanormale"/>
    <w:uiPriority w:val="99"/>
    <w:locked/>
    <w:rsid w:val="00E75D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uiPriority w:val="99"/>
    <w:rsid w:val="00E75DCC"/>
  </w:style>
  <w:style w:type="paragraph" w:styleId="Testonotaapidipagina">
    <w:name w:val="footnote text"/>
    <w:basedOn w:val="Normale"/>
    <w:link w:val="TestonotaapidipaginaCarattere"/>
    <w:rsid w:val="006C145B"/>
  </w:style>
  <w:style w:type="character" w:customStyle="1" w:styleId="TestonotaapidipaginaCarattere">
    <w:name w:val="Testo nota a piè di pagina Carattere"/>
    <w:link w:val="Testonotaapidipagina"/>
    <w:locked/>
    <w:rsid w:val="00F05FF9"/>
    <w:rPr>
      <w:rFonts w:cs="Times New Roman"/>
      <w:kern w:val="28"/>
      <w:sz w:val="20"/>
    </w:rPr>
  </w:style>
  <w:style w:type="character" w:styleId="Rimandonotaapidipagina">
    <w:name w:val="footnote reference"/>
    <w:rsid w:val="006C145B"/>
    <w:rPr>
      <w:rFonts w:cs="Times New Roman"/>
      <w:vertAlign w:val="superscript"/>
    </w:rPr>
  </w:style>
  <w:style w:type="character" w:styleId="Enfasicorsivo">
    <w:name w:val="Emphasis"/>
    <w:uiPriority w:val="99"/>
    <w:qFormat/>
    <w:locked/>
    <w:rsid w:val="00E80FB8"/>
    <w:rPr>
      <w:rFonts w:cs="Times New Roman"/>
      <w:i/>
    </w:rPr>
  </w:style>
  <w:style w:type="paragraph" w:customStyle="1" w:styleId="Grigliamedia1-Colore21">
    <w:name w:val="Griglia media 1 - Colore 21"/>
    <w:basedOn w:val="Normale"/>
    <w:uiPriority w:val="34"/>
    <w:qFormat/>
    <w:rsid w:val="0022535F"/>
    <w:pPr>
      <w:ind w:left="720"/>
      <w:contextualSpacing/>
    </w:pPr>
  </w:style>
  <w:style w:type="character" w:styleId="Rimandocommento">
    <w:name w:val="annotation reference"/>
    <w:uiPriority w:val="99"/>
    <w:semiHidden/>
    <w:unhideWhenUsed/>
    <w:rsid w:val="00407D29"/>
    <w:rPr>
      <w:sz w:val="16"/>
      <w:szCs w:val="16"/>
    </w:rPr>
  </w:style>
  <w:style w:type="paragraph" w:styleId="Testocommento">
    <w:name w:val="annotation text"/>
    <w:basedOn w:val="Normale"/>
    <w:link w:val="TestocommentoCarattere"/>
    <w:uiPriority w:val="99"/>
    <w:semiHidden/>
    <w:unhideWhenUsed/>
    <w:rsid w:val="00407D29"/>
  </w:style>
  <w:style w:type="character" w:customStyle="1" w:styleId="TestocommentoCarattere">
    <w:name w:val="Testo commento Carattere"/>
    <w:link w:val="Testocommento"/>
    <w:uiPriority w:val="99"/>
    <w:semiHidden/>
    <w:rsid w:val="00407D29"/>
    <w:rPr>
      <w:kern w:val="28"/>
      <w:sz w:val="20"/>
      <w:szCs w:val="20"/>
    </w:rPr>
  </w:style>
  <w:style w:type="paragraph" w:styleId="Soggettocommento">
    <w:name w:val="annotation subject"/>
    <w:basedOn w:val="Testocommento"/>
    <w:next w:val="Testocommento"/>
    <w:link w:val="SoggettocommentoCarattere"/>
    <w:uiPriority w:val="99"/>
    <w:semiHidden/>
    <w:unhideWhenUsed/>
    <w:rsid w:val="00407D29"/>
    <w:rPr>
      <w:b/>
      <w:bCs/>
    </w:rPr>
  </w:style>
  <w:style w:type="character" w:customStyle="1" w:styleId="SoggettocommentoCarattere">
    <w:name w:val="Soggetto commento Carattere"/>
    <w:link w:val="Soggettocommento"/>
    <w:uiPriority w:val="99"/>
    <w:semiHidden/>
    <w:rsid w:val="00407D29"/>
    <w:rPr>
      <w:b/>
      <w:bCs/>
      <w:kern w:val="28"/>
      <w:sz w:val="20"/>
      <w:szCs w:val="20"/>
    </w:rPr>
  </w:style>
  <w:style w:type="paragraph" w:styleId="Sottotitolo">
    <w:name w:val="Subtitle"/>
    <w:basedOn w:val="Normale"/>
    <w:next w:val="Normale"/>
    <w:link w:val="SottotitoloCarattere"/>
    <w:qFormat/>
    <w:locked/>
    <w:rsid w:val="006166D3"/>
    <w:pPr>
      <w:numPr>
        <w:ilvl w:val="1"/>
      </w:numPr>
    </w:pPr>
    <w:rPr>
      <w:rFonts w:ascii="Cambria" w:hAnsi="Cambria"/>
      <w:i/>
      <w:iCs/>
      <w:color w:val="4F81BD"/>
      <w:spacing w:val="15"/>
      <w:sz w:val="24"/>
      <w:szCs w:val="24"/>
    </w:rPr>
  </w:style>
  <w:style w:type="character" w:customStyle="1" w:styleId="SottotitoloCarattere">
    <w:name w:val="Sottotitolo Carattere"/>
    <w:link w:val="Sottotitolo"/>
    <w:rsid w:val="006166D3"/>
    <w:rPr>
      <w:rFonts w:ascii="Cambria" w:eastAsia="Times New Roman" w:hAnsi="Cambria" w:cs="Times New Roman"/>
      <w:i/>
      <w:iCs/>
      <w:color w:val="4F81BD"/>
      <w:spacing w:val="15"/>
      <w:kern w:val="28"/>
      <w:sz w:val="24"/>
      <w:szCs w:val="24"/>
    </w:rPr>
  </w:style>
  <w:style w:type="character" w:customStyle="1" w:styleId="Titolo4Carattere">
    <w:name w:val="Titolo 4 Carattere"/>
    <w:link w:val="Titolo4"/>
    <w:uiPriority w:val="9"/>
    <w:rsid w:val="00CD17F5"/>
    <w:rPr>
      <w:rFonts w:ascii="Cambria" w:eastAsia="Times New Roman" w:hAnsi="Cambria" w:cs="Times New Roman"/>
      <w:b/>
      <w:bCs/>
      <w:i/>
      <w:iCs/>
      <w:color w:val="4F81BD"/>
      <w:kern w:val="28"/>
      <w:sz w:val="20"/>
      <w:szCs w:val="20"/>
    </w:rPr>
  </w:style>
  <w:style w:type="paragraph" w:customStyle="1" w:styleId="Default">
    <w:name w:val="Default"/>
    <w:rsid w:val="00417ECD"/>
    <w:pPr>
      <w:autoSpaceDE w:val="0"/>
      <w:autoSpaceDN w:val="0"/>
      <w:adjustRightInd w:val="0"/>
    </w:pPr>
    <w:rPr>
      <w:rFonts w:ascii="Arial Narrow" w:hAnsi="Arial Narrow"/>
      <w:color w:val="000000"/>
      <w:sz w:val="24"/>
      <w:szCs w:val="24"/>
    </w:rPr>
  </w:style>
  <w:style w:type="paragraph" w:customStyle="1" w:styleId="Paragrafobase">
    <w:name w:val="[Paragrafo base]"/>
    <w:basedOn w:val="Normale"/>
    <w:uiPriority w:val="99"/>
    <w:rsid w:val="00083173"/>
    <w:pPr>
      <w:overflowPunct/>
      <w:spacing w:before="0" w:after="0" w:line="288" w:lineRule="auto"/>
      <w:textAlignment w:val="center"/>
    </w:pPr>
    <w:rPr>
      <w:rFonts w:ascii="Times-Roman" w:hAnsi="Times-Roman" w:cs="Times-Roman"/>
      <w:color w:val="000000"/>
      <w:kern w:val="0"/>
      <w:sz w:val="24"/>
      <w:szCs w:val="24"/>
    </w:rPr>
  </w:style>
  <w:style w:type="table" w:customStyle="1" w:styleId="Grigliatabella1">
    <w:name w:val="Griglia tabella1"/>
    <w:basedOn w:val="Tabellanormale"/>
    <w:next w:val="Grigliatabella"/>
    <w:uiPriority w:val="99"/>
    <w:rsid w:val="00A36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1TitoGra">
    <w:name w:val="001TitoGra"/>
    <w:basedOn w:val="Normale"/>
    <w:qFormat/>
    <w:rsid w:val="00FF1163"/>
    <w:pPr>
      <w:spacing w:before="0" w:after="0" w:line="240" w:lineRule="exact"/>
    </w:pPr>
    <w:rPr>
      <w:rFonts w:ascii="Arial Narrow" w:hAnsi="Arial Narrow" w:cs="Arial"/>
      <w:b/>
      <w:color w:val="5F5F5F"/>
      <w:sz w:val="22"/>
      <w:szCs w:val="22"/>
    </w:rPr>
  </w:style>
  <w:style w:type="paragraph" w:customStyle="1" w:styleId="001TitoloBolocco">
    <w:name w:val="001TitoloBolocco"/>
    <w:basedOn w:val="Titolo1"/>
    <w:link w:val="001TitoloBoloccoCarattere"/>
    <w:qFormat/>
    <w:rsid w:val="00E53642"/>
    <w:pPr>
      <w:pBdr>
        <w:bottom w:val="single" w:sz="18" w:space="1" w:color="E31C18"/>
      </w:pBdr>
      <w:spacing w:after="240" w:line="240" w:lineRule="exact"/>
    </w:pPr>
    <w:rPr>
      <w:rFonts w:ascii="Calibri" w:hAnsi="Calibri" w:cs="Arial"/>
      <w:bCs/>
      <w:caps/>
      <w:color w:val="000000"/>
      <w:sz w:val="26"/>
      <w:szCs w:val="28"/>
    </w:rPr>
  </w:style>
  <w:style w:type="character" w:customStyle="1" w:styleId="001TitoloBoloccoCarattere">
    <w:name w:val="001TitoloBolocco Carattere"/>
    <w:link w:val="001TitoloBolocco"/>
    <w:rsid w:val="00E53642"/>
    <w:rPr>
      <w:rFonts w:ascii="Calibri" w:hAnsi="Calibri" w:cs="Arial"/>
      <w:b/>
      <w:bCs/>
      <w:caps/>
      <w:color w:val="000000"/>
      <w:kern w:val="32"/>
      <w:sz w:val="26"/>
      <w:szCs w:val="28"/>
    </w:rPr>
  </w:style>
  <w:style w:type="paragraph" w:customStyle="1" w:styleId="00TitoGra1">
    <w:name w:val="00TitoGra1"/>
    <w:basedOn w:val="Normale"/>
    <w:qFormat/>
    <w:rsid w:val="00E53642"/>
    <w:pPr>
      <w:spacing w:before="0" w:after="0" w:line="280" w:lineRule="exact"/>
    </w:pPr>
    <w:rPr>
      <w:rFonts w:ascii="Calibri" w:hAnsi="Calibri" w:cs="Arial"/>
      <w:b/>
      <w:color w:val="D90B13"/>
      <w:sz w:val="28"/>
      <w:szCs w:val="28"/>
    </w:rPr>
  </w:style>
  <w:style w:type="character" w:customStyle="1" w:styleId="001TitoGraRed">
    <w:name w:val="001TitoGraRed"/>
    <w:uiPriority w:val="1"/>
    <w:qFormat/>
    <w:rsid w:val="00FF1163"/>
    <w:rPr>
      <w:color w:val="E31C18"/>
    </w:rPr>
  </w:style>
  <w:style w:type="paragraph" w:customStyle="1" w:styleId="001SottotitoloGra">
    <w:name w:val="001SottotitoloGra"/>
    <w:basedOn w:val="001TitoGra"/>
    <w:qFormat/>
    <w:rsid w:val="00FF1163"/>
    <w:pPr>
      <w:spacing w:after="120"/>
    </w:pPr>
    <w:rPr>
      <w:b w:val="0"/>
      <w:sz w:val="20"/>
      <w:szCs w:val="20"/>
    </w:rPr>
  </w:style>
  <w:style w:type="paragraph" w:styleId="Rientrocorpodeltesto">
    <w:name w:val="Body Text Indent"/>
    <w:basedOn w:val="Normale"/>
    <w:link w:val="RientrocorpodeltestoCarattere"/>
    <w:uiPriority w:val="99"/>
    <w:semiHidden/>
    <w:unhideWhenUsed/>
    <w:rsid w:val="00A53D09"/>
    <w:pPr>
      <w:spacing w:after="120"/>
      <w:ind w:left="283"/>
    </w:pPr>
  </w:style>
  <w:style w:type="character" w:customStyle="1" w:styleId="RientrocorpodeltestoCarattere">
    <w:name w:val="Rientro corpo del testo Carattere"/>
    <w:link w:val="Rientrocorpodeltesto"/>
    <w:uiPriority w:val="99"/>
    <w:semiHidden/>
    <w:rsid w:val="00A53D09"/>
    <w:rPr>
      <w:kern w:val="28"/>
    </w:rPr>
  </w:style>
  <w:style w:type="character" w:customStyle="1" w:styleId="st">
    <w:name w:val="st"/>
    <w:rsid w:val="00431975"/>
  </w:style>
  <w:style w:type="character" w:customStyle="1" w:styleId="TestonotaapidipaginaCarattere1">
    <w:name w:val="Testo nota a piè di pagina Carattere1"/>
    <w:uiPriority w:val="99"/>
    <w:semiHidden/>
    <w:rsid w:val="008B6B43"/>
    <w:rPr>
      <w:sz w:val="20"/>
    </w:rPr>
  </w:style>
  <w:style w:type="paragraph" w:customStyle="1" w:styleId="A">
    <w:name w:val="A"/>
    <w:basedOn w:val="Normale"/>
    <w:next w:val="Corpotesto"/>
    <w:uiPriority w:val="99"/>
    <w:rsid w:val="008B6B43"/>
    <w:pPr>
      <w:widowControl/>
      <w:overflowPunct/>
      <w:autoSpaceDE/>
      <w:autoSpaceDN/>
      <w:adjustRightInd/>
      <w:spacing w:before="0" w:after="0"/>
      <w:jc w:val="both"/>
    </w:pPr>
    <w:rPr>
      <w:b/>
      <w:kern w:val="0"/>
      <w:lang w:eastAsia="ar-SA"/>
    </w:rPr>
  </w:style>
  <w:style w:type="paragraph" w:styleId="Corpodeltesto2">
    <w:name w:val="Body Text 2"/>
    <w:basedOn w:val="Normale"/>
    <w:link w:val="Corpodeltesto2Carattere"/>
    <w:rsid w:val="00BA3168"/>
    <w:pPr>
      <w:spacing w:after="120" w:line="480" w:lineRule="auto"/>
    </w:pPr>
  </w:style>
  <w:style w:type="character" w:customStyle="1" w:styleId="Corpodeltesto2Carattere">
    <w:name w:val="Corpo del testo 2 Carattere"/>
    <w:link w:val="Corpodeltesto2"/>
    <w:rsid w:val="00BA3168"/>
    <w:rPr>
      <w:kern w:val="28"/>
    </w:rPr>
  </w:style>
  <w:style w:type="character" w:customStyle="1" w:styleId="Titolo3Carattere">
    <w:name w:val="Titolo 3 Carattere"/>
    <w:link w:val="Titolo3"/>
    <w:rsid w:val="003C4C04"/>
    <w:rPr>
      <w:rFonts w:ascii="Arial" w:hAnsi="Arial" w:cs="Arial"/>
      <w:b/>
      <w:bCs/>
      <w:kern w:val="28"/>
      <w:sz w:val="26"/>
      <w:szCs w:val="26"/>
    </w:rPr>
  </w:style>
  <w:style w:type="paragraph" w:customStyle="1" w:styleId="Rientrocorpodeltesto31">
    <w:name w:val="Rientro corpo del testo 31"/>
    <w:basedOn w:val="Normale"/>
    <w:uiPriority w:val="99"/>
    <w:rsid w:val="00F06343"/>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overflowPunct/>
      <w:autoSpaceDE/>
      <w:autoSpaceDN/>
      <w:adjustRightInd/>
      <w:spacing w:before="0" w:after="0" w:line="240" w:lineRule="exact"/>
      <w:ind w:left="-567"/>
      <w:jc w:val="both"/>
    </w:pPr>
    <w:rPr>
      <w:spacing w:val="-3"/>
      <w:kern w:val="0"/>
      <w:sz w:val="22"/>
      <w:lang w:eastAsia="ar-SA"/>
    </w:rPr>
  </w:style>
  <w:style w:type="paragraph" w:styleId="Corpodeltesto3">
    <w:name w:val="Body Text 3"/>
    <w:basedOn w:val="Normale"/>
    <w:link w:val="Corpodeltesto3Carattere"/>
    <w:uiPriority w:val="99"/>
    <w:unhideWhenUsed/>
    <w:rsid w:val="00A00806"/>
    <w:pPr>
      <w:spacing w:after="120"/>
    </w:pPr>
    <w:rPr>
      <w:sz w:val="16"/>
      <w:szCs w:val="16"/>
    </w:rPr>
  </w:style>
  <w:style w:type="character" w:customStyle="1" w:styleId="Corpodeltesto3Carattere">
    <w:name w:val="Corpo del testo 3 Carattere"/>
    <w:link w:val="Corpodeltesto3"/>
    <w:uiPriority w:val="99"/>
    <w:rsid w:val="00A00806"/>
    <w:rPr>
      <w:kern w:val="28"/>
      <w:sz w:val="16"/>
      <w:szCs w:val="16"/>
    </w:rPr>
  </w:style>
  <w:style w:type="character" w:styleId="Collegamentovisitato">
    <w:name w:val="FollowedHyperlink"/>
    <w:uiPriority w:val="99"/>
    <w:semiHidden/>
    <w:unhideWhenUsed/>
    <w:rsid w:val="00704D7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3486">
      <w:bodyDiv w:val="1"/>
      <w:marLeft w:val="0"/>
      <w:marRight w:val="0"/>
      <w:marTop w:val="0"/>
      <w:marBottom w:val="0"/>
      <w:divBdr>
        <w:top w:val="none" w:sz="0" w:space="0" w:color="auto"/>
        <w:left w:val="none" w:sz="0" w:space="0" w:color="auto"/>
        <w:bottom w:val="none" w:sz="0" w:space="0" w:color="auto"/>
        <w:right w:val="none" w:sz="0" w:space="0" w:color="auto"/>
      </w:divBdr>
    </w:div>
    <w:div w:id="6180447">
      <w:bodyDiv w:val="1"/>
      <w:marLeft w:val="0"/>
      <w:marRight w:val="0"/>
      <w:marTop w:val="0"/>
      <w:marBottom w:val="0"/>
      <w:divBdr>
        <w:top w:val="none" w:sz="0" w:space="0" w:color="auto"/>
        <w:left w:val="none" w:sz="0" w:space="0" w:color="auto"/>
        <w:bottom w:val="none" w:sz="0" w:space="0" w:color="auto"/>
        <w:right w:val="none" w:sz="0" w:space="0" w:color="auto"/>
      </w:divBdr>
    </w:div>
    <w:div w:id="29649862">
      <w:bodyDiv w:val="1"/>
      <w:marLeft w:val="0"/>
      <w:marRight w:val="0"/>
      <w:marTop w:val="0"/>
      <w:marBottom w:val="0"/>
      <w:divBdr>
        <w:top w:val="none" w:sz="0" w:space="0" w:color="auto"/>
        <w:left w:val="none" w:sz="0" w:space="0" w:color="auto"/>
        <w:bottom w:val="none" w:sz="0" w:space="0" w:color="auto"/>
        <w:right w:val="none" w:sz="0" w:space="0" w:color="auto"/>
      </w:divBdr>
    </w:div>
    <w:div w:id="69041894">
      <w:bodyDiv w:val="1"/>
      <w:marLeft w:val="0"/>
      <w:marRight w:val="0"/>
      <w:marTop w:val="0"/>
      <w:marBottom w:val="0"/>
      <w:divBdr>
        <w:top w:val="none" w:sz="0" w:space="0" w:color="auto"/>
        <w:left w:val="none" w:sz="0" w:space="0" w:color="auto"/>
        <w:bottom w:val="none" w:sz="0" w:space="0" w:color="auto"/>
        <w:right w:val="none" w:sz="0" w:space="0" w:color="auto"/>
      </w:divBdr>
    </w:div>
    <w:div w:id="72625743">
      <w:bodyDiv w:val="1"/>
      <w:marLeft w:val="0"/>
      <w:marRight w:val="0"/>
      <w:marTop w:val="0"/>
      <w:marBottom w:val="0"/>
      <w:divBdr>
        <w:top w:val="none" w:sz="0" w:space="0" w:color="auto"/>
        <w:left w:val="none" w:sz="0" w:space="0" w:color="auto"/>
        <w:bottom w:val="none" w:sz="0" w:space="0" w:color="auto"/>
        <w:right w:val="none" w:sz="0" w:space="0" w:color="auto"/>
      </w:divBdr>
    </w:div>
    <w:div w:id="111638430">
      <w:bodyDiv w:val="1"/>
      <w:marLeft w:val="0"/>
      <w:marRight w:val="0"/>
      <w:marTop w:val="0"/>
      <w:marBottom w:val="0"/>
      <w:divBdr>
        <w:top w:val="none" w:sz="0" w:space="0" w:color="auto"/>
        <w:left w:val="none" w:sz="0" w:space="0" w:color="auto"/>
        <w:bottom w:val="none" w:sz="0" w:space="0" w:color="auto"/>
        <w:right w:val="none" w:sz="0" w:space="0" w:color="auto"/>
      </w:divBdr>
    </w:div>
    <w:div w:id="190531945">
      <w:bodyDiv w:val="1"/>
      <w:marLeft w:val="0"/>
      <w:marRight w:val="0"/>
      <w:marTop w:val="0"/>
      <w:marBottom w:val="0"/>
      <w:divBdr>
        <w:top w:val="none" w:sz="0" w:space="0" w:color="auto"/>
        <w:left w:val="none" w:sz="0" w:space="0" w:color="auto"/>
        <w:bottom w:val="none" w:sz="0" w:space="0" w:color="auto"/>
        <w:right w:val="none" w:sz="0" w:space="0" w:color="auto"/>
      </w:divBdr>
    </w:div>
    <w:div w:id="193345705">
      <w:bodyDiv w:val="1"/>
      <w:marLeft w:val="0"/>
      <w:marRight w:val="0"/>
      <w:marTop w:val="0"/>
      <w:marBottom w:val="0"/>
      <w:divBdr>
        <w:top w:val="none" w:sz="0" w:space="0" w:color="auto"/>
        <w:left w:val="none" w:sz="0" w:space="0" w:color="auto"/>
        <w:bottom w:val="none" w:sz="0" w:space="0" w:color="auto"/>
        <w:right w:val="none" w:sz="0" w:space="0" w:color="auto"/>
      </w:divBdr>
    </w:div>
    <w:div w:id="217282464">
      <w:bodyDiv w:val="1"/>
      <w:marLeft w:val="0"/>
      <w:marRight w:val="0"/>
      <w:marTop w:val="0"/>
      <w:marBottom w:val="0"/>
      <w:divBdr>
        <w:top w:val="none" w:sz="0" w:space="0" w:color="auto"/>
        <w:left w:val="none" w:sz="0" w:space="0" w:color="auto"/>
        <w:bottom w:val="none" w:sz="0" w:space="0" w:color="auto"/>
        <w:right w:val="none" w:sz="0" w:space="0" w:color="auto"/>
      </w:divBdr>
    </w:div>
    <w:div w:id="224222885">
      <w:bodyDiv w:val="1"/>
      <w:marLeft w:val="0"/>
      <w:marRight w:val="0"/>
      <w:marTop w:val="0"/>
      <w:marBottom w:val="0"/>
      <w:divBdr>
        <w:top w:val="none" w:sz="0" w:space="0" w:color="auto"/>
        <w:left w:val="none" w:sz="0" w:space="0" w:color="auto"/>
        <w:bottom w:val="none" w:sz="0" w:space="0" w:color="auto"/>
        <w:right w:val="none" w:sz="0" w:space="0" w:color="auto"/>
      </w:divBdr>
    </w:div>
    <w:div w:id="237443218">
      <w:bodyDiv w:val="1"/>
      <w:marLeft w:val="0"/>
      <w:marRight w:val="0"/>
      <w:marTop w:val="0"/>
      <w:marBottom w:val="0"/>
      <w:divBdr>
        <w:top w:val="none" w:sz="0" w:space="0" w:color="auto"/>
        <w:left w:val="none" w:sz="0" w:space="0" w:color="auto"/>
        <w:bottom w:val="none" w:sz="0" w:space="0" w:color="auto"/>
        <w:right w:val="none" w:sz="0" w:space="0" w:color="auto"/>
      </w:divBdr>
    </w:div>
    <w:div w:id="253520606">
      <w:bodyDiv w:val="1"/>
      <w:marLeft w:val="0"/>
      <w:marRight w:val="0"/>
      <w:marTop w:val="0"/>
      <w:marBottom w:val="0"/>
      <w:divBdr>
        <w:top w:val="none" w:sz="0" w:space="0" w:color="auto"/>
        <w:left w:val="none" w:sz="0" w:space="0" w:color="auto"/>
        <w:bottom w:val="none" w:sz="0" w:space="0" w:color="auto"/>
        <w:right w:val="none" w:sz="0" w:space="0" w:color="auto"/>
      </w:divBdr>
    </w:div>
    <w:div w:id="309137912">
      <w:bodyDiv w:val="1"/>
      <w:marLeft w:val="0"/>
      <w:marRight w:val="0"/>
      <w:marTop w:val="0"/>
      <w:marBottom w:val="0"/>
      <w:divBdr>
        <w:top w:val="none" w:sz="0" w:space="0" w:color="auto"/>
        <w:left w:val="none" w:sz="0" w:space="0" w:color="auto"/>
        <w:bottom w:val="none" w:sz="0" w:space="0" w:color="auto"/>
        <w:right w:val="none" w:sz="0" w:space="0" w:color="auto"/>
      </w:divBdr>
    </w:div>
    <w:div w:id="402219072">
      <w:bodyDiv w:val="1"/>
      <w:marLeft w:val="0"/>
      <w:marRight w:val="0"/>
      <w:marTop w:val="0"/>
      <w:marBottom w:val="0"/>
      <w:divBdr>
        <w:top w:val="none" w:sz="0" w:space="0" w:color="auto"/>
        <w:left w:val="none" w:sz="0" w:space="0" w:color="auto"/>
        <w:bottom w:val="none" w:sz="0" w:space="0" w:color="auto"/>
        <w:right w:val="none" w:sz="0" w:space="0" w:color="auto"/>
      </w:divBdr>
    </w:div>
    <w:div w:id="474226301">
      <w:bodyDiv w:val="1"/>
      <w:marLeft w:val="0"/>
      <w:marRight w:val="0"/>
      <w:marTop w:val="0"/>
      <w:marBottom w:val="0"/>
      <w:divBdr>
        <w:top w:val="none" w:sz="0" w:space="0" w:color="auto"/>
        <w:left w:val="none" w:sz="0" w:space="0" w:color="auto"/>
        <w:bottom w:val="none" w:sz="0" w:space="0" w:color="auto"/>
        <w:right w:val="none" w:sz="0" w:space="0" w:color="auto"/>
      </w:divBdr>
    </w:div>
    <w:div w:id="498884580">
      <w:bodyDiv w:val="1"/>
      <w:marLeft w:val="0"/>
      <w:marRight w:val="0"/>
      <w:marTop w:val="0"/>
      <w:marBottom w:val="0"/>
      <w:divBdr>
        <w:top w:val="none" w:sz="0" w:space="0" w:color="auto"/>
        <w:left w:val="none" w:sz="0" w:space="0" w:color="auto"/>
        <w:bottom w:val="none" w:sz="0" w:space="0" w:color="auto"/>
        <w:right w:val="none" w:sz="0" w:space="0" w:color="auto"/>
      </w:divBdr>
    </w:div>
    <w:div w:id="521630806">
      <w:bodyDiv w:val="1"/>
      <w:marLeft w:val="0"/>
      <w:marRight w:val="0"/>
      <w:marTop w:val="0"/>
      <w:marBottom w:val="0"/>
      <w:divBdr>
        <w:top w:val="none" w:sz="0" w:space="0" w:color="auto"/>
        <w:left w:val="none" w:sz="0" w:space="0" w:color="auto"/>
        <w:bottom w:val="none" w:sz="0" w:space="0" w:color="auto"/>
        <w:right w:val="none" w:sz="0" w:space="0" w:color="auto"/>
      </w:divBdr>
    </w:div>
    <w:div w:id="530411729">
      <w:bodyDiv w:val="1"/>
      <w:marLeft w:val="0"/>
      <w:marRight w:val="0"/>
      <w:marTop w:val="0"/>
      <w:marBottom w:val="0"/>
      <w:divBdr>
        <w:top w:val="none" w:sz="0" w:space="0" w:color="auto"/>
        <w:left w:val="none" w:sz="0" w:space="0" w:color="auto"/>
        <w:bottom w:val="none" w:sz="0" w:space="0" w:color="auto"/>
        <w:right w:val="none" w:sz="0" w:space="0" w:color="auto"/>
      </w:divBdr>
    </w:div>
    <w:div w:id="546995541">
      <w:bodyDiv w:val="1"/>
      <w:marLeft w:val="0"/>
      <w:marRight w:val="0"/>
      <w:marTop w:val="0"/>
      <w:marBottom w:val="0"/>
      <w:divBdr>
        <w:top w:val="none" w:sz="0" w:space="0" w:color="auto"/>
        <w:left w:val="none" w:sz="0" w:space="0" w:color="auto"/>
        <w:bottom w:val="none" w:sz="0" w:space="0" w:color="auto"/>
        <w:right w:val="none" w:sz="0" w:space="0" w:color="auto"/>
      </w:divBdr>
    </w:div>
    <w:div w:id="588998793">
      <w:bodyDiv w:val="1"/>
      <w:marLeft w:val="0"/>
      <w:marRight w:val="0"/>
      <w:marTop w:val="0"/>
      <w:marBottom w:val="0"/>
      <w:divBdr>
        <w:top w:val="none" w:sz="0" w:space="0" w:color="auto"/>
        <w:left w:val="none" w:sz="0" w:space="0" w:color="auto"/>
        <w:bottom w:val="none" w:sz="0" w:space="0" w:color="auto"/>
        <w:right w:val="none" w:sz="0" w:space="0" w:color="auto"/>
      </w:divBdr>
    </w:div>
    <w:div w:id="622662056">
      <w:bodyDiv w:val="1"/>
      <w:marLeft w:val="0"/>
      <w:marRight w:val="0"/>
      <w:marTop w:val="0"/>
      <w:marBottom w:val="0"/>
      <w:divBdr>
        <w:top w:val="none" w:sz="0" w:space="0" w:color="auto"/>
        <w:left w:val="none" w:sz="0" w:space="0" w:color="auto"/>
        <w:bottom w:val="none" w:sz="0" w:space="0" w:color="auto"/>
        <w:right w:val="none" w:sz="0" w:space="0" w:color="auto"/>
      </w:divBdr>
    </w:div>
    <w:div w:id="631524876">
      <w:bodyDiv w:val="1"/>
      <w:marLeft w:val="0"/>
      <w:marRight w:val="0"/>
      <w:marTop w:val="0"/>
      <w:marBottom w:val="0"/>
      <w:divBdr>
        <w:top w:val="none" w:sz="0" w:space="0" w:color="auto"/>
        <w:left w:val="none" w:sz="0" w:space="0" w:color="auto"/>
        <w:bottom w:val="none" w:sz="0" w:space="0" w:color="auto"/>
        <w:right w:val="none" w:sz="0" w:space="0" w:color="auto"/>
      </w:divBdr>
    </w:div>
    <w:div w:id="633680423">
      <w:bodyDiv w:val="1"/>
      <w:marLeft w:val="0"/>
      <w:marRight w:val="0"/>
      <w:marTop w:val="0"/>
      <w:marBottom w:val="0"/>
      <w:divBdr>
        <w:top w:val="none" w:sz="0" w:space="0" w:color="auto"/>
        <w:left w:val="none" w:sz="0" w:space="0" w:color="auto"/>
        <w:bottom w:val="none" w:sz="0" w:space="0" w:color="auto"/>
        <w:right w:val="none" w:sz="0" w:space="0" w:color="auto"/>
      </w:divBdr>
    </w:div>
    <w:div w:id="636954640">
      <w:bodyDiv w:val="1"/>
      <w:marLeft w:val="0"/>
      <w:marRight w:val="0"/>
      <w:marTop w:val="0"/>
      <w:marBottom w:val="0"/>
      <w:divBdr>
        <w:top w:val="none" w:sz="0" w:space="0" w:color="auto"/>
        <w:left w:val="none" w:sz="0" w:space="0" w:color="auto"/>
        <w:bottom w:val="none" w:sz="0" w:space="0" w:color="auto"/>
        <w:right w:val="none" w:sz="0" w:space="0" w:color="auto"/>
      </w:divBdr>
    </w:div>
    <w:div w:id="646596715">
      <w:bodyDiv w:val="1"/>
      <w:marLeft w:val="0"/>
      <w:marRight w:val="0"/>
      <w:marTop w:val="0"/>
      <w:marBottom w:val="0"/>
      <w:divBdr>
        <w:top w:val="none" w:sz="0" w:space="0" w:color="auto"/>
        <w:left w:val="none" w:sz="0" w:space="0" w:color="auto"/>
        <w:bottom w:val="none" w:sz="0" w:space="0" w:color="auto"/>
        <w:right w:val="none" w:sz="0" w:space="0" w:color="auto"/>
      </w:divBdr>
    </w:div>
    <w:div w:id="669018745">
      <w:bodyDiv w:val="1"/>
      <w:marLeft w:val="0"/>
      <w:marRight w:val="0"/>
      <w:marTop w:val="0"/>
      <w:marBottom w:val="0"/>
      <w:divBdr>
        <w:top w:val="none" w:sz="0" w:space="0" w:color="auto"/>
        <w:left w:val="none" w:sz="0" w:space="0" w:color="auto"/>
        <w:bottom w:val="none" w:sz="0" w:space="0" w:color="auto"/>
        <w:right w:val="none" w:sz="0" w:space="0" w:color="auto"/>
      </w:divBdr>
    </w:div>
    <w:div w:id="679351289">
      <w:bodyDiv w:val="1"/>
      <w:marLeft w:val="0"/>
      <w:marRight w:val="0"/>
      <w:marTop w:val="0"/>
      <w:marBottom w:val="0"/>
      <w:divBdr>
        <w:top w:val="none" w:sz="0" w:space="0" w:color="auto"/>
        <w:left w:val="none" w:sz="0" w:space="0" w:color="auto"/>
        <w:bottom w:val="none" w:sz="0" w:space="0" w:color="auto"/>
        <w:right w:val="none" w:sz="0" w:space="0" w:color="auto"/>
      </w:divBdr>
    </w:div>
    <w:div w:id="709768472">
      <w:bodyDiv w:val="1"/>
      <w:marLeft w:val="0"/>
      <w:marRight w:val="0"/>
      <w:marTop w:val="0"/>
      <w:marBottom w:val="0"/>
      <w:divBdr>
        <w:top w:val="none" w:sz="0" w:space="0" w:color="auto"/>
        <w:left w:val="none" w:sz="0" w:space="0" w:color="auto"/>
        <w:bottom w:val="none" w:sz="0" w:space="0" w:color="auto"/>
        <w:right w:val="none" w:sz="0" w:space="0" w:color="auto"/>
      </w:divBdr>
    </w:div>
    <w:div w:id="727991793">
      <w:bodyDiv w:val="1"/>
      <w:marLeft w:val="0"/>
      <w:marRight w:val="0"/>
      <w:marTop w:val="0"/>
      <w:marBottom w:val="0"/>
      <w:divBdr>
        <w:top w:val="none" w:sz="0" w:space="0" w:color="auto"/>
        <w:left w:val="none" w:sz="0" w:space="0" w:color="auto"/>
        <w:bottom w:val="none" w:sz="0" w:space="0" w:color="auto"/>
        <w:right w:val="none" w:sz="0" w:space="0" w:color="auto"/>
      </w:divBdr>
    </w:div>
    <w:div w:id="772897932">
      <w:bodyDiv w:val="1"/>
      <w:marLeft w:val="0"/>
      <w:marRight w:val="0"/>
      <w:marTop w:val="0"/>
      <w:marBottom w:val="0"/>
      <w:divBdr>
        <w:top w:val="none" w:sz="0" w:space="0" w:color="auto"/>
        <w:left w:val="none" w:sz="0" w:space="0" w:color="auto"/>
        <w:bottom w:val="none" w:sz="0" w:space="0" w:color="auto"/>
        <w:right w:val="none" w:sz="0" w:space="0" w:color="auto"/>
      </w:divBdr>
    </w:div>
    <w:div w:id="777142644">
      <w:bodyDiv w:val="1"/>
      <w:marLeft w:val="0"/>
      <w:marRight w:val="0"/>
      <w:marTop w:val="0"/>
      <w:marBottom w:val="0"/>
      <w:divBdr>
        <w:top w:val="none" w:sz="0" w:space="0" w:color="auto"/>
        <w:left w:val="none" w:sz="0" w:space="0" w:color="auto"/>
        <w:bottom w:val="none" w:sz="0" w:space="0" w:color="auto"/>
        <w:right w:val="none" w:sz="0" w:space="0" w:color="auto"/>
      </w:divBdr>
    </w:div>
    <w:div w:id="789978370">
      <w:marLeft w:val="0"/>
      <w:marRight w:val="0"/>
      <w:marTop w:val="0"/>
      <w:marBottom w:val="0"/>
      <w:divBdr>
        <w:top w:val="none" w:sz="0" w:space="0" w:color="auto"/>
        <w:left w:val="none" w:sz="0" w:space="0" w:color="auto"/>
        <w:bottom w:val="none" w:sz="0" w:space="0" w:color="auto"/>
        <w:right w:val="none" w:sz="0" w:space="0" w:color="auto"/>
      </w:divBdr>
    </w:div>
    <w:div w:id="789978371">
      <w:marLeft w:val="0"/>
      <w:marRight w:val="0"/>
      <w:marTop w:val="0"/>
      <w:marBottom w:val="0"/>
      <w:divBdr>
        <w:top w:val="none" w:sz="0" w:space="0" w:color="auto"/>
        <w:left w:val="none" w:sz="0" w:space="0" w:color="auto"/>
        <w:bottom w:val="none" w:sz="0" w:space="0" w:color="auto"/>
        <w:right w:val="none" w:sz="0" w:space="0" w:color="auto"/>
      </w:divBdr>
    </w:div>
    <w:div w:id="789978372">
      <w:marLeft w:val="0"/>
      <w:marRight w:val="0"/>
      <w:marTop w:val="0"/>
      <w:marBottom w:val="0"/>
      <w:divBdr>
        <w:top w:val="none" w:sz="0" w:space="0" w:color="auto"/>
        <w:left w:val="none" w:sz="0" w:space="0" w:color="auto"/>
        <w:bottom w:val="none" w:sz="0" w:space="0" w:color="auto"/>
        <w:right w:val="none" w:sz="0" w:space="0" w:color="auto"/>
      </w:divBdr>
    </w:div>
    <w:div w:id="789978373">
      <w:marLeft w:val="0"/>
      <w:marRight w:val="0"/>
      <w:marTop w:val="0"/>
      <w:marBottom w:val="0"/>
      <w:divBdr>
        <w:top w:val="none" w:sz="0" w:space="0" w:color="auto"/>
        <w:left w:val="none" w:sz="0" w:space="0" w:color="auto"/>
        <w:bottom w:val="none" w:sz="0" w:space="0" w:color="auto"/>
        <w:right w:val="none" w:sz="0" w:space="0" w:color="auto"/>
      </w:divBdr>
    </w:div>
    <w:div w:id="789978374">
      <w:marLeft w:val="0"/>
      <w:marRight w:val="0"/>
      <w:marTop w:val="0"/>
      <w:marBottom w:val="0"/>
      <w:divBdr>
        <w:top w:val="none" w:sz="0" w:space="0" w:color="auto"/>
        <w:left w:val="none" w:sz="0" w:space="0" w:color="auto"/>
        <w:bottom w:val="none" w:sz="0" w:space="0" w:color="auto"/>
        <w:right w:val="none" w:sz="0" w:space="0" w:color="auto"/>
      </w:divBdr>
    </w:div>
    <w:div w:id="789978375">
      <w:marLeft w:val="0"/>
      <w:marRight w:val="0"/>
      <w:marTop w:val="0"/>
      <w:marBottom w:val="0"/>
      <w:divBdr>
        <w:top w:val="none" w:sz="0" w:space="0" w:color="auto"/>
        <w:left w:val="none" w:sz="0" w:space="0" w:color="auto"/>
        <w:bottom w:val="none" w:sz="0" w:space="0" w:color="auto"/>
        <w:right w:val="none" w:sz="0" w:space="0" w:color="auto"/>
      </w:divBdr>
    </w:div>
    <w:div w:id="789978376">
      <w:marLeft w:val="0"/>
      <w:marRight w:val="0"/>
      <w:marTop w:val="0"/>
      <w:marBottom w:val="0"/>
      <w:divBdr>
        <w:top w:val="none" w:sz="0" w:space="0" w:color="auto"/>
        <w:left w:val="none" w:sz="0" w:space="0" w:color="auto"/>
        <w:bottom w:val="none" w:sz="0" w:space="0" w:color="auto"/>
        <w:right w:val="none" w:sz="0" w:space="0" w:color="auto"/>
      </w:divBdr>
    </w:div>
    <w:div w:id="789978377">
      <w:marLeft w:val="0"/>
      <w:marRight w:val="0"/>
      <w:marTop w:val="0"/>
      <w:marBottom w:val="0"/>
      <w:divBdr>
        <w:top w:val="none" w:sz="0" w:space="0" w:color="auto"/>
        <w:left w:val="none" w:sz="0" w:space="0" w:color="auto"/>
        <w:bottom w:val="none" w:sz="0" w:space="0" w:color="auto"/>
        <w:right w:val="none" w:sz="0" w:space="0" w:color="auto"/>
      </w:divBdr>
    </w:div>
    <w:div w:id="789978378">
      <w:marLeft w:val="0"/>
      <w:marRight w:val="0"/>
      <w:marTop w:val="0"/>
      <w:marBottom w:val="0"/>
      <w:divBdr>
        <w:top w:val="none" w:sz="0" w:space="0" w:color="auto"/>
        <w:left w:val="none" w:sz="0" w:space="0" w:color="auto"/>
        <w:bottom w:val="none" w:sz="0" w:space="0" w:color="auto"/>
        <w:right w:val="none" w:sz="0" w:space="0" w:color="auto"/>
      </w:divBdr>
    </w:div>
    <w:div w:id="789978379">
      <w:marLeft w:val="0"/>
      <w:marRight w:val="0"/>
      <w:marTop w:val="0"/>
      <w:marBottom w:val="0"/>
      <w:divBdr>
        <w:top w:val="none" w:sz="0" w:space="0" w:color="auto"/>
        <w:left w:val="none" w:sz="0" w:space="0" w:color="auto"/>
        <w:bottom w:val="none" w:sz="0" w:space="0" w:color="auto"/>
        <w:right w:val="none" w:sz="0" w:space="0" w:color="auto"/>
      </w:divBdr>
    </w:div>
    <w:div w:id="789978380">
      <w:marLeft w:val="0"/>
      <w:marRight w:val="0"/>
      <w:marTop w:val="0"/>
      <w:marBottom w:val="0"/>
      <w:divBdr>
        <w:top w:val="none" w:sz="0" w:space="0" w:color="auto"/>
        <w:left w:val="none" w:sz="0" w:space="0" w:color="auto"/>
        <w:bottom w:val="none" w:sz="0" w:space="0" w:color="auto"/>
        <w:right w:val="none" w:sz="0" w:space="0" w:color="auto"/>
      </w:divBdr>
    </w:div>
    <w:div w:id="789978381">
      <w:marLeft w:val="0"/>
      <w:marRight w:val="0"/>
      <w:marTop w:val="0"/>
      <w:marBottom w:val="0"/>
      <w:divBdr>
        <w:top w:val="none" w:sz="0" w:space="0" w:color="auto"/>
        <w:left w:val="none" w:sz="0" w:space="0" w:color="auto"/>
        <w:bottom w:val="none" w:sz="0" w:space="0" w:color="auto"/>
        <w:right w:val="none" w:sz="0" w:space="0" w:color="auto"/>
      </w:divBdr>
    </w:div>
    <w:div w:id="789978382">
      <w:marLeft w:val="0"/>
      <w:marRight w:val="0"/>
      <w:marTop w:val="0"/>
      <w:marBottom w:val="0"/>
      <w:divBdr>
        <w:top w:val="none" w:sz="0" w:space="0" w:color="auto"/>
        <w:left w:val="none" w:sz="0" w:space="0" w:color="auto"/>
        <w:bottom w:val="none" w:sz="0" w:space="0" w:color="auto"/>
        <w:right w:val="none" w:sz="0" w:space="0" w:color="auto"/>
      </w:divBdr>
    </w:div>
    <w:div w:id="789978383">
      <w:marLeft w:val="0"/>
      <w:marRight w:val="0"/>
      <w:marTop w:val="0"/>
      <w:marBottom w:val="0"/>
      <w:divBdr>
        <w:top w:val="none" w:sz="0" w:space="0" w:color="auto"/>
        <w:left w:val="none" w:sz="0" w:space="0" w:color="auto"/>
        <w:bottom w:val="none" w:sz="0" w:space="0" w:color="auto"/>
        <w:right w:val="none" w:sz="0" w:space="0" w:color="auto"/>
      </w:divBdr>
    </w:div>
    <w:div w:id="789978384">
      <w:marLeft w:val="0"/>
      <w:marRight w:val="0"/>
      <w:marTop w:val="0"/>
      <w:marBottom w:val="0"/>
      <w:divBdr>
        <w:top w:val="none" w:sz="0" w:space="0" w:color="auto"/>
        <w:left w:val="none" w:sz="0" w:space="0" w:color="auto"/>
        <w:bottom w:val="none" w:sz="0" w:space="0" w:color="auto"/>
        <w:right w:val="none" w:sz="0" w:space="0" w:color="auto"/>
      </w:divBdr>
    </w:div>
    <w:div w:id="789978385">
      <w:marLeft w:val="0"/>
      <w:marRight w:val="0"/>
      <w:marTop w:val="0"/>
      <w:marBottom w:val="0"/>
      <w:divBdr>
        <w:top w:val="none" w:sz="0" w:space="0" w:color="auto"/>
        <w:left w:val="none" w:sz="0" w:space="0" w:color="auto"/>
        <w:bottom w:val="none" w:sz="0" w:space="0" w:color="auto"/>
        <w:right w:val="none" w:sz="0" w:space="0" w:color="auto"/>
      </w:divBdr>
    </w:div>
    <w:div w:id="789978386">
      <w:marLeft w:val="0"/>
      <w:marRight w:val="0"/>
      <w:marTop w:val="0"/>
      <w:marBottom w:val="0"/>
      <w:divBdr>
        <w:top w:val="none" w:sz="0" w:space="0" w:color="auto"/>
        <w:left w:val="none" w:sz="0" w:space="0" w:color="auto"/>
        <w:bottom w:val="none" w:sz="0" w:space="0" w:color="auto"/>
        <w:right w:val="none" w:sz="0" w:space="0" w:color="auto"/>
      </w:divBdr>
    </w:div>
    <w:div w:id="789978387">
      <w:marLeft w:val="0"/>
      <w:marRight w:val="0"/>
      <w:marTop w:val="0"/>
      <w:marBottom w:val="0"/>
      <w:divBdr>
        <w:top w:val="none" w:sz="0" w:space="0" w:color="auto"/>
        <w:left w:val="none" w:sz="0" w:space="0" w:color="auto"/>
        <w:bottom w:val="none" w:sz="0" w:space="0" w:color="auto"/>
        <w:right w:val="none" w:sz="0" w:space="0" w:color="auto"/>
      </w:divBdr>
    </w:div>
    <w:div w:id="789978388">
      <w:marLeft w:val="0"/>
      <w:marRight w:val="0"/>
      <w:marTop w:val="0"/>
      <w:marBottom w:val="0"/>
      <w:divBdr>
        <w:top w:val="none" w:sz="0" w:space="0" w:color="auto"/>
        <w:left w:val="none" w:sz="0" w:space="0" w:color="auto"/>
        <w:bottom w:val="none" w:sz="0" w:space="0" w:color="auto"/>
        <w:right w:val="none" w:sz="0" w:space="0" w:color="auto"/>
      </w:divBdr>
    </w:div>
    <w:div w:id="789978389">
      <w:marLeft w:val="0"/>
      <w:marRight w:val="0"/>
      <w:marTop w:val="0"/>
      <w:marBottom w:val="0"/>
      <w:divBdr>
        <w:top w:val="none" w:sz="0" w:space="0" w:color="auto"/>
        <w:left w:val="none" w:sz="0" w:space="0" w:color="auto"/>
        <w:bottom w:val="none" w:sz="0" w:space="0" w:color="auto"/>
        <w:right w:val="none" w:sz="0" w:space="0" w:color="auto"/>
      </w:divBdr>
    </w:div>
    <w:div w:id="789978390">
      <w:marLeft w:val="0"/>
      <w:marRight w:val="0"/>
      <w:marTop w:val="0"/>
      <w:marBottom w:val="0"/>
      <w:divBdr>
        <w:top w:val="none" w:sz="0" w:space="0" w:color="auto"/>
        <w:left w:val="none" w:sz="0" w:space="0" w:color="auto"/>
        <w:bottom w:val="none" w:sz="0" w:space="0" w:color="auto"/>
        <w:right w:val="none" w:sz="0" w:space="0" w:color="auto"/>
      </w:divBdr>
    </w:div>
    <w:div w:id="789978391">
      <w:marLeft w:val="0"/>
      <w:marRight w:val="0"/>
      <w:marTop w:val="0"/>
      <w:marBottom w:val="0"/>
      <w:divBdr>
        <w:top w:val="none" w:sz="0" w:space="0" w:color="auto"/>
        <w:left w:val="none" w:sz="0" w:space="0" w:color="auto"/>
        <w:bottom w:val="none" w:sz="0" w:space="0" w:color="auto"/>
        <w:right w:val="none" w:sz="0" w:space="0" w:color="auto"/>
      </w:divBdr>
    </w:div>
    <w:div w:id="789978392">
      <w:marLeft w:val="0"/>
      <w:marRight w:val="0"/>
      <w:marTop w:val="0"/>
      <w:marBottom w:val="0"/>
      <w:divBdr>
        <w:top w:val="none" w:sz="0" w:space="0" w:color="auto"/>
        <w:left w:val="none" w:sz="0" w:space="0" w:color="auto"/>
        <w:bottom w:val="none" w:sz="0" w:space="0" w:color="auto"/>
        <w:right w:val="none" w:sz="0" w:space="0" w:color="auto"/>
      </w:divBdr>
    </w:div>
    <w:div w:id="789978393">
      <w:marLeft w:val="0"/>
      <w:marRight w:val="0"/>
      <w:marTop w:val="0"/>
      <w:marBottom w:val="0"/>
      <w:divBdr>
        <w:top w:val="none" w:sz="0" w:space="0" w:color="auto"/>
        <w:left w:val="none" w:sz="0" w:space="0" w:color="auto"/>
        <w:bottom w:val="none" w:sz="0" w:space="0" w:color="auto"/>
        <w:right w:val="none" w:sz="0" w:space="0" w:color="auto"/>
      </w:divBdr>
    </w:div>
    <w:div w:id="789978394">
      <w:marLeft w:val="0"/>
      <w:marRight w:val="0"/>
      <w:marTop w:val="0"/>
      <w:marBottom w:val="0"/>
      <w:divBdr>
        <w:top w:val="none" w:sz="0" w:space="0" w:color="auto"/>
        <w:left w:val="none" w:sz="0" w:space="0" w:color="auto"/>
        <w:bottom w:val="none" w:sz="0" w:space="0" w:color="auto"/>
        <w:right w:val="none" w:sz="0" w:space="0" w:color="auto"/>
      </w:divBdr>
    </w:div>
    <w:div w:id="789978395">
      <w:marLeft w:val="0"/>
      <w:marRight w:val="0"/>
      <w:marTop w:val="0"/>
      <w:marBottom w:val="0"/>
      <w:divBdr>
        <w:top w:val="none" w:sz="0" w:space="0" w:color="auto"/>
        <w:left w:val="none" w:sz="0" w:space="0" w:color="auto"/>
        <w:bottom w:val="none" w:sz="0" w:space="0" w:color="auto"/>
        <w:right w:val="none" w:sz="0" w:space="0" w:color="auto"/>
      </w:divBdr>
    </w:div>
    <w:div w:id="789978396">
      <w:marLeft w:val="0"/>
      <w:marRight w:val="0"/>
      <w:marTop w:val="0"/>
      <w:marBottom w:val="0"/>
      <w:divBdr>
        <w:top w:val="none" w:sz="0" w:space="0" w:color="auto"/>
        <w:left w:val="none" w:sz="0" w:space="0" w:color="auto"/>
        <w:bottom w:val="none" w:sz="0" w:space="0" w:color="auto"/>
        <w:right w:val="none" w:sz="0" w:space="0" w:color="auto"/>
      </w:divBdr>
    </w:div>
    <w:div w:id="789978397">
      <w:marLeft w:val="0"/>
      <w:marRight w:val="0"/>
      <w:marTop w:val="0"/>
      <w:marBottom w:val="0"/>
      <w:divBdr>
        <w:top w:val="none" w:sz="0" w:space="0" w:color="auto"/>
        <w:left w:val="none" w:sz="0" w:space="0" w:color="auto"/>
        <w:bottom w:val="none" w:sz="0" w:space="0" w:color="auto"/>
        <w:right w:val="none" w:sz="0" w:space="0" w:color="auto"/>
      </w:divBdr>
    </w:div>
    <w:div w:id="789978398">
      <w:marLeft w:val="0"/>
      <w:marRight w:val="0"/>
      <w:marTop w:val="0"/>
      <w:marBottom w:val="0"/>
      <w:divBdr>
        <w:top w:val="none" w:sz="0" w:space="0" w:color="auto"/>
        <w:left w:val="none" w:sz="0" w:space="0" w:color="auto"/>
        <w:bottom w:val="none" w:sz="0" w:space="0" w:color="auto"/>
        <w:right w:val="none" w:sz="0" w:space="0" w:color="auto"/>
      </w:divBdr>
    </w:div>
    <w:div w:id="789978399">
      <w:marLeft w:val="0"/>
      <w:marRight w:val="0"/>
      <w:marTop w:val="0"/>
      <w:marBottom w:val="0"/>
      <w:divBdr>
        <w:top w:val="none" w:sz="0" w:space="0" w:color="auto"/>
        <w:left w:val="none" w:sz="0" w:space="0" w:color="auto"/>
        <w:bottom w:val="none" w:sz="0" w:space="0" w:color="auto"/>
        <w:right w:val="none" w:sz="0" w:space="0" w:color="auto"/>
      </w:divBdr>
    </w:div>
    <w:div w:id="789978400">
      <w:marLeft w:val="0"/>
      <w:marRight w:val="0"/>
      <w:marTop w:val="0"/>
      <w:marBottom w:val="0"/>
      <w:divBdr>
        <w:top w:val="none" w:sz="0" w:space="0" w:color="auto"/>
        <w:left w:val="none" w:sz="0" w:space="0" w:color="auto"/>
        <w:bottom w:val="none" w:sz="0" w:space="0" w:color="auto"/>
        <w:right w:val="none" w:sz="0" w:space="0" w:color="auto"/>
      </w:divBdr>
    </w:div>
    <w:div w:id="789978401">
      <w:marLeft w:val="0"/>
      <w:marRight w:val="0"/>
      <w:marTop w:val="0"/>
      <w:marBottom w:val="0"/>
      <w:divBdr>
        <w:top w:val="none" w:sz="0" w:space="0" w:color="auto"/>
        <w:left w:val="none" w:sz="0" w:space="0" w:color="auto"/>
        <w:bottom w:val="none" w:sz="0" w:space="0" w:color="auto"/>
        <w:right w:val="none" w:sz="0" w:space="0" w:color="auto"/>
      </w:divBdr>
    </w:div>
    <w:div w:id="789978402">
      <w:marLeft w:val="0"/>
      <w:marRight w:val="0"/>
      <w:marTop w:val="0"/>
      <w:marBottom w:val="0"/>
      <w:divBdr>
        <w:top w:val="none" w:sz="0" w:space="0" w:color="auto"/>
        <w:left w:val="none" w:sz="0" w:space="0" w:color="auto"/>
        <w:bottom w:val="none" w:sz="0" w:space="0" w:color="auto"/>
        <w:right w:val="none" w:sz="0" w:space="0" w:color="auto"/>
      </w:divBdr>
    </w:div>
    <w:div w:id="789978403">
      <w:marLeft w:val="0"/>
      <w:marRight w:val="0"/>
      <w:marTop w:val="0"/>
      <w:marBottom w:val="0"/>
      <w:divBdr>
        <w:top w:val="none" w:sz="0" w:space="0" w:color="auto"/>
        <w:left w:val="none" w:sz="0" w:space="0" w:color="auto"/>
        <w:bottom w:val="none" w:sz="0" w:space="0" w:color="auto"/>
        <w:right w:val="none" w:sz="0" w:space="0" w:color="auto"/>
      </w:divBdr>
    </w:div>
    <w:div w:id="789978404">
      <w:marLeft w:val="0"/>
      <w:marRight w:val="0"/>
      <w:marTop w:val="0"/>
      <w:marBottom w:val="0"/>
      <w:divBdr>
        <w:top w:val="none" w:sz="0" w:space="0" w:color="auto"/>
        <w:left w:val="none" w:sz="0" w:space="0" w:color="auto"/>
        <w:bottom w:val="none" w:sz="0" w:space="0" w:color="auto"/>
        <w:right w:val="none" w:sz="0" w:space="0" w:color="auto"/>
      </w:divBdr>
    </w:div>
    <w:div w:id="789978405">
      <w:marLeft w:val="0"/>
      <w:marRight w:val="0"/>
      <w:marTop w:val="0"/>
      <w:marBottom w:val="0"/>
      <w:divBdr>
        <w:top w:val="none" w:sz="0" w:space="0" w:color="auto"/>
        <w:left w:val="none" w:sz="0" w:space="0" w:color="auto"/>
        <w:bottom w:val="none" w:sz="0" w:space="0" w:color="auto"/>
        <w:right w:val="none" w:sz="0" w:space="0" w:color="auto"/>
      </w:divBdr>
    </w:div>
    <w:div w:id="789978406">
      <w:marLeft w:val="0"/>
      <w:marRight w:val="0"/>
      <w:marTop w:val="0"/>
      <w:marBottom w:val="0"/>
      <w:divBdr>
        <w:top w:val="none" w:sz="0" w:space="0" w:color="auto"/>
        <w:left w:val="none" w:sz="0" w:space="0" w:color="auto"/>
        <w:bottom w:val="none" w:sz="0" w:space="0" w:color="auto"/>
        <w:right w:val="none" w:sz="0" w:space="0" w:color="auto"/>
      </w:divBdr>
    </w:div>
    <w:div w:id="789978407">
      <w:marLeft w:val="0"/>
      <w:marRight w:val="0"/>
      <w:marTop w:val="0"/>
      <w:marBottom w:val="0"/>
      <w:divBdr>
        <w:top w:val="none" w:sz="0" w:space="0" w:color="auto"/>
        <w:left w:val="none" w:sz="0" w:space="0" w:color="auto"/>
        <w:bottom w:val="none" w:sz="0" w:space="0" w:color="auto"/>
        <w:right w:val="none" w:sz="0" w:space="0" w:color="auto"/>
      </w:divBdr>
    </w:div>
    <w:div w:id="789978408">
      <w:marLeft w:val="0"/>
      <w:marRight w:val="0"/>
      <w:marTop w:val="0"/>
      <w:marBottom w:val="0"/>
      <w:divBdr>
        <w:top w:val="none" w:sz="0" w:space="0" w:color="auto"/>
        <w:left w:val="none" w:sz="0" w:space="0" w:color="auto"/>
        <w:bottom w:val="none" w:sz="0" w:space="0" w:color="auto"/>
        <w:right w:val="none" w:sz="0" w:space="0" w:color="auto"/>
      </w:divBdr>
    </w:div>
    <w:div w:id="789978409">
      <w:marLeft w:val="0"/>
      <w:marRight w:val="0"/>
      <w:marTop w:val="0"/>
      <w:marBottom w:val="0"/>
      <w:divBdr>
        <w:top w:val="none" w:sz="0" w:space="0" w:color="auto"/>
        <w:left w:val="none" w:sz="0" w:space="0" w:color="auto"/>
        <w:bottom w:val="none" w:sz="0" w:space="0" w:color="auto"/>
        <w:right w:val="none" w:sz="0" w:space="0" w:color="auto"/>
      </w:divBdr>
    </w:div>
    <w:div w:id="789978410">
      <w:marLeft w:val="0"/>
      <w:marRight w:val="0"/>
      <w:marTop w:val="0"/>
      <w:marBottom w:val="0"/>
      <w:divBdr>
        <w:top w:val="none" w:sz="0" w:space="0" w:color="auto"/>
        <w:left w:val="none" w:sz="0" w:space="0" w:color="auto"/>
        <w:bottom w:val="none" w:sz="0" w:space="0" w:color="auto"/>
        <w:right w:val="none" w:sz="0" w:space="0" w:color="auto"/>
      </w:divBdr>
    </w:div>
    <w:div w:id="789978411">
      <w:marLeft w:val="0"/>
      <w:marRight w:val="0"/>
      <w:marTop w:val="0"/>
      <w:marBottom w:val="0"/>
      <w:divBdr>
        <w:top w:val="none" w:sz="0" w:space="0" w:color="auto"/>
        <w:left w:val="none" w:sz="0" w:space="0" w:color="auto"/>
        <w:bottom w:val="none" w:sz="0" w:space="0" w:color="auto"/>
        <w:right w:val="none" w:sz="0" w:space="0" w:color="auto"/>
      </w:divBdr>
    </w:div>
    <w:div w:id="789978412">
      <w:marLeft w:val="0"/>
      <w:marRight w:val="0"/>
      <w:marTop w:val="0"/>
      <w:marBottom w:val="0"/>
      <w:divBdr>
        <w:top w:val="none" w:sz="0" w:space="0" w:color="auto"/>
        <w:left w:val="none" w:sz="0" w:space="0" w:color="auto"/>
        <w:bottom w:val="none" w:sz="0" w:space="0" w:color="auto"/>
        <w:right w:val="none" w:sz="0" w:space="0" w:color="auto"/>
      </w:divBdr>
    </w:div>
    <w:div w:id="789978413">
      <w:marLeft w:val="0"/>
      <w:marRight w:val="0"/>
      <w:marTop w:val="0"/>
      <w:marBottom w:val="0"/>
      <w:divBdr>
        <w:top w:val="none" w:sz="0" w:space="0" w:color="auto"/>
        <w:left w:val="none" w:sz="0" w:space="0" w:color="auto"/>
        <w:bottom w:val="none" w:sz="0" w:space="0" w:color="auto"/>
        <w:right w:val="none" w:sz="0" w:space="0" w:color="auto"/>
      </w:divBdr>
    </w:div>
    <w:div w:id="789978414">
      <w:marLeft w:val="0"/>
      <w:marRight w:val="0"/>
      <w:marTop w:val="0"/>
      <w:marBottom w:val="0"/>
      <w:divBdr>
        <w:top w:val="none" w:sz="0" w:space="0" w:color="auto"/>
        <w:left w:val="none" w:sz="0" w:space="0" w:color="auto"/>
        <w:bottom w:val="none" w:sz="0" w:space="0" w:color="auto"/>
        <w:right w:val="none" w:sz="0" w:space="0" w:color="auto"/>
      </w:divBdr>
    </w:div>
    <w:div w:id="789978415">
      <w:marLeft w:val="0"/>
      <w:marRight w:val="0"/>
      <w:marTop w:val="0"/>
      <w:marBottom w:val="0"/>
      <w:divBdr>
        <w:top w:val="none" w:sz="0" w:space="0" w:color="auto"/>
        <w:left w:val="none" w:sz="0" w:space="0" w:color="auto"/>
        <w:bottom w:val="none" w:sz="0" w:space="0" w:color="auto"/>
        <w:right w:val="none" w:sz="0" w:space="0" w:color="auto"/>
      </w:divBdr>
    </w:div>
    <w:div w:id="789978416">
      <w:marLeft w:val="0"/>
      <w:marRight w:val="0"/>
      <w:marTop w:val="0"/>
      <w:marBottom w:val="0"/>
      <w:divBdr>
        <w:top w:val="none" w:sz="0" w:space="0" w:color="auto"/>
        <w:left w:val="none" w:sz="0" w:space="0" w:color="auto"/>
        <w:bottom w:val="none" w:sz="0" w:space="0" w:color="auto"/>
        <w:right w:val="none" w:sz="0" w:space="0" w:color="auto"/>
      </w:divBdr>
    </w:div>
    <w:div w:id="789978417">
      <w:marLeft w:val="0"/>
      <w:marRight w:val="0"/>
      <w:marTop w:val="0"/>
      <w:marBottom w:val="0"/>
      <w:divBdr>
        <w:top w:val="none" w:sz="0" w:space="0" w:color="auto"/>
        <w:left w:val="none" w:sz="0" w:space="0" w:color="auto"/>
        <w:bottom w:val="none" w:sz="0" w:space="0" w:color="auto"/>
        <w:right w:val="none" w:sz="0" w:space="0" w:color="auto"/>
      </w:divBdr>
    </w:div>
    <w:div w:id="789978418">
      <w:marLeft w:val="0"/>
      <w:marRight w:val="0"/>
      <w:marTop w:val="0"/>
      <w:marBottom w:val="0"/>
      <w:divBdr>
        <w:top w:val="none" w:sz="0" w:space="0" w:color="auto"/>
        <w:left w:val="none" w:sz="0" w:space="0" w:color="auto"/>
        <w:bottom w:val="none" w:sz="0" w:space="0" w:color="auto"/>
        <w:right w:val="none" w:sz="0" w:space="0" w:color="auto"/>
      </w:divBdr>
    </w:div>
    <w:div w:id="789978419">
      <w:marLeft w:val="0"/>
      <w:marRight w:val="0"/>
      <w:marTop w:val="0"/>
      <w:marBottom w:val="0"/>
      <w:divBdr>
        <w:top w:val="none" w:sz="0" w:space="0" w:color="auto"/>
        <w:left w:val="none" w:sz="0" w:space="0" w:color="auto"/>
        <w:bottom w:val="none" w:sz="0" w:space="0" w:color="auto"/>
        <w:right w:val="none" w:sz="0" w:space="0" w:color="auto"/>
      </w:divBdr>
    </w:div>
    <w:div w:id="789978420">
      <w:marLeft w:val="0"/>
      <w:marRight w:val="0"/>
      <w:marTop w:val="0"/>
      <w:marBottom w:val="0"/>
      <w:divBdr>
        <w:top w:val="none" w:sz="0" w:space="0" w:color="auto"/>
        <w:left w:val="none" w:sz="0" w:space="0" w:color="auto"/>
        <w:bottom w:val="none" w:sz="0" w:space="0" w:color="auto"/>
        <w:right w:val="none" w:sz="0" w:space="0" w:color="auto"/>
      </w:divBdr>
    </w:div>
    <w:div w:id="789978421">
      <w:marLeft w:val="0"/>
      <w:marRight w:val="0"/>
      <w:marTop w:val="0"/>
      <w:marBottom w:val="0"/>
      <w:divBdr>
        <w:top w:val="none" w:sz="0" w:space="0" w:color="auto"/>
        <w:left w:val="none" w:sz="0" w:space="0" w:color="auto"/>
        <w:bottom w:val="none" w:sz="0" w:space="0" w:color="auto"/>
        <w:right w:val="none" w:sz="0" w:space="0" w:color="auto"/>
      </w:divBdr>
    </w:div>
    <w:div w:id="789978422">
      <w:marLeft w:val="0"/>
      <w:marRight w:val="0"/>
      <w:marTop w:val="0"/>
      <w:marBottom w:val="0"/>
      <w:divBdr>
        <w:top w:val="none" w:sz="0" w:space="0" w:color="auto"/>
        <w:left w:val="none" w:sz="0" w:space="0" w:color="auto"/>
        <w:bottom w:val="none" w:sz="0" w:space="0" w:color="auto"/>
        <w:right w:val="none" w:sz="0" w:space="0" w:color="auto"/>
      </w:divBdr>
    </w:div>
    <w:div w:id="789978423">
      <w:marLeft w:val="0"/>
      <w:marRight w:val="0"/>
      <w:marTop w:val="0"/>
      <w:marBottom w:val="0"/>
      <w:divBdr>
        <w:top w:val="none" w:sz="0" w:space="0" w:color="auto"/>
        <w:left w:val="none" w:sz="0" w:space="0" w:color="auto"/>
        <w:bottom w:val="none" w:sz="0" w:space="0" w:color="auto"/>
        <w:right w:val="none" w:sz="0" w:space="0" w:color="auto"/>
      </w:divBdr>
    </w:div>
    <w:div w:id="789978424">
      <w:marLeft w:val="0"/>
      <w:marRight w:val="0"/>
      <w:marTop w:val="0"/>
      <w:marBottom w:val="0"/>
      <w:divBdr>
        <w:top w:val="none" w:sz="0" w:space="0" w:color="auto"/>
        <w:left w:val="none" w:sz="0" w:space="0" w:color="auto"/>
        <w:bottom w:val="none" w:sz="0" w:space="0" w:color="auto"/>
        <w:right w:val="none" w:sz="0" w:space="0" w:color="auto"/>
      </w:divBdr>
    </w:div>
    <w:div w:id="789978425">
      <w:marLeft w:val="0"/>
      <w:marRight w:val="0"/>
      <w:marTop w:val="0"/>
      <w:marBottom w:val="0"/>
      <w:divBdr>
        <w:top w:val="none" w:sz="0" w:space="0" w:color="auto"/>
        <w:left w:val="none" w:sz="0" w:space="0" w:color="auto"/>
        <w:bottom w:val="none" w:sz="0" w:space="0" w:color="auto"/>
        <w:right w:val="none" w:sz="0" w:space="0" w:color="auto"/>
      </w:divBdr>
    </w:div>
    <w:div w:id="789978426">
      <w:marLeft w:val="0"/>
      <w:marRight w:val="0"/>
      <w:marTop w:val="0"/>
      <w:marBottom w:val="0"/>
      <w:divBdr>
        <w:top w:val="none" w:sz="0" w:space="0" w:color="auto"/>
        <w:left w:val="none" w:sz="0" w:space="0" w:color="auto"/>
        <w:bottom w:val="none" w:sz="0" w:space="0" w:color="auto"/>
        <w:right w:val="none" w:sz="0" w:space="0" w:color="auto"/>
      </w:divBdr>
    </w:div>
    <w:div w:id="789978427">
      <w:marLeft w:val="0"/>
      <w:marRight w:val="0"/>
      <w:marTop w:val="0"/>
      <w:marBottom w:val="0"/>
      <w:divBdr>
        <w:top w:val="none" w:sz="0" w:space="0" w:color="auto"/>
        <w:left w:val="none" w:sz="0" w:space="0" w:color="auto"/>
        <w:bottom w:val="none" w:sz="0" w:space="0" w:color="auto"/>
        <w:right w:val="none" w:sz="0" w:space="0" w:color="auto"/>
      </w:divBdr>
    </w:div>
    <w:div w:id="789978428">
      <w:marLeft w:val="0"/>
      <w:marRight w:val="0"/>
      <w:marTop w:val="0"/>
      <w:marBottom w:val="0"/>
      <w:divBdr>
        <w:top w:val="none" w:sz="0" w:space="0" w:color="auto"/>
        <w:left w:val="none" w:sz="0" w:space="0" w:color="auto"/>
        <w:bottom w:val="none" w:sz="0" w:space="0" w:color="auto"/>
        <w:right w:val="none" w:sz="0" w:space="0" w:color="auto"/>
      </w:divBdr>
    </w:div>
    <w:div w:id="789978429">
      <w:marLeft w:val="0"/>
      <w:marRight w:val="0"/>
      <w:marTop w:val="0"/>
      <w:marBottom w:val="0"/>
      <w:divBdr>
        <w:top w:val="none" w:sz="0" w:space="0" w:color="auto"/>
        <w:left w:val="none" w:sz="0" w:space="0" w:color="auto"/>
        <w:bottom w:val="none" w:sz="0" w:space="0" w:color="auto"/>
        <w:right w:val="none" w:sz="0" w:space="0" w:color="auto"/>
      </w:divBdr>
    </w:div>
    <w:div w:id="789978430">
      <w:marLeft w:val="0"/>
      <w:marRight w:val="0"/>
      <w:marTop w:val="0"/>
      <w:marBottom w:val="0"/>
      <w:divBdr>
        <w:top w:val="none" w:sz="0" w:space="0" w:color="auto"/>
        <w:left w:val="none" w:sz="0" w:space="0" w:color="auto"/>
        <w:bottom w:val="none" w:sz="0" w:space="0" w:color="auto"/>
        <w:right w:val="none" w:sz="0" w:space="0" w:color="auto"/>
      </w:divBdr>
    </w:div>
    <w:div w:id="789978431">
      <w:marLeft w:val="0"/>
      <w:marRight w:val="0"/>
      <w:marTop w:val="0"/>
      <w:marBottom w:val="0"/>
      <w:divBdr>
        <w:top w:val="none" w:sz="0" w:space="0" w:color="auto"/>
        <w:left w:val="none" w:sz="0" w:space="0" w:color="auto"/>
        <w:bottom w:val="none" w:sz="0" w:space="0" w:color="auto"/>
        <w:right w:val="none" w:sz="0" w:space="0" w:color="auto"/>
      </w:divBdr>
    </w:div>
    <w:div w:id="789978432">
      <w:marLeft w:val="0"/>
      <w:marRight w:val="0"/>
      <w:marTop w:val="0"/>
      <w:marBottom w:val="0"/>
      <w:divBdr>
        <w:top w:val="none" w:sz="0" w:space="0" w:color="auto"/>
        <w:left w:val="none" w:sz="0" w:space="0" w:color="auto"/>
        <w:bottom w:val="none" w:sz="0" w:space="0" w:color="auto"/>
        <w:right w:val="none" w:sz="0" w:space="0" w:color="auto"/>
      </w:divBdr>
    </w:div>
    <w:div w:id="789978433">
      <w:marLeft w:val="0"/>
      <w:marRight w:val="0"/>
      <w:marTop w:val="0"/>
      <w:marBottom w:val="0"/>
      <w:divBdr>
        <w:top w:val="none" w:sz="0" w:space="0" w:color="auto"/>
        <w:left w:val="none" w:sz="0" w:space="0" w:color="auto"/>
        <w:bottom w:val="none" w:sz="0" w:space="0" w:color="auto"/>
        <w:right w:val="none" w:sz="0" w:space="0" w:color="auto"/>
      </w:divBdr>
    </w:div>
    <w:div w:id="789978434">
      <w:marLeft w:val="0"/>
      <w:marRight w:val="0"/>
      <w:marTop w:val="0"/>
      <w:marBottom w:val="0"/>
      <w:divBdr>
        <w:top w:val="none" w:sz="0" w:space="0" w:color="auto"/>
        <w:left w:val="none" w:sz="0" w:space="0" w:color="auto"/>
        <w:bottom w:val="none" w:sz="0" w:space="0" w:color="auto"/>
        <w:right w:val="none" w:sz="0" w:space="0" w:color="auto"/>
      </w:divBdr>
    </w:div>
    <w:div w:id="789978435">
      <w:marLeft w:val="0"/>
      <w:marRight w:val="0"/>
      <w:marTop w:val="0"/>
      <w:marBottom w:val="0"/>
      <w:divBdr>
        <w:top w:val="none" w:sz="0" w:space="0" w:color="auto"/>
        <w:left w:val="none" w:sz="0" w:space="0" w:color="auto"/>
        <w:bottom w:val="none" w:sz="0" w:space="0" w:color="auto"/>
        <w:right w:val="none" w:sz="0" w:space="0" w:color="auto"/>
      </w:divBdr>
    </w:div>
    <w:div w:id="789978436">
      <w:marLeft w:val="0"/>
      <w:marRight w:val="0"/>
      <w:marTop w:val="0"/>
      <w:marBottom w:val="0"/>
      <w:divBdr>
        <w:top w:val="none" w:sz="0" w:space="0" w:color="auto"/>
        <w:left w:val="none" w:sz="0" w:space="0" w:color="auto"/>
        <w:bottom w:val="none" w:sz="0" w:space="0" w:color="auto"/>
        <w:right w:val="none" w:sz="0" w:space="0" w:color="auto"/>
      </w:divBdr>
    </w:div>
    <w:div w:id="789978437">
      <w:marLeft w:val="0"/>
      <w:marRight w:val="0"/>
      <w:marTop w:val="0"/>
      <w:marBottom w:val="0"/>
      <w:divBdr>
        <w:top w:val="none" w:sz="0" w:space="0" w:color="auto"/>
        <w:left w:val="none" w:sz="0" w:space="0" w:color="auto"/>
        <w:bottom w:val="none" w:sz="0" w:space="0" w:color="auto"/>
        <w:right w:val="none" w:sz="0" w:space="0" w:color="auto"/>
      </w:divBdr>
    </w:div>
    <w:div w:id="789978438">
      <w:marLeft w:val="0"/>
      <w:marRight w:val="0"/>
      <w:marTop w:val="0"/>
      <w:marBottom w:val="0"/>
      <w:divBdr>
        <w:top w:val="none" w:sz="0" w:space="0" w:color="auto"/>
        <w:left w:val="none" w:sz="0" w:space="0" w:color="auto"/>
        <w:bottom w:val="none" w:sz="0" w:space="0" w:color="auto"/>
        <w:right w:val="none" w:sz="0" w:space="0" w:color="auto"/>
      </w:divBdr>
    </w:div>
    <w:div w:id="789978439">
      <w:marLeft w:val="0"/>
      <w:marRight w:val="0"/>
      <w:marTop w:val="0"/>
      <w:marBottom w:val="0"/>
      <w:divBdr>
        <w:top w:val="none" w:sz="0" w:space="0" w:color="auto"/>
        <w:left w:val="none" w:sz="0" w:space="0" w:color="auto"/>
        <w:bottom w:val="none" w:sz="0" w:space="0" w:color="auto"/>
        <w:right w:val="none" w:sz="0" w:space="0" w:color="auto"/>
      </w:divBdr>
    </w:div>
    <w:div w:id="789978440">
      <w:marLeft w:val="0"/>
      <w:marRight w:val="0"/>
      <w:marTop w:val="0"/>
      <w:marBottom w:val="0"/>
      <w:divBdr>
        <w:top w:val="none" w:sz="0" w:space="0" w:color="auto"/>
        <w:left w:val="none" w:sz="0" w:space="0" w:color="auto"/>
        <w:bottom w:val="none" w:sz="0" w:space="0" w:color="auto"/>
        <w:right w:val="none" w:sz="0" w:space="0" w:color="auto"/>
      </w:divBdr>
    </w:div>
    <w:div w:id="789978441">
      <w:marLeft w:val="0"/>
      <w:marRight w:val="0"/>
      <w:marTop w:val="0"/>
      <w:marBottom w:val="0"/>
      <w:divBdr>
        <w:top w:val="none" w:sz="0" w:space="0" w:color="auto"/>
        <w:left w:val="none" w:sz="0" w:space="0" w:color="auto"/>
        <w:bottom w:val="none" w:sz="0" w:space="0" w:color="auto"/>
        <w:right w:val="none" w:sz="0" w:space="0" w:color="auto"/>
      </w:divBdr>
    </w:div>
    <w:div w:id="789978442">
      <w:marLeft w:val="0"/>
      <w:marRight w:val="0"/>
      <w:marTop w:val="0"/>
      <w:marBottom w:val="0"/>
      <w:divBdr>
        <w:top w:val="none" w:sz="0" w:space="0" w:color="auto"/>
        <w:left w:val="none" w:sz="0" w:space="0" w:color="auto"/>
        <w:bottom w:val="none" w:sz="0" w:space="0" w:color="auto"/>
        <w:right w:val="none" w:sz="0" w:space="0" w:color="auto"/>
      </w:divBdr>
    </w:div>
    <w:div w:id="789978443">
      <w:marLeft w:val="0"/>
      <w:marRight w:val="0"/>
      <w:marTop w:val="0"/>
      <w:marBottom w:val="0"/>
      <w:divBdr>
        <w:top w:val="none" w:sz="0" w:space="0" w:color="auto"/>
        <w:left w:val="none" w:sz="0" w:space="0" w:color="auto"/>
        <w:bottom w:val="none" w:sz="0" w:space="0" w:color="auto"/>
        <w:right w:val="none" w:sz="0" w:space="0" w:color="auto"/>
      </w:divBdr>
    </w:div>
    <w:div w:id="789978444">
      <w:marLeft w:val="0"/>
      <w:marRight w:val="0"/>
      <w:marTop w:val="0"/>
      <w:marBottom w:val="0"/>
      <w:divBdr>
        <w:top w:val="none" w:sz="0" w:space="0" w:color="auto"/>
        <w:left w:val="none" w:sz="0" w:space="0" w:color="auto"/>
        <w:bottom w:val="none" w:sz="0" w:space="0" w:color="auto"/>
        <w:right w:val="none" w:sz="0" w:space="0" w:color="auto"/>
      </w:divBdr>
    </w:div>
    <w:div w:id="789978445">
      <w:marLeft w:val="0"/>
      <w:marRight w:val="0"/>
      <w:marTop w:val="0"/>
      <w:marBottom w:val="0"/>
      <w:divBdr>
        <w:top w:val="none" w:sz="0" w:space="0" w:color="auto"/>
        <w:left w:val="none" w:sz="0" w:space="0" w:color="auto"/>
        <w:bottom w:val="none" w:sz="0" w:space="0" w:color="auto"/>
        <w:right w:val="none" w:sz="0" w:space="0" w:color="auto"/>
      </w:divBdr>
    </w:div>
    <w:div w:id="789978446">
      <w:marLeft w:val="0"/>
      <w:marRight w:val="0"/>
      <w:marTop w:val="0"/>
      <w:marBottom w:val="0"/>
      <w:divBdr>
        <w:top w:val="none" w:sz="0" w:space="0" w:color="auto"/>
        <w:left w:val="none" w:sz="0" w:space="0" w:color="auto"/>
        <w:bottom w:val="none" w:sz="0" w:space="0" w:color="auto"/>
        <w:right w:val="none" w:sz="0" w:space="0" w:color="auto"/>
      </w:divBdr>
    </w:div>
    <w:div w:id="789978447">
      <w:marLeft w:val="0"/>
      <w:marRight w:val="0"/>
      <w:marTop w:val="0"/>
      <w:marBottom w:val="0"/>
      <w:divBdr>
        <w:top w:val="none" w:sz="0" w:space="0" w:color="auto"/>
        <w:left w:val="none" w:sz="0" w:space="0" w:color="auto"/>
        <w:bottom w:val="none" w:sz="0" w:space="0" w:color="auto"/>
        <w:right w:val="none" w:sz="0" w:space="0" w:color="auto"/>
      </w:divBdr>
    </w:div>
    <w:div w:id="789978448">
      <w:marLeft w:val="0"/>
      <w:marRight w:val="0"/>
      <w:marTop w:val="0"/>
      <w:marBottom w:val="0"/>
      <w:divBdr>
        <w:top w:val="none" w:sz="0" w:space="0" w:color="auto"/>
        <w:left w:val="none" w:sz="0" w:space="0" w:color="auto"/>
        <w:bottom w:val="none" w:sz="0" w:space="0" w:color="auto"/>
        <w:right w:val="none" w:sz="0" w:space="0" w:color="auto"/>
      </w:divBdr>
    </w:div>
    <w:div w:id="789978449">
      <w:marLeft w:val="0"/>
      <w:marRight w:val="0"/>
      <w:marTop w:val="0"/>
      <w:marBottom w:val="0"/>
      <w:divBdr>
        <w:top w:val="none" w:sz="0" w:space="0" w:color="auto"/>
        <w:left w:val="none" w:sz="0" w:space="0" w:color="auto"/>
        <w:bottom w:val="none" w:sz="0" w:space="0" w:color="auto"/>
        <w:right w:val="none" w:sz="0" w:space="0" w:color="auto"/>
      </w:divBdr>
    </w:div>
    <w:div w:id="789978450">
      <w:marLeft w:val="0"/>
      <w:marRight w:val="0"/>
      <w:marTop w:val="0"/>
      <w:marBottom w:val="0"/>
      <w:divBdr>
        <w:top w:val="none" w:sz="0" w:space="0" w:color="auto"/>
        <w:left w:val="none" w:sz="0" w:space="0" w:color="auto"/>
        <w:bottom w:val="none" w:sz="0" w:space="0" w:color="auto"/>
        <w:right w:val="none" w:sz="0" w:space="0" w:color="auto"/>
      </w:divBdr>
    </w:div>
    <w:div w:id="789978451">
      <w:marLeft w:val="0"/>
      <w:marRight w:val="0"/>
      <w:marTop w:val="0"/>
      <w:marBottom w:val="0"/>
      <w:divBdr>
        <w:top w:val="none" w:sz="0" w:space="0" w:color="auto"/>
        <w:left w:val="none" w:sz="0" w:space="0" w:color="auto"/>
        <w:bottom w:val="none" w:sz="0" w:space="0" w:color="auto"/>
        <w:right w:val="none" w:sz="0" w:space="0" w:color="auto"/>
      </w:divBdr>
    </w:div>
    <w:div w:id="789978452">
      <w:marLeft w:val="0"/>
      <w:marRight w:val="0"/>
      <w:marTop w:val="0"/>
      <w:marBottom w:val="0"/>
      <w:divBdr>
        <w:top w:val="none" w:sz="0" w:space="0" w:color="auto"/>
        <w:left w:val="none" w:sz="0" w:space="0" w:color="auto"/>
        <w:bottom w:val="none" w:sz="0" w:space="0" w:color="auto"/>
        <w:right w:val="none" w:sz="0" w:space="0" w:color="auto"/>
      </w:divBdr>
    </w:div>
    <w:div w:id="789978453">
      <w:marLeft w:val="0"/>
      <w:marRight w:val="0"/>
      <w:marTop w:val="0"/>
      <w:marBottom w:val="0"/>
      <w:divBdr>
        <w:top w:val="none" w:sz="0" w:space="0" w:color="auto"/>
        <w:left w:val="none" w:sz="0" w:space="0" w:color="auto"/>
        <w:bottom w:val="none" w:sz="0" w:space="0" w:color="auto"/>
        <w:right w:val="none" w:sz="0" w:space="0" w:color="auto"/>
      </w:divBdr>
    </w:div>
    <w:div w:id="789978454">
      <w:marLeft w:val="0"/>
      <w:marRight w:val="0"/>
      <w:marTop w:val="0"/>
      <w:marBottom w:val="0"/>
      <w:divBdr>
        <w:top w:val="none" w:sz="0" w:space="0" w:color="auto"/>
        <w:left w:val="none" w:sz="0" w:space="0" w:color="auto"/>
        <w:bottom w:val="none" w:sz="0" w:space="0" w:color="auto"/>
        <w:right w:val="none" w:sz="0" w:space="0" w:color="auto"/>
      </w:divBdr>
    </w:div>
    <w:div w:id="789978455">
      <w:marLeft w:val="0"/>
      <w:marRight w:val="0"/>
      <w:marTop w:val="0"/>
      <w:marBottom w:val="0"/>
      <w:divBdr>
        <w:top w:val="none" w:sz="0" w:space="0" w:color="auto"/>
        <w:left w:val="none" w:sz="0" w:space="0" w:color="auto"/>
        <w:bottom w:val="none" w:sz="0" w:space="0" w:color="auto"/>
        <w:right w:val="none" w:sz="0" w:space="0" w:color="auto"/>
      </w:divBdr>
    </w:div>
    <w:div w:id="789978456">
      <w:marLeft w:val="0"/>
      <w:marRight w:val="0"/>
      <w:marTop w:val="0"/>
      <w:marBottom w:val="0"/>
      <w:divBdr>
        <w:top w:val="none" w:sz="0" w:space="0" w:color="auto"/>
        <w:left w:val="none" w:sz="0" w:space="0" w:color="auto"/>
        <w:bottom w:val="none" w:sz="0" w:space="0" w:color="auto"/>
        <w:right w:val="none" w:sz="0" w:space="0" w:color="auto"/>
      </w:divBdr>
    </w:div>
    <w:div w:id="789978457">
      <w:marLeft w:val="0"/>
      <w:marRight w:val="0"/>
      <w:marTop w:val="0"/>
      <w:marBottom w:val="0"/>
      <w:divBdr>
        <w:top w:val="none" w:sz="0" w:space="0" w:color="auto"/>
        <w:left w:val="none" w:sz="0" w:space="0" w:color="auto"/>
        <w:bottom w:val="none" w:sz="0" w:space="0" w:color="auto"/>
        <w:right w:val="none" w:sz="0" w:space="0" w:color="auto"/>
      </w:divBdr>
    </w:div>
    <w:div w:id="789978458">
      <w:marLeft w:val="0"/>
      <w:marRight w:val="0"/>
      <w:marTop w:val="0"/>
      <w:marBottom w:val="0"/>
      <w:divBdr>
        <w:top w:val="none" w:sz="0" w:space="0" w:color="auto"/>
        <w:left w:val="none" w:sz="0" w:space="0" w:color="auto"/>
        <w:bottom w:val="none" w:sz="0" w:space="0" w:color="auto"/>
        <w:right w:val="none" w:sz="0" w:space="0" w:color="auto"/>
      </w:divBdr>
    </w:div>
    <w:div w:id="789978459">
      <w:marLeft w:val="0"/>
      <w:marRight w:val="0"/>
      <w:marTop w:val="0"/>
      <w:marBottom w:val="0"/>
      <w:divBdr>
        <w:top w:val="none" w:sz="0" w:space="0" w:color="auto"/>
        <w:left w:val="none" w:sz="0" w:space="0" w:color="auto"/>
        <w:bottom w:val="none" w:sz="0" w:space="0" w:color="auto"/>
        <w:right w:val="none" w:sz="0" w:space="0" w:color="auto"/>
      </w:divBdr>
    </w:div>
    <w:div w:id="789978460">
      <w:marLeft w:val="0"/>
      <w:marRight w:val="0"/>
      <w:marTop w:val="0"/>
      <w:marBottom w:val="0"/>
      <w:divBdr>
        <w:top w:val="none" w:sz="0" w:space="0" w:color="auto"/>
        <w:left w:val="none" w:sz="0" w:space="0" w:color="auto"/>
        <w:bottom w:val="none" w:sz="0" w:space="0" w:color="auto"/>
        <w:right w:val="none" w:sz="0" w:space="0" w:color="auto"/>
      </w:divBdr>
    </w:div>
    <w:div w:id="789978461">
      <w:marLeft w:val="0"/>
      <w:marRight w:val="0"/>
      <w:marTop w:val="0"/>
      <w:marBottom w:val="0"/>
      <w:divBdr>
        <w:top w:val="none" w:sz="0" w:space="0" w:color="auto"/>
        <w:left w:val="none" w:sz="0" w:space="0" w:color="auto"/>
        <w:bottom w:val="none" w:sz="0" w:space="0" w:color="auto"/>
        <w:right w:val="none" w:sz="0" w:space="0" w:color="auto"/>
      </w:divBdr>
    </w:div>
    <w:div w:id="789978462">
      <w:marLeft w:val="0"/>
      <w:marRight w:val="0"/>
      <w:marTop w:val="0"/>
      <w:marBottom w:val="0"/>
      <w:divBdr>
        <w:top w:val="none" w:sz="0" w:space="0" w:color="auto"/>
        <w:left w:val="none" w:sz="0" w:space="0" w:color="auto"/>
        <w:bottom w:val="none" w:sz="0" w:space="0" w:color="auto"/>
        <w:right w:val="none" w:sz="0" w:space="0" w:color="auto"/>
      </w:divBdr>
    </w:div>
    <w:div w:id="789978463">
      <w:marLeft w:val="0"/>
      <w:marRight w:val="0"/>
      <w:marTop w:val="0"/>
      <w:marBottom w:val="0"/>
      <w:divBdr>
        <w:top w:val="none" w:sz="0" w:space="0" w:color="auto"/>
        <w:left w:val="none" w:sz="0" w:space="0" w:color="auto"/>
        <w:bottom w:val="none" w:sz="0" w:space="0" w:color="auto"/>
        <w:right w:val="none" w:sz="0" w:space="0" w:color="auto"/>
      </w:divBdr>
    </w:div>
    <w:div w:id="789978464">
      <w:marLeft w:val="0"/>
      <w:marRight w:val="0"/>
      <w:marTop w:val="0"/>
      <w:marBottom w:val="0"/>
      <w:divBdr>
        <w:top w:val="none" w:sz="0" w:space="0" w:color="auto"/>
        <w:left w:val="none" w:sz="0" w:space="0" w:color="auto"/>
        <w:bottom w:val="none" w:sz="0" w:space="0" w:color="auto"/>
        <w:right w:val="none" w:sz="0" w:space="0" w:color="auto"/>
      </w:divBdr>
    </w:div>
    <w:div w:id="789978465">
      <w:marLeft w:val="0"/>
      <w:marRight w:val="0"/>
      <w:marTop w:val="0"/>
      <w:marBottom w:val="0"/>
      <w:divBdr>
        <w:top w:val="none" w:sz="0" w:space="0" w:color="auto"/>
        <w:left w:val="none" w:sz="0" w:space="0" w:color="auto"/>
        <w:bottom w:val="none" w:sz="0" w:space="0" w:color="auto"/>
        <w:right w:val="none" w:sz="0" w:space="0" w:color="auto"/>
      </w:divBdr>
    </w:div>
    <w:div w:id="789978466">
      <w:marLeft w:val="0"/>
      <w:marRight w:val="0"/>
      <w:marTop w:val="0"/>
      <w:marBottom w:val="0"/>
      <w:divBdr>
        <w:top w:val="none" w:sz="0" w:space="0" w:color="auto"/>
        <w:left w:val="none" w:sz="0" w:space="0" w:color="auto"/>
        <w:bottom w:val="none" w:sz="0" w:space="0" w:color="auto"/>
        <w:right w:val="none" w:sz="0" w:space="0" w:color="auto"/>
      </w:divBdr>
    </w:div>
    <w:div w:id="789978467">
      <w:marLeft w:val="0"/>
      <w:marRight w:val="0"/>
      <w:marTop w:val="0"/>
      <w:marBottom w:val="0"/>
      <w:divBdr>
        <w:top w:val="none" w:sz="0" w:space="0" w:color="auto"/>
        <w:left w:val="none" w:sz="0" w:space="0" w:color="auto"/>
        <w:bottom w:val="none" w:sz="0" w:space="0" w:color="auto"/>
        <w:right w:val="none" w:sz="0" w:space="0" w:color="auto"/>
      </w:divBdr>
    </w:div>
    <w:div w:id="795757659">
      <w:bodyDiv w:val="1"/>
      <w:marLeft w:val="0"/>
      <w:marRight w:val="0"/>
      <w:marTop w:val="0"/>
      <w:marBottom w:val="0"/>
      <w:divBdr>
        <w:top w:val="none" w:sz="0" w:space="0" w:color="auto"/>
        <w:left w:val="none" w:sz="0" w:space="0" w:color="auto"/>
        <w:bottom w:val="none" w:sz="0" w:space="0" w:color="auto"/>
        <w:right w:val="none" w:sz="0" w:space="0" w:color="auto"/>
      </w:divBdr>
    </w:div>
    <w:div w:id="814880752">
      <w:bodyDiv w:val="1"/>
      <w:marLeft w:val="0"/>
      <w:marRight w:val="0"/>
      <w:marTop w:val="0"/>
      <w:marBottom w:val="0"/>
      <w:divBdr>
        <w:top w:val="none" w:sz="0" w:space="0" w:color="auto"/>
        <w:left w:val="none" w:sz="0" w:space="0" w:color="auto"/>
        <w:bottom w:val="none" w:sz="0" w:space="0" w:color="auto"/>
        <w:right w:val="none" w:sz="0" w:space="0" w:color="auto"/>
      </w:divBdr>
    </w:div>
    <w:div w:id="816804025">
      <w:bodyDiv w:val="1"/>
      <w:marLeft w:val="0"/>
      <w:marRight w:val="0"/>
      <w:marTop w:val="0"/>
      <w:marBottom w:val="0"/>
      <w:divBdr>
        <w:top w:val="none" w:sz="0" w:space="0" w:color="auto"/>
        <w:left w:val="none" w:sz="0" w:space="0" w:color="auto"/>
        <w:bottom w:val="none" w:sz="0" w:space="0" w:color="auto"/>
        <w:right w:val="none" w:sz="0" w:space="0" w:color="auto"/>
      </w:divBdr>
    </w:div>
    <w:div w:id="841511630">
      <w:bodyDiv w:val="1"/>
      <w:marLeft w:val="0"/>
      <w:marRight w:val="0"/>
      <w:marTop w:val="0"/>
      <w:marBottom w:val="0"/>
      <w:divBdr>
        <w:top w:val="none" w:sz="0" w:space="0" w:color="auto"/>
        <w:left w:val="none" w:sz="0" w:space="0" w:color="auto"/>
        <w:bottom w:val="none" w:sz="0" w:space="0" w:color="auto"/>
        <w:right w:val="none" w:sz="0" w:space="0" w:color="auto"/>
      </w:divBdr>
    </w:div>
    <w:div w:id="860320878">
      <w:bodyDiv w:val="1"/>
      <w:marLeft w:val="0"/>
      <w:marRight w:val="0"/>
      <w:marTop w:val="0"/>
      <w:marBottom w:val="0"/>
      <w:divBdr>
        <w:top w:val="none" w:sz="0" w:space="0" w:color="auto"/>
        <w:left w:val="none" w:sz="0" w:space="0" w:color="auto"/>
        <w:bottom w:val="none" w:sz="0" w:space="0" w:color="auto"/>
        <w:right w:val="none" w:sz="0" w:space="0" w:color="auto"/>
      </w:divBdr>
    </w:div>
    <w:div w:id="863788067">
      <w:bodyDiv w:val="1"/>
      <w:marLeft w:val="0"/>
      <w:marRight w:val="0"/>
      <w:marTop w:val="0"/>
      <w:marBottom w:val="0"/>
      <w:divBdr>
        <w:top w:val="none" w:sz="0" w:space="0" w:color="auto"/>
        <w:left w:val="none" w:sz="0" w:space="0" w:color="auto"/>
        <w:bottom w:val="none" w:sz="0" w:space="0" w:color="auto"/>
        <w:right w:val="none" w:sz="0" w:space="0" w:color="auto"/>
      </w:divBdr>
    </w:div>
    <w:div w:id="905456798">
      <w:bodyDiv w:val="1"/>
      <w:marLeft w:val="0"/>
      <w:marRight w:val="0"/>
      <w:marTop w:val="0"/>
      <w:marBottom w:val="0"/>
      <w:divBdr>
        <w:top w:val="none" w:sz="0" w:space="0" w:color="auto"/>
        <w:left w:val="none" w:sz="0" w:space="0" w:color="auto"/>
        <w:bottom w:val="none" w:sz="0" w:space="0" w:color="auto"/>
        <w:right w:val="none" w:sz="0" w:space="0" w:color="auto"/>
      </w:divBdr>
    </w:div>
    <w:div w:id="950010919">
      <w:bodyDiv w:val="1"/>
      <w:marLeft w:val="0"/>
      <w:marRight w:val="0"/>
      <w:marTop w:val="0"/>
      <w:marBottom w:val="0"/>
      <w:divBdr>
        <w:top w:val="none" w:sz="0" w:space="0" w:color="auto"/>
        <w:left w:val="none" w:sz="0" w:space="0" w:color="auto"/>
        <w:bottom w:val="none" w:sz="0" w:space="0" w:color="auto"/>
        <w:right w:val="none" w:sz="0" w:space="0" w:color="auto"/>
      </w:divBdr>
    </w:div>
    <w:div w:id="954796405">
      <w:bodyDiv w:val="1"/>
      <w:marLeft w:val="0"/>
      <w:marRight w:val="0"/>
      <w:marTop w:val="0"/>
      <w:marBottom w:val="0"/>
      <w:divBdr>
        <w:top w:val="none" w:sz="0" w:space="0" w:color="auto"/>
        <w:left w:val="none" w:sz="0" w:space="0" w:color="auto"/>
        <w:bottom w:val="none" w:sz="0" w:space="0" w:color="auto"/>
        <w:right w:val="none" w:sz="0" w:space="0" w:color="auto"/>
      </w:divBdr>
    </w:div>
    <w:div w:id="975910780">
      <w:bodyDiv w:val="1"/>
      <w:marLeft w:val="0"/>
      <w:marRight w:val="0"/>
      <w:marTop w:val="0"/>
      <w:marBottom w:val="0"/>
      <w:divBdr>
        <w:top w:val="none" w:sz="0" w:space="0" w:color="auto"/>
        <w:left w:val="none" w:sz="0" w:space="0" w:color="auto"/>
        <w:bottom w:val="none" w:sz="0" w:space="0" w:color="auto"/>
        <w:right w:val="none" w:sz="0" w:space="0" w:color="auto"/>
      </w:divBdr>
    </w:div>
    <w:div w:id="980883531">
      <w:bodyDiv w:val="1"/>
      <w:marLeft w:val="0"/>
      <w:marRight w:val="0"/>
      <w:marTop w:val="0"/>
      <w:marBottom w:val="0"/>
      <w:divBdr>
        <w:top w:val="none" w:sz="0" w:space="0" w:color="auto"/>
        <w:left w:val="none" w:sz="0" w:space="0" w:color="auto"/>
        <w:bottom w:val="none" w:sz="0" w:space="0" w:color="auto"/>
        <w:right w:val="none" w:sz="0" w:space="0" w:color="auto"/>
      </w:divBdr>
    </w:div>
    <w:div w:id="1056049388">
      <w:bodyDiv w:val="1"/>
      <w:marLeft w:val="0"/>
      <w:marRight w:val="0"/>
      <w:marTop w:val="0"/>
      <w:marBottom w:val="0"/>
      <w:divBdr>
        <w:top w:val="none" w:sz="0" w:space="0" w:color="auto"/>
        <w:left w:val="none" w:sz="0" w:space="0" w:color="auto"/>
        <w:bottom w:val="none" w:sz="0" w:space="0" w:color="auto"/>
        <w:right w:val="none" w:sz="0" w:space="0" w:color="auto"/>
      </w:divBdr>
    </w:div>
    <w:div w:id="1062564905">
      <w:bodyDiv w:val="1"/>
      <w:marLeft w:val="0"/>
      <w:marRight w:val="0"/>
      <w:marTop w:val="0"/>
      <w:marBottom w:val="0"/>
      <w:divBdr>
        <w:top w:val="none" w:sz="0" w:space="0" w:color="auto"/>
        <w:left w:val="none" w:sz="0" w:space="0" w:color="auto"/>
        <w:bottom w:val="none" w:sz="0" w:space="0" w:color="auto"/>
        <w:right w:val="none" w:sz="0" w:space="0" w:color="auto"/>
      </w:divBdr>
    </w:div>
    <w:div w:id="1183520987">
      <w:bodyDiv w:val="1"/>
      <w:marLeft w:val="0"/>
      <w:marRight w:val="0"/>
      <w:marTop w:val="0"/>
      <w:marBottom w:val="0"/>
      <w:divBdr>
        <w:top w:val="none" w:sz="0" w:space="0" w:color="auto"/>
        <w:left w:val="none" w:sz="0" w:space="0" w:color="auto"/>
        <w:bottom w:val="none" w:sz="0" w:space="0" w:color="auto"/>
        <w:right w:val="none" w:sz="0" w:space="0" w:color="auto"/>
      </w:divBdr>
    </w:div>
    <w:div w:id="1213075025">
      <w:bodyDiv w:val="1"/>
      <w:marLeft w:val="0"/>
      <w:marRight w:val="0"/>
      <w:marTop w:val="0"/>
      <w:marBottom w:val="0"/>
      <w:divBdr>
        <w:top w:val="none" w:sz="0" w:space="0" w:color="auto"/>
        <w:left w:val="none" w:sz="0" w:space="0" w:color="auto"/>
        <w:bottom w:val="none" w:sz="0" w:space="0" w:color="auto"/>
        <w:right w:val="none" w:sz="0" w:space="0" w:color="auto"/>
      </w:divBdr>
    </w:div>
    <w:div w:id="1223516784">
      <w:bodyDiv w:val="1"/>
      <w:marLeft w:val="0"/>
      <w:marRight w:val="0"/>
      <w:marTop w:val="0"/>
      <w:marBottom w:val="0"/>
      <w:divBdr>
        <w:top w:val="none" w:sz="0" w:space="0" w:color="auto"/>
        <w:left w:val="none" w:sz="0" w:space="0" w:color="auto"/>
        <w:bottom w:val="none" w:sz="0" w:space="0" w:color="auto"/>
        <w:right w:val="none" w:sz="0" w:space="0" w:color="auto"/>
      </w:divBdr>
    </w:div>
    <w:div w:id="1230384266">
      <w:bodyDiv w:val="1"/>
      <w:marLeft w:val="0"/>
      <w:marRight w:val="0"/>
      <w:marTop w:val="0"/>
      <w:marBottom w:val="0"/>
      <w:divBdr>
        <w:top w:val="none" w:sz="0" w:space="0" w:color="auto"/>
        <w:left w:val="none" w:sz="0" w:space="0" w:color="auto"/>
        <w:bottom w:val="none" w:sz="0" w:space="0" w:color="auto"/>
        <w:right w:val="none" w:sz="0" w:space="0" w:color="auto"/>
      </w:divBdr>
    </w:div>
    <w:div w:id="1233662563">
      <w:bodyDiv w:val="1"/>
      <w:marLeft w:val="0"/>
      <w:marRight w:val="0"/>
      <w:marTop w:val="0"/>
      <w:marBottom w:val="0"/>
      <w:divBdr>
        <w:top w:val="none" w:sz="0" w:space="0" w:color="auto"/>
        <w:left w:val="none" w:sz="0" w:space="0" w:color="auto"/>
        <w:bottom w:val="none" w:sz="0" w:space="0" w:color="auto"/>
        <w:right w:val="none" w:sz="0" w:space="0" w:color="auto"/>
      </w:divBdr>
    </w:div>
    <w:div w:id="1255699842">
      <w:bodyDiv w:val="1"/>
      <w:marLeft w:val="0"/>
      <w:marRight w:val="0"/>
      <w:marTop w:val="0"/>
      <w:marBottom w:val="0"/>
      <w:divBdr>
        <w:top w:val="none" w:sz="0" w:space="0" w:color="auto"/>
        <w:left w:val="none" w:sz="0" w:space="0" w:color="auto"/>
        <w:bottom w:val="none" w:sz="0" w:space="0" w:color="auto"/>
        <w:right w:val="none" w:sz="0" w:space="0" w:color="auto"/>
      </w:divBdr>
    </w:div>
    <w:div w:id="1264651650">
      <w:bodyDiv w:val="1"/>
      <w:marLeft w:val="0"/>
      <w:marRight w:val="0"/>
      <w:marTop w:val="0"/>
      <w:marBottom w:val="0"/>
      <w:divBdr>
        <w:top w:val="none" w:sz="0" w:space="0" w:color="auto"/>
        <w:left w:val="none" w:sz="0" w:space="0" w:color="auto"/>
        <w:bottom w:val="none" w:sz="0" w:space="0" w:color="auto"/>
        <w:right w:val="none" w:sz="0" w:space="0" w:color="auto"/>
      </w:divBdr>
    </w:div>
    <w:div w:id="1331058562">
      <w:bodyDiv w:val="1"/>
      <w:marLeft w:val="0"/>
      <w:marRight w:val="0"/>
      <w:marTop w:val="0"/>
      <w:marBottom w:val="0"/>
      <w:divBdr>
        <w:top w:val="none" w:sz="0" w:space="0" w:color="auto"/>
        <w:left w:val="none" w:sz="0" w:space="0" w:color="auto"/>
        <w:bottom w:val="none" w:sz="0" w:space="0" w:color="auto"/>
        <w:right w:val="none" w:sz="0" w:space="0" w:color="auto"/>
      </w:divBdr>
    </w:div>
    <w:div w:id="1344865989">
      <w:bodyDiv w:val="1"/>
      <w:marLeft w:val="0"/>
      <w:marRight w:val="0"/>
      <w:marTop w:val="0"/>
      <w:marBottom w:val="0"/>
      <w:divBdr>
        <w:top w:val="none" w:sz="0" w:space="0" w:color="auto"/>
        <w:left w:val="none" w:sz="0" w:space="0" w:color="auto"/>
        <w:bottom w:val="none" w:sz="0" w:space="0" w:color="auto"/>
        <w:right w:val="none" w:sz="0" w:space="0" w:color="auto"/>
      </w:divBdr>
    </w:div>
    <w:div w:id="1383098536">
      <w:bodyDiv w:val="1"/>
      <w:marLeft w:val="0"/>
      <w:marRight w:val="0"/>
      <w:marTop w:val="0"/>
      <w:marBottom w:val="0"/>
      <w:divBdr>
        <w:top w:val="none" w:sz="0" w:space="0" w:color="auto"/>
        <w:left w:val="none" w:sz="0" w:space="0" w:color="auto"/>
        <w:bottom w:val="none" w:sz="0" w:space="0" w:color="auto"/>
        <w:right w:val="none" w:sz="0" w:space="0" w:color="auto"/>
      </w:divBdr>
    </w:div>
    <w:div w:id="1452359703">
      <w:bodyDiv w:val="1"/>
      <w:marLeft w:val="0"/>
      <w:marRight w:val="0"/>
      <w:marTop w:val="0"/>
      <w:marBottom w:val="0"/>
      <w:divBdr>
        <w:top w:val="none" w:sz="0" w:space="0" w:color="auto"/>
        <w:left w:val="none" w:sz="0" w:space="0" w:color="auto"/>
        <w:bottom w:val="none" w:sz="0" w:space="0" w:color="auto"/>
        <w:right w:val="none" w:sz="0" w:space="0" w:color="auto"/>
      </w:divBdr>
    </w:div>
    <w:div w:id="1461997288">
      <w:bodyDiv w:val="1"/>
      <w:marLeft w:val="0"/>
      <w:marRight w:val="0"/>
      <w:marTop w:val="0"/>
      <w:marBottom w:val="0"/>
      <w:divBdr>
        <w:top w:val="none" w:sz="0" w:space="0" w:color="auto"/>
        <w:left w:val="none" w:sz="0" w:space="0" w:color="auto"/>
        <w:bottom w:val="none" w:sz="0" w:space="0" w:color="auto"/>
        <w:right w:val="none" w:sz="0" w:space="0" w:color="auto"/>
      </w:divBdr>
    </w:div>
    <w:div w:id="1479565532">
      <w:bodyDiv w:val="1"/>
      <w:marLeft w:val="0"/>
      <w:marRight w:val="0"/>
      <w:marTop w:val="0"/>
      <w:marBottom w:val="0"/>
      <w:divBdr>
        <w:top w:val="none" w:sz="0" w:space="0" w:color="auto"/>
        <w:left w:val="none" w:sz="0" w:space="0" w:color="auto"/>
        <w:bottom w:val="none" w:sz="0" w:space="0" w:color="auto"/>
        <w:right w:val="none" w:sz="0" w:space="0" w:color="auto"/>
      </w:divBdr>
    </w:div>
    <w:div w:id="1514107287">
      <w:bodyDiv w:val="1"/>
      <w:marLeft w:val="0"/>
      <w:marRight w:val="0"/>
      <w:marTop w:val="0"/>
      <w:marBottom w:val="0"/>
      <w:divBdr>
        <w:top w:val="none" w:sz="0" w:space="0" w:color="auto"/>
        <w:left w:val="none" w:sz="0" w:space="0" w:color="auto"/>
        <w:bottom w:val="none" w:sz="0" w:space="0" w:color="auto"/>
        <w:right w:val="none" w:sz="0" w:space="0" w:color="auto"/>
      </w:divBdr>
    </w:div>
    <w:div w:id="1542859679">
      <w:bodyDiv w:val="1"/>
      <w:marLeft w:val="0"/>
      <w:marRight w:val="0"/>
      <w:marTop w:val="0"/>
      <w:marBottom w:val="0"/>
      <w:divBdr>
        <w:top w:val="none" w:sz="0" w:space="0" w:color="auto"/>
        <w:left w:val="none" w:sz="0" w:space="0" w:color="auto"/>
        <w:bottom w:val="none" w:sz="0" w:space="0" w:color="auto"/>
        <w:right w:val="none" w:sz="0" w:space="0" w:color="auto"/>
      </w:divBdr>
    </w:div>
    <w:div w:id="1556551405">
      <w:bodyDiv w:val="1"/>
      <w:marLeft w:val="0"/>
      <w:marRight w:val="0"/>
      <w:marTop w:val="0"/>
      <w:marBottom w:val="0"/>
      <w:divBdr>
        <w:top w:val="none" w:sz="0" w:space="0" w:color="auto"/>
        <w:left w:val="none" w:sz="0" w:space="0" w:color="auto"/>
        <w:bottom w:val="none" w:sz="0" w:space="0" w:color="auto"/>
        <w:right w:val="none" w:sz="0" w:space="0" w:color="auto"/>
      </w:divBdr>
    </w:div>
    <w:div w:id="1556771593">
      <w:bodyDiv w:val="1"/>
      <w:marLeft w:val="0"/>
      <w:marRight w:val="0"/>
      <w:marTop w:val="0"/>
      <w:marBottom w:val="0"/>
      <w:divBdr>
        <w:top w:val="none" w:sz="0" w:space="0" w:color="auto"/>
        <w:left w:val="none" w:sz="0" w:space="0" w:color="auto"/>
        <w:bottom w:val="none" w:sz="0" w:space="0" w:color="auto"/>
        <w:right w:val="none" w:sz="0" w:space="0" w:color="auto"/>
      </w:divBdr>
    </w:div>
    <w:div w:id="1557469869">
      <w:bodyDiv w:val="1"/>
      <w:marLeft w:val="0"/>
      <w:marRight w:val="0"/>
      <w:marTop w:val="0"/>
      <w:marBottom w:val="0"/>
      <w:divBdr>
        <w:top w:val="none" w:sz="0" w:space="0" w:color="auto"/>
        <w:left w:val="none" w:sz="0" w:space="0" w:color="auto"/>
        <w:bottom w:val="none" w:sz="0" w:space="0" w:color="auto"/>
        <w:right w:val="none" w:sz="0" w:space="0" w:color="auto"/>
      </w:divBdr>
    </w:div>
    <w:div w:id="1566377109">
      <w:bodyDiv w:val="1"/>
      <w:marLeft w:val="0"/>
      <w:marRight w:val="0"/>
      <w:marTop w:val="0"/>
      <w:marBottom w:val="0"/>
      <w:divBdr>
        <w:top w:val="none" w:sz="0" w:space="0" w:color="auto"/>
        <w:left w:val="none" w:sz="0" w:space="0" w:color="auto"/>
        <w:bottom w:val="none" w:sz="0" w:space="0" w:color="auto"/>
        <w:right w:val="none" w:sz="0" w:space="0" w:color="auto"/>
      </w:divBdr>
    </w:div>
    <w:div w:id="1581212622">
      <w:bodyDiv w:val="1"/>
      <w:marLeft w:val="0"/>
      <w:marRight w:val="0"/>
      <w:marTop w:val="0"/>
      <w:marBottom w:val="0"/>
      <w:divBdr>
        <w:top w:val="none" w:sz="0" w:space="0" w:color="auto"/>
        <w:left w:val="none" w:sz="0" w:space="0" w:color="auto"/>
        <w:bottom w:val="none" w:sz="0" w:space="0" w:color="auto"/>
        <w:right w:val="none" w:sz="0" w:space="0" w:color="auto"/>
      </w:divBdr>
    </w:div>
    <w:div w:id="1622348086">
      <w:bodyDiv w:val="1"/>
      <w:marLeft w:val="0"/>
      <w:marRight w:val="0"/>
      <w:marTop w:val="0"/>
      <w:marBottom w:val="0"/>
      <w:divBdr>
        <w:top w:val="none" w:sz="0" w:space="0" w:color="auto"/>
        <w:left w:val="none" w:sz="0" w:space="0" w:color="auto"/>
        <w:bottom w:val="none" w:sz="0" w:space="0" w:color="auto"/>
        <w:right w:val="none" w:sz="0" w:space="0" w:color="auto"/>
      </w:divBdr>
    </w:div>
    <w:div w:id="1686714692">
      <w:bodyDiv w:val="1"/>
      <w:marLeft w:val="0"/>
      <w:marRight w:val="0"/>
      <w:marTop w:val="0"/>
      <w:marBottom w:val="0"/>
      <w:divBdr>
        <w:top w:val="none" w:sz="0" w:space="0" w:color="auto"/>
        <w:left w:val="none" w:sz="0" w:space="0" w:color="auto"/>
        <w:bottom w:val="none" w:sz="0" w:space="0" w:color="auto"/>
        <w:right w:val="none" w:sz="0" w:space="0" w:color="auto"/>
      </w:divBdr>
    </w:div>
    <w:div w:id="1694845000">
      <w:bodyDiv w:val="1"/>
      <w:marLeft w:val="0"/>
      <w:marRight w:val="0"/>
      <w:marTop w:val="0"/>
      <w:marBottom w:val="0"/>
      <w:divBdr>
        <w:top w:val="none" w:sz="0" w:space="0" w:color="auto"/>
        <w:left w:val="none" w:sz="0" w:space="0" w:color="auto"/>
        <w:bottom w:val="none" w:sz="0" w:space="0" w:color="auto"/>
        <w:right w:val="none" w:sz="0" w:space="0" w:color="auto"/>
      </w:divBdr>
    </w:div>
    <w:div w:id="1732993946">
      <w:bodyDiv w:val="1"/>
      <w:marLeft w:val="0"/>
      <w:marRight w:val="0"/>
      <w:marTop w:val="0"/>
      <w:marBottom w:val="0"/>
      <w:divBdr>
        <w:top w:val="none" w:sz="0" w:space="0" w:color="auto"/>
        <w:left w:val="none" w:sz="0" w:space="0" w:color="auto"/>
        <w:bottom w:val="none" w:sz="0" w:space="0" w:color="auto"/>
        <w:right w:val="none" w:sz="0" w:space="0" w:color="auto"/>
      </w:divBdr>
    </w:div>
    <w:div w:id="1763067765">
      <w:bodyDiv w:val="1"/>
      <w:marLeft w:val="0"/>
      <w:marRight w:val="0"/>
      <w:marTop w:val="0"/>
      <w:marBottom w:val="0"/>
      <w:divBdr>
        <w:top w:val="none" w:sz="0" w:space="0" w:color="auto"/>
        <w:left w:val="none" w:sz="0" w:space="0" w:color="auto"/>
        <w:bottom w:val="none" w:sz="0" w:space="0" w:color="auto"/>
        <w:right w:val="none" w:sz="0" w:space="0" w:color="auto"/>
      </w:divBdr>
    </w:div>
    <w:div w:id="1779442476">
      <w:bodyDiv w:val="1"/>
      <w:marLeft w:val="0"/>
      <w:marRight w:val="0"/>
      <w:marTop w:val="0"/>
      <w:marBottom w:val="0"/>
      <w:divBdr>
        <w:top w:val="none" w:sz="0" w:space="0" w:color="auto"/>
        <w:left w:val="none" w:sz="0" w:space="0" w:color="auto"/>
        <w:bottom w:val="none" w:sz="0" w:space="0" w:color="auto"/>
        <w:right w:val="none" w:sz="0" w:space="0" w:color="auto"/>
      </w:divBdr>
    </w:div>
    <w:div w:id="1781560111">
      <w:bodyDiv w:val="1"/>
      <w:marLeft w:val="0"/>
      <w:marRight w:val="0"/>
      <w:marTop w:val="0"/>
      <w:marBottom w:val="0"/>
      <w:divBdr>
        <w:top w:val="none" w:sz="0" w:space="0" w:color="auto"/>
        <w:left w:val="none" w:sz="0" w:space="0" w:color="auto"/>
        <w:bottom w:val="none" w:sz="0" w:space="0" w:color="auto"/>
        <w:right w:val="none" w:sz="0" w:space="0" w:color="auto"/>
      </w:divBdr>
    </w:div>
    <w:div w:id="1846632407">
      <w:bodyDiv w:val="1"/>
      <w:marLeft w:val="0"/>
      <w:marRight w:val="0"/>
      <w:marTop w:val="0"/>
      <w:marBottom w:val="0"/>
      <w:divBdr>
        <w:top w:val="none" w:sz="0" w:space="0" w:color="auto"/>
        <w:left w:val="none" w:sz="0" w:space="0" w:color="auto"/>
        <w:bottom w:val="none" w:sz="0" w:space="0" w:color="auto"/>
        <w:right w:val="none" w:sz="0" w:space="0" w:color="auto"/>
      </w:divBdr>
    </w:div>
    <w:div w:id="1886720462">
      <w:bodyDiv w:val="1"/>
      <w:marLeft w:val="0"/>
      <w:marRight w:val="0"/>
      <w:marTop w:val="0"/>
      <w:marBottom w:val="0"/>
      <w:divBdr>
        <w:top w:val="none" w:sz="0" w:space="0" w:color="auto"/>
        <w:left w:val="none" w:sz="0" w:space="0" w:color="auto"/>
        <w:bottom w:val="none" w:sz="0" w:space="0" w:color="auto"/>
        <w:right w:val="none" w:sz="0" w:space="0" w:color="auto"/>
      </w:divBdr>
    </w:div>
    <w:div w:id="1887524226">
      <w:bodyDiv w:val="1"/>
      <w:marLeft w:val="0"/>
      <w:marRight w:val="0"/>
      <w:marTop w:val="0"/>
      <w:marBottom w:val="0"/>
      <w:divBdr>
        <w:top w:val="none" w:sz="0" w:space="0" w:color="auto"/>
        <w:left w:val="none" w:sz="0" w:space="0" w:color="auto"/>
        <w:bottom w:val="none" w:sz="0" w:space="0" w:color="auto"/>
        <w:right w:val="none" w:sz="0" w:space="0" w:color="auto"/>
      </w:divBdr>
    </w:div>
    <w:div w:id="1893539418">
      <w:bodyDiv w:val="1"/>
      <w:marLeft w:val="0"/>
      <w:marRight w:val="0"/>
      <w:marTop w:val="0"/>
      <w:marBottom w:val="0"/>
      <w:divBdr>
        <w:top w:val="none" w:sz="0" w:space="0" w:color="auto"/>
        <w:left w:val="none" w:sz="0" w:space="0" w:color="auto"/>
        <w:bottom w:val="none" w:sz="0" w:space="0" w:color="auto"/>
        <w:right w:val="none" w:sz="0" w:space="0" w:color="auto"/>
      </w:divBdr>
    </w:div>
    <w:div w:id="1916237994">
      <w:bodyDiv w:val="1"/>
      <w:marLeft w:val="0"/>
      <w:marRight w:val="0"/>
      <w:marTop w:val="0"/>
      <w:marBottom w:val="0"/>
      <w:divBdr>
        <w:top w:val="none" w:sz="0" w:space="0" w:color="auto"/>
        <w:left w:val="none" w:sz="0" w:space="0" w:color="auto"/>
        <w:bottom w:val="none" w:sz="0" w:space="0" w:color="auto"/>
        <w:right w:val="none" w:sz="0" w:space="0" w:color="auto"/>
      </w:divBdr>
    </w:div>
    <w:div w:id="1918854835">
      <w:bodyDiv w:val="1"/>
      <w:marLeft w:val="0"/>
      <w:marRight w:val="0"/>
      <w:marTop w:val="0"/>
      <w:marBottom w:val="0"/>
      <w:divBdr>
        <w:top w:val="none" w:sz="0" w:space="0" w:color="auto"/>
        <w:left w:val="none" w:sz="0" w:space="0" w:color="auto"/>
        <w:bottom w:val="none" w:sz="0" w:space="0" w:color="auto"/>
        <w:right w:val="none" w:sz="0" w:space="0" w:color="auto"/>
      </w:divBdr>
    </w:div>
    <w:div w:id="1933514611">
      <w:bodyDiv w:val="1"/>
      <w:marLeft w:val="0"/>
      <w:marRight w:val="0"/>
      <w:marTop w:val="0"/>
      <w:marBottom w:val="0"/>
      <w:divBdr>
        <w:top w:val="none" w:sz="0" w:space="0" w:color="auto"/>
        <w:left w:val="none" w:sz="0" w:space="0" w:color="auto"/>
        <w:bottom w:val="none" w:sz="0" w:space="0" w:color="auto"/>
        <w:right w:val="none" w:sz="0" w:space="0" w:color="auto"/>
      </w:divBdr>
    </w:div>
    <w:div w:id="1936015805">
      <w:bodyDiv w:val="1"/>
      <w:marLeft w:val="0"/>
      <w:marRight w:val="0"/>
      <w:marTop w:val="0"/>
      <w:marBottom w:val="0"/>
      <w:divBdr>
        <w:top w:val="none" w:sz="0" w:space="0" w:color="auto"/>
        <w:left w:val="none" w:sz="0" w:space="0" w:color="auto"/>
        <w:bottom w:val="none" w:sz="0" w:space="0" w:color="auto"/>
        <w:right w:val="none" w:sz="0" w:space="0" w:color="auto"/>
      </w:divBdr>
      <w:divsChild>
        <w:div w:id="156268086">
          <w:marLeft w:val="0"/>
          <w:marRight w:val="0"/>
          <w:marTop w:val="0"/>
          <w:marBottom w:val="0"/>
          <w:divBdr>
            <w:top w:val="none" w:sz="0" w:space="0" w:color="auto"/>
            <w:left w:val="none" w:sz="0" w:space="0" w:color="auto"/>
            <w:bottom w:val="none" w:sz="0" w:space="0" w:color="auto"/>
            <w:right w:val="none" w:sz="0" w:space="0" w:color="auto"/>
          </w:divBdr>
        </w:div>
        <w:div w:id="295526920">
          <w:marLeft w:val="0"/>
          <w:marRight w:val="0"/>
          <w:marTop w:val="0"/>
          <w:marBottom w:val="0"/>
          <w:divBdr>
            <w:top w:val="none" w:sz="0" w:space="0" w:color="auto"/>
            <w:left w:val="none" w:sz="0" w:space="0" w:color="auto"/>
            <w:bottom w:val="none" w:sz="0" w:space="0" w:color="auto"/>
            <w:right w:val="none" w:sz="0" w:space="0" w:color="auto"/>
          </w:divBdr>
        </w:div>
        <w:div w:id="308294579">
          <w:marLeft w:val="0"/>
          <w:marRight w:val="0"/>
          <w:marTop w:val="0"/>
          <w:marBottom w:val="0"/>
          <w:divBdr>
            <w:top w:val="none" w:sz="0" w:space="0" w:color="auto"/>
            <w:left w:val="none" w:sz="0" w:space="0" w:color="auto"/>
            <w:bottom w:val="none" w:sz="0" w:space="0" w:color="auto"/>
            <w:right w:val="none" w:sz="0" w:space="0" w:color="auto"/>
          </w:divBdr>
        </w:div>
        <w:div w:id="455173871">
          <w:marLeft w:val="0"/>
          <w:marRight w:val="0"/>
          <w:marTop w:val="0"/>
          <w:marBottom w:val="0"/>
          <w:divBdr>
            <w:top w:val="none" w:sz="0" w:space="0" w:color="auto"/>
            <w:left w:val="none" w:sz="0" w:space="0" w:color="auto"/>
            <w:bottom w:val="none" w:sz="0" w:space="0" w:color="auto"/>
            <w:right w:val="none" w:sz="0" w:space="0" w:color="auto"/>
          </w:divBdr>
        </w:div>
        <w:div w:id="557085231">
          <w:marLeft w:val="0"/>
          <w:marRight w:val="0"/>
          <w:marTop w:val="0"/>
          <w:marBottom w:val="0"/>
          <w:divBdr>
            <w:top w:val="none" w:sz="0" w:space="0" w:color="auto"/>
            <w:left w:val="none" w:sz="0" w:space="0" w:color="auto"/>
            <w:bottom w:val="none" w:sz="0" w:space="0" w:color="auto"/>
            <w:right w:val="none" w:sz="0" w:space="0" w:color="auto"/>
          </w:divBdr>
        </w:div>
        <w:div w:id="624235643">
          <w:marLeft w:val="0"/>
          <w:marRight w:val="0"/>
          <w:marTop w:val="0"/>
          <w:marBottom w:val="0"/>
          <w:divBdr>
            <w:top w:val="none" w:sz="0" w:space="0" w:color="auto"/>
            <w:left w:val="none" w:sz="0" w:space="0" w:color="auto"/>
            <w:bottom w:val="none" w:sz="0" w:space="0" w:color="auto"/>
            <w:right w:val="none" w:sz="0" w:space="0" w:color="auto"/>
          </w:divBdr>
        </w:div>
        <w:div w:id="837959439">
          <w:marLeft w:val="0"/>
          <w:marRight w:val="0"/>
          <w:marTop w:val="0"/>
          <w:marBottom w:val="0"/>
          <w:divBdr>
            <w:top w:val="none" w:sz="0" w:space="0" w:color="auto"/>
            <w:left w:val="none" w:sz="0" w:space="0" w:color="auto"/>
            <w:bottom w:val="none" w:sz="0" w:space="0" w:color="auto"/>
            <w:right w:val="none" w:sz="0" w:space="0" w:color="auto"/>
          </w:divBdr>
        </w:div>
        <w:div w:id="1014040032">
          <w:marLeft w:val="0"/>
          <w:marRight w:val="0"/>
          <w:marTop w:val="0"/>
          <w:marBottom w:val="0"/>
          <w:divBdr>
            <w:top w:val="none" w:sz="0" w:space="0" w:color="auto"/>
            <w:left w:val="none" w:sz="0" w:space="0" w:color="auto"/>
            <w:bottom w:val="none" w:sz="0" w:space="0" w:color="auto"/>
            <w:right w:val="none" w:sz="0" w:space="0" w:color="auto"/>
          </w:divBdr>
        </w:div>
        <w:div w:id="1245727925">
          <w:marLeft w:val="0"/>
          <w:marRight w:val="0"/>
          <w:marTop w:val="0"/>
          <w:marBottom w:val="0"/>
          <w:divBdr>
            <w:top w:val="none" w:sz="0" w:space="0" w:color="auto"/>
            <w:left w:val="none" w:sz="0" w:space="0" w:color="auto"/>
            <w:bottom w:val="none" w:sz="0" w:space="0" w:color="auto"/>
            <w:right w:val="none" w:sz="0" w:space="0" w:color="auto"/>
          </w:divBdr>
        </w:div>
        <w:div w:id="1264849003">
          <w:marLeft w:val="0"/>
          <w:marRight w:val="0"/>
          <w:marTop w:val="0"/>
          <w:marBottom w:val="0"/>
          <w:divBdr>
            <w:top w:val="none" w:sz="0" w:space="0" w:color="auto"/>
            <w:left w:val="none" w:sz="0" w:space="0" w:color="auto"/>
            <w:bottom w:val="none" w:sz="0" w:space="0" w:color="auto"/>
            <w:right w:val="none" w:sz="0" w:space="0" w:color="auto"/>
          </w:divBdr>
        </w:div>
        <w:div w:id="1367677925">
          <w:marLeft w:val="0"/>
          <w:marRight w:val="0"/>
          <w:marTop w:val="0"/>
          <w:marBottom w:val="0"/>
          <w:divBdr>
            <w:top w:val="none" w:sz="0" w:space="0" w:color="auto"/>
            <w:left w:val="none" w:sz="0" w:space="0" w:color="auto"/>
            <w:bottom w:val="none" w:sz="0" w:space="0" w:color="auto"/>
            <w:right w:val="none" w:sz="0" w:space="0" w:color="auto"/>
          </w:divBdr>
        </w:div>
        <w:div w:id="1514299861">
          <w:marLeft w:val="0"/>
          <w:marRight w:val="0"/>
          <w:marTop w:val="0"/>
          <w:marBottom w:val="0"/>
          <w:divBdr>
            <w:top w:val="none" w:sz="0" w:space="0" w:color="auto"/>
            <w:left w:val="none" w:sz="0" w:space="0" w:color="auto"/>
            <w:bottom w:val="none" w:sz="0" w:space="0" w:color="auto"/>
            <w:right w:val="none" w:sz="0" w:space="0" w:color="auto"/>
          </w:divBdr>
        </w:div>
        <w:div w:id="1547179391">
          <w:marLeft w:val="0"/>
          <w:marRight w:val="0"/>
          <w:marTop w:val="0"/>
          <w:marBottom w:val="0"/>
          <w:divBdr>
            <w:top w:val="none" w:sz="0" w:space="0" w:color="auto"/>
            <w:left w:val="none" w:sz="0" w:space="0" w:color="auto"/>
            <w:bottom w:val="none" w:sz="0" w:space="0" w:color="auto"/>
            <w:right w:val="none" w:sz="0" w:space="0" w:color="auto"/>
          </w:divBdr>
        </w:div>
        <w:div w:id="1728531406">
          <w:marLeft w:val="0"/>
          <w:marRight w:val="0"/>
          <w:marTop w:val="0"/>
          <w:marBottom w:val="0"/>
          <w:divBdr>
            <w:top w:val="none" w:sz="0" w:space="0" w:color="auto"/>
            <w:left w:val="none" w:sz="0" w:space="0" w:color="auto"/>
            <w:bottom w:val="none" w:sz="0" w:space="0" w:color="auto"/>
            <w:right w:val="none" w:sz="0" w:space="0" w:color="auto"/>
          </w:divBdr>
        </w:div>
        <w:div w:id="1847548220">
          <w:marLeft w:val="0"/>
          <w:marRight w:val="0"/>
          <w:marTop w:val="0"/>
          <w:marBottom w:val="0"/>
          <w:divBdr>
            <w:top w:val="none" w:sz="0" w:space="0" w:color="auto"/>
            <w:left w:val="none" w:sz="0" w:space="0" w:color="auto"/>
            <w:bottom w:val="none" w:sz="0" w:space="0" w:color="auto"/>
            <w:right w:val="none" w:sz="0" w:space="0" w:color="auto"/>
          </w:divBdr>
        </w:div>
        <w:div w:id="1912619468">
          <w:marLeft w:val="0"/>
          <w:marRight w:val="0"/>
          <w:marTop w:val="0"/>
          <w:marBottom w:val="0"/>
          <w:divBdr>
            <w:top w:val="none" w:sz="0" w:space="0" w:color="auto"/>
            <w:left w:val="none" w:sz="0" w:space="0" w:color="auto"/>
            <w:bottom w:val="none" w:sz="0" w:space="0" w:color="auto"/>
            <w:right w:val="none" w:sz="0" w:space="0" w:color="auto"/>
          </w:divBdr>
        </w:div>
      </w:divsChild>
    </w:div>
    <w:div w:id="1957561391">
      <w:bodyDiv w:val="1"/>
      <w:marLeft w:val="0"/>
      <w:marRight w:val="0"/>
      <w:marTop w:val="0"/>
      <w:marBottom w:val="0"/>
      <w:divBdr>
        <w:top w:val="none" w:sz="0" w:space="0" w:color="auto"/>
        <w:left w:val="none" w:sz="0" w:space="0" w:color="auto"/>
        <w:bottom w:val="none" w:sz="0" w:space="0" w:color="auto"/>
        <w:right w:val="none" w:sz="0" w:space="0" w:color="auto"/>
      </w:divBdr>
    </w:div>
    <w:div w:id="1984846649">
      <w:bodyDiv w:val="1"/>
      <w:marLeft w:val="0"/>
      <w:marRight w:val="0"/>
      <w:marTop w:val="0"/>
      <w:marBottom w:val="0"/>
      <w:divBdr>
        <w:top w:val="none" w:sz="0" w:space="0" w:color="auto"/>
        <w:left w:val="none" w:sz="0" w:space="0" w:color="auto"/>
        <w:bottom w:val="none" w:sz="0" w:space="0" w:color="auto"/>
        <w:right w:val="none" w:sz="0" w:space="0" w:color="auto"/>
      </w:divBdr>
    </w:div>
    <w:div w:id="2009483018">
      <w:bodyDiv w:val="1"/>
      <w:marLeft w:val="0"/>
      <w:marRight w:val="0"/>
      <w:marTop w:val="0"/>
      <w:marBottom w:val="0"/>
      <w:divBdr>
        <w:top w:val="none" w:sz="0" w:space="0" w:color="auto"/>
        <w:left w:val="none" w:sz="0" w:space="0" w:color="auto"/>
        <w:bottom w:val="none" w:sz="0" w:space="0" w:color="auto"/>
        <w:right w:val="none" w:sz="0" w:space="0" w:color="auto"/>
      </w:divBdr>
    </w:div>
    <w:div w:id="2040888814">
      <w:bodyDiv w:val="1"/>
      <w:marLeft w:val="0"/>
      <w:marRight w:val="0"/>
      <w:marTop w:val="0"/>
      <w:marBottom w:val="0"/>
      <w:divBdr>
        <w:top w:val="none" w:sz="0" w:space="0" w:color="auto"/>
        <w:left w:val="none" w:sz="0" w:space="0" w:color="auto"/>
        <w:bottom w:val="none" w:sz="0" w:space="0" w:color="auto"/>
        <w:right w:val="none" w:sz="0" w:space="0" w:color="auto"/>
      </w:divBdr>
    </w:div>
    <w:div w:id="2063209383">
      <w:bodyDiv w:val="1"/>
      <w:marLeft w:val="0"/>
      <w:marRight w:val="0"/>
      <w:marTop w:val="0"/>
      <w:marBottom w:val="0"/>
      <w:divBdr>
        <w:top w:val="none" w:sz="0" w:space="0" w:color="auto"/>
        <w:left w:val="none" w:sz="0" w:space="0" w:color="auto"/>
        <w:bottom w:val="none" w:sz="0" w:space="0" w:color="auto"/>
        <w:right w:val="none" w:sz="0" w:space="0" w:color="auto"/>
      </w:divBdr>
    </w:div>
    <w:div w:id="2068020546">
      <w:bodyDiv w:val="1"/>
      <w:marLeft w:val="0"/>
      <w:marRight w:val="0"/>
      <w:marTop w:val="0"/>
      <w:marBottom w:val="0"/>
      <w:divBdr>
        <w:top w:val="none" w:sz="0" w:space="0" w:color="auto"/>
        <w:left w:val="none" w:sz="0" w:space="0" w:color="auto"/>
        <w:bottom w:val="none" w:sz="0" w:space="0" w:color="auto"/>
        <w:right w:val="none" w:sz="0" w:space="0" w:color="auto"/>
      </w:divBdr>
    </w:div>
    <w:div w:id="20681400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eader" Target="header3.xml"/><Relationship Id="rId26" Type="http://schemas.openxmlformats.org/officeDocument/2006/relationships/hyperlink" Target="http://www.istat.it/it/congiuntura/revisioni" TargetMode="External"/><Relationship Id="rId3" Type="http://schemas.openxmlformats.org/officeDocument/2006/relationships/customXml" Target="../customXml/item3.xml"/><Relationship Id="rId21" Type="http://schemas.openxmlformats.org/officeDocument/2006/relationships/hyperlink" Target="https://urlsand.esvalabs.com/?u=https%3A%2F%2Fwww.gazzettaufficiale.it%2Feli%2Fid%2F2023%2F08%2F29%2F23A04724%2Fsg&amp;e=2637b01d&amp;h=36c88e7f&amp;f=n&amp;p=y"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http://www4.istat.it/it/files/2016/07/scheda-ContiEconomiciTrimestrali.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hyperlink" Target="http://eur-lex.europa.eu/legal-content/en/TXT/HTML/?uri=CELEX:32013R0549&amp;from=EN" TargetMode="External"/><Relationship Id="rId29" Type="http://schemas.openxmlformats.org/officeDocument/2006/relationships/hyperlink" Target="http://dati.istat.it/?lang=en&amp;SubSessionId=e9114628-a65f-49d8-ab29-7d5230ba30e1&amp;themetreeid=-200"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slideshare.net/slideistat/f-moauro-anna-ciammola"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istat.it/it/archivio/167411" TargetMode="External"/><Relationship Id="rId28" Type="http://schemas.openxmlformats.org/officeDocument/2006/relationships/hyperlink" Target="https://esploradati.istat.it/databrowser/" TargetMode="External"/><Relationship Id="rId10" Type="http://schemas.openxmlformats.org/officeDocument/2006/relationships/webSettings" Target="webSettings.xml"/><Relationship Id="rId19" Type="http://schemas.openxmlformats.org/officeDocument/2006/relationships/header" Target="header4.xm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www.istat.it/it/archivio/167411" TargetMode="External"/><Relationship Id="rId27" Type="http://schemas.openxmlformats.org/officeDocument/2006/relationships/hyperlink" Target="https://esploradati.istat.it/databrowser/" TargetMode="External"/><Relationship Id="rId30" Type="http://schemas.openxmlformats.org/officeDocument/2006/relationships/hyperlink" Target="mailto:moauro@istat.it" TargetMode="External"/><Relationship Id="rId8"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hyperlink" Target="https://contact.istat.it/s/?language=it" TargetMode="External"/><Relationship Id="rId2" Type="http://schemas.openxmlformats.org/officeDocument/2006/relationships/hyperlink" Target="http://www.istat.it/en/" TargetMode="External"/><Relationship Id="rId1" Type="http://schemas.openxmlformats.org/officeDocument/2006/relationships/image" Target="media/image4.png"/><Relationship Id="rId5" Type="http://schemas.openxmlformats.org/officeDocument/2006/relationships/hyperlink" Target="https://contact.istat.it/s/?language=it" TargetMode="External"/><Relationship Id="rId4" Type="http://schemas.openxmlformats.org/officeDocument/2006/relationships/hyperlink" Target="http://www.istat.it/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_rels/header5.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cn\CN\Trim\Comunicati\MacroW10_64\dati_update_new.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833440479695261E-2"/>
          <c:y val="9.582325163031255E-2"/>
          <c:w val="0.91084421319522479"/>
          <c:h val="0.81195097818754214"/>
        </c:manualLayout>
      </c:layout>
      <c:barChart>
        <c:barDir val="col"/>
        <c:grouping val="clustered"/>
        <c:varyColors val="0"/>
        <c:ser>
          <c:idx val="1"/>
          <c:order val="0"/>
          <c:tx>
            <c:strRef>
              <c:f>Dati_PIL!$J$3</c:f>
              <c:strCache>
                <c:ptCount val="1"/>
                <c:pt idx="0">
                  <c:v>Quarter on previous quarter</c:v>
                </c:pt>
              </c:strCache>
            </c:strRef>
          </c:tx>
          <c:spPr>
            <a:solidFill>
              <a:srgbClr val="D22630"/>
            </a:solidFill>
            <a:ln w="6350" cap="rnd" cmpd="sng" algn="ctr">
              <a:solidFill>
                <a:schemeClr val="bg1"/>
              </a:solidFill>
              <a:prstDash val="solid"/>
              <a:round/>
              <a:headEnd type="none" w="med" len="med"/>
              <a:tailEnd type="none" w="med" len="med"/>
            </a:ln>
            <a:effectLst/>
          </c:spPr>
          <c:invertIfNegative val="0"/>
          <c:cat>
            <c:strRef>
              <c:f>Dati_PIL!$I$29:$I$60</c:f>
              <c:strCache>
                <c:ptCount val="29"/>
                <c:pt idx="0">
                  <c:v>         2017</c:v>
                </c:pt>
                <c:pt idx="4">
                  <c:v>         2018</c:v>
                </c:pt>
                <c:pt idx="8">
                  <c:v>         2019</c:v>
                </c:pt>
                <c:pt idx="12">
                  <c:v>         2020</c:v>
                </c:pt>
                <c:pt idx="16">
                  <c:v>         2021</c:v>
                </c:pt>
                <c:pt idx="20">
                  <c:v>         2022</c:v>
                </c:pt>
                <c:pt idx="24">
                  <c:v>         2023</c:v>
                </c:pt>
                <c:pt idx="28">
                  <c:v>         2024</c:v>
                </c:pt>
              </c:strCache>
            </c:strRef>
          </c:cat>
          <c:val>
            <c:numRef>
              <c:f>Dati_PIL!$J$29:$J$59</c:f>
              <c:numCache>
                <c:formatCode>0.0</c:formatCode>
                <c:ptCount val="31"/>
                <c:pt idx="0">
                  <c:v>0.5</c:v>
                </c:pt>
                <c:pt idx="1">
                  <c:v>0.4</c:v>
                </c:pt>
                <c:pt idx="2">
                  <c:v>0.4</c:v>
                </c:pt>
                <c:pt idx="3">
                  <c:v>0.6</c:v>
                </c:pt>
                <c:pt idx="4">
                  <c:v>-0.1</c:v>
                </c:pt>
                <c:pt idx="5">
                  <c:v>0.1</c:v>
                </c:pt>
                <c:pt idx="6">
                  <c:v>0.1</c:v>
                </c:pt>
                <c:pt idx="7">
                  <c:v>0.3</c:v>
                </c:pt>
                <c:pt idx="8">
                  <c:v>0.1</c:v>
                </c:pt>
                <c:pt idx="9">
                  <c:v>0.3</c:v>
                </c:pt>
                <c:pt idx="10">
                  <c:v>0.1</c:v>
                </c:pt>
                <c:pt idx="11">
                  <c:v>-0.7</c:v>
                </c:pt>
                <c:pt idx="12">
                  <c:v>-6</c:v>
                </c:pt>
                <c:pt idx="13">
                  <c:v>-11.8</c:v>
                </c:pt>
                <c:pt idx="14">
                  <c:v>13.9</c:v>
                </c:pt>
                <c:pt idx="15">
                  <c:v>-0.5</c:v>
                </c:pt>
                <c:pt idx="16">
                  <c:v>1.5</c:v>
                </c:pt>
                <c:pt idx="17">
                  <c:v>2.6</c:v>
                </c:pt>
                <c:pt idx="18">
                  <c:v>2.8</c:v>
                </c:pt>
                <c:pt idx="19">
                  <c:v>0.8</c:v>
                </c:pt>
                <c:pt idx="20">
                  <c:v>0.2</c:v>
                </c:pt>
                <c:pt idx="21">
                  <c:v>1.4</c:v>
                </c:pt>
                <c:pt idx="22">
                  <c:v>0.4</c:v>
                </c:pt>
                <c:pt idx="23">
                  <c:v>-0.1</c:v>
                </c:pt>
                <c:pt idx="24">
                  <c:v>0.4</c:v>
                </c:pt>
                <c:pt idx="25">
                  <c:v>-0.2</c:v>
                </c:pt>
                <c:pt idx="26">
                  <c:v>0.3</c:v>
                </c:pt>
                <c:pt idx="27">
                  <c:v>0.1</c:v>
                </c:pt>
                <c:pt idx="28">
                  <c:v>0.3</c:v>
                </c:pt>
                <c:pt idx="29">
                  <c:v>0.2</c:v>
                </c:pt>
                <c:pt idx="30">
                  <c:v>0</c:v>
                </c:pt>
              </c:numCache>
            </c:numRef>
          </c:val>
          <c:extLst>
            <c:ext xmlns:c16="http://schemas.microsoft.com/office/drawing/2014/chart" uri="{C3380CC4-5D6E-409C-BE32-E72D297353CC}">
              <c16:uniqueId val="{00000000-3980-443A-B279-983DE89E2941}"/>
            </c:ext>
          </c:extLst>
        </c:ser>
        <c:dLbls>
          <c:showLegendKey val="0"/>
          <c:showVal val="0"/>
          <c:showCatName val="0"/>
          <c:showSerName val="0"/>
          <c:showPercent val="0"/>
          <c:showBubbleSize val="0"/>
        </c:dLbls>
        <c:gapWidth val="0"/>
        <c:axId val="1887203024"/>
        <c:axId val="1887203584"/>
      </c:barChart>
      <c:lineChart>
        <c:grouping val="standard"/>
        <c:varyColors val="0"/>
        <c:ser>
          <c:idx val="0"/>
          <c:order val="1"/>
          <c:tx>
            <c:strRef>
              <c:f>Dati_PIL!$K$3</c:f>
              <c:strCache>
                <c:ptCount val="1"/>
                <c:pt idx="0">
                  <c:v>Quarter on same quarter a year ago</c:v>
                </c:pt>
              </c:strCache>
            </c:strRef>
          </c:tx>
          <c:spPr>
            <a:ln w="19050" cap="rnd" cmpd="sng" algn="ctr">
              <a:solidFill>
                <a:srgbClr val="003B5C"/>
              </a:solidFill>
              <a:prstDash val="solid"/>
              <a:round/>
              <a:headEnd type="none" w="med" len="med"/>
              <a:tailEnd type="none" w="med" len="med"/>
            </a:ln>
            <a:effectLst/>
          </c:spPr>
          <c:marker>
            <c:symbol val="none"/>
          </c:marker>
          <c:cat>
            <c:strRef>
              <c:f>Dati_PIL!$I$29:$I$60</c:f>
              <c:strCache>
                <c:ptCount val="29"/>
                <c:pt idx="0">
                  <c:v>         2017</c:v>
                </c:pt>
                <c:pt idx="4">
                  <c:v>         2018</c:v>
                </c:pt>
                <c:pt idx="8">
                  <c:v>         2019</c:v>
                </c:pt>
                <c:pt idx="12">
                  <c:v>         2020</c:v>
                </c:pt>
                <c:pt idx="16">
                  <c:v>         2021</c:v>
                </c:pt>
                <c:pt idx="20">
                  <c:v>         2022</c:v>
                </c:pt>
                <c:pt idx="24">
                  <c:v>         2023</c:v>
                </c:pt>
                <c:pt idx="28">
                  <c:v>         2024</c:v>
                </c:pt>
              </c:strCache>
            </c:strRef>
          </c:cat>
          <c:val>
            <c:numRef>
              <c:f>Dati_PIL!$K$29:$K$58</c:f>
              <c:numCache>
                <c:formatCode>0.0</c:formatCode>
                <c:ptCount val="30"/>
                <c:pt idx="0">
                  <c:v>1.6</c:v>
                </c:pt>
                <c:pt idx="1">
                  <c:v>1.8</c:v>
                </c:pt>
                <c:pt idx="2">
                  <c:v>1.7</c:v>
                </c:pt>
                <c:pt idx="3">
                  <c:v>1.9</c:v>
                </c:pt>
                <c:pt idx="4">
                  <c:v>1.3</c:v>
                </c:pt>
                <c:pt idx="5">
                  <c:v>0.9</c:v>
                </c:pt>
                <c:pt idx="6">
                  <c:v>0.6</c:v>
                </c:pt>
                <c:pt idx="7">
                  <c:v>0.3</c:v>
                </c:pt>
                <c:pt idx="8">
                  <c:v>0.5</c:v>
                </c:pt>
                <c:pt idx="9">
                  <c:v>0.8</c:v>
                </c:pt>
                <c:pt idx="10">
                  <c:v>0.8</c:v>
                </c:pt>
                <c:pt idx="11">
                  <c:v>-0.2</c:v>
                </c:pt>
                <c:pt idx="12">
                  <c:v>-6.3</c:v>
                </c:pt>
                <c:pt idx="13">
                  <c:v>-17.600000000000001</c:v>
                </c:pt>
                <c:pt idx="14">
                  <c:v>-6.2</c:v>
                </c:pt>
                <c:pt idx="15">
                  <c:v>-6.1</c:v>
                </c:pt>
                <c:pt idx="16">
                  <c:v>1.5</c:v>
                </c:pt>
                <c:pt idx="17">
                  <c:v>18.100000000000001</c:v>
                </c:pt>
                <c:pt idx="18">
                  <c:v>6.6</c:v>
                </c:pt>
                <c:pt idx="19">
                  <c:v>8</c:v>
                </c:pt>
                <c:pt idx="20">
                  <c:v>6.6</c:v>
                </c:pt>
                <c:pt idx="21">
                  <c:v>5.3</c:v>
                </c:pt>
                <c:pt idx="22">
                  <c:v>2.8</c:v>
                </c:pt>
                <c:pt idx="23">
                  <c:v>1.9</c:v>
                </c:pt>
                <c:pt idx="24">
                  <c:v>2.2000000000000002</c:v>
                </c:pt>
                <c:pt idx="25">
                  <c:v>0.6</c:v>
                </c:pt>
                <c:pt idx="26">
                  <c:v>0.6</c:v>
                </c:pt>
                <c:pt idx="27">
                  <c:v>0.7</c:v>
                </c:pt>
                <c:pt idx="28">
                  <c:v>0.6</c:v>
                </c:pt>
                <c:pt idx="29">
                  <c:v>0.9</c:v>
                </c:pt>
              </c:numCache>
            </c:numRef>
          </c:val>
          <c:smooth val="0"/>
          <c:extLst>
            <c:ext xmlns:c16="http://schemas.microsoft.com/office/drawing/2014/chart" uri="{C3380CC4-5D6E-409C-BE32-E72D297353CC}">
              <c16:uniqueId val="{00000001-3980-443A-B279-983DE89E2941}"/>
            </c:ext>
          </c:extLst>
        </c:ser>
        <c:dLbls>
          <c:showLegendKey val="0"/>
          <c:showVal val="0"/>
          <c:showCatName val="0"/>
          <c:showSerName val="0"/>
          <c:showPercent val="0"/>
          <c:showBubbleSize val="0"/>
        </c:dLbls>
        <c:marker val="1"/>
        <c:smooth val="0"/>
        <c:axId val="1887204704"/>
        <c:axId val="1887204144"/>
      </c:lineChart>
      <c:catAx>
        <c:axId val="1887203024"/>
        <c:scaling>
          <c:orientation val="minMax"/>
        </c:scaling>
        <c:delete val="0"/>
        <c:axPos val="b"/>
        <c:majorGridlines>
          <c:spPr>
            <a:ln w="6350" cap="flat" cmpd="sng" algn="ctr">
              <a:solidFill>
                <a:srgbClr val="A6A6A6"/>
              </a:solidFill>
              <a:prstDash val="sysDash"/>
              <a:round/>
              <a:headEnd type="none" w="med" len="med"/>
              <a:tailEnd type="none" w="med" len="med"/>
            </a:ln>
            <a:effectLst/>
          </c:spPr>
        </c:majorGridlines>
        <c:numFmt formatCode="General" sourceLinked="1"/>
        <c:majorTickMark val="none"/>
        <c:minorTickMark val="none"/>
        <c:tickLblPos val="low"/>
        <c:spPr>
          <a:noFill/>
          <a:ln w="9525" cap="flat" cmpd="sng" algn="ctr">
            <a:noFill/>
            <a:prstDash val="solid"/>
            <a:round/>
          </a:ln>
          <a:effectLst/>
          <a:extLst>
            <a:ext uri="{91240B29-F687-4F45-9708-019B960494DF}">
              <a14:hiddenLine xmlns:a14="http://schemas.microsoft.com/office/drawing/2010/main" w="9525" cap="flat" cmpd="sng" algn="ctr">
                <a:solidFill>
                  <a:sysClr val="windowText" lastClr="000000"/>
                </a:solidFill>
                <a:prstDash val="solid"/>
                <a:round/>
              </a14:hiddenLine>
            </a:ext>
          </a:extLst>
        </c:spPr>
        <c:txPr>
          <a:bodyPr rot="-60000000" vert="horz"/>
          <a:lstStyle/>
          <a:p>
            <a:pPr>
              <a:defRPr/>
            </a:pPr>
            <a:endParaRPr lang="it-IT"/>
          </a:p>
        </c:txPr>
        <c:crossAx val="1887203584"/>
        <c:crossesAt val="0"/>
        <c:auto val="1"/>
        <c:lblAlgn val="l"/>
        <c:lblOffset val="0"/>
        <c:tickMarkSkip val="4"/>
        <c:noMultiLvlLbl val="0"/>
      </c:catAx>
      <c:valAx>
        <c:axId val="1887203584"/>
        <c:scaling>
          <c:orientation val="minMax"/>
          <c:max val="20"/>
          <c:min val="-20"/>
        </c:scaling>
        <c:delete val="0"/>
        <c:axPos val="l"/>
        <c:majorGridlines>
          <c:spPr>
            <a:ln w="6350" cap="flat" cmpd="sng" algn="ctr">
              <a:solidFill>
                <a:srgbClr val="A6A6A6"/>
              </a:solidFill>
              <a:prstDash val="sysDash"/>
              <a:round/>
              <a:headEnd type="none" w="med" len="med"/>
              <a:tailEnd type="none" w="med" len="med"/>
            </a:ln>
            <a:effectLst/>
          </c:spPr>
        </c:majorGridlines>
        <c:title>
          <c:tx>
            <c:rich>
              <a:bodyPr rot="0" vert="horz"/>
              <a:lstStyle/>
              <a:p>
                <a:pPr>
                  <a:defRPr/>
                </a:pPr>
                <a:r>
                  <a:rPr lang="it-IT"/>
                  <a:t>%</a:t>
                </a:r>
              </a:p>
            </c:rich>
          </c:tx>
          <c:layout>
            <c:manualLayout>
              <c:xMode val="edge"/>
              <c:yMode val="edge"/>
              <c:x val="1.1393364197530865E-2"/>
              <c:y val="4.6962962962962965E-3"/>
            </c:manualLayout>
          </c:layout>
          <c:overlay val="0"/>
          <c:spPr>
            <a:noFill/>
            <a:ln>
              <a:noFill/>
            </a:ln>
            <a:effectLst/>
          </c:spPr>
        </c:title>
        <c:numFmt formatCode="0.0" sourceLinked="0"/>
        <c:majorTickMark val="none"/>
        <c:minorTickMark val="none"/>
        <c:tickLblPos val="nextTo"/>
        <c:spPr>
          <a:noFill/>
          <a:ln>
            <a:noFill/>
          </a:ln>
          <a:effectLst/>
        </c:spPr>
        <c:txPr>
          <a:bodyPr rot="-60000000" vert="horz"/>
          <a:lstStyle/>
          <a:p>
            <a:pPr>
              <a:defRPr/>
            </a:pPr>
            <a:endParaRPr lang="it-IT"/>
          </a:p>
        </c:txPr>
        <c:crossAx val="1887203024"/>
        <c:crosses val="autoZero"/>
        <c:crossBetween val="between"/>
        <c:majorUnit val="5"/>
      </c:valAx>
      <c:valAx>
        <c:axId val="1887204144"/>
        <c:scaling>
          <c:orientation val="minMax"/>
          <c:max val="20"/>
          <c:min val="-20"/>
        </c:scaling>
        <c:delete val="1"/>
        <c:axPos val="r"/>
        <c:numFmt formatCode="0.0" sourceLinked="1"/>
        <c:majorTickMark val="out"/>
        <c:minorTickMark val="none"/>
        <c:tickLblPos val="nextTo"/>
        <c:crossAx val="1887204704"/>
        <c:crosses val="max"/>
        <c:crossBetween val="between"/>
      </c:valAx>
      <c:catAx>
        <c:axId val="1887204704"/>
        <c:scaling>
          <c:orientation val="minMax"/>
        </c:scaling>
        <c:delete val="1"/>
        <c:axPos val="b"/>
        <c:numFmt formatCode="General" sourceLinked="1"/>
        <c:majorTickMark val="out"/>
        <c:minorTickMark val="none"/>
        <c:tickLblPos val="none"/>
        <c:crossAx val="1887204144"/>
        <c:crosses val="autoZero"/>
        <c:auto val="1"/>
        <c:lblAlgn val="ctr"/>
        <c:lblOffset val="100"/>
        <c:noMultiLvlLbl val="0"/>
      </c:catAx>
      <c:spPr>
        <a:solidFill>
          <a:srgbClr val="FFFFFF"/>
        </a:solidFill>
        <a:ln w="6350" cap="flat" cmpd="sng" algn="ctr">
          <a:solidFill>
            <a:srgbClr val="DDDDDD"/>
          </a:solidFill>
          <a:prstDash val="solid"/>
          <a:round/>
          <a:headEnd type="none" w="med" len="med"/>
          <a:tailEnd type="none" w="med" len="med"/>
        </a:ln>
        <a:effectLst/>
      </c:spPr>
    </c:plotArea>
    <c:legend>
      <c:legendPos val="t"/>
      <c:layout/>
      <c:overlay val="0"/>
      <c:spPr>
        <a:noFill/>
        <a:ln>
          <a:noFill/>
        </a:ln>
        <a:effectLst/>
      </c:spPr>
      <c:txPr>
        <a:bodyPr rot="0" vert="horz"/>
        <a:lstStyle/>
        <a:p>
          <a:pPr>
            <a:defRPr/>
          </a:pPr>
          <a:endParaRPr lang="it-IT"/>
        </a:p>
      </c:txPr>
    </c:legend>
    <c:plotVisOnly val="1"/>
    <c:dispBlanksAs val="gap"/>
    <c:showDLblsOverMax val="0"/>
  </c:chart>
  <c:spPr>
    <a:solidFill>
      <a:srgbClr val="FFFFFF"/>
    </a:solidFill>
    <a:ln w="9525" cap="flat" cmpd="sng" algn="ctr">
      <a:noFill/>
      <a:round/>
    </a:ln>
    <a:effectLst/>
  </c:spPr>
  <c:txPr>
    <a:bodyPr/>
    <a:lstStyle/>
    <a:p>
      <a:pPr>
        <a:defRPr sz="1000">
          <a:solidFill>
            <a:srgbClr val="000000"/>
          </a:solidFill>
          <a:latin typeface="Arial Narrow"/>
        </a:defRPr>
      </a:pPr>
      <a:endParaRPr lang="it-IT"/>
    </a:p>
  </c:txPr>
  <c:externalData r:id="rId1">
    <c:autoUpdate val="0"/>
  </c:externalData>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Nota o comunicato" ma:contentTypeID="0x010100B795A82E90F7744F8BBD5BCEA1E47B9D00412BB8B24175FB4599016A296A388103" ma:contentTypeVersion="2" ma:contentTypeDescription="" ma:contentTypeScope="" ma:versionID="fef993d87c238cc71779350178681a56">
  <xsd:schema xmlns:xsd="http://www.w3.org/2001/XMLSchema" xmlns:xs="http://www.w3.org/2001/XMLSchema" xmlns:p="http://schemas.microsoft.com/office/2006/metadata/properties" xmlns:ns2="2886d22a-1eb9-406b-961e-e52bb60f5915" targetNamespace="http://schemas.microsoft.com/office/2006/metadata/properties" ma:root="true" ma:fieldsID="6a986a9c8108b3d7a67e5da413ff238a" ns2:_="">
    <xsd:import namespace="2886d22a-1eb9-406b-961e-e52bb60f591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86d22a-1eb9-406b-961e-e52bb60f5915" elementFormDefault="qualified">
    <xsd:import namespace="http://schemas.microsoft.com/office/2006/documentManagement/types"/>
    <xsd:import namespace="http://schemas.microsoft.com/office/infopath/2007/PartnerControls"/>
    <xsd:element name="_dlc_DocId" ma:index="8" nillable="true" ma:displayName="Valore ID documento" ma:description="Valore dell'ID documento assegnato all'elemento." ma:internalName="_dlc_DocId" ma:readOnly="true">
      <xsd:simpleType>
        <xsd:restriction base="dms:Text"/>
      </xsd:simpleType>
    </xsd:element>
    <xsd:element name="_dlc_DocIdUrl" ma:index="9"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FEE51-F27C-4B1C-868A-E52A67067FBC}">
  <ds:schemaRefs>
    <ds:schemaRef ds:uri="http://schemas.microsoft.com/office/2006/metadata/longProperties"/>
  </ds:schemaRefs>
</ds:datastoreItem>
</file>

<file path=customXml/itemProps2.xml><?xml version="1.0" encoding="utf-8"?>
<ds:datastoreItem xmlns:ds="http://schemas.openxmlformats.org/officeDocument/2006/customXml" ds:itemID="{8457C05D-CBE7-434C-B07E-49F90D35983D}">
  <ds:schemaRefs>
    <ds:schemaRef ds:uri="http://schemas.microsoft.com/sharepoint/events"/>
  </ds:schemaRefs>
</ds:datastoreItem>
</file>

<file path=customXml/itemProps3.xml><?xml version="1.0" encoding="utf-8"?>
<ds:datastoreItem xmlns:ds="http://schemas.openxmlformats.org/officeDocument/2006/customXml" ds:itemID="{B576ECDC-0A84-4219-8C08-F9B34EC46C45}">
  <ds:schemaRefs>
    <ds:schemaRef ds:uri="http://schemas.microsoft.com/sharepoint/v3/contenttype/forms"/>
  </ds:schemaRefs>
</ds:datastoreItem>
</file>

<file path=customXml/itemProps4.xml><?xml version="1.0" encoding="utf-8"?>
<ds:datastoreItem xmlns:ds="http://schemas.openxmlformats.org/officeDocument/2006/customXml" ds:itemID="{2768E0F5-7959-43D5-8BAE-AD7F4B552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86d22a-1eb9-406b-961e-e52bb60f59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482B79F-BF25-4D8C-BC85-B8128CA38AE9}">
  <ds:schemaRefs>
    <ds:schemaRef ds:uri="http://purl.org/dc/elements/1.1/"/>
    <ds:schemaRef ds:uri="http://schemas.openxmlformats.org/package/2006/metadata/core-properties"/>
    <ds:schemaRef ds:uri="http://www.w3.org/XML/1998/namespace"/>
    <ds:schemaRef ds:uri="2886d22a-1eb9-406b-961e-e52bb60f5915"/>
    <ds:schemaRef ds:uri="http://purl.org/dc/dcmitype/"/>
    <ds:schemaRef ds:uri="http://schemas.microsoft.com/office/2006/documentManagement/types"/>
    <ds:schemaRef ds:uri="http://schemas.microsoft.com/office/infopath/2007/PartnerControls"/>
    <ds:schemaRef ds:uri="http://schemas.microsoft.com/office/2006/metadata/properties"/>
    <ds:schemaRef ds:uri="http://purl.org/dc/terms/"/>
  </ds:schemaRefs>
</ds:datastoreItem>
</file>

<file path=customXml/itemProps6.xml><?xml version="1.0" encoding="utf-8"?>
<ds:datastoreItem xmlns:ds="http://schemas.openxmlformats.org/officeDocument/2006/customXml" ds:itemID="{4AED673F-3E0E-4412-A389-B23F4D4DD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2576</Words>
  <Characters>14653</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Commercio al dettaglio</vt:lpstr>
    </vt:vector>
  </TitlesOfParts>
  <Company>HP</Company>
  <LinksUpToDate>false</LinksUpToDate>
  <CharactersWithSpaces>17195</CharactersWithSpaces>
  <SharedDoc>false</SharedDoc>
  <HLinks>
    <vt:vector size="78" baseType="variant">
      <vt:variant>
        <vt:i4>1310783</vt:i4>
      </vt:variant>
      <vt:variant>
        <vt:i4>69</vt:i4>
      </vt:variant>
      <vt:variant>
        <vt:i4>0</vt:i4>
      </vt:variant>
      <vt:variant>
        <vt:i4>5</vt:i4>
      </vt:variant>
      <vt:variant>
        <vt:lpwstr>mailto:moauro@istat.it</vt:lpwstr>
      </vt:variant>
      <vt:variant>
        <vt:lpwstr/>
      </vt:variant>
      <vt:variant>
        <vt:i4>5832799</vt:i4>
      </vt:variant>
      <vt:variant>
        <vt:i4>66</vt:i4>
      </vt:variant>
      <vt:variant>
        <vt:i4>0</vt:i4>
      </vt:variant>
      <vt:variant>
        <vt:i4>5</vt:i4>
      </vt:variant>
      <vt:variant>
        <vt:lpwstr>http://dati.istat.it/?lang=en&amp;SubSessionId=e9114628-a65f-49d8-ab29-7d5230ba30e1&amp;themetreeid=-200</vt:lpwstr>
      </vt:variant>
      <vt:variant>
        <vt:lpwstr/>
      </vt:variant>
      <vt:variant>
        <vt:i4>262234</vt:i4>
      </vt:variant>
      <vt:variant>
        <vt:i4>63</vt:i4>
      </vt:variant>
      <vt:variant>
        <vt:i4>0</vt:i4>
      </vt:variant>
      <vt:variant>
        <vt:i4>5</vt:i4>
      </vt:variant>
      <vt:variant>
        <vt:lpwstr>https://esploradati.istat.it/databrowser/</vt:lpwstr>
      </vt:variant>
      <vt:variant>
        <vt:lpwstr>/en/dw/categories/IT1,DATAWAREHOUSE,1.0/UP_ACC_TRIMES</vt:lpwstr>
      </vt:variant>
      <vt:variant>
        <vt:i4>7536691</vt:i4>
      </vt:variant>
      <vt:variant>
        <vt:i4>60</vt:i4>
      </vt:variant>
      <vt:variant>
        <vt:i4>0</vt:i4>
      </vt:variant>
      <vt:variant>
        <vt:i4>5</vt:i4>
      </vt:variant>
      <vt:variant>
        <vt:lpwstr>https://esploradati.istat.it/databrowser/</vt:lpwstr>
      </vt:variant>
      <vt:variant>
        <vt:lpwstr>/en</vt:lpwstr>
      </vt:variant>
      <vt:variant>
        <vt:i4>2031617</vt:i4>
      </vt:variant>
      <vt:variant>
        <vt:i4>57</vt:i4>
      </vt:variant>
      <vt:variant>
        <vt:i4>0</vt:i4>
      </vt:variant>
      <vt:variant>
        <vt:i4>5</vt:i4>
      </vt:variant>
      <vt:variant>
        <vt:lpwstr>http://www.istat.it/it/congiuntura/revisioni</vt:lpwstr>
      </vt:variant>
      <vt:variant>
        <vt:lpwstr/>
      </vt:variant>
      <vt:variant>
        <vt:i4>2293863</vt:i4>
      </vt:variant>
      <vt:variant>
        <vt:i4>54</vt:i4>
      </vt:variant>
      <vt:variant>
        <vt:i4>0</vt:i4>
      </vt:variant>
      <vt:variant>
        <vt:i4>5</vt:i4>
      </vt:variant>
      <vt:variant>
        <vt:lpwstr>http://www4.istat.it/it/files/2016/07/scheda-ContiEconomiciTrimestrali.pdf</vt:lpwstr>
      </vt:variant>
      <vt:variant>
        <vt:lpwstr/>
      </vt:variant>
      <vt:variant>
        <vt:i4>2031641</vt:i4>
      </vt:variant>
      <vt:variant>
        <vt:i4>51</vt:i4>
      </vt:variant>
      <vt:variant>
        <vt:i4>0</vt:i4>
      </vt:variant>
      <vt:variant>
        <vt:i4>5</vt:i4>
      </vt:variant>
      <vt:variant>
        <vt:lpwstr>https://www.slideshare.net/slideistat/f-moauro-anna-ciammola</vt:lpwstr>
      </vt:variant>
      <vt:variant>
        <vt:lpwstr/>
      </vt:variant>
      <vt:variant>
        <vt:i4>7209066</vt:i4>
      </vt:variant>
      <vt:variant>
        <vt:i4>48</vt:i4>
      </vt:variant>
      <vt:variant>
        <vt:i4>0</vt:i4>
      </vt:variant>
      <vt:variant>
        <vt:i4>5</vt:i4>
      </vt:variant>
      <vt:variant>
        <vt:lpwstr>http://www.istat.it/it/archivio/167411</vt:lpwstr>
      </vt:variant>
      <vt:variant>
        <vt:lpwstr/>
      </vt:variant>
      <vt:variant>
        <vt:i4>7209066</vt:i4>
      </vt:variant>
      <vt:variant>
        <vt:i4>45</vt:i4>
      </vt:variant>
      <vt:variant>
        <vt:i4>0</vt:i4>
      </vt:variant>
      <vt:variant>
        <vt:i4>5</vt:i4>
      </vt:variant>
      <vt:variant>
        <vt:lpwstr>http://www.istat.it/it/archivio/167411</vt:lpwstr>
      </vt:variant>
      <vt:variant>
        <vt:lpwstr/>
      </vt:variant>
      <vt:variant>
        <vt:i4>5505116</vt:i4>
      </vt:variant>
      <vt:variant>
        <vt:i4>42</vt:i4>
      </vt:variant>
      <vt:variant>
        <vt:i4>0</vt:i4>
      </vt:variant>
      <vt:variant>
        <vt:i4>5</vt:i4>
      </vt:variant>
      <vt:variant>
        <vt:lpwstr>https://urlsand.esvalabs.com/?u=https%3A%2F%2Fwww.gazzettaufficiale.it%2Feli%2Fid%2F2023%2F08%2F29%2F23A04724%2Fsg&amp;e=2637b01d&amp;h=36c88e7f&amp;f=n&amp;p=y</vt:lpwstr>
      </vt:variant>
      <vt:variant>
        <vt:lpwstr/>
      </vt:variant>
      <vt:variant>
        <vt:i4>458783</vt:i4>
      </vt:variant>
      <vt:variant>
        <vt:i4>39</vt:i4>
      </vt:variant>
      <vt:variant>
        <vt:i4>0</vt:i4>
      </vt:variant>
      <vt:variant>
        <vt:i4>5</vt:i4>
      </vt:variant>
      <vt:variant>
        <vt:lpwstr>http://eur-lex.europa.eu/legal-content/en/TXT/HTML/?uri=CELEX:32013R0549&amp;from=EN</vt:lpwstr>
      </vt:variant>
      <vt:variant>
        <vt:lpwstr/>
      </vt:variant>
      <vt:variant>
        <vt:i4>2621557</vt:i4>
      </vt:variant>
      <vt:variant>
        <vt:i4>3</vt:i4>
      </vt:variant>
      <vt:variant>
        <vt:i4>0</vt:i4>
      </vt:variant>
      <vt:variant>
        <vt:i4>5</vt:i4>
      </vt:variant>
      <vt:variant>
        <vt:lpwstr>https://contact.istat.it/s/?language=it</vt:lpwstr>
      </vt:variant>
      <vt:variant>
        <vt:lpwstr/>
      </vt:variant>
      <vt:variant>
        <vt:i4>6946941</vt:i4>
      </vt:variant>
      <vt:variant>
        <vt:i4>0</vt:i4>
      </vt:variant>
      <vt:variant>
        <vt:i4>0</vt:i4>
      </vt:variant>
      <vt:variant>
        <vt:i4>5</vt:i4>
      </vt:variant>
      <vt:variant>
        <vt:lpwstr>http://www.istat.it/en/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Commercio al dettaglio</dc:title>
  <dc:subject/>
  <dc:creator>ISTAT</dc:creator>
  <cp:keywords/>
  <cp:lastModifiedBy>Filippo Moauro</cp:lastModifiedBy>
  <cp:revision>5</cp:revision>
  <cp:lastPrinted>2017-12-04T11:46:00Z</cp:lastPrinted>
  <dcterms:created xsi:type="dcterms:W3CDTF">2024-07-29T10:33:00Z</dcterms:created>
  <dcterms:modified xsi:type="dcterms:W3CDTF">2024-07-29T10:44:00Z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2QYKZWF4TN2A-29-1358</vt:lpwstr>
  </property>
  <property fmtid="{D5CDD505-2E9C-101B-9397-08002B2CF9AE}" pid="3" name="_dlc_DocIdItemGuid">
    <vt:lpwstr>e43bc89f-02d7-4f4a-a424-fc2e8ce77299</vt:lpwstr>
  </property>
  <property fmtid="{D5CDD505-2E9C-101B-9397-08002B2CF9AE}" pid="4" name="_dlc_DocIdUrl">
    <vt:lpwstr>https://collaborazione.istat.it/siti/ed/ufficio_stampa/_layouts/DocIdRedir.aspx?ID=2QYKZWF4TN2A-29-1358, 2QYKZWF4TN2A-29-1358</vt:lpwstr>
  </property>
</Properties>
</file>