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E5B770" w14:textId="77777777" w:rsidR="006050A4" w:rsidRDefault="006050A4" w:rsidP="008E75C6">
      <w:pPr>
        <w:jc w:val="left"/>
        <w:rPr>
          <w:rFonts w:ascii="Calibri" w:hAnsi="Calibri" w:cs="Calibri"/>
          <w:b/>
          <w:szCs w:val="24"/>
        </w:rPr>
      </w:pPr>
    </w:p>
    <w:p w14:paraId="53BB2970" w14:textId="77777777" w:rsidR="0014309F" w:rsidRDefault="0014309F" w:rsidP="008E75C6">
      <w:pPr>
        <w:jc w:val="left"/>
        <w:rPr>
          <w:rFonts w:ascii="Calibri" w:hAnsi="Calibri" w:cs="Calibri"/>
          <w:b/>
          <w:szCs w:val="24"/>
        </w:rPr>
      </w:pPr>
    </w:p>
    <w:p w14:paraId="5E91177A" w14:textId="77777777" w:rsidR="00704D07" w:rsidRDefault="00704D07" w:rsidP="008E75C6">
      <w:pPr>
        <w:jc w:val="left"/>
        <w:rPr>
          <w:rFonts w:ascii="Fedra Sans Std Demi" w:hAnsi="Fedra Sans Std Demi" w:cs="Calibri"/>
          <w:color w:val="071D49"/>
          <w:szCs w:val="24"/>
        </w:rPr>
      </w:pPr>
    </w:p>
    <w:p w14:paraId="7F3E7E94" w14:textId="77777777" w:rsidR="00B94E32" w:rsidRDefault="00B94E32" w:rsidP="00B94E32">
      <w:pPr>
        <w:jc w:val="left"/>
        <w:rPr>
          <w:rFonts w:ascii="Fedra Sans Std Demi" w:hAnsi="Fedra Sans Std Demi" w:cs="Calibri"/>
          <w:color w:val="071D49"/>
          <w:szCs w:val="24"/>
        </w:rPr>
      </w:pPr>
      <w:r w:rsidRPr="00E37375">
        <w:rPr>
          <w:rFonts w:ascii="Fedra Sans Std Demi" w:hAnsi="Fedra Sans Std Demi" w:cs="Calibri"/>
          <w:color w:val="071D49"/>
          <w:szCs w:val="24"/>
        </w:rPr>
        <w:t>Comunicato Stampa</w:t>
      </w:r>
    </w:p>
    <w:p w14:paraId="5A6920F9" w14:textId="77777777" w:rsidR="00C506B1" w:rsidRDefault="00C506B1" w:rsidP="00B94E32">
      <w:pPr>
        <w:jc w:val="left"/>
        <w:rPr>
          <w:rFonts w:ascii="Fedra Sans Std Demi" w:hAnsi="Fedra Sans Std Demi" w:cs="Calibri"/>
          <w:color w:val="071D49"/>
          <w:szCs w:val="24"/>
        </w:rPr>
      </w:pPr>
    </w:p>
    <w:p w14:paraId="1B8AFD1D" w14:textId="77777777" w:rsidR="00B94E32" w:rsidRPr="00097D84" w:rsidRDefault="00B94E32" w:rsidP="008E75C6">
      <w:pPr>
        <w:jc w:val="left"/>
        <w:rPr>
          <w:rFonts w:ascii="Fedra Sans Std Demi" w:hAnsi="Fedra Sans Std Demi" w:cs="Calibri"/>
          <w:color w:val="071D49"/>
          <w:szCs w:val="24"/>
          <w:highlight w:val="yellow"/>
        </w:rPr>
      </w:pPr>
    </w:p>
    <w:p w14:paraId="60401678" w14:textId="22F9B754" w:rsidR="008D5699" w:rsidRDefault="008D5699" w:rsidP="008D5699">
      <w:pPr>
        <w:jc w:val="center"/>
        <w:rPr>
          <w:rFonts w:ascii="Calibri" w:hAnsi="Calibri" w:cs="Calibri"/>
          <w:szCs w:val="24"/>
        </w:rPr>
      </w:pPr>
      <w:r w:rsidRPr="00233C51">
        <w:rPr>
          <w:rFonts w:ascii="Calibri" w:hAnsi="Calibri" w:cs="Calibri"/>
          <w:szCs w:val="24"/>
        </w:rPr>
        <w:t xml:space="preserve">La congiuntura nel </w:t>
      </w:r>
      <w:r w:rsidR="004806ED">
        <w:rPr>
          <w:rFonts w:ascii="Calibri" w:hAnsi="Calibri" w:cs="Calibri"/>
          <w:szCs w:val="24"/>
        </w:rPr>
        <w:t>terzo</w:t>
      </w:r>
      <w:r w:rsidR="00E16EAC">
        <w:rPr>
          <w:rFonts w:ascii="Calibri" w:hAnsi="Calibri" w:cs="Calibri"/>
          <w:szCs w:val="24"/>
        </w:rPr>
        <w:t xml:space="preserve"> </w:t>
      </w:r>
      <w:r w:rsidRPr="00233C51">
        <w:rPr>
          <w:rFonts w:ascii="Calibri" w:hAnsi="Calibri" w:cs="Calibri"/>
          <w:szCs w:val="24"/>
        </w:rPr>
        <w:t>trimestre 202</w:t>
      </w:r>
      <w:r w:rsidR="00E16EAC">
        <w:rPr>
          <w:rFonts w:ascii="Calibri" w:hAnsi="Calibri" w:cs="Calibri"/>
          <w:szCs w:val="24"/>
        </w:rPr>
        <w:t>4</w:t>
      </w:r>
    </w:p>
    <w:p w14:paraId="1B3AB9C2" w14:textId="0780D0BB" w:rsidR="001267D0" w:rsidRPr="001267D0" w:rsidRDefault="004806ED" w:rsidP="00436C3C">
      <w:pPr>
        <w:jc w:val="center"/>
        <w:rPr>
          <w:rFonts w:ascii="Calibri" w:hAnsi="Calibri" w:cs="Calibri"/>
          <w:b/>
          <w:szCs w:val="24"/>
        </w:rPr>
      </w:pPr>
      <w:r>
        <w:rPr>
          <w:rFonts w:ascii="Calibri" w:hAnsi="Calibri" w:cs="Calibri"/>
          <w:b/>
          <w:szCs w:val="24"/>
        </w:rPr>
        <w:t xml:space="preserve">SEGNALI CRESCENTI DI DIFFICOLTA’ PER DIVERSI SETTORI DEL </w:t>
      </w:r>
      <w:r w:rsidR="001267D0" w:rsidRPr="001267D0">
        <w:rPr>
          <w:rFonts w:ascii="Calibri" w:hAnsi="Calibri" w:cs="Calibri"/>
          <w:b/>
          <w:szCs w:val="24"/>
        </w:rPr>
        <w:t>MANIFATTURIERO</w:t>
      </w:r>
    </w:p>
    <w:p w14:paraId="6EF3D380" w14:textId="5E01DDD5" w:rsidR="001267D0" w:rsidRPr="001267D0" w:rsidRDefault="004806ED" w:rsidP="00436C3C">
      <w:pPr>
        <w:jc w:val="center"/>
        <w:rPr>
          <w:rFonts w:ascii="Calibri" w:hAnsi="Calibri" w:cs="Calibri"/>
          <w:i/>
          <w:sz w:val="22"/>
          <w:szCs w:val="22"/>
        </w:rPr>
      </w:pPr>
      <w:r>
        <w:rPr>
          <w:rFonts w:ascii="Calibri" w:hAnsi="Calibri" w:cs="Calibri"/>
          <w:i/>
          <w:sz w:val="22"/>
          <w:szCs w:val="22"/>
        </w:rPr>
        <w:t xml:space="preserve">Ricomposizione dei consumi, crisi </w:t>
      </w:r>
      <w:proofErr w:type="spellStart"/>
      <w:r>
        <w:rPr>
          <w:rFonts w:ascii="Calibri" w:hAnsi="Calibri" w:cs="Calibri"/>
          <w:i/>
          <w:sz w:val="22"/>
          <w:szCs w:val="22"/>
        </w:rPr>
        <w:t>dell’automotive</w:t>
      </w:r>
      <w:proofErr w:type="spellEnd"/>
      <w:r>
        <w:rPr>
          <w:rFonts w:ascii="Calibri" w:hAnsi="Calibri" w:cs="Calibri"/>
          <w:i/>
          <w:sz w:val="22"/>
          <w:szCs w:val="22"/>
        </w:rPr>
        <w:t xml:space="preserve"> e recessione in Germania acuiscono la debolezza della domanda internazionale, in aggiunta alla persistenza dei noti rischi geopolitici: ne risentono il Sistema Moda e i diversi settori che concorrono alla fabbricazione di parti e accessori di autoveicoli</w:t>
      </w:r>
      <w:r w:rsidR="001267D0" w:rsidRPr="001267D0">
        <w:rPr>
          <w:rFonts w:ascii="Calibri" w:hAnsi="Calibri" w:cs="Calibri"/>
          <w:i/>
          <w:sz w:val="22"/>
          <w:szCs w:val="22"/>
        </w:rPr>
        <w:t>.</w:t>
      </w:r>
      <w:r>
        <w:rPr>
          <w:rFonts w:ascii="Calibri" w:hAnsi="Calibri" w:cs="Calibri"/>
          <w:i/>
          <w:sz w:val="22"/>
          <w:szCs w:val="22"/>
        </w:rPr>
        <w:t xml:space="preserve"> Più </w:t>
      </w:r>
      <w:r w:rsidR="00D17252">
        <w:rPr>
          <w:rFonts w:ascii="Calibri" w:hAnsi="Calibri" w:cs="Calibri"/>
          <w:i/>
          <w:sz w:val="22"/>
          <w:szCs w:val="22"/>
        </w:rPr>
        <w:t xml:space="preserve">cauto </w:t>
      </w:r>
      <w:r>
        <w:rPr>
          <w:rFonts w:ascii="Calibri" w:hAnsi="Calibri" w:cs="Calibri"/>
          <w:i/>
          <w:sz w:val="22"/>
          <w:szCs w:val="22"/>
        </w:rPr>
        <w:t xml:space="preserve">ottimismo </w:t>
      </w:r>
      <w:r w:rsidR="00CA355C">
        <w:rPr>
          <w:rFonts w:ascii="Calibri" w:hAnsi="Calibri" w:cs="Calibri"/>
          <w:i/>
          <w:sz w:val="22"/>
          <w:szCs w:val="22"/>
        </w:rPr>
        <w:t xml:space="preserve">da parte di </w:t>
      </w:r>
      <w:r>
        <w:rPr>
          <w:rFonts w:ascii="Calibri" w:hAnsi="Calibri" w:cs="Calibri"/>
          <w:i/>
          <w:sz w:val="22"/>
          <w:szCs w:val="22"/>
        </w:rPr>
        <w:t>agroalimentare, legno-arredo, occhialeria</w:t>
      </w:r>
      <w:r w:rsidR="00CA355C">
        <w:rPr>
          <w:rFonts w:ascii="Calibri" w:hAnsi="Calibri" w:cs="Calibri"/>
          <w:i/>
          <w:sz w:val="22"/>
          <w:szCs w:val="22"/>
        </w:rPr>
        <w:t>.</w:t>
      </w:r>
    </w:p>
    <w:p w14:paraId="1A5C980F" w14:textId="77777777" w:rsidR="008D5699" w:rsidRPr="00943D33" w:rsidRDefault="008D5699" w:rsidP="008D5699">
      <w:pPr>
        <w:jc w:val="center"/>
        <w:rPr>
          <w:rFonts w:asciiTheme="minorHAnsi" w:hAnsiTheme="minorHAnsi" w:cstheme="minorHAnsi"/>
          <w:color w:val="1D1B11"/>
          <w:szCs w:val="24"/>
          <w:highlight w:val="yellow"/>
        </w:rPr>
      </w:pPr>
    </w:p>
    <w:p w14:paraId="7F7821A6" w14:textId="77777777" w:rsidR="001267D0" w:rsidRDefault="001267D0" w:rsidP="008D5699">
      <w:pPr>
        <w:spacing w:line="320" w:lineRule="exact"/>
        <w:rPr>
          <w:rFonts w:asciiTheme="minorHAnsi" w:hAnsiTheme="minorHAnsi" w:cstheme="minorHAnsi"/>
          <w:color w:val="1D1B11"/>
          <w:szCs w:val="24"/>
          <w:highlight w:val="yellow"/>
        </w:rPr>
      </w:pPr>
    </w:p>
    <w:p w14:paraId="6D42277A" w14:textId="2DAF21FE" w:rsidR="008D5699" w:rsidRPr="007113BD" w:rsidRDefault="009F6232" w:rsidP="008D5699">
      <w:pPr>
        <w:spacing w:line="320" w:lineRule="exact"/>
        <w:rPr>
          <w:rFonts w:asciiTheme="minorHAnsi" w:hAnsiTheme="minorHAnsi" w:cstheme="minorHAnsi"/>
          <w:color w:val="1D1B11"/>
          <w:szCs w:val="24"/>
        </w:rPr>
      </w:pPr>
      <w:r w:rsidRPr="007113BD">
        <w:rPr>
          <w:rFonts w:asciiTheme="minorHAnsi" w:hAnsiTheme="minorHAnsi" w:cstheme="minorHAnsi"/>
          <w:color w:val="1D1B11"/>
          <w:szCs w:val="24"/>
        </w:rPr>
        <w:t xml:space="preserve">Treviso, </w:t>
      </w:r>
      <w:r w:rsidR="00CA355C">
        <w:rPr>
          <w:rFonts w:asciiTheme="minorHAnsi" w:hAnsiTheme="minorHAnsi" w:cstheme="minorHAnsi"/>
          <w:color w:val="1D1B11"/>
          <w:szCs w:val="24"/>
        </w:rPr>
        <w:t>19</w:t>
      </w:r>
      <w:r w:rsidR="001267D0" w:rsidRPr="007113BD">
        <w:rPr>
          <w:rFonts w:asciiTheme="minorHAnsi" w:hAnsiTheme="minorHAnsi" w:cstheme="minorHAnsi"/>
          <w:color w:val="1D1B11"/>
          <w:szCs w:val="24"/>
        </w:rPr>
        <w:t xml:space="preserve"> </w:t>
      </w:r>
      <w:r w:rsidR="00CA355C">
        <w:rPr>
          <w:rFonts w:asciiTheme="minorHAnsi" w:hAnsiTheme="minorHAnsi" w:cstheme="minorHAnsi"/>
          <w:color w:val="1D1B11"/>
          <w:szCs w:val="24"/>
        </w:rPr>
        <w:t>novembre</w:t>
      </w:r>
      <w:r w:rsidR="008D5699" w:rsidRPr="007113BD">
        <w:rPr>
          <w:rFonts w:asciiTheme="minorHAnsi" w:hAnsiTheme="minorHAnsi" w:cstheme="minorHAnsi"/>
          <w:color w:val="1D1B11"/>
          <w:szCs w:val="24"/>
        </w:rPr>
        <w:t xml:space="preserve"> 202</w:t>
      </w:r>
      <w:r w:rsidR="00C36751" w:rsidRPr="007113BD">
        <w:rPr>
          <w:rFonts w:asciiTheme="minorHAnsi" w:hAnsiTheme="minorHAnsi" w:cstheme="minorHAnsi"/>
          <w:color w:val="1D1B11"/>
          <w:szCs w:val="24"/>
        </w:rPr>
        <w:t>4</w:t>
      </w:r>
      <w:r w:rsidR="008D5699" w:rsidRPr="007113BD">
        <w:rPr>
          <w:rFonts w:asciiTheme="minorHAnsi" w:hAnsiTheme="minorHAnsi" w:cstheme="minorHAnsi"/>
          <w:color w:val="1D1B11"/>
          <w:szCs w:val="24"/>
        </w:rPr>
        <w:t xml:space="preserve">.  </w:t>
      </w:r>
    </w:p>
    <w:p w14:paraId="1DF15DB9" w14:textId="2CC668F0" w:rsidR="008D5699" w:rsidRPr="00613C38" w:rsidRDefault="008D5699" w:rsidP="008D5699">
      <w:pPr>
        <w:spacing w:before="240" w:after="120"/>
        <w:rPr>
          <w:rFonts w:ascii="Calibri" w:hAnsi="Calibri" w:cs="Calibri"/>
          <w:b/>
          <w:szCs w:val="24"/>
        </w:rPr>
      </w:pPr>
      <w:r w:rsidRPr="00613C38">
        <w:rPr>
          <w:rFonts w:ascii="Calibri" w:hAnsi="Calibri" w:cs="Calibri"/>
          <w:b/>
          <w:szCs w:val="24"/>
        </w:rPr>
        <w:t>Il commento del Presidente Mario Pozza</w:t>
      </w:r>
    </w:p>
    <w:p w14:paraId="7895C96B" w14:textId="1CD04672" w:rsidR="00810DA6" w:rsidRPr="00FA3A9B" w:rsidRDefault="004B4338" w:rsidP="006C7E14">
      <w:pPr>
        <w:spacing w:before="240" w:after="120"/>
        <w:rPr>
          <w:rFonts w:ascii="Calibri" w:hAnsi="Calibri" w:cs="Calibri"/>
          <w:bCs/>
          <w:i/>
          <w:iCs/>
          <w:szCs w:val="24"/>
        </w:rPr>
      </w:pPr>
      <w:r w:rsidRPr="00FA3A9B">
        <w:rPr>
          <w:rFonts w:ascii="Calibri" w:hAnsi="Calibri" w:cs="Calibri"/>
          <w:bCs/>
          <w:i/>
          <w:iCs/>
          <w:szCs w:val="24"/>
        </w:rPr>
        <w:t xml:space="preserve">Il quadro congiunturale </w:t>
      </w:r>
      <w:r w:rsidR="00810DA6" w:rsidRPr="00FA3A9B">
        <w:rPr>
          <w:rFonts w:ascii="Calibri" w:hAnsi="Calibri" w:cs="Calibri"/>
          <w:bCs/>
          <w:i/>
          <w:iCs/>
          <w:szCs w:val="24"/>
        </w:rPr>
        <w:t xml:space="preserve">continua ad essere caratterizzato da una persistente debolezza della domanda internazionale, aggravata dalla crisi </w:t>
      </w:r>
      <w:proofErr w:type="spellStart"/>
      <w:r w:rsidR="00810DA6" w:rsidRPr="00FA3A9B">
        <w:rPr>
          <w:rFonts w:ascii="Calibri" w:hAnsi="Calibri" w:cs="Calibri"/>
          <w:bCs/>
          <w:i/>
          <w:iCs/>
          <w:szCs w:val="24"/>
        </w:rPr>
        <w:t>dell’automotive</w:t>
      </w:r>
      <w:proofErr w:type="spellEnd"/>
      <w:r w:rsidR="00810DA6" w:rsidRPr="00FA3A9B">
        <w:rPr>
          <w:rFonts w:ascii="Calibri" w:hAnsi="Calibri" w:cs="Calibri"/>
          <w:bCs/>
          <w:i/>
          <w:iCs/>
          <w:szCs w:val="24"/>
        </w:rPr>
        <w:t xml:space="preserve"> e dalla più generale recessione tedesca</w:t>
      </w:r>
      <w:r w:rsidRPr="00FA3A9B">
        <w:rPr>
          <w:rFonts w:ascii="Calibri" w:hAnsi="Calibri" w:cs="Calibri"/>
          <w:bCs/>
          <w:i/>
          <w:iCs/>
          <w:szCs w:val="24"/>
        </w:rPr>
        <w:t xml:space="preserve"> – </w:t>
      </w:r>
      <w:r w:rsidRPr="00FA3A9B">
        <w:rPr>
          <w:rFonts w:ascii="Calibri" w:hAnsi="Calibri" w:cs="Calibri"/>
          <w:bCs/>
          <w:szCs w:val="24"/>
        </w:rPr>
        <w:t>è il primo commento del Presidente della Camera di Commercio di Treviso-Belluno, Mario Pozza.</w:t>
      </w:r>
      <w:r w:rsidRPr="00FA3A9B">
        <w:rPr>
          <w:rFonts w:ascii="Calibri" w:hAnsi="Calibri" w:cs="Calibri"/>
          <w:bCs/>
          <w:i/>
          <w:iCs/>
          <w:szCs w:val="24"/>
        </w:rPr>
        <w:t xml:space="preserve"> </w:t>
      </w:r>
      <w:r w:rsidR="00810DA6" w:rsidRPr="00FA3A9B">
        <w:rPr>
          <w:rFonts w:ascii="Calibri" w:hAnsi="Calibri" w:cs="Calibri"/>
          <w:bCs/>
          <w:i/>
          <w:iCs/>
          <w:szCs w:val="24"/>
        </w:rPr>
        <w:t>Il mercato tedesco è il nostro primo mercato di riferimento: assorbe il 13,8% dell’export regionale, che vale 11,3 miliardi di euro</w:t>
      </w:r>
      <w:r w:rsidR="00FC0FD2" w:rsidRPr="00FA3A9B">
        <w:rPr>
          <w:rFonts w:ascii="Calibri" w:hAnsi="Calibri" w:cs="Calibri"/>
          <w:bCs/>
          <w:i/>
          <w:iCs/>
          <w:szCs w:val="24"/>
        </w:rPr>
        <w:t xml:space="preserve"> (2,3 miliardi a Treviso, quasi mezzo a miliardo a Belluno).</w:t>
      </w:r>
    </w:p>
    <w:p w14:paraId="25AD3ACE" w14:textId="520E89BF" w:rsidR="004B4338" w:rsidRPr="00FA3A9B" w:rsidRDefault="00607F2E" w:rsidP="006C7E14">
      <w:pPr>
        <w:spacing w:before="240" w:after="120"/>
        <w:rPr>
          <w:rFonts w:ascii="Calibri" w:hAnsi="Calibri" w:cs="Calibri"/>
          <w:bCs/>
          <w:i/>
          <w:iCs/>
          <w:szCs w:val="24"/>
        </w:rPr>
      </w:pPr>
      <w:r w:rsidRPr="00FA3A9B">
        <w:rPr>
          <w:rFonts w:ascii="Calibri" w:hAnsi="Calibri" w:cs="Calibri"/>
          <w:bCs/>
          <w:i/>
          <w:iCs/>
          <w:szCs w:val="24"/>
        </w:rPr>
        <w:t>Va subito precisato che, per nostra fortuna, n</w:t>
      </w:r>
      <w:r w:rsidR="004B4338" w:rsidRPr="00FA3A9B">
        <w:rPr>
          <w:rFonts w:ascii="Calibri" w:hAnsi="Calibri" w:cs="Calibri"/>
          <w:bCs/>
          <w:i/>
          <w:iCs/>
          <w:szCs w:val="24"/>
        </w:rPr>
        <w:t>on tutti i settori sono coinvolti dal peggioramento</w:t>
      </w:r>
      <w:r w:rsidRPr="00FA3A9B">
        <w:rPr>
          <w:rFonts w:ascii="Calibri" w:hAnsi="Calibri" w:cs="Calibri"/>
          <w:bCs/>
          <w:i/>
          <w:iCs/>
          <w:szCs w:val="24"/>
        </w:rPr>
        <w:t>: l’</w:t>
      </w:r>
      <w:r w:rsidR="00810DA6" w:rsidRPr="00FA3A9B">
        <w:rPr>
          <w:rFonts w:ascii="Calibri" w:hAnsi="Calibri" w:cs="Calibri"/>
          <w:bCs/>
          <w:i/>
          <w:iCs/>
          <w:szCs w:val="24"/>
        </w:rPr>
        <w:t>agroalimentare continua a crescere, il legno-arredo pare avvertire segnali di ripartenza della domanda</w:t>
      </w:r>
      <w:r w:rsidRPr="00FA3A9B">
        <w:rPr>
          <w:rFonts w:ascii="Calibri" w:hAnsi="Calibri" w:cs="Calibri"/>
          <w:bCs/>
          <w:i/>
          <w:iCs/>
          <w:szCs w:val="24"/>
        </w:rPr>
        <w:t>, si difende anche l’industria delle apparecchiature elettriche</w:t>
      </w:r>
      <w:r w:rsidR="00810DA6" w:rsidRPr="00FA3A9B">
        <w:rPr>
          <w:rFonts w:ascii="Calibri" w:hAnsi="Calibri" w:cs="Calibri"/>
          <w:bCs/>
          <w:i/>
          <w:iCs/>
          <w:szCs w:val="24"/>
        </w:rPr>
        <w:t xml:space="preserve">. </w:t>
      </w:r>
      <w:r w:rsidR="006E30DB" w:rsidRPr="00FA3A9B">
        <w:rPr>
          <w:rFonts w:ascii="Calibri" w:hAnsi="Calibri" w:cs="Calibri"/>
          <w:bCs/>
          <w:i/>
          <w:iCs/>
          <w:szCs w:val="24"/>
        </w:rPr>
        <w:t xml:space="preserve">Per effetto delle compensazioni fra queste dinamiche </w:t>
      </w:r>
      <w:r w:rsidR="004C159F" w:rsidRPr="00FA3A9B">
        <w:rPr>
          <w:rFonts w:ascii="Calibri" w:hAnsi="Calibri" w:cs="Calibri"/>
          <w:bCs/>
          <w:i/>
          <w:iCs/>
          <w:szCs w:val="24"/>
        </w:rPr>
        <w:t xml:space="preserve">settoriali </w:t>
      </w:r>
      <w:r w:rsidR="006E30DB" w:rsidRPr="00FA3A9B">
        <w:rPr>
          <w:rFonts w:ascii="Calibri" w:hAnsi="Calibri" w:cs="Calibri"/>
          <w:bCs/>
          <w:i/>
          <w:iCs/>
          <w:szCs w:val="24"/>
        </w:rPr>
        <w:t xml:space="preserve">differenti, nel complesso la produzione industriale </w:t>
      </w:r>
      <w:r w:rsidR="006513EC" w:rsidRPr="00FA3A9B">
        <w:rPr>
          <w:rFonts w:ascii="Calibri" w:hAnsi="Calibri" w:cs="Calibri"/>
          <w:bCs/>
          <w:i/>
          <w:iCs/>
          <w:szCs w:val="24"/>
        </w:rPr>
        <w:t xml:space="preserve">limita la flessione al </w:t>
      </w:r>
      <w:r w:rsidR="006E30DB" w:rsidRPr="00FA3A9B">
        <w:rPr>
          <w:rFonts w:ascii="Calibri" w:hAnsi="Calibri" w:cs="Calibri"/>
          <w:bCs/>
          <w:i/>
          <w:iCs/>
          <w:szCs w:val="24"/>
        </w:rPr>
        <w:t xml:space="preserve">-1,9% nel trimestre in esame, su base tendenziale. </w:t>
      </w:r>
      <w:r w:rsidR="004B4338" w:rsidRPr="00FA3A9B">
        <w:rPr>
          <w:rFonts w:ascii="Calibri" w:hAnsi="Calibri" w:cs="Calibri"/>
          <w:bCs/>
          <w:i/>
          <w:iCs/>
          <w:szCs w:val="24"/>
        </w:rPr>
        <w:t>Ma</w:t>
      </w:r>
      <w:r w:rsidR="006513EC" w:rsidRPr="00FA3A9B">
        <w:rPr>
          <w:rFonts w:ascii="Calibri" w:hAnsi="Calibri" w:cs="Calibri"/>
          <w:bCs/>
          <w:i/>
          <w:iCs/>
          <w:szCs w:val="24"/>
        </w:rPr>
        <w:t xml:space="preserve"> si apre fortemente la forbice tra i settori in tenuta, e quelli che vanno male, come il </w:t>
      </w:r>
      <w:r w:rsidR="004B4338" w:rsidRPr="00FA3A9B">
        <w:rPr>
          <w:rFonts w:ascii="Calibri" w:hAnsi="Calibri" w:cs="Calibri"/>
          <w:bCs/>
          <w:i/>
          <w:iCs/>
          <w:szCs w:val="24"/>
        </w:rPr>
        <w:t xml:space="preserve">Sistema Moda e tutto l’indotto che ruota attorno </w:t>
      </w:r>
      <w:proofErr w:type="spellStart"/>
      <w:r w:rsidR="004B4338" w:rsidRPr="00FA3A9B">
        <w:rPr>
          <w:rFonts w:ascii="Calibri" w:hAnsi="Calibri" w:cs="Calibri"/>
          <w:bCs/>
          <w:i/>
          <w:iCs/>
          <w:szCs w:val="24"/>
        </w:rPr>
        <w:t>all’automotive</w:t>
      </w:r>
      <w:proofErr w:type="spellEnd"/>
      <w:r w:rsidR="006513EC" w:rsidRPr="00FA3A9B">
        <w:rPr>
          <w:rFonts w:ascii="Calibri" w:hAnsi="Calibri" w:cs="Calibri"/>
          <w:bCs/>
          <w:i/>
          <w:iCs/>
          <w:szCs w:val="24"/>
        </w:rPr>
        <w:t>, che ci destano molte preoccupazioni</w:t>
      </w:r>
      <w:r w:rsidR="004B4338" w:rsidRPr="00FA3A9B">
        <w:rPr>
          <w:rFonts w:ascii="Calibri" w:hAnsi="Calibri" w:cs="Calibri"/>
          <w:bCs/>
          <w:i/>
          <w:iCs/>
          <w:szCs w:val="24"/>
        </w:rPr>
        <w:t>.</w:t>
      </w:r>
    </w:p>
    <w:p w14:paraId="5B2B5734" w14:textId="711D6E35" w:rsidR="00607F2E" w:rsidRPr="00FA3A9B" w:rsidRDefault="004B4338" w:rsidP="006C7E14">
      <w:pPr>
        <w:spacing w:before="240" w:after="120"/>
        <w:rPr>
          <w:rFonts w:ascii="Calibri" w:hAnsi="Calibri" w:cs="Calibri"/>
          <w:bCs/>
          <w:i/>
          <w:iCs/>
          <w:szCs w:val="24"/>
        </w:rPr>
      </w:pPr>
      <w:r w:rsidRPr="00FA3A9B">
        <w:rPr>
          <w:rFonts w:ascii="Calibri" w:hAnsi="Calibri" w:cs="Calibri"/>
          <w:bCs/>
          <w:i/>
          <w:iCs/>
          <w:szCs w:val="24"/>
        </w:rPr>
        <w:t xml:space="preserve">Il Sistema Moda </w:t>
      </w:r>
      <w:r w:rsidR="00607F2E" w:rsidRPr="00FA3A9B">
        <w:rPr>
          <w:rFonts w:ascii="Calibri" w:hAnsi="Calibri" w:cs="Calibri"/>
          <w:bCs/>
          <w:i/>
          <w:iCs/>
          <w:szCs w:val="24"/>
        </w:rPr>
        <w:t xml:space="preserve">– </w:t>
      </w:r>
      <w:r w:rsidR="00607F2E" w:rsidRPr="00FA3A9B">
        <w:rPr>
          <w:rFonts w:ascii="Calibri" w:hAnsi="Calibri" w:cs="Calibri"/>
          <w:bCs/>
          <w:szCs w:val="24"/>
        </w:rPr>
        <w:t>spiega il Presidente</w:t>
      </w:r>
      <w:r w:rsidR="00607F2E" w:rsidRPr="00FA3A9B">
        <w:rPr>
          <w:rFonts w:ascii="Calibri" w:hAnsi="Calibri" w:cs="Calibri"/>
          <w:bCs/>
          <w:i/>
          <w:iCs/>
          <w:szCs w:val="24"/>
        </w:rPr>
        <w:t xml:space="preserve"> - è il settore che nel trimestre in esame conosce la flessione della produzione più pesante su base tendenziale (-7,1%): </w:t>
      </w:r>
      <w:r w:rsidRPr="00FA3A9B">
        <w:rPr>
          <w:rFonts w:ascii="Calibri" w:hAnsi="Calibri" w:cs="Calibri"/>
          <w:bCs/>
          <w:i/>
          <w:iCs/>
          <w:szCs w:val="24"/>
        </w:rPr>
        <w:t xml:space="preserve">sta scontando le difficoltà di spesa </w:t>
      </w:r>
      <w:r w:rsidR="00810DA6" w:rsidRPr="00FA3A9B">
        <w:rPr>
          <w:rFonts w:ascii="Calibri" w:hAnsi="Calibri" w:cs="Calibri"/>
          <w:bCs/>
          <w:i/>
          <w:iCs/>
          <w:szCs w:val="24"/>
        </w:rPr>
        <w:t xml:space="preserve">delle famiglie, causate dal rincaro dei prezzi, </w:t>
      </w:r>
      <w:r w:rsidR="00607F2E" w:rsidRPr="00FA3A9B">
        <w:rPr>
          <w:rFonts w:ascii="Calibri" w:hAnsi="Calibri" w:cs="Calibri"/>
          <w:bCs/>
          <w:i/>
          <w:iCs/>
          <w:szCs w:val="24"/>
        </w:rPr>
        <w:t xml:space="preserve">ma anche una </w:t>
      </w:r>
      <w:r w:rsidR="00810DA6" w:rsidRPr="00FA3A9B">
        <w:rPr>
          <w:rFonts w:ascii="Calibri" w:hAnsi="Calibri" w:cs="Calibri"/>
          <w:bCs/>
          <w:i/>
          <w:iCs/>
          <w:szCs w:val="24"/>
        </w:rPr>
        <w:t>più generale ricomposizione dei consumi</w:t>
      </w:r>
      <w:r w:rsidR="00607F2E" w:rsidRPr="00FA3A9B">
        <w:rPr>
          <w:rFonts w:ascii="Calibri" w:hAnsi="Calibri" w:cs="Calibri"/>
          <w:bCs/>
          <w:i/>
          <w:iCs/>
          <w:szCs w:val="24"/>
        </w:rPr>
        <w:t xml:space="preserve"> </w:t>
      </w:r>
      <w:r w:rsidR="004C159F" w:rsidRPr="00FA3A9B">
        <w:rPr>
          <w:rFonts w:ascii="Calibri" w:hAnsi="Calibri" w:cs="Calibri"/>
          <w:bCs/>
          <w:i/>
          <w:iCs/>
          <w:szCs w:val="24"/>
        </w:rPr>
        <w:t>verso i servizi (viaggi, divertimento</w:t>
      </w:r>
      <w:r w:rsidR="00FC0FD2" w:rsidRPr="00FA3A9B">
        <w:rPr>
          <w:rFonts w:ascii="Calibri" w:hAnsi="Calibri" w:cs="Calibri"/>
          <w:bCs/>
          <w:i/>
          <w:iCs/>
          <w:szCs w:val="24"/>
        </w:rPr>
        <w:t>, salute</w:t>
      </w:r>
      <w:r w:rsidR="004C159F" w:rsidRPr="00FA3A9B">
        <w:rPr>
          <w:rFonts w:ascii="Calibri" w:hAnsi="Calibri" w:cs="Calibri"/>
          <w:bCs/>
          <w:i/>
          <w:iCs/>
          <w:szCs w:val="24"/>
        </w:rPr>
        <w:t>) anziché verso l’acquisto di beni non durevoli</w:t>
      </w:r>
      <w:r w:rsidR="00607F2E" w:rsidRPr="00FA3A9B">
        <w:rPr>
          <w:rFonts w:ascii="Calibri" w:hAnsi="Calibri" w:cs="Calibri"/>
          <w:bCs/>
          <w:i/>
          <w:iCs/>
          <w:szCs w:val="24"/>
        </w:rPr>
        <w:t>.</w:t>
      </w:r>
    </w:p>
    <w:p w14:paraId="4210377D" w14:textId="1A844002" w:rsidR="002124CC" w:rsidRPr="00FA3A9B" w:rsidRDefault="00607F2E" w:rsidP="006C7E14">
      <w:pPr>
        <w:spacing w:before="240" w:after="120"/>
        <w:rPr>
          <w:rFonts w:ascii="Calibri" w:hAnsi="Calibri" w:cs="Calibri"/>
          <w:bCs/>
          <w:i/>
          <w:iCs/>
          <w:szCs w:val="24"/>
        </w:rPr>
      </w:pPr>
      <w:r w:rsidRPr="00FA3A9B">
        <w:rPr>
          <w:rFonts w:ascii="Calibri" w:hAnsi="Calibri" w:cs="Calibri"/>
          <w:bCs/>
          <w:i/>
          <w:iCs/>
          <w:szCs w:val="24"/>
        </w:rPr>
        <w:t xml:space="preserve">Per quanto riguarda </w:t>
      </w:r>
      <w:proofErr w:type="spellStart"/>
      <w:r w:rsidRPr="00FA3A9B">
        <w:rPr>
          <w:rFonts w:ascii="Calibri" w:hAnsi="Calibri" w:cs="Calibri"/>
          <w:bCs/>
          <w:i/>
          <w:iCs/>
          <w:szCs w:val="24"/>
        </w:rPr>
        <w:t>l’automotive</w:t>
      </w:r>
      <w:proofErr w:type="spellEnd"/>
      <w:r w:rsidRPr="00FA3A9B">
        <w:rPr>
          <w:rFonts w:ascii="Calibri" w:hAnsi="Calibri" w:cs="Calibri"/>
          <w:bCs/>
          <w:i/>
          <w:iCs/>
          <w:szCs w:val="24"/>
        </w:rPr>
        <w:t xml:space="preserve"> - </w:t>
      </w:r>
      <w:r w:rsidRPr="00FA3A9B">
        <w:rPr>
          <w:rFonts w:ascii="Calibri" w:hAnsi="Calibri" w:cs="Calibri"/>
          <w:bCs/>
          <w:szCs w:val="24"/>
        </w:rPr>
        <w:t>continua Pozza</w:t>
      </w:r>
      <w:r w:rsidRPr="00FA3A9B">
        <w:rPr>
          <w:rFonts w:ascii="Calibri" w:hAnsi="Calibri" w:cs="Calibri"/>
          <w:bCs/>
          <w:i/>
          <w:iCs/>
          <w:szCs w:val="24"/>
        </w:rPr>
        <w:t xml:space="preserve"> </w:t>
      </w:r>
      <w:r w:rsidR="00BF16F9" w:rsidRPr="00FA3A9B">
        <w:rPr>
          <w:rFonts w:ascii="Calibri" w:hAnsi="Calibri" w:cs="Calibri"/>
          <w:bCs/>
          <w:i/>
          <w:iCs/>
          <w:szCs w:val="24"/>
        </w:rPr>
        <w:t>–</w:t>
      </w:r>
      <w:r w:rsidRPr="00FA3A9B">
        <w:rPr>
          <w:rFonts w:ascii="Calibri" w:hAnsi="Calibri" w:cs="Calibri"/>
          <w:bCs/>
          <w:i/>
          <w:iCs/>
          <w:szCs w:val="24"/>
        </w:rPr>
        <w:t xml:space="preserve"> </w:t>
      </w:r>
      <w:r w:rsidR="00BF16F9" w:rsidRPr="00FA3A9B">
        <w:rPr>
          <w:rFonts w:ascii="Calibri" w:hAnsi="Calibri" w:cs="Calibri"/>
          <w:bCs/>
          <w:i/>
          <w:iCs/>
          <w:szCs w:val="24"/>
        </w:rPr>
        <w:t xml:space="preserve">la flessione della produzione è intorno al -4,0%, ma </w:t>
      </w:r>
      <w:r w:rsidRPr="00FA3A9B">
        <w:rPr>
          <w:rFonts w:ascii="Calibri" w:hAnsi="Calibri" w:cs="Calibri"/>
          <w:bCs/>
          <w:i/>
          <w:iCs/>
          <w:szCs w:val="24"/>
        </w:rPr>
        <w:t xml:space="preserve">ora </w:t>
      </w:r>
      <w:r w:rsidR="00FC0FD2" w:rsidRPr="00FA3A9B">
        <w:rPr>
          <w:rFonts w:ascii="Calibri" w:hAnsi="Calibri" w:cs="Calibri"/>
          <w:bCs/>
          <w:i/>
          <w:iCs/>
          <w:szCs w:val="24"/>
        </w:rPr>
        <w:t xml:space="preserve">occorre </w:t>
      </w:r>
      <w:r w:rsidRPr="00FA3A9B">
        <w:rPr>
          <w:rFonts w:ascii="Calibri" w:hAnsi="Calibri" w:cs="Calibri"/>
          <w:bCs/>
          <w:i/>
          <w:iCs/>
          <w:szCs w:val="24"/>
        </w:rPr>
        <w:t xml:space="preserve">capire i contorni della crisi, quanto profondo ed esteso potrà essere l’impatto </w:t>
      </w:r>
      <w:r w:rsidR="00BF16F9" w:rsidRPr="00FA3A9B">
        <w:rPr>
          <w:rFonts w:ascii="Calibri" w:hAnsi="Calibri" w:cs="Calibri"/>
          <w:bCs/>
          <w:i/>
          <w:iCs/>
          <w:szCs w:val="24"/>
        </w:rPr>
        <w:t>su</w:t>
      </w:r>
      <w:r w:rsidRPr="00FA3A9B">
        <w:rPr>
          <w:rFonts w:ascii="Calibri" w:hAnsi="Calibri" w:cs="Calibri"/>
          <w:bCs/>
          <w:i/>
          <w:iCs/>
          <w:szCs w:val="24"/>
        </w:rPr>
        <w:t xml:space="preserve"> tutte quelle nostre imprese che, in Veneto ma anche qui in provincia di Treviso, fanno parte dell’indotto. Sulla fabbricazione di parti e accessori per autoveicoli riusciamo anche a quantificare dei numeri: sono 528 gli stabilimenti in Veneto (e 116 a Treviso) che operano nel settore, per un totale di circa 7.000 addetti (1.800 a Treviso). Queste imprese generano un export di 1,5 miliardi di euro a livello regionale, </w:t>
      </w:r>
      <w:r w:rsidR="002124CC" w:rsidRPr="00FA3A9B">
        <w:rPr>
          <w:rFonts w:ascii="Calibri" w:hAnsi="Calibri" w:cs="Calibri"/>
          <w:bCs/>
          <w:i/>
          <w:iCs/>
          <w:szCs w:val="24"/>
        </w:rPr>
        <w:t xml:space="preserve">di cui quasi 300 milioni va verso il mercato tedesco; con altri 270 milioni di semilavorati destinati al quadrante più ampio </w:t>
      </w:r>
      <w:r w:rsidR="002124CC" w:rsidRPr="00FA3A9B">
        <w:rPr>
          <w:rFonts w:ascii="Calibri" w:hAnsi="Calibri" w:cs="Calibri"/>
          <w:bCs/>
          <w:i/>
          <w:iCs/>
          <w:szCs w:val="24"/>
        </w:rPr>
        <w:lastRenderedPageBreak/>
        <w:t>dell’Europa centro-orientale (Austria inclusa), dove operano, come noto, molti assemblatori di primo livello per l’industria automobilistica tedesca. Ma ci tengo a precisare – sempre Pozza – che questi numeri sono in difetto, perché non tengono conto delle tante imprese della lavorazione metalli, della plastica, della componentistica elettrica o elettronica che ufficialmente sono codificate dentro questi settori, ma c</w:t>
      </w:r>
      <w:r w:rsidR="00BF16F9" w:rsidRPr="00FA3A9B">
        <w:rPr>
          <w:rFonts w:ascii="Calibri" w:hAnsi="Calibri" w:cs="Calibri"/>
          <w:bCs/>
          <w:i/>
          <w:iCs/>
          <w:szCs w:val="24"/>
        </w:rPr>
        <w:t xml:space="preserve">on linee di business </w:t>
      </w:r>
      <w:r w:rsidR="002124CC" w:rsidRPr="00FA3A9B">
        <w:rPr>
          <w:rFonts w:ascii="Calibri" w:hAnsi="Calibri" w:cs="Calibri"/>
          <w:bCs/>
          <w:i/>
          <w:iCs/>
          <w:szCs w:val="24"/>
        </w:rPr>
        <w:t>anche per il settore automotive.</w:t>
      </w:r>
      <w:r w:rsidR="00477352" w:rsidRPr="00FA3A9B">
        <w:rPr>
          <w:rFonts w:ascii="Calibri" w:hAnsi="Calibri" w:cs="Calibri"/>
          <w:bCs/>
          <w:i/>
          <w:iCs/>
          <w:szCs w:val="24"/>
        </w:rPr>
        <w:t xml:space="preserve"> Basti citare il caso della fonderia di Quero, entrata in crisi perché aveva puntato molto su elementi per motori elettrici, e che potrebbe lasciare a casa metà dei lavoratori.</w:t>
      </w:r>
    </w:p>
    <w:p w14:paraId="7510E8F9" w14:textId="0B7CF86C" w:rsidR="00CF4F17" w:rsidRPr="00FA3A9B" w:rsidRDefault="002124CC" w:rsidP="006C7E14">
      <w:pPr>
        <w:spacing w:before="240" w:after="120"/>
        <w:rPr>
          <w:rFonts w:ascii="Calibri" w:hAnsi="Calibri" w:cs="Calibri"/>
          <w:bCs/>
          <w:i/>
          <w:iCs/>
          <w:szCs w:val="24"/>
        </w:rPr>
      </w:pPr>
      <w:r w:rsidRPr="00FA3A9B">
        <w:rPr>
          <w:rFonts w:ascii="Calibri" w:hAnsi="Calibri" w:cs="Calibri"/>
          <w:bCs/>
          <w:i/>
          <w:iCs/>
          <w:szCs w:val="24"/>
        </w:rPr>
        <w:t xml:space="preserve">Da tempo </w:t>
      </w:r>
      <w:r w:rsidR="00CF4F17" w:rsidRPr="00FA3A9B">
        <w:rPr>
          <w:rFonts w:ascii="Calibri" w:hAnsi="Calibri" w:cs="Calibri"/>
          <w:bCs/>
          <w:i/>
          <w:iCs/>
          <w:szCs w:val="24"/>
        </w:rPr>
        <w:t>continuo a dire</w:t>
      </w:r>
      <w:r w:rsidRPr="00FA3A9B">
        <w:rPr>
          <w:rFonts w:ascii="Calibri" w:hAnsi="Calibri" w:cs="Calibri"/>
          <w:bCs/>
          <w:i/>
          <w:iCs/>
          <w:szCs w:val="24"/>
        </w:rPr>
        <w:t xml:space="preserve"> </w:t>
      </w:r>
      <w:r w:rsidR="00CF4F17" w:rsidRPr="00FA3A9B">
        <w:rPr>
          <w:rFonts w:ascii="Calibri" w:hAnsi="Calibri" w:cs="Calibri"/>
          <w:bCs/>
          <w:i/>
          <w:iCs/>
          <w:szCs w:val="24"/>
        </w:rPr>
        <w:t xml:space="preserve">– </w:t>
      </w:r>
      <w:r w:rsidR="00CF4F17" w:rsidRPr="00FA3A9B">
        <w:rPr>
          <w:rFonts w:ascii="Calibri" w:hAnsi="Calibri" w:cs="Calibri"/>
          <w:bCs/>
          <w:szCs w:val="24"/>
        </w:rPr>
        <w:t>parla Pozza</w:t>
      </w:r>
      <w:r w:rsidR="00CF4F17" w:rsidRPr="00FA3A9B">
        <w:rPr>
          <w:rFonts w:ascii="Calibri" w:hAnsi="Calibri" w:cs="Calibri"/>
          <w:bCs/>
          <w:i/>
          <w:iCs/>
          <w:szCs w:val="24"/>
        </w:rPr>
        <w:t xml:space="preserve"> - </w:t>
      </w:r>
      <w:r w:rsidRPr="00FA3A9B">
        <w:rPr>
          <w:rFonts w:ascii="Calibri" w:hAnsi="Calibri" w:cs="Calibri"/>
          <w:bCs/>
          <w:i/>
          <w:iCs/>
          <w:szCs w:val="24"/>
        </w:rPr>
        <w:t xml:space="preserve">che è stata troppo frettolosa e ideologica la scelta dell’Ue di bandire i motori termici, di puntare esclusivamente sulla mobilità elettrica senza capire che mercati e tecnologie non erano maturi. </w:t>
      </w:r>
    </w:p>
    <w:p w14:paraId="22A5C0D3" w14:textId="6687AF17" w:rsidR="00543E87" w:rsidRPr="00FA3A9B" w:rsidRDefault="00CF4F17" w:rsidP="006C7E14">
      <w:pPr>
        <w:spacing w:before="240" w:after="120"/>
        <w:rPr>
          <w:rFonts w:ascii="Calibri" w:hAnsi="Calibri" w:cs="Calibri"/>
          <w:bCs/>
          <w:i/>
          <w:iCs/>
          <w:szCs w:val="24"/>
        </w:rPr>
      </w:pPr>
      <w:r w:rsidRPr="00FA3A9B">
        <w:rPr>
          <w:rFonts w:ascii="Calibri" w:hAnsi="Calibri" w:cs="Calibri"/>
          <w:bCs/>
          <w:i/>
          <w:iCs/>
          <w:szCs w:val="24"/>
        </w:rPr>
        <w:t xml:space="preserve">Aggiungo: </w:t>
      </w:r>
      <w:r w:rsidR="00FC0FD2" w:rsidRPr="00FA3A9B">
        <w:rPr>
          <w:rFonts w:ascii="Calibri" w:hAnsi="Calibri" w:cs="Calibri"/>
          <w:bCs/>
          <w:i/>
          <w:iCs/>
          <w:szCs w:val="24"/>
        </w:rPr>
        <w:t xml:space="preserve">c’è un problema più generale di competitività dell’industria europea. E </w:t>
      </w:r>
      <w:r w:rsidRPr="00FA3A9B">
        <w:rPr>
          <w:rFonts w:ascii="Calibri" w:hAnsi="Calibri" w:cs="Calibri"/>
          <w:bCs/>
          <w:i/>
          <w:iCs/>
          <w:szCs w:val="24"/>
        </w:rPr>
        <w:t>v</w:t>
      </w:r>
      <w:r w:rsidR="00543E87" w:rsidRPr="00FA3A9B">
        <w:rPr>
          <w:rFonts w:ascii="Calibri" w:hAnsi="Calibri" w:cs="Calibri"/>
          <w:bCs/>
          <w:i/>
          <w:iCs/>
          <w:szCs w:val="24"/>
        </w:rPr>
        <w:t xml:space="preserve">i concorre anche </w:t>
      </w:r>
      <w:r w:rsidR="002124CC" w:rsidRPr="00FA3A9B">
        <w:rPr>
          <w:rFonts w:ascii="Calibri" w:hAnsi="Calibri" w:cs="Calibri"/>
          <w:bCs/>
          <w:i/>
          <w:iCs/>
          <w:szCs w:val="24"/>
        </w:rPr>
        <w:t>l’eccesso di prudenza della BCE nel calo dei tassi d’interesse</w:t>
      </w:r>
      <w:r w:rsidR="00543E87" w:rsidRPr="00FA3A9B">
        <w:rPr>
          <w:rFonts w:ascii="Calibri" w:hAnsi="Calibri" w:cs="Calibri"/>
          <w:bCs/>
          <w:i/>
          <w:iCs/>
          <w:szCs w:val="24"/>
        </w:rPr>
        <w:t>. Mesi fa il nostro Governatore della Banca d’Italia, Fabio Panetta, aveva lanciato il monito alla stessa BCE, aveva avvertito che bisognava ben gestire la velocità di discesa dei tassi, per non deprimere troppo la domanda. Quel tempo di capire</w:t>
      </w:r>
      <w:r w:rsidR="00FC0FD2" w:rsidRPr="00FA3A9B">
        <w:rPr>
          <w:rFonts w:ascii="Calibri" w:hAnsi="Calibri" w:cs="Calibri"/>
          <w:bCs/>
          <w:i/>
          <w:iCs/>
          <w:szCs w:val="24"/>
        </w:rPr>
        <w:t xml:space="preserve"> come non deprimere la domanda sembra ormai passato</w:t>
      </w:r>
      <w:r w:rsidR="00543E87" w:rsidRPr="00FA3A9B">
        <w:rPr>
          <w:rFonts w:ascii="Calibri" w:hAnsi="Calibri" w:cs="Calibri"/>
          <w:bCs/>
          <w:i/>
          <w:iCs/>
          <w:szCs w:val="24"/>
        </w:rPr>
        <w:t xml:space="preserve"> – sostiene Pozza – </w:t>
      </w:r>
      <w:r w:rsidR="00FC0FD2" w:rsidRPr="00FA3A9B">
        <w:rPr>
          <w:rFonts w:ascii="Calibri" w:hAnsi="Calibri" w:cs="Calibri"/>
          <w:bCs/>
          <w:i/>
          <w:iCs/>
          <w:szCs w:val="24"/>
        </w:rPr>
        <w:t>gu</w:t>
      </w:r>
      <w:r w:rsidR="00A811E5" w:rsidRPr="00FA3A9B">
        <w:rPr>
          <w:rFonts w:ascii="Calibri" w:hAnsi="Calibri" w:cs="Calibri"/>
          <w:bCs/>
          <w:i/>
          <w:iCs/>
          <w:szCs w:val="24"/>
        </w:rPr>
        <w:t>a</w:t>
      </w:r>
      <w:r w:rsidR="00FC0FD2" w:rsidRPr="00FA3A9B">
        <w:rPr>
          <w:rFonts w:ascii="Calibri" w:hAnsi="Calibri" w:cs="Calibri"/>
          <w:bCs/>
          <w:i/>
          <w:iCs/>
          <w:szCs w:val="24"/>
        </w:rPr>
        <w:t>rdando</w:t>
      </w:r>
      <w:r w:rsidR="00543E87" w:rsidRPr="00FA3A9B">
        <w:rPr>
          <w:rFonts w:ascii="Calibri" w:hAnsi="Calibri" w:cs="Calibri"/>
          <w:bCs/>
          <w:i/>
          <w:iCs/>
          <w:szCs w:val="24"/>
        </w:rPr>
        <w:t xml:space="preserve"> anche i numeri della nostra indagine: persino un’eccellenza come la nostra industria dei macchinari sta risentendo di questo clima d’incertezza, del costo denaro che induce a rinviare gli investimenti, oltre che di un Piano Transizione 5.0 annunciato a parole dal Governo ma che tarda ad essere messo a terra.</w:t>
      </w:r>
    </w:p>
    <w:p w14:paraId="310AF62B" w14:textId="086A067D" w:rsidR="00CA355C" w:rsidRPr="00FA3A9B" w:rsidRDefault="00543E87" w:rsidP="00543E87">
      <w:pPr>
        <w:spacing w:before="240" w:after="120"/>
        <w:rPr>
          <w:rFonts w:ascii="Calibri" w:hAnsi="Calibri" w:cs="Calibri"/>
          <w:bCs/>
          <w:i/>
          <w:iCs/>
          <w:szCs w:val="24"/>
        </w:rPr>
      </w:pPr>
      <w:r w:rsidRPr="00FA3A9B">
        <w:rPr>
          <w:rFonts w:ascii="Calibri" w:hAnsi="Calibri" w:cs="Calibri"/>
          <w:bCs/>
          <w:i/>
          <w:iCs/>
          <w:szCs w:val="24"/>
        </w:rPr>
        <w:t xml:space="preserve">Allora – </w:t>
      </w:r>
      <w:r w:rsidRPr="00FA3A9B">
        <w:rPr>
          <w:rFonts w:ascii="Calibri" w:hAnsi="Calibri" w:cs="Calibri"/>
          <w:bCs/>
          <w:szCs w:val="24"/>
        </w:rPr>
        <w:t>conclude Pozza</w:t>
      </w:r>
      <w:r w:rsidRPr="00FA3A9B">
        <w:rPr>
          <w:rFonts w:ascii="Calibri" w:hAnsi="Calibri" w:cs="Calibri"/>
          <w:bCs/>
          <w:i/>
          <w:iCs/>
          <w:szCs w:val="24"/>
        </w:rPr>
        <w:t xml:space="preserve"> – è giunto il tempo delle decisioni. Le previsioni raccolte dai nostri imprenditori vedono ancora troppa incertezza sulla domanda. </w:t>
      </w:r>
      <w:r w:rsidR="00A811E5" w:rsidRPr="00FA3A9B">
        <w:rPr>
          <w:rFonts w:ascii="Calibri" w:hAnsi="Calibri" w:cs="Calibri"/>
          <w:bCs/>
          <w:i/>
          <w:iCs/>
          <w:szCs w:val="24"/>
        </w:rPr>
        <w:t xml:space="preserve">Il mercato del lavoro finora ha tenuto, ma per quanto ancora riuscirà a farlo? Nel Sistema Moda e </w:t>
      </w:r>
      <w:proofErr w:type="spellStart"/>
      <w:r w:rsidR="00A811E5" w:rsidRPr="00FA3A9B">
        <w:rPr>
          <w:rFonts w:ascii="Calibri" w:hAnsi="Calibri" w:cs="Calibri"/>
          <w:bCs/>
          <w:i/>
          <w:iCs/>
          <w:szCs w:val="24"/>
        </w:rPr>
        <w:t>nell’automotive</w:t>
      </w:r>
      <w:proofErr w:type="spellEnd"/>
      <w:r w:rsidR="00A811E5" w:rsidRPr="00FA3A9B">
        <w:rPr>
          <w:rFonts w:ascii="Calibri" w:hAnsi="Calibri" w:cs="Calibri"/>
          <w:bCs/>
          <w:i/>
          <w:iCs/>
          <w:szCs w:val="24"/>
        </w:rPr>
        <w:t xml:space="preserve"> emergono saldi occupazionali in negativo, come certificato da </w:t>
      </w:r>
      <w:r w:rsidRPr="00FA3A9B">
        <w:rPr>
          <w:rFonts w:ascii="Calibri" w:hAnsi="Calibri" w:cs="Calibri"/>
          <w:bCs/>
          <w:i/>
          <w:iCs/>
          <w:szCs w:val="24"/>
        </w:rPr>
        <w:t xml:space="preserve">Veneto Lavoro. </w:t>
      </w:r>
    </w:p>
    <w:p w14:paraId="75EA2244" w14:textId="34480DA3" w:rsidR="006C7E14" w:rsidRPr="00FA3A9B" w:rsidRDefault="002D6AF5" w:rsidP="006C7E14">
      <w:pPr>
        <w:spacing w:before="240" w:after="120"/>
        <w:rPr>
          <w:rFonts w:ascii="Calibri" w:hAnsi="Calibri" w:cs="Calibri"/>
          <w:bCs/>
          <w:i/>
          <w:iCs/>
          <w:szCs w:val="24"/>
        </w:rPr>
      </w:pPr>
      <w:r w:rsidRPr="00FA3A9B">
        <w:rPr>
          <w:rFonts w:ascii="Calibri" w:hAnsi="Calibri" w:cs="Calibri"/>
          <w:bCs/>
          <w:i/>
          <w:iCs/>
          <w:szCs w:val="24"/>
        </w:rPr>
        <w:t>C</w:t>
      </w:r>
      <w:r w:rsidR="00543E87" w:rsidRPr="00FA3A9B">
        <w:rPr>
          <w:rFonts w:ascii="Calibri" w:hAnsi="Calibri" w:cs="Calibri"/>
          <w:bCs/>
          <w:i/>
          <w:iCs/>
          <w:szCs w:val="24"/>
        </w:rPr>
        <w:t xml:space="preserve">i sono delle scelte da effettuare </w:t>
      </w:r>
      <w:r w:rsidRPr="00FA3A9B">
        <w:rPr>
          <w:rFonts w:ascii="Calibri" w:hAnsi="Calibri" w:cs="Calibri"/>
          <w:bCs/>
          <w:i/>
          <w:iCs/>
          <w:szCs w:val="24"/>
        </w:rPr>
        <w:t xml:space="preserve">soprattutto </w:t>
      </w:r>
      <w:r w:rsidR="00543E87" w:rsidRPr="00FA3A9B">
        <w:rPr>
          <w:rFonts w:ascii="Calibri" w:hAnsi="Calibri" w:cs="Calibri"/>
          <w:bCs/>
          <w:i/>
          <w:iCs/>
          <w:szCs w:val="24"/>
        </w:rPr>
        <w:t xml:space="preserve">in </w:t>
      </w:r>
      <w:r w:rsidR="00FC0FD2" w:rsidRPr="00FA3A9B">
        <w:rPr>
          <w:rFonts w:ascii="Calibri" w:hAnsi="Calibri" w:cs="Calibri"/>
          <w:bCs/>
          <w:i/>
          <w:iCs/>
          <w:szCs w:val="24"/>
        </w:rPr>
        <w:t>Unione europea</w:t>
      </w:r>
      <w:r w:rsidR="00CF4F17" w:rsidRPr="00FA3A9B">
        <w:rPr>
          <w:rFonts w:ascii="Calibri" w:hAnsi="Calibri" w:cs="Calibri"/>
          <w:bCs/>
          <w:i/>
          <w:iCs/>
          <w:szCs w:val="24"/>
        </w:rPr>
        <w:t xml:space="preserve"> - </w:t>
      </w:r>
      <w:r w:rsidR="00CF4F17" w:rsidRPr="00FA3A9B">
        <w:rPr>
          <w:rFonts w:ascii="Calibri" w:hAnsi="Calibri" w:cs="Calibri"/>
          <w:bCs/>
          <w:szCs w:val="24"/>
        </w:rPr>
        <w:t>sostiene il Presidente Pozza</w:t>
      </w:r>
      <w:r w:rsidR="00CF4F17" w:rsidRPr="00FA3A9B">
        <w:rPr>
          <w:rFonts w:ascii="Calibri" w:hAnsi="Calibri" w:cs="Calibri"/>
          <w:bCs/>
          <w:i/>
          <w:iCs/>
          <w:szCs w:val="24"/>
        </w:rPr>
        <w:t xml:space="preserve"> - </w:t>
      </w:r>
      <w:r w:rsidRPr="00FA3A9B">
        <w:rPr>
          <w:rFonts w:ascii="Calibri" w:hAnsi="Calibri" w:cs="Calibri"/>
          <w:bCs/>
          <w:i/>
          <w:iCs/>
          <w:szCs w:val="24"/>
        </w:rPr>
        <w:t xml:space="preserve">se crediamo ancora al progetto di integrazione europea </w:t>
      </w:r>
      <w:r w:rsidR="00D7177F" w:rsidRPr="00FA3A9B">
        <w:rPr>
          <w:rFonts w:ascii="Calibri" w:hAnsi="Calibri" w:cs="Calibri"/>
          <w:bCs/>
          <w:i/>
          <w:iCs/>
          <w:szCs w:val="24"/>
        </w:rPr>
        <w:t xml:space="preserve">nella sostanza e </w:t>
      </w:r>
      <w:r w:rsidR="00E27E2A" w:rsidRPr="00FA3A9B">
        <w:rPr>
          <w:rFonts w:ascii="Calibri" w:hAnsi="Calibri" w:cs="Calibri"/>
          <w:bCs/>
          <w:i/>
          <w:iCs/>
          <w:szCs w:val="24"/>
        </w:rPr>
        <w:t xml:space="preserve">non </w:t>
      </w:r>
      <w:r w:rsidR="00D7177F" w:rsidRPr="00FA3A9B">
        <w:rPr>
          <w:rFonts w:ascii="Calibri" w:hAnsi="Calibri" w:cs="Calibri"/>
          <w:bCs/>
          <w:i/>
          <w:iCs/>
          <w:szCs w:val="24"/>
        </w:rPr>
        <w:t>soltanto per belle parole.</w:t>
      </w:r>
      <w:r w:rsidR="00543E87" w:rsidRPr="00FA3A9B">
        <w:rPr>
          <w:rFonts w:ascii="Calibri" w:hAnsi="Calibri" w:cs="Calibri"/>
          <w:bCs/>
          <w:i/>
          <w:iCs/>
          <w:szCs w:val="24"/>
        </w:rPr>
        <w:t xml:space="preserve"> Bisogna </w:t>
      </w:r>
      <w:r w:rsidRPr="00FA3A9B">
        <w:rPr>
          <w:rFonts w:ascii="Calibri" w:hAnsi="Calibri" w:cs="Calibri"/>
          <w:bCs/>
          <w:i/>
          <w:iCs/>
          <w:szCs w:val="24"/>
        </w:rPr>
        <w:t xml:space="preserve">scrivere una nuova politica europea a sostegno della manifattura. Che passi certo per la trasformazione digitale e la transizione ecologica, ma con scelte e tempistiche accorte, basate sulle reali capacità di assorbimento dei mercati, consapevoli inoltre </w:t>
      </w:r>
      <w:r w:rsidR="006C7E14" w:rsidRPr="00FA3A9B">
        <w:rPr>
          <w:rFonts w:ascii="Calibri" w:hAnsi="Calibri" w:cs="Calibri"/>
          <w:bCs/>
          <w:i/>
          <w:iCs/>
          <w:szCs w:val="24"/>
        </w:rPr>
        <w:t>delle asimmetrie evidenti in termini di emissioni tra le grandi aree del mondo</w:t>
      </w:r>
      <w:r w:rsidRPr="00FA3A9B">
        <w:rPr>
          <w:rFonts w:ascii="Calibri" w:hAnsi="Calibri" w:cs="Calibri"/>
          <w:bCs/>
          <w:i/>
          <w:iCs/>
          <w:szCs w:val="24"/>
        </w:rPr>
        <w:t xml:space="preserve">: la </w:t>
      </w:r>
      <w:r w:rsidR="006C7E14" w:rsidRPr="00FA3A9B">
        <w:rPr>
          <w:rFonts w:ascii="Calibri" w:hAnsi="Calibri" w:cs="Calibri"/>
          <w:bCs/>
          <w:i/>
          <w:iCs/>
          <w:szCs w:val="24"/>
        </w:rPr>
        <w:t>Cina inquina 4,5 volte il nostro continente.</w:t>
      </w:r>
      <w:r w:rsidRPr="00FA3A9B">
        <w:rPr>
          <w:rFonts w:ascii="Calibri" w:hAnsi="Calibri" w:cs="Calibri"/>
          <w:bCs/>
          <w:i/>
          <w:iCs/>
          <w:szCs w:val="24"/>
        </w:rPr>
        <w:t xml:space="preserve"> </w:t>
      </w:r>
      <w:r w:rsidR="00D7177F" w:rsidRPr="00FA3A9B">
        <w:rPr>
          <w:rFonts w:ascii="Calibri" w:hAnsi="Calibri" w:cs="Calibri"/>
          <w:bCs/>
          <w:i/>
          <w:iCs/>
          <w:szCs w:val="24"/>
        </w:rPr>
        <w:t>E n</w:t>
      </w:r>
      <w:r w:rsidRPr="00FA3A9B">
        <w:rPr>
          <w:rFonts w:ascii="Calibri" w:hAnsi="Calibri" w:cs="Calibri"/>
          <w:bCs/>
          <w:i/>
          <w:iCs/>
          <w:szCs w:val="24"/>
        </w:rPr>
        <w:t xml:space="preserve">on c’è di peggio che far passare alle imprese e alle famiglie che la scommessa per l’ambiente </w:t>
      </w:r>
      <w:r w:rsidR="00BF16F9" w:rsidRPr="00FA3A9B">
        <w:rPr>
          <w:rFonts w:ascii="Calibri" w:hAnsi="Calibri" w:cs="Calibri"/>
          <w:bCs/>
          <w:i/>
          <w:iCs/>
          <w:szCs w:val="24"/>
        </w:rPr>
        <w:t>sia</w:t>
      </w:r>
      <w:r w:rsidRPr="00FA3A9B">
        <w:rPr>
          <w:rFonts w:ascii="Calibri" w:hAnsi="Calibri" w:cs="Calibri"/>
          <w:bCs/>
          <w:i/>
          <w:iCs/>
          <w:szCs w:val="24"/>
        </w:rPr>
        <w:t xml:space="preserve"> solo una questione “per ricchi”. </w:t>
      </w:r>
    </w:p>
    <w:p w14:paraId="42CD7932" w14:textId="3532FB32" w:rsidR="00DC66E3" w:rsidRPr="00FA3A9B" w:rsidRDefault="002D6AF5" w:rsidP="006C7E14">
      <w:pPr>
        <w:spacing w:before="240" w:after="120"/>
        <w:rPr>
          <w:rFonts w:ascii="Calibri" w:hAnsi="Calibri" w:cs="Calibri"/>
          <w:bCs/>
          <w:i/>
          <w:iCs/>
          <w:szCs w:val="24"/>
        </w:rPr>
      </w:pPr>
      <w:r w:rsidRPr="00FA3A9B">
        <w:rPr>
          <w:rFonts w:ascii="Calibri" w:hAnsi="Calibri" w:cs="Calibri"/>
          <w:bCs/>
          <w:i/>
          <w:iCs/>
          <w:szCs w:val="24"/>
        </w:rPr>
        <w:t>Se poi vogliamo favorire la crescita delle imprese su questi temi</w:t>
      </w:r>
      <w:r w:rsidR="00E27E2A" w:rsidRPr="00FA3A9B">
        <w:rPr>
          <w:rFonts w:ascii="Calibri" w:hAnsi="Calibri" w:cs="Calibri"/>
          <w:bCs/>
          <w:i/>
          <w:iCs/>
          <w:szCs w:val="24"/>
        </w:rPr>
        <w:t xml:space="preserve"> - </w:t>
      </w:r>
      <w:r w:rsidR="00E27E2A" w:rsidRPr="00FA3A9B">
        <w:rPr>
          <w:rFonts w:ascii="Calibri" w:hAnsi="Calibri" w:cs="Calibri"/>
          <w:bCs/>
          <w:szCs w:val="24"/>
        </w:rPr>
        <w:t>continua sempre il Presidente</w:t>
      </w:r>
      <w:r w:rsidR="00E27E2A" w:rsidRPr="00FA3A9B">
        <w:rPr>
          <w:rFonts w:ascii="Calibri" w:hAnsi="Calibri" w:cs="Calibri"/>
          <w:bCs/>
          <w:i/>
          <w:iCs/>
          <w:szCs w:val="24"/>
        </w:rPr>
        <w:t xml:space="preserve"> -</w:t>
      </w:r>
      <w:r w:rsidRPr="00FA3A9B">
        <w:rPr>
          <w:rFonts w:ascii="Calibri" w:hAnsi="Calibri" w:cs="Calibri"/>
          <w:bCs/>
          <w:i/>
          <w:iCs/>
          <w:szCs w:val="24"/>
        </w:rPr>
        <w:t xml:space="preserve"> dobbiamo cambiare le regole degli “</w:t>
      </w:r>
      <w:r w:rsidR="00E27E2A" w:rsidRPr="00FA3A9B">
        <w:rPr>
          <w:rFonts w:ascii="Calibri" w:hAnsi="Calibri" w:cs="Calibri"/>
          <w:bCs/>
          <w:i/>
          <w:iCs/>
          <w:szCs w:val="24"/>
        </w:rPr>
        <w:t>A</w:t>
      </w:r>
      <w:r w:rsidRPr="00FA3A9B">
        <w:rPr>
          <w:rFonts w:ascii="Calibri" w:hAnsi="Calibri" w:cs="Calibri"/>
          <w:bCs/>
          <w:i/>
          <w:iCs/>
          <w:szCs w:val="24"/>
        </w:rPr>
        <w:t>iuti di stato”. Se crediamo su certe direttrici, bisogna fare in modo che non si cammini col freno tirato. Una giusta leva pubblica sugli investimenti, non centellinata per paura di alterare “la concorrenza”, può favorire un più rapido salto competitivo delle nostre imprese, il cui confronto è con il resto del mondo, non solo all’interno dell’Europa.</w:t>
      </w:r>
      <w:r w:rsidR="00DC66E3" w:rsidRPr="00FA3A9B">
        <w:rPr>
          <w:rFonts w:ascii="Calibri" w:hAnsi="Calibri" w:cs="Calibri"/>
          <w:bCs/>
          <w:i/>
          <w:iCs/>
          <w:szCs w:val="24"/>
        </w:rPr>
        <w:t xml:space="preserve"> Ricerche che stiamo svolgendo in collaborazione con l’Università Ca’ Foscari di Venezia </w:t>
      </w:r>
      <w:r w:rsidR="007D1106" w:rsidRPr="00FA3A9B">
        <w:rPr>
          <w:rFonts w:ascii="Calibri" w:hAnsi="Calibri" w:cs="Calibri"/>
          <w:bCs/>
          <w:i/>
          <w:iCs/>
          <w:szCs w:val="24"/>
        </w:rPr>
        <w:t xml:space="preserve">e che utilizzeremo per potenziare i nostri uffici PID </w:t>
      </w:r>
      <w:r w:rsidR="00DC66E3" w:rsidRPr="00FA3A9B">
        <w:rPr>
          <w:rFonts w:ascii="Calibri" w:hAnsi="Calibri" w:cs="Calibri"/>
          <w:bCs/>
          <w:i/>
          <w:iCs/>
          <w:szCs w:val="24"/>
        </w:rPr>
        <w:t xml:space="preserve">ci dicono che più favoriamo la </w:t>
      </w:r>
      <w:r w:rsidR="00FC0FD2" w:rsidRPr="00FA3A9B">
        <w:rPr>
          <w:rFonts w:ascii="Calibri" w:hAnsi="Calibri" w:cs="Calibri"/>
          <w:bCs/>
          <w:i/>
          <w:iCs/>
          <w:szCs w:val="24"/>
        </w:rPr>
        <w:t xml:space="preserve">digitalizzazione e la </w:t>
      </w:r>
      <w:r w:rsidR="00DC66E3" w:rsidRPr="00FA3A9B">
        <w:rPr>
          <w:rFonts w:ascii="Calibri" w:hAnsi="Calibri" w:cs="Calibri"/>
          <w:bCs/>
          <w:i/>
          <w:iCs/>
          <w:szCs w:val="24"/>
        </w:rPr>
        <w:t xml:space="preserve">complessità tecnologica delle imprese, </w:t>
      </w:r>
      <w:r w:rsidR="00FC0FD2" w:rsidRPr="00FA3A9B">
        <w:rPr>
          <w:rFonts w:ascii="Calibri" w:hAnsi="Calibri" w:cs="Calibri"/>
          <w:bCs/>
          <w:i/>
          <w:iCs/>
          <w:szCs w:val="24"/>
        </w:rPr>
        <w:t xml:space="preserve">e </w:t>
      </w:r>
      <w:r w:rsidR="00DC66E3" w:rsidRPr="00FA3A9B">
        <w:rPr>
          <w:rFonts w:ascii="Calibri" w:hAnsi="Calibri" w:cs="Calibri"/>
          <w:bCs/>
          <w:i/>
          <w:iCs/>
          <w:szCs w:val="24"/>
        </w:rPr>
        <w:lastRenderedPageBreak/>
        <w:t xml:space="preserve">più abilitiamo le imprese a competere nei mercati internazionali, a disporre anche di strumenti decisionali sofisticati, funzionali alla diversificazione. </w:t>
      </w:r>
      <w:r w:rsidRPr="00FA3A9B">
        <w:rPr>
          <w:rFonts w:ascii="Calibri" w:hAnsi="Calibri" w:cs="Calibri"/>
          <w:bCs/>
          <w:i/>
          <w:iCs/>
          <w:szCs w:val="24"/>
        </w:rPr>
        <w:t xml:space="preserve"> </w:t>
      </w:r>
    </w:p>
    <w:p w14:paraId="6B5E093E" w14:textId="77777777" w:rsidR="00FC0FD2" w:rsidRPr="00FA3A9B" w:rsidRDefault="00DC66E3" w:rsidP="006C7E14">
      <w:pPr>
        <w:spacing w:before="240" w:after="120"/>
        <w:rPr>
          <w:rFonts w:ascii="Calibri" w:hAnsi="Calibri" w:cs="Calibri"/>
          <w:bCs/>
          <w:i/>
          <w:iCs/>
          <w:szCs w:val="24"/>
        </w:rPr>
      </w:pPr>
      <w:r w:rsidRPr="00FA3A9B">
        <w:rPr>
          <w:rFonts w:ascii="Calibri" w:hAnsi="Calibri" w:cs="Calibri"/>
          <w:bCs/>
          <w:i/>
          <w:iCs/>
          <w:szCs w:val="24"/>
        </w:rPr>
        <w:t xml:space="preserve">Ma questo ripensamento delle regole della concorrenza in favore della crescita va estesa anche </w:t>
      </w:r>
      <w:r w:rsidR="006779B7" w:rsidRPr="00FA3A9B">
        <w:rPr>
          <w:rFonts w:ascii="Calibri" w:hAnsi="Calibri" w:cs="Calibri"/>
          <w:bCs/>
          <w:i/>
          <w:iCs/>
          <w:szCs w:val="24"/>
        </w:rPr>
        <w:t xml:space="preserve">abbattendo i vincoli per la formazione di grandi gruppi industriali, che </w:t>
      </w:r>
      <w:r w:rsidRPr="00FA3A9B">
        <w:rPr>
          <w:rFonts w:ascii="Calibri" w:hAnsi="Calibri" w:cs="Calibri"/>
          <w:bCs/>
          <w:i/>
          <w:iCs/>
          <w:szCs w:val="24"/>
        </w:rPr>
        <w:t xml:space="preserve">così </w:t>
      </w:r>
      <w:r w:rsidR="006779B7" w:rsidRPr="00FA3A9B">
        <w:rPr>
          <w:rFonts w:ascii="Calibri" w:hAnsi="Calibri" w:cs="Calibri"/>
          <w:bCs/>
          <w:i/>
          <w:iCs/>
          <w:szCs w:val="24"/>
        </w:rPr>
        <w:t>possano competere ad armi pari con le multinazionali non europee</w:t>
      </w:r>
      <w:r w:rsidRPr="00FA3A9B">
        <w:rPr>
          <w:rFonts w:ascii="Calibri" w:hAnsi="Calibri" w:cs="Calibri"/>
          <w:bCs/>
          <w:i/>
          <w:iCs/>
          <w:szCs w:val="24"/>
        </w:rPr>
        <w:t xml:space="preserve">, possano </w:t>
      </w:r>
      <w:r w:rsidR="006779B7" w:rsidRPr="00FA3A9B">
        <w:rPr>
          <w:rFonts w:ascii="Calibri" w:hAnsi="Calibri" w:cs="Calibri"/>
          <w:bCs/>
          <w:i/>
          <w:iCs/>
          <w:szCs w:val="24"/>
        </w:rPr>
        <w:t xml:space="preserve">avere </w:t>
      </w:r>
      <w:r w:rsidRPr="00FA3A9B">
        <w:rPr>
          <w:rFonts w:ascii="Calibri" w:hAnsi="Calibri" w:cs="Calibri"/>
          <w:bCs/>
          <w:i/>
          <w:iCs/>
          <w:szCs w:val="24"/>
        </w:rPr>
        <w:t xml:space="preserve">sufficiente </w:t>
      </w:r>
      <w:r w:rsidR="006779B7" w:rsidRPr="00FA3A9B">
        <w:rPr>
          <w:rFonts w:ascii="Calibri" w:hAnsi="Calibri" w:cs="Calibri"/>
          <w:bCs/>
          <w:i/>
          <w:iCs/>
          <w:szCs w:val="24"/>
        </w:rPr>
        <w:t>massa critica finanziaria per fare ricerca e investimenti sulle grandi questioni tecnologiche ed energetiche</w:t>
      </w:r>
      <w:r w:rsidR="00E27E2A" w:rsidRPr="00FA3A9B">
        <w:rPr>
          <w:rFonts w:ascii="Calibri" w:hAnsi="Calibri" w:cs="Calibri"/>
          <w:bCs/>
          <w:i/>
          <w:iCs/>
          <w:szCs w:val="24"/>
        </w:rPr>
        <w:t>,</w:t>
      </w:r>
      <w:r w:rsidR="006779B7" w:rsidRPr="00FA3A9B">
        <w:rPr>
          <w:rFonts w:ascii="Calibri" w:hAnsi="Calibri" w:cs="Calibri"/>
          <w:bCs/>
          <w:i/>
          <w:iCs/>
          <w:szCs w:val="24"/>
        </w:rPr>
        <w:t xml:space="preserve"> sulle quali stiamo soltanto accumulando ritardi</w:t>
      </w:r>
      <w:r w:rsidR="00E27E2A" w:rsidRPr="00FA3A9B">
        <w:rPr>
          <w:rFonts w:ascii="Calibri" w:hAnsi="Calibri" w:cs="Calibri"/>
          <w:bCs/>
          <w:i/>
          <w:iCs/>
          <w:szCs w:val="24"/>
        </w:rPr>
        <w:t xml:space="preserve"> rispetto al resto del mondo</w:t>
      </w:r>
      <w:r w:rsidR="006779B7" w:rsidRPr="00FA3A9B">
        <w:rPr>
          <w:rFonts w:ascii="Calibri" w:hAnsi="Calibri" w:cs="Calibri"/>
          <w:bCs/>
          <w:i/>
          <w:iCs/>
          <w:szCs w:val="24"/>
        </w:rPr>
        <w:t xml:space="preserve">. </w:t>
      </w:r>
      <w:r w:rsidR="00E27E2A" w:rsidRPr="00FA3A9B">
        <w:rPr>
          <w:rFonts w:ascii="Calibri" w:hAnsi="Calibri" w:cs="Calibri"/>
          <w:bCs/>
          <w:i/>
          <w:iCs/>
          <w:szCs w:val="24"/>
        </w:rPr>
        <w:t xml:space="preserve">Lo dico da </w:t>
      </w:r>
      <w:r w:rsidR="00FC0FD2" w:rsidRPr="00FA3A9B">
        <w:rPr>
          <w:rFonts w:ascii="Calibri" w:hAnsi="Calibri" w:cs="Calibri"/>
          <w:bCs/>
          <w:i/>
          <w:iCs/>
          <w:szCs w:val="24"/>
        </w:rPr>
        <w:t xml:space="preserve">imprenditore che </w:t>
      </w:r>
      <w:r w:rsidR="00E27E2A" w:rsidRPr="00FA3A9B">
        <w:rPr>
          <w:rFonts w:ascii="Calibri" w:hAnsi="Calibri" w:cs="Calibri"/>
          <w:bCs/>
          <w:i/>
          <w:iCs/>
          <w:szCs w:val="24"/>
        </w:rPr>
        <w:t>viene dal mondo artigiano: l</w:t>
      </w:r>
      <w:r w:rsidR="006779B7" w:rsidRPr="00FA3A9B">
        <w:rPr>
          <w:rFonts w:ascii="Calibri" w:hAnsi="Calibri" w:cs="Calibri"/>
          <w:bCs/>
          <w:i/>
          <w:iCs/>
          <w:szCs w:val="24"/>
        </w:rPr>
        <w:t>a presenza di campioni industriali</w:t>
      </w:r>
      <w:r w:rsidRPr="00FA3A9B">
        <w:rPr>
          <w:rFonts w:ascii="Calibri" w:hAnsi="Calibri" w:cs="Calibri"/>
          <w:bCs/>
          <w:i/>
          <w:iCs/>
          <w:szCs w:val="24"/>
        </w:rPr>
        <w:t xml:space="preserve"> nell’ambito dell’Unione europea</w:t>
      </w:r>
      <w:r w:rsidR="007D1106" w:rsidRPr="00FA3A9B">
        <w:rPr>
          <w:rFonts w:ascii="Calibri" w:hAnsi="Calibri" w:cs="Calibri"/>
          <w:bCs/>
          <w:i/>
          <w:iCs/>
          <w:szCs w:val="24"/>
        </w:rPr>
        <w:t xml:space="preserve"> ci serve e può avere</w:t>
      </w:r>
      <w:r w:rsidR="006779B7" w:rsidRPr="00FA3A9B">
        <w:rPr>
          <w:rFonts w:ascii="Calibri" w:hAnsi="Calibri" w:cs="Calibri"/>
          <w:bCs/>
          <w:i/>
          <w:iCs/>
          <w:szCs w:val="24"/>
        </w:rPr>
        <w:t xml:space="preserve"> importanti ricadute nei territori</w:t>
      </w:r>
      <w:r w:rsidR="00FC0FD2" w:rsidRPr="00FA3A9B">
        <w:rPr>
          <w:rFonts w:ascii="Calibri" w:hAnsi="Calibri" w:cs="Calibri"/>
          <w:bCs/>
          <w:i/>
          <w:iCs/>
          <w:szCs w:val="24"/>
        </w:rPr>
        <w:t>, anche per le piccole imprese</w:t>
      </w:r>
      <w:r w:rsidR="006779B7" w:rsidRPr="00FA3A9B">
        <w:rPr>
          <w:rFonts w:ascii="Calibri" w:hAnsi="Calibri" w:cs="Calibri"/>
          <w:bCs/>
          <w:i/>
          <w:iCs/>
          <w:szCs w:val="24"/>
        </w:rPr>
        <w:t>. Ai progetti del Cern di Ginevra partecipano anche gioielli del</w:t>
      </w:r>
      <w:r w:rsidR="00CF4F17" w:rsidRPr="00FA3A9B">
        <w:rPr>
          <w:rFonts w:ascii="Calibri" w:hAnsi="Calibri" w:cs="Calibri"/>
          <w:bCs/>
          <w:i/>
          <w:iCs/>
          <w:szCs w:val="24"/>
        </w:rPr>
        <w:t>la nostra meccanica di precisione presenti in Veneto</w:t>
      </w:r>
      <w:r w:rsidR="006779B7" w:rsidRPr="00FA3A9B">
        <w:rPr>
          <w:rFonts w:ascii="Calibri" w:hAnsi="Calibri" w:cs="Calibri"/>
          <w:bCs/>
          <w:i/>
          <w:iCs/>
          <w:szCs w:val="24"/>
        </w:rPr>
        <w:t xml:space="preserve">. Pezzi della Space Economy passano per il trevigiano. Ma </w:t>
      </w:r>
      <w:r w:rsidR="00BF16F9" w:rsidRPr="00FA3A9B">
        <w:rPr>
          <w:rFonts w:ascii="Calibri" w:hAnsi="Calibri" w:cs="Calibri"/>
          <w:bCs/>
          <w:i/>
          <w:iCs/>
          <w:szCs w:val="24"/>
        </w:rPr>
        <w:t>bisogna moltiplicare questi motori di eccellenza</w:t>
      </w:r>
      <w:r w:rsidR="006779B7" w:rsidRPr="00FA3A9B">
        <w:rPr>
          <w:rFonts w:ascii="Calibri" w:hAnsi="Calibri" w:cs="Calibri"/>
          <w:bCs/>
          <w:i/>
          <w:iCs/>
          <w:szCs w:val="24"/>
        </w:rPr>
        <w:t xml:space="preserve">. </w:t>
      </w:r>
    </w:p>
    <w:p w14:paraId="2AC90F7B" w14:textId="3ADF5B54" w:rsidR="00CF4F17" w:rsidRPr="00FA3A9B" w:rsidRDefault="006779B7" w:rsidP="006C7E14">
      <w:pPr>
        <w:spacing w:before="240" w:after="120"/>
        <w:rPr>
          <w:rFonts w:ascii="Calibri" w:hAnsi="Calibri" w:cs="Calibri"/>
          <w:bCs/>
          <w:i/>
          <w:iCs/>
          <w:szCs w:val="24"/>
        </w:rPr>
      </w:pPr>
      <w:r w:rsidRPr="00FA3A9B">
        <w:rPr>
          <w:rFonts w:ascii="Calibri" w:hAnsi="Calibri" w:cs="Calibri"/>
          <w:bCs/>
          <w:i/>
          <w:iCs/>
          <w:szCs w:val="24"/>
        </w:rPr>
        <w:t xml:space="preserve">E’ ora </w:t>
      </w:r>
      <w:r w:rsidR="00FC0FD2" w:rsidRPr="00FA3A9B">
        <w:rPr>
          <w:rFonts w:ascii="Calibri" w:hAnsi="Calibri" w:cs="Calibri"/>
          <w:bCs/>
          <w:i/>
          <w:iCs/>
          <w:szCs w:val="24"/>
        </w:rPr>
        <w:t xml:space="preserve">dunque </w:t>
      </w:r>
      <w:r w:rsidRPr="00FA3A9B">
        <w:rPr>
          <w:rFonts w:ascii="Calibri" w:hAnsi="Calibri" w:cs="Calibri"/>
          <w:bCs/>
          <w:i/>
          <w:iCs/>
          <w:szCs w:val="24"/>
        </w:rPr>
        <w:t xml:space="preserve">che l’Europa, con la nuova Commissione, si svegli e si dia una nuova visione </w:t>
      </w:r>
      <w:r w:rsidR="00FC0FD2" w:rsidRPr="00FA3A9B">
        <w:rPr>
          <w:rFonts w:ascii="Calibri" w:hAnsi="Calibri" w:cs="Calibri"/>
          <w:bCs/>
          <w:i/>
          <w:iCs/>
          <w:szCs w:val="24"/>
        </w:rPr>
        <w:t xml:space="preserve">per </w:t>
      </w:r>
      <w:r w:rsidRPr="00FA3A9B">
        <w:rPr>
          <w:rFonts w:ascii="Calibri" w:hAnsi="Calibri" w:cs="Calibri"/>
          <w:bCs/>
          <w:i/>
          <w:iCs/>
          <w:szCs w:val="24"/>
        </w:rPr>
        <w:t>lo sviluppo.</w:t>
      </w:r>
      <w:r w:rsidR="00CF4F17" w:rsidRPr="00FA3A9B">
        <w:rPr>
          <w:rFonts w:ascii="Calibri" w:hAnsi="Calibri" w:cs="Calibri"/>
          <w:bCs/>
          <w:i/>
          <w:iCs/>
          <w:szCs w:val="24"/>
        </w:rPr>
        <w:t xml:space="preserve"> Il rapporto Draghi è un buon biglietto per il futuro. Ma bisogna mettersi in viaggio. Bisogna cambiare passo. Anche in Italia, dove a proposito di </w:t>
      </w:r>
      <w:r w:rsidR="00FC0FD2" w:rsidRPr="00FA3A9B">
        <w:rPr>
          <w:rFonts w:ascii="Calibri" w:hAnsi="Calibri" w:cs="Calibri"/>
          <w:bCs/>
          <w:i/>
          <w:iCs/>
          <w:szCs w:val="24"/>
        </w:rPr>
        <w:t xml:space="preserve">mancate o errate visioni per </w:t>
      </w:r>
      <w:r w:rsidR="00CF4F17" w:rsidRPr="00FA3A9B">
        <w:rPr>
          <w:rFonts w:ascii="Calibri" w:hAnsi="Calibri" w:cs="Calibri"/>
          <w:bCs/>
          <w:i/>
          <w:iCs/>
          <w:szCs w:val="24"/>
        </w:rPr>
        <w:t xml:space="preserve">sviluppo, </w:t>
      </w:r>
      <w:r w:rsidR="00BF16F9" w:rsidRPr="00FA3A9B">
        <w:rPr>
          <w:rFonts w:ascii="Calibri" w:hAnsi="Calibri" w:cs="Calibri"/>
          <w:bCs/>
          <w:i/>
          <w:iCs/>
          <w:szCs w:val="24"/>
        </w:rPr>
        <w:t xml:space="preserve">dobbiamo </w:t>
      </w:r>
      <w:r w:rsidR="00CF4F17" w:rsidRPr="00FA3A9B">
        <w:rPr>
          <w:rFonts w:ascii="Calibri" w:hAnsi="Calibri" w:cs="Calibri"/>
          <w:bCs/>
          <w:i/>
          <w:iCs/>
          <w:szCs w:val="24"/>
        </w:rPr>
        <w:t xml:space="preserve">scrollarci di dosso il pesante, pesantissimo fardello </w:t>
      </w:r>
      <w:r w:rsidR="00BF16F9" w:rsidRPr="00FA3A9B">
        <w:rPr>
          <w:rFonts w:ascii="Calibri" w:hAnsi="Calibri" w:cs="Calibri"/>
          <w:bCs/>
          <w:i/>
          <w:iCs/>
          <w:szCs w:val="24"/>
        </w:rPr>
        <w:t>finanziario generato dal</w:t>
      </w:r>
      <w:r w:rsidR="00CF4F17" w:rsidRPr="00FA3A9B">
        <w:rPr>
          <w:rFonts w:ascii="Calibri" w:hAnsi="Calibri" w:cs="Calibri"/>
          <w:bCs/>
          <w:i/>
          <w:iCs/>
          <w:szCs w:val="24"/>
        </w:rPr>
        <w:t xml:space="preserve"> Superbonus, che limiterà per anni le politiche di bilancio.</w:t>
      </w:r>
    </w:p>
    <w:p w14:paraId="3CE4CA7C" w14:textId="77777777" w:rsidR="00FC0FD2" w:rsidRDefault="00FC0FD2" w:rsidP="00937C1A">
      <w:pPr>
        <w:spacing w:before="240" w:after="120"/>
        <w:rPr>
          <w:rFonts w:ascii="Calibri" w:hAnsi="Calibri" w:cs="Calibri"/>
          <w:b/>
          <w:szCs w:val="24"/>
        </w:rPr>
      </w:pPr>
    </w:p>
    <w:p w14:paraId="128ABF79" w14:textId="25BF747E" w:rsidR="00937C1A" w:rsidRDefault="00937C1A" w:rsidP="00937C1A">
      <w:pPr>
        <w:spacing w:before="240" w:after="120"/>
        <w:rPr>
          <w:rFonts w:ascii="Calibri" w:hAnsi="Calibri" w:cs="Calibri"/>
          <w:b/>
          <w:szCs w:val="24"/>
        </w:rPr>
      </w:pPr>
      <w:r w:rsidRPr="0042651E">
        <w:rPr>
          <w:rFonts w:ascii="Calibri" w:hAnsi="Calibri" w:cs="Calibri"/>
          <w:b/>
          <w:szCs w:val="24"/>
        </w:rPr>
        <w:t>Il quadro internazionale e nazionale</w:t>
      </w:r>
    </w:p>
    <w:p w14:paraId="22327362" w14:textId="11ACDA4F" w:rsidR="00042128" w:rsidRDefault="00FC172C" w:rsidP="005B3546">
      <w:pPr>
        <w:spacing w:before="240" w:after="120"/>
        <w:rPr>
          <w:rFonts w:ascii="Calibri" w:hAnsi="Calibri" w:cs="Calibri"/>
          <w:bCs/>
          <w:szCs w:val="24"/>
        </w:rPr>
      </w:pPr>
      <w:r>
        <w:rPr>
          <w:rFonts w:ascii="Calibri" w:hAnsi="Calibri" w:cs="Calibri"/>
          <w:bCs/>
          <w:szCs w:val="24"/>
        </w:rPr>
        <w:t>La domanda internazionale di beni industriali continua a restare debole,</w:t>
      </w:r>
      <w:r w:rsidR="00CD08AA">
        <w:rPr>
          <w:rFonts w:ascii="Calibri" w:hAnsi="Calibri" w:cs="Calibri"/>
          <w:bCs/>
          <w:szCs w:val="24"/>
        </w:rPr>
        <w:t xml:space="preserve"> soprattutto in Europa,</w:t>
      </w:r>
      <w:r>
        <w:rPr>
          <w:rFonts w:ascii="Calibri" w:hAnsi="Calibri" w:cs="Calibri"/>
          <w:bCs/>
          <w:szCs w:val="24"/>
        </w:rPr>
        <w:t xml:space="preserve"> nonostante il rientro delle tensioni nelle catene di fornitura globali e la discesa dei prezzi delle materie prime. Fattori che non</w:t>
      </w:r>
      <w:r w:rsidR="00D83053">
        <w:rPr>
          <w:rFonts w:ascii="Calibri" w:hAnsi="Calibri" w:cs="Calibri"/>
          <w:bCs/>
          <w:szCs w:val="24"/>
        </w:rPr>
        <w:t xml:space="preserve"> sono</w:t>
      </w:r>
      <w:r>
        <w:rPr>
          <w:rFonts w:ascii="Calibri" w:hAnsi="Calibri" w:cs="Calibri"/>
          <w:bCs/>
          <w:szCs w:val="24"/>
        </w:rPr>
        <w:t xml:space="preserve"> basta</w:t>
      </w:r>
      <w:r w:rsidR="00D83053">
        <w:rPr>
          <w:rFonts w:ascii="Calibri" w:hAnsi="Calibri" w:cs="Calibri"/>
          <w:bCs/>
          <w:szCs w:val="24"/>
        </w:rPr>
        <w:t>ti</w:t>
      </w:r>
      <w:r>
        <w:rPr>
          <w:rFonts w:ascii="Calibri" w:hAnsi="Calibri" w:cs="Calibri"/>
          <w:bCs/>
          <w:szCs w:val="24"/>
        </w:rPr>
        <w:t xml:space="preserve"> a compensare gli effetti delle politiche monetarie restrittive</w:t>
      </w:r>
      <w:r w:rsidR="00042128">
        <w:rPr>
          <w:rFonts w:ascii="Calibri" w:hAnsi="Calibri" w:cs="Calibri"/>
          <w:bCs/>
          <w:szCs w:val="24"/>
        </w:rPr>
        <w:t xml:space="preserve"> (con impatti negativi su investimenti e beni di consumo durevoli), la tendenza delle famiglie a ricostituire il risparmio intaccato durante la fase più acuta di rincaro dei prezzi, anche un certo cambiamento strutturale nei consumi (tendenti a privilegiare i servizi piuttosto che l’acquisto di beni</w:t>
      </w:r>
      <w:r w:rsidR="0046577B">
        <w:rPr>
          <w:rFonts w:ascii="Calibri" w:hAnsi="Calibri" w:cs="Calibri"/>
          <w:bCs/>
          <w:szCs w:val="24"/>
        </w:rPr>
        <w:t>, con una particolare penalizzazione per il sistema moda</w:t>
      </w:r>
      <w:r w:rsidR="00042128">
        <w:rPr>
          <w:rFonts w:ascii="Calibri" w:hAnsi="Calibri" w:cs="Calibri"/>
          <w:bCs/>
          <w:szCs w:val="24"/>
        </w:rPr>
        <w:t>).</w:t>
      </w:r>
      <w:r w:rsidR="0046577B">
        <w:rPr>
          <w:rFonts w:ascii="Calibri" w:hAnsi="Calibri" w:cs="Calibri"/>
          <w:bCs/>
          <w:szCs w:val="24"/>
        </w:rPr>
        <w:t xml:space="preserve"> </w:t>
      </w:r>
    </w:p>
    <w:p w14:paraId="007B72E2" w14:textId="0F1C649F" w:rsidR="00714D0E" w:rsidRDefault="00714D0E" w:rsidP="005B3546">
      <w:pPr>
        <w:spacing w:before="240" w:after="120"/>
        <w:rPr>
          <w:rFonts w:ascii="Calibri" w:hAnsi="Calibri" w:cs="Calibri"/>
          <w:bCs/>
          <w:szCs w:val="24"/>
        </w:rPr>
      </w:pPr>
      <w:r>
        <w:rPr>
          <w:rFonts w:ascii="Calibri" w:hAnsi="Calibri" w:cs="Calibri"/>
          <w:bCs/>
          <w:szCs w:val="24"/>
        </w:rPr>
        <w:t>Secondo gli analisti di Ref. Congiuntura (n. 18, 2024), l’</w:t>
      </w:r>
      <w:r w:rsidR="00CD08AA">
        <w:rPr>
          <w:rFonts w:ascii="Calibri" w:hAnsi="Calibri" w:cs="Calibri"/>
          <w:bCs/>
          <w:szCs w:val="24"/>
        </w:rPr>
        <w:t>eccesso di prudenza della Bce nella velocità di riduzione dei tassi d’interesse</w:t>
      </w:r>
      <w:r w:rsidR="00D83053">
        <w:rPr>
          <w:rFonts w:ascii="Calibri" w:hAnsi="Calibri" w:cs="Calibri"/>
          <w:bCs/>
          <w:szCs w:val="24"/>
        </w:rPr>
        <w:t xml:space="preserve"> sta</w:t>
      </w:r>
      <w:r>
        <w:rPr>
          <w:rFonts w:ascii="Calibri" w:hAnsi="Calibri" w:cs="Calibri"/>
          <w:bCs/>
          <w:szCs w:val="24"/>
        </w:rPr>
        <w:t xml:space="preserve"> anche</w:t>
      </w:r>
      <w:r w:rsidR="00D83053">
        <w:rPr>
          <w:rFonts w:ascii="Calibri" w:hAnsi="Calibri" w:cs="Calibri"/>
          <w:bCs/>
          <w:szCs w:val="24"/>
        </w:rPr>
        <w:t xml:space="preserve"> incidendo in modo strutturale sulla competitività dell’industria europea. </w:t>
      </w:r>
      <w:r>
        <w:rPr>
          <w:rFonts w:ascii="Calibri" w:hAnsi="Calibri" w:cs="Calibri"/>
          <w:bCs/>
          <w:szCs w:val="24"/>
        </w:rPr>
        <w:t xml:space="preserve">Non solo per aver causato il rinvio di investimenti </w:t>
      </w:r>
      <w:r w:rsidR="0046577B">
        <w:rPr>
          <w:rFonts w:ascii="Calibri" w:hAnsi="Calibri" w:cs="Calibri"/>
          <w:bCs/>
          <w:szCs w:val="24"/>
        </w:rPr>
        <w:t xml:space="preserve">nelle imprese </w:t>
      </w:r>
      <w:r>
        <w:rPr>
          <w:rFonts w:ascii="Calibri" w:hAnsi="Calibri" w:cs="Calibri"/>
          <w:bCs/>
          <w:szCs w:val="24"/>
        </w:rPr>
        <w:t>(a tutto vantaggio dei competitor non europei), ma anche perché si è venuto a determinare un raf</w:t>
      </w:r>
      <w:r w:rsidR="00CD08AA">
        <w:rPr>
          <w:rFonts w:ascii="Calibri" w:hAnsi="Calibri" w:cs="Calibri"/>
          <w:bCs/>
          <w:szCs w:val="24"/>
        </w:rPr>
        <w:t>forza</w:t>
      </w:r>
      <w:r w:rsidR="00D83053">
        <w:rPr>
          <w:rFonts w:ascii="Calibri" w:hAnsi="Calibri" w:cs="Calibri"/>
          <w:bCs/>
          <w:szCs w:val="24"/>
        </w:rPr>
        <w:t xml:space="preserve">mento del </w:t>
      </w:r>
      <w:r w:rsidR="00CD08AA">
        <w:rPr>
          <w:rFonts w:ascii="Calibri" w:hAnsi="Calibri" w:cs="Calibri"/>
          <w:bCs/>
          <w:szCs w:val="24"/>
        </w:rPr>
        <w:t>tasso di cambio dell’euro verso le economie asiatiche</w:t>
      </w:r>
      <w:r w:rsidR="00D83053">
        <w:rPr>
          <w:rFonts w:ascii="Calibri" w:hAnsi="Calibri" w:cs="Calibri"/>
          <w:bCs/>
          <w:szCs w:val="24"/>
        </w:rPr>
        <w:t xml:space="preserve">, accrescendo </w:t>
      </w:r>
      <w:r>
        <w:rPr>
          <w:rFonts w:ascii="Calibri" w:hAnsi="Calibri" w:cs="Calibri"/>
          <w:bCs/>
          <w:szCs w:val="24"/>
        </w:rPr>
        <w:t>ulteriormente le difficoltà d</w:t>
      </w:r>
      <w:r w:rsidR="00352C0D">
        <w:rPr>
          <w:rFonts w:ascii="Calibri" w:hAnsi="Calibri" w:cs="Calibri"/>
          <w:bCs/>
          <w:szCs w:val="24"/>
        </w:rPr>
        <w:t>i que</w:t>
      </w:r>
      <w:r>
        <w:rPr>
          <w:rFonts w:ascii="Calibri" w:hAnsi="Calibri" w:cs="Calibri"/>
          <w:bCs/>
          <w:szCs w:val="24"/>
        </w:rPr>
        <w:t xml:space="preserve">i settori </w:t>
      </w:r>
      <w:r w:rsidR="00352C0D">
        <w:rPr>
          <w:rFonts w:ascii="Calibri" w:hAnsi="Calibri" w:cs="Calibri"/>
          <w:bCs/>
          <w:szCs w:val="24"/>
        </w:rPr>
        <w:t xml:space="preserve">maggiormente </w:t>
      </w:r>
      <w:r>
        <w:rPr>
          <w:rFonts w:ascii="Calibri" w:hAnsi="Calibri" w:cs="Calibri"/>
          <w:bCs/>
          <w:szCs w:val="24"/>
        </w:rPr>
        <w:t>esposti alla pressione competitiva con la Cina.</w:t>
      </w:r>
    </w:p>
    <w:p w14:paraId="5D80FA53" w14:textId="2CBAD377" w:rsidR="00352C0D" w:rsidRDefault="00714D0E" w:rsidP="005B3546">
      <w:pPr>
        <w:spacing w:before="240" w:after="120"/>
        <w:rPr>
          <w:rFonts w:ascii="Calibri" w:hAnsi="Calibri" w:cs="Calibri"/>
          <w:bCs/>
          <w:szCs w:val="24"/>
        </w:rPr>
      </w:pPr>
      <w:r>
        <w:rPr>
          <w:rFonts w:ascii="Calibri" w:hAnsi="Calibri" w:cs="Calibri"/>
          <w:bCs/>
          <w:szCs w:val="24"/>
        </w:rPr>
        <w:t>In questo quadro si colloca la perdita di attrattività delle auto tedesche</w:t>
      </w:r>
      <w:r w:rsidR="00352C0D">
        <w:rPr>
          <w:rFonts w:ascii="Calibri" w:hAnsi="Calibri" w:cs="Calibri"/>
          <w:bCs/>
          <w:szCs w:val="24"/>
        </w:rPr>
        <w:t xml:space="preserve">. Cosa che, in combinazione con la frettolosa </w:t>
      </w:r>
      <w:r w:rsidR="00D663FF">
        <w:rPr>
          <w:rFonts w:ascii="Calibri" w:hAnsi="Calibri" w:cs="Calibri"/>
          <w:bCs/>
          <w:szCs w:val="24"/>
        </w:rPr>
        <w:t xml:space="preserve">politica europea di </w:t>
      </w:r>
      <w:r w:rsidR="00352C0D">
        <w:rPr>
          <w:rFonts w:ascii="Calibri" w:hAnsi="Calibri" w:cs="Calibri"/>
          <w:bCs/>
          <w:szCs w:val="24"/>
        </w:rPr>
        <w:t xml:space="preserve">messa al bando del motore endotermico e con listini aumentati mediamente del +38% negli ultimi 4 anni, rischia di produrre </w:t>
      </w:r>
      <w:r w:rsidR="00D663FF">
        <w:rPr>
          <w:rFonts w:ascii="Calibri" w:hAnsi="Calibri" w:cs="Calibri"/>
          <w:bCs/>
          <w:szCs w:val="24"/>
        </w:rPr>
        <w:t>la famigerata “</w:t>
      </w:r>
      <w:r w:rsidR="00D663FF" w:rsidRPr="0046577B">
        <w:rPr>
          <w:rFonts w:ascii="Calibri" w:hAnsi="Calibri" w:cs="Calibri"/>
          <w:bCs/>
          <w:i/>
          <w:iCs/>
          <w:szCs w:val="24"/>
        </w:rPr>
        <w:t>tempesta perfetta</w:t>
      </w:r>
      <w:r w:rsidR="00D663FF">
        <w:rPr>
          <w:rFonts w:ascii="Calibri" w:hAnsi="Calibri" w:cs="Calibri"/>
          <w:bCs/>
          <w:szCs w:val="24"/>
        </w:rPr>
        <w:t xml:space="preserve">” </w:t>
      </w:r>
      <w:r w:rsidR="00352C0D">
        <w:rPr>
          <w:rFonts w:ascii="Calibri" w:hAnsi="Calibri" w:cs="Calibri"/>
          <w:bCs/>
          <w:szCs w:val="24"/>
        </w:rPr>
        <w:t xml:space="preserve">su tutta la filiera industriale </w:t>
      </w:r>
      <w:r w:rsidR="005D61E6">
        <w:rPr>
          <w:rFonts w:ascii="Calibri" w:hAnsi="Calibri" w:cs="Calibri"/>
          <w:bCs/>
          <w:szCs w:val="24"/>
        </w:rPr>
        <w:t xml:space="preserve">europea </w:t>
      </w:r>
      <w:r w:rsidR="00352C0D">
        <w:rPr>
          <w:rFonts w:ascii="Calibri" w:hAnsi="Calibri" w:cs="Calibri"/>
          <w:bCs/>
          <w:szCs w:val="24"/>
        </w:rPr>
        <w:t xml:space="preserve">connessa </w:t>
      </w:r>
      <w:proofErr w:type="spellStart"/>
      <w:r w:rsidR="00352C0D">
        <w:rPr>
          <w:rFonts w:ascii="Calibri" w:hAnsi="Calibri" w:cs="Calibri"/>
          <w:bCs/>
          <w:szCs w:val="24"/>
        </w:rPr>
        <w:t>all’</w:t>
      </w:r>
      <w:r w:rsidR="00352C0D" w:rsidRPr="005D61E6">
        <w:rPr>
          <w:rFonts w:ascii="Calibri" w:hAnsi="Calibri" w:cs="Calibri"/>
          <w:bCs/>
          <w:i/>
          <w:iCs/>
          <w:szCs w:val="24"/>
        </w:rPr>
        <w:t>automotive</w:t>
      </w:r>
      <w:proofErr w:type="spellEnd"/>
      <w:r w:rsidR="00352C0D">
        <w:rPr>
          <w:rFonts w:ascii="Calibri" w:hAnsi="Calibri" w:cs="Calibri"/>
          <w:bCs/>
          <w:szCs w:val="24"/>
        </w:rPr>
        <w:t xml:space="preserve">, con </w:t>
      </w:r>
      <w:r w:rsidR="00D663FF">
        <w:rPr>
          <w:rFonts w:ascii="Calibri" w:hAnsi="Calibri" w:cs="Calibri"/>
          <w:bCs/>
          <w:szCs w:val="24"/>
        </w:rPr>
        <w:t>impatti s</w:t>
      </w:r>
      <w:r w:rsidR="00352C0D">
        <w:rPr>
          <w:rFonts w:ascii="Calibri" w:hAnsi="Calibri" w:cs="Calibri"/>
          <w:bCs/>
          <w:szCs w:val="24"/>
        </w:rPr>
        <w:t>ignificativ</w:t>
      </w:r>
      <w:r w:rsidR="00D663FF">
        <w:rPr>
          <w:rFonts w:ascii="Calibri" w:hAnsi="Calibri" w:cs="Calibri"/>
          <w:bCs/>
          <w:szCs w:val="24"/>
        </w:rPr>
        <w:t xml:space="preserve">i anche in </w:t>
      </w:r>
      <w:r w:rsidR="00352C0D">
        <w:rPr>
          <w:rFonts w:ascii="Calibri" w:hAnsi="Calibri" w:cs="Calibri"/>
          <w:bCs/>
          <w:szCs w:val="24"/>
        </w:rPr>
        <w:t>Italia e nel Veneto.</w:t>
      </w:r>
      <w:r w:rsidR="009C7D24">
        <w:rPr>
          <w:rFonts w:ascii="Calibri" w:hAnsi="Calibri" w:cs="Calibri"/>
          <w:bCs/>
          <w:szCs w:val="24"/>
        </w:rPr>
        <w:t xml:space="preserve"> </w:t>
      </w:r>
      <w:r w:rsidR="005D61E6">
        <w:rPr>
          <w:rFonts w:ascii="Calibri" w:hAnsi="Calibri" w:cs="Calibri"/>
          <w:bCs/>
          <w:szCs w:val="24"/>
        </w:rPr>
        <w:t xml:space="preserve">La recente nota Istat, pubblicata l’8 novembre scorso, evidenzia per il settore dei mezzi di trasporto una contrazione della produzione industriale del -9,2% nei primi nove mesi del 2024 rispetto </w:t>
      </w:r>
      <w:r w:rsidR="005D61E6">
        <w:rPr>
          <w:rFonts w:ascii="Calibri" w:hAnsi="Calibri" w:cs="Calibri"/>
          <w:bCs/>
          <w:szCs w:val="24"/>
        </w:rPr>
        <w:lastRenderedPageBreak/>
        <w:t>allo stesso periodo dell’anno precedente, contro una flessione media delle attività manifatturiere del -3,4%</w:t>
      </w:r>
      <w:r w:rsidR="0046577B">
        <w:rPr>
          <w:rFonts w:ascii="Calibri" w:hAnsi="Calibri" w:cs="Calibri"/>
          <w:bCs/>
          <w:szCs w:val="24"/>
        </w:rPr>
        <w:t xml:space="preserve"> (dati corretti per gli effetti di calendario)</w:t>
      </w:r>
      <w:r w:rsidR="005D61E6">
        <w:rPr>
          <w:rFonts w:ascii="Calibri" w:hAnsi="Calibri" w:cs="Calibri"/>
          <w:bCs/>
          <w:szCs w:val="24"/>
        </w:rPr>
        <w:t xml:space="preserve">. Ma </w:t>
      </w:r>
      <w:r w:rsidR="009C7D24">
        <w:rPr>
          <w:rFonts w:ascii="Calibri" w:hAnsi="Calibri" w:cs="Calibri"/>
          <w:bCs/>
          <w:szCs w:val="24"/>
        </w:rPr>
        <w:t xml:space="preserve">stime ANFIA (Associazione Nazionale Filiera Industria Automobilistica) </w:t>
      </w:r>
      <w:r w:rsidR="005D61E6">
        <w:rPr>
          <w:rFonts w:ascii="Calibri" w:hAnsi="Calibri" w:cs="Calibri"/>
          <w:bCs/>
          <w:szCs w:val="24"/>
        </w:rPr>
        <w:t xml:space="preserve">che si focalizzano solo </w:t>
      </w:r>
      <w:proofErr w:type="spellStart"/>
      <w:r w:rsidR="005D61E6">
        <w:rPr>
          <w:rFonts w:ascii="Calibri" w:hAnsi="Calibri" w:cs="Calibri"/>
          <w:bCs/>
          <w:szCs w:val="24"/>
        </w:rPr>
        <w:t>sull</w:t>
      </w:r>
      <w:r w:rsidR="0046577B">
        <w:rPr>
          <w:rFonts w:ascii="Calibri" w:hAnsi="Calibri" w:cs="Calibri"/>
          <w:bCs/>
          <w:szCs w:val="24"/>
        </w:rPr>
        <w:t>’</w:t>
      </w:r>
      <w:r w:rsidR="005D61E6" w:rsidRPr="005D61E6">
        <w:rPr>
          <w:rFonts w:ascii="Calibri" w:hAnsi="Calibri" w:cs="Calibri"/>
          <w:bCs/>
          <w:i/>
          <w:iCs/>
          <w:szCs w:val="24"/>
        </w:rPr>
        <w:t>automotive</w:t>
      </w:r>
      <w:proofErr w:type="spellEnd"/>
      <w:r w:rsidR="005D61E6">
        <w:rPr>
          <w:rFonts w:ascii="Calibri" w:hAnsi="Calibri" w:cs="Calibri"/>
          <w:bCs/>
          <w:szCs w:val="24"/>
        </w:rPr>
        <w:t xml:space="preserve"> </w:t>
      </w:r>
      <w:r w:rsidR="0046577B">
        <w:rPr>
          <w:rFonts w:ascii="Calibri" w:hAnsi="Calibri" w:cs="Calibri"/>
          <w:bCs/>
          <w:szCs w:val="24"/>
        </w:rPr>
        <w:t xml:space="preserve">e il suo indotto </w:t>
      </w:r>
      <w:r w:rsidR="005D61E6">
        <w:rPr>
          <w:rFonts w:ascii="Calibri" w:hAnsi="Calibri" w:cs="Calibri"/>
          <w:bCs/>
          <w:szCs w:val="24"/>
        </w:rPr>
        <w:t xml:space="preserve">arrivano a prefigurare contrazioni </w:t>
      </w:r>
      <w:r w:rsidR="0046577B">
        <w:rPr>
          <w:rFonts w:ascii="Calibri" w:hAnsi="Calibri" w:cs="Calibri"/>
          <w:bCs/>
          <w:szCs w:val="24"/>
        </w:rPr>
        <w:t>prossime al -20%</w:t>
      </w:r>
      <w:r w:rsidR="00B642A0">
        <w:rPr>
          <w:rFonts w:ascii="Calibri" w:hAnsi="Calibri" w:cs="Calibri"/>
          <w:bCs/>
          <w:szCs w:val="24"/>
        </w:rPr>
        <w:t xml:space="preserve"> nello stesso periodo considerato</w:t>
      </w:r>
      <w:r w:rsidR="0046577B">
        <w:rPr>
          <w:rFonts w:ascii="Calibri" w:hAnsi="Calibri" w:cs="Calibri"/>
          <w:bCs/>
          <w:szCs w:val="24"/>
        </w:rPr>
        <w:t>.</w:t>
      </w:r>
      <w:r w:rsidR="000D1E86">
        <w:rPr>
          <w:rFonts w:ascii="Calibri" w:hAnsi="Calibri" w:cs="Calibri"/>
          <w:bCs/>
          <w:szCs w:val="24"/>
        </w:rPr>
        <w:t xml:space="preserve"> Diversi infatti sono i produttori italiani di beni intermedi, fornitori dell’industria automobilistica tedesca.</w:t>
      </w:r>
    </w:p>
    <w:p w14:paraId="0311C51C" w14:textId="77777777" w:rsidR="00373742" w:rsidRDefault="00373742" w:rsidP="005B3546">
      <w:pPr>
        <w:spacing w:before="240" w:after="120"/>
        <w:rPr>
          <w:rFonts w:ascii="Calibri" w:hAnsi="Calibri" w:cs="Calibri"/>
          <w:bCs/>
          <w:szCs w:val="24"/>
        </w:rPr>
      </w:pPr>
      <w:r>
        <w:rPr>
          <w:rFonts w:ascii="Calibri" w:hAnsi="Calibri" w:cs="Calibri"/>
          <w:bCs/>
          <w:szCs w:val="24"/>
        </w:rPr>
        <w:t>In Italia si aggiunge un ulteriore elemento di criticità: il “</w:t>
      </w:r>
      <w:r w:rsidRPr="00373742">
        <w:rPr>
          <w:rFonts w:ascii="Calibri" w:hAnsi="Calibri" w:cs="Calibri"/>
          <w:bCs/>
          <w:i/>
          <w:iCs/>
          <w:szCs w:val="24"/>
        </w:rPr>
        <w:t>repentino cambiamento di orientamento nelle politiche di bilancio</w:t>
      </w:r>
      <w:r>
        <w:rPr>
          <w:rFonts w:ascii="Calibri" w:hAnsi="Calibri" w:cs="Calibri"/>
          <w:bCs/>
          <w:szCs w:val="24"/>
        </w:rPr>
        <w:t>” (sempre Ref. Congiuntura, anche nel passo citato a seguire). L’Italia non è l’unico partner europeo ad aver adottato politiche di bilancio più restrittive. Tuttavia, “</w:t>
      </w:r>
      <w:r w:rsidRPr="00373742">
        <w:rPr>
          <w:rFonts w:ascii="Calibri" w:hAnsi="Calibri" w:cs="Calibri"/>
          <w:bCs/>
          <w:i/>
          <w:iCs/>
          <w:szCs w:val="24"/>
        </w:rPr>
        <w:t>gli obiettivi indicati dal Governo indicano che l’Italia dovrebbe portare il deficit pubblico al di sotto del 3% del PIL già nel 2025, con una correzione che avrebbe del clamoroso, ricordando che tra il 2020 e il 2023 il deficit pubblico italiano si è posizionato su livelli attorno all’8% del PIL</w:t>
      </w:r>
      <w:r>
        <w:rPr>
          <w:rFonts w:ascii="Calibri" w:hAnsi="Calibri" w:cs="Calibri"/>
          <w:bCs/>
          <w:szCs w:val="24"/>
        </w:rPr>
        <w:t xml:space="preserve">”. </w:t>
      </w:r>
    </w:p>
    <w:p w14:paraId="354235AB" w14:textId="275C2717" w:rsidR="004647C0" w:rsidRDefault="00B315FE" w:rsidP="005B3546">
      <w:pPr>
        <w:spacing w:before="240" w:after="120"/>
        <w:rPr>
          <w:rFonts w:ascii="Calibri" w:hAnsi="Calibri" w:cs="Calibri"/>
          <w:bCs/>
          <w:szCs w:val="24"/>
        </w:rPr>
      </w:pPr>
      <w:r>
        <w:rPr>
          <w:rFonts w:ascii="Calibri" w:hAnsi="Calibri" w:cs="Calibri"/>
          <w:bCs/>
          <w:szCs w:val="24"/>
        </w:rPr>
        <w:t xml:space="preserve">Una parte di questo miglioramento atteso dei conti è legata all’esaurimento dei vari bonus fiscali, che hanno </w:t>
      </w:r>
      <w:r w:rsidR="009C7D24">
        <w:rPr>
          <w:rFonts w:ascii="Calibri" w:hAnsi="Calibri" w:cs="Calibri"/>
          <w:bCs/>
          <w:szCs w:val="24"/>
        </w:rPr>
        <w:t>“</w:t>
      </w:r>
      <w:r>
        <w:rPr>
          <w:rFonts w:ascii="Calibri" w:hAnsi="Calibri" w:cs="Calibri"/>
          <w:bCs/>
          <w:szCs w:val="24"/>
        </w:rPr>
        <w:t>drogato</w:t>
      </w:r>
      <w:r w:rsidR="009C7D24">
        <w:rPr>
          <w:rFonts w:ascii="Calibri" w:hAnsi="Calibri" w:cs="Calibri"/>
          <w:bCs/>
          <w:szCs w:val="24"/>
        </w:rPr>
        <w:t>”</w:t>
      </w:r>
      <w:r>
        <w:rPr>
          <w:rFonts w:ascii="Calibri" w:hAnsi="Calibri" w:cs="Calibri"/>
          <w:bCs/>
          <w:szCs w:val="24"/>
        </w:rPr>
        <w:t xml:space="preserve"> il mercato edilizio e generato </w:t>
      </w:r>
      <w:r w:rsidR="004647C0">
        <w:rPr>
          <w:rFonts w:ascii="Calibri" w:hAnsi="Calibri" w:cs="Calibri"/>
          <w:bCs/>
          <w:szCs w:val="24"/>
        </w:rPr>
        <w:t>imponente debito pubblico</w:t>
      </w:r>
      <w:r w:rsidR="000D1E86">
        <w:rPr>
          <w:rFonts w:ascii="Calibri" w:hAnsi="Calibri" w:cs="Calibri"/>
          <w:bCs/>
          <w:szCs w:val="24"/>
        </w:rPr>
        <w:t xml:space="preserve"> (secondo stime dell’Osservatorio sulla finanza pubblica della Camera dei deputati, l’impatto maggiore del Superbonus sul debito si manifesterà tra il 2024 e il 2026 per un importo di 40 miliardi l’anno)</w:t>
      </w:r>
      <w:r>
        <w:rPr>
          <w:rFonts w:ascii="Calibri" w:hAnsi="Calibri" w:cs="Calibri"/>
          <w:bCs/>
          <w:szCs w:val="24"/>
        </w:rPr>
        <w:t xml:space="preserve">. Si tratterà </w:t>
      </w:r>
      <w:r w:rsidR="000D1E86">
        <w:rPr>
          <w:rFonts w:ascii="Calibri" w:hAnsi="Calibri" w:cs="Calibri"/>
          <w:bCs/>
          <w:szCs w:val="24"/>
        </w:rPr>
        <w:t xml:space="preserve">ora </w:t>
      </w:r>
      <w:r>
        <w:rPr>
          <w:rFonts w:ascii="Calibri" w:hAnsi="Calibri" w:cs="Calibri"/>
          <w:bCs/>
          <w:szCs w:val="24"/>
        </w:rPr>
        <w:t xml:space="preserve">di capire </w:t>
      </w:r>
      <w:r w:rsidR="004647C0">
        <w:rPr>
          <w:rFonts w:ascii="Calibri" w:hAnsi="Calibri" w:cs="Calibri"/>
          <w:bCs/>
          <w:szCs w:val="24"/>
        </w:rPr>
        <w:t xml:space="preserve">verso quale assestamento andrà incontro la </w:t>
      </w:r>
      <w:r>
        <w:rPr>
          <w:rFonts w:ascii="Calibri" w:hAnsi="Calibri" w:cs="Calibri"/>
          <w:bCs/>
          <w:szCs w:val="24"/>
        </w:rPr>
        <w:t>filiera delle costruzioni</w:t>
      </w:r>
      <w:r w:rsidR="0046577B">
        <w:rPr>
          <w:rFonts w:ascii="Calibri" w:hAnsi="Calibri" w:cs="Calibri"/>
          <w:bCs/>
          <w:szCs w:val="24"/>
        </w:rPr>
        <w:t xml:space="preserve"> e il suo indotto</w:t>
      </w:r>
      <w:r>
        <w:rPr>
          <w:rFonts w:ascii="Calibri" w:hAnsi="Calibri" w:cs="Calibri"/>
          <w:bCs/>
          <w:szCs w:val="24"/>
        </w:rPr>
        <w:t xml:space="preserve">, che in questi anni post-pandemia </w:t>
      </w:r>
      <w:r w:rsidR="00373742">
        <w:rPr>
          <w:rFonts w:ascii="Calibri" w:hAnsi="Calibri" w:cs="Calibri"/>
          <w:bCs/>
          <w:szCs w:val="24"/>
        </w:rPr>
        <w:t>ha</w:t>
      </w:r>
      <w:r w:rsidR="0046577B">
        <w:rPr>
          <w:rFonts w:ascii="Calibri" w:hAnsi="Calibri" w:cs="Calibri"/>
          <w:bCs/>
          <w:szCs w:val="24"/>
        </w:rPr>
        <w:t>nno</w:t>
      </w:r>
      <w:r w:rsidR="00373742">
        <w:rPr>
          <w:rFonts w:ascii="Calibri" w:hAnsi="Calibri" w:cs="Calibri"/>
          <w:bCs/>
          <w:szCs w:val="24"/>
        </w:rPr>
        <w:t xml:space="preserve"> giocato un ruolo importante nel sostegno alla crescita del PIL (anche per fenomeni di “emersione” </w:t>
      </w:r>
      <w:r>
        <w:rPr>
          <w:rFonts w:ascii="Calibri" w:hAnsi="Calibri" w:cs="Calibri"/>
          <w:bCs/>
          <w:szCs w:val="24"/>
        </w:rPr>
        <w:t>di reddito).</w:t>
      </w:r>
      <w:r w:rsidR="004647C0">
        <w:rPr>
          <w:rFonts w:ascii="Calibri" w:hAnsi="Calibri" w:cs="Calibri"/>
          <w:bCs/>
          <w:szCs w:val="24"/>
        </w:rPr>
        <w:t xml:space="preserve"> Gli effetti più negativi potrebbero essere mitigati dalle opere pubbliche, dalla ripartenza del mercato immobiliare (se i tassi d’interesse proseguissero la loro discesa), da un principio di recupero del potere d’acquisto delle famiglie (anche sostenuto dal</w:t>
      </w:r>
      <w:r w:rsidR="009C7D24">
        <w:rPr>
          <w:rFonts w:ascii="Calibri" w:hAnsi="Calibri" w:cs="Calibri"/>
          <w:bCs/>
          <w:szCs w:val="24"/>
        </w:rPr>
        <w:t>la</w:t>
      </w:r>
      <w:r w:rsidR="004647C0">
        <w:rPr>
          <w:rFonts w:ascii="Calibri" w:hAnsi="Calibri" w:cs="Calibri"/>
          <w:bCs/>
          <w:szCs w:val="24"/>
        </w:rPr>
        <w:t xml:space="preserve"> riduzione strutturale del cuneo fiscale). Ma </w:t>
      </w:r>
      <w:r w:rsidR="009C7D24">
        <w:rPr>
          <w:rFonts w:ascii="Calibri" w:hAnsi="Calibri" w:cs="Calibri"/>
          <w:bCs/>
          <w:szCs w:val="24"/>
        </w:rPr>
        <w:t xml:space="preserve">- sono sempre gli analisti di </w:t>
      </w:r>
      <w:proofErr w:type="spellStart"/>
      <w:r w:rsidR="004647C0">
        <w:rPr>
          <w:rFonts w:ascii="Calibri" w:hAnsi="Calibri" w:cs="Calibri"/>
          <w:bCs/>
          <w:szCs w:val="24"/>
        </w:rPr>
        <w:t>Ref.Congiuntura</w:t>
      </w:r>
      <w:proofErr w:type="spellEnd"/>
      <w:r w:rsidR="009C7D24">
        <w:rPr>
          <w:rFonts w:ascii="Calibri" w:hAnsi="Calibri" w:cs="Calibri"/>
          <w:bCs/>
          <w:szCs w:val="24"/>
        </w:rPr>
        <w:t xml:space="preserve"> a sottolinearlo - </w:t>
      </w:r>
      <w:r w:rsidR="004647C0">
        <w:rPr>
          <w:rFonts w:ascii="Calibri" w:hAnsi="Calibri" w:cs="Calibri"/>
          <w:bCs/>
          <w:szCs w:val="24"/>
        </w:rPr>
        <w:t>“</w:t>
      </w:r>
      <w:r w:rsidR="004647C0" w:rsidRPr="004647C0">
        <w:rPr>
          <w:rFonts w:ascii="Calibri" w:hAnsi="Calibri" w:cs="Calibri"/>
          <w:bCs/>
          <w:i/>
          <w:iCs/>
          <w:szCs w:val="24"/>
        </w:rPr>
        <w:t>mettere assieme questi diversi obiettivi</w:t>
      </w:r>
      <w:r w:rsidR="004647C0">
        <w:rPr>
          <w:rFonts w:ascii="Calibri" w:hAnsi="Calibri" w:cs="Calibri"/>
          <w:bCs/>
          <w:szCs w:val="24"/>
        </w:rPr>
        <w:t xml:space="preserve"> – [saldi di finanza pubblica in miglioramento, investimenti elevati in opere pubbliche, riduzione del cuneo fiscale, </w:t>
      </w:r>
      <w:proofErr w:type="spellStart"/>
      <w:r w:rsidR="004647C0">
        <w:rPr>
          <w:rFonts w:ascii="Calibri" w:hAnsi="Calibri" w:cs="Calibri"/>
          <w:bCs/>
          <w:szCs w:val="24"/>
        </w:rPr>
        <w:t>ndr</w:t>
      </w:r>
      <w:proofErr w:type="spellEnd"/>
      <w:r w:rsidR="004647C0">
        <w:rPr>
          <w:rFonts w:ascii="Calibri" w:hAnsi="Calibri" w:cs="Calibri"/>
          <w:bCs/>
          <w:szCs w:val="24"/>
        </w:rPr>
        <w:t xml:space="preserve">] – </w:t>
      </w:r>
      <w:r w:rsidR="004647C0" w:rsidRPr="004647C0">
        <w:rPr>
          <w:rFonts w:ascii="Calibri" w:hAnsi="Calibri" w:cs="Calibri"/>
          <w:bCs/>
          <w:i/>
          <w:iCs/>
          <w:szCs w:val="24"/>
        </w:rPr>
        <w:t>non sarà cosa semplice</w:t>
      </w:r>
      <w:r w:rsidR="004647C0">
        <w:rPr>
          <w:rFonts w:ascii="Calibri" w:hAnsi="Calibri" w:cs="Calibri"/>
          <w:bCs/>
          <w:szCs w:val="24"/>
        </w:rPr>
        <w:t>”.</w:t>
      </w:r>
    </w:p>
    <w:p w14:paraId="285F0C22" w14:textId="1B86BC68" w:rsidR="004647C0" w:rsidRDefault="000D1E86" w:rsidP="005B3546">
      <w:pPr>
        <w:spacing w:before="240" w:after="120"/>
        <w:rPr>
          <w:rFonts w:ascii="Calibri" w:hAnsi="Calibri" w:cs="Calibri"/>
          <w:bCs/>
          <w:szCs w:val="24"/>
        </w:rPr>
      </w:pPr>
      <w:r>
        <w:rPr>
          <w:rFonts w:ascii="Calibri" w:hAnsi="Calibri" w:cs="Calibri"/>
          <w:bCs/>
          <w:szCs w:val="24"/>
        </w:rPr>
        <w:t>E’</w:t>
      </w:r>
      <w:r w:rsidR="00B642A0">
        <w:rPr>
          <w:rFonts w:ascii="Calibri" w:hAnsi="Calibri" w:cs="Calibri"/>
          <w:bCs/>
          <w:szCs w:val="24"/>
        </w:rPr>
        <w:t xml:space="preserve"> </w:t>
      </w:r>
      <w:r>
        <w:rPr>
          <w:rFonts w:ascii="Calibri" w:hAnsi="Calibri" w:cs="Calibri"/>
          <w:bCs/>
          <w:szCs w:val="24"/>
        </w:rPr>
        <w:t>al palo anche l’industria dei macchinari: penalizzata dal rinvio generalizzato degli investimenti, soprattutto in ambito Ue (causa costo del denaro</w:t>
      </w:r>
      <w:r w:rsidR="00C510BC">
        <w:rPr>
          <w:rFonts w:ascii="Calibri" w:hAnsi="Calibri" w:cs="Calibri"/>
          <w:bCs/>
          <w:szCs w:val="24"/>
        </w:rPr>
        <w:t xml:space="preserve"> e incertezza dei mercati</w:t>
      </w:r>
      <w:r>
        <w:rPr>
          <w:rFonts w:ascii="Calibri" w:hAnsi="Calibri" w:cs="Calibri"/>
          <w:bCs/>
          <w:szCs w:val="24"/>
        </w:rPr>
        <w:t xml:space="preserve">) e dai ritardi (in Italia) nel varo degli incentivi legati alla misura “Transizione 5.0”. </w:t>
      </w:r>
      <w:r w:rsidR="00C510BC">
        <w:rPr>
          <w:rFonts w:ascii="Calibri" w:hAnsi="Calibri" w:cs="Calibri"/>
          <w:bCs/>
          <w:szCs w:val="24"/>
        </w:rPr>
        <w:t>Su base tendenziale, guardando sempre l’andamento della produzione industriale (fonte ISTAT) nei primi nove mesi del 2024 rispetto allo stesso periodo dell’anno precedente, gli unici settori industriali con il segno positivo sono quello alimentare, la chimica, le apparecchiature elettriche.</w:t>
      </w:r>
      <w:r w:rsidR="00B642A0">
        <w:rPr>
          <w:rFonts w:ascii="Calibri" w:hAnsi="Calibri" w:cs="Calibri"/>
          <w:bCs/>
          <w:szCs w:val="24"/>
        </w:rPr>
        <w:t xml:space="preserve">  </w:t>
      </w:r>
    </w:p>
    <w:p w14:paraId="08014511" w14:textId="77777777" w:rsidR="00444AD7" w:rsidRDefault="00444AD7" w:rsidP="005B3546">
      <w:pPr>
        <w:spacing w:before="240" w:after="120"/>
        <w:rPr>
          <w:rFonts w:ascii="Calibri" w:hAnsi="Calibri" w:cs="Calibri"/>
          <w:b/>
          <w:bCs/>
          <w:szCs w:val="24"/>
        </w:rPr>
      </w:pPr>
    </w:p>
    <w:p w14:paraId="69838B1C" w14:textId="77777777" w:rsidR="00444AD7" w:rsidRDefault="00444AD7" w:rsidP="005B3546">
      <w:pPr>
        <w:spacing w:before="240" w:after="120"/>
        <w:rPr>
          <w:rFonts w:ascii="Calibri" w:hAnsi="Calibri" w:cs="Calibri"/>
          <w:b/>
          <w:bCs/>
          <w:szCs w:val="24"/>
        </w:rPr>
      </w:pPr>
    </w:p>
    <w:p w14:paraId="270414B0" w14:textId="77777777" w:rsidR="00444AD7" w:rsidRDefault="00444AD7" w:rsidP="005B3546">
      <w:pPr>
        <w:spacing w:before="240" w:after="120"/>
        <w:rPr>
          <w:rFonts w:ascii="Calibri" w:hAnsi="Calibri" w:cs="Calibri"/>
          <w:b/>
          <w:bCs/>
          <w:szCs w:val="24"/>
        </w:rPr>
      </w:pPr>
    </w:p>
    <w:p w14:paraId="5B371435" w14:textId="77777777" w:rsidR="00444AD7" w:rsidRDefault="00444AD7" w:rsidP="005B3546">
      <w:pPr>
        <w:spacing w:before="240" w:after="120"/>
        <w:rPr>
          <w:rFonts w:ascii="Calibri" w:hAnsi="Calibri" w:cs="Calibri"/>
          <w:b/>
          <w:bCs/>
          <w:szCs w:val="24"/>
        </w:rPr>
      </w:pPr>
    </w:p>
    <w:p w14:paraId="3BC89D22" w14:textId="77777777" w:rsidR="00444AD7" w:rsidRPr="00E658AB" w:rsidRDefault="00444AD7" w:rsidP="005B3546">
      <w:pPr>
        <w:spacing w:before="240" w:after="120"/>
        <w:rPr>
          <w:rFonts w:ascii="Calibri" w:hAnsi="Calibri" w:cs="Calibri"/>
          <w:b/>
          <w:szCs w:val="24"/>
        </w:rPr>
      </w:pPr>
    </w:p>
    <w:tbl>
      <w:tblPr>
        <w:tblStyle w:val="Grigliatabella"/>
        <w:tblpPr w:leftFromText="141" w:rightFromText="141"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574CC" w:rsidRPr="00F57866" w14:paraId="37D234F7" w14:textId="77777777" w:rsidTr="00830B1A">
        <w:tc>
          <w:tcPr>
            <w:tcW w:w="8788" w:type="dxa"/>
            <w:shd w:val="clear" w:color="auto" w:fill="auto"/>
          </w:tcPr>
          <w:p w14:paraId="12328984" w14:textId="1DC197DB" w:rsidR="006574CC" w:rsidRPr="006574CC" w:rsidRDefault="006574CC" w:rsidP="006574CC">
            <w:pPr>
              <w:pStyle w:val="Titolo1"/>
              <w:jc w:val="left"/>
              <w:rPr>
                <w:rFonts w:ascii="Calibri" w:hAnsi="Calibri" w:cs="Arial"/>
                <w:bCs/>
                <w:sz w:val="20"/>
              </w:rPr>
            </w:pPr>
            <w:r w:rsidRPr="00023EA2">
              <w:rPr>
                <w:rFonts w:ascii="Calibri" w:hAnsi="Calibri" w:cs="Arial"/>
                <w:bCs/>
                <w:sz w:val="20"/>
              </w:rPr>
              <w:lastRenderedPageBreak/>
              <w:t xml:space="preserve">Tab. 1 - </w:t>
            </w:r>
            <w:r w:rsidRPr="006574CC">
              <w:rPr>
                <w:rFonts w:ascii="Calibri" w:hAnsi="Calibri" w:cs="Arial"/>
                <w:bCs/>
                <w:color w:val="00B0F0"/>
                <w:sz w:val="20"/>
              </w:rPr>
              <w:t>Mondo.</w:t>
            </w:r>
            <w:r w:rsidRPr="006574CC">
              <w:rPr>
                <w:rFonts w:ascii="Calibri" w:hAnsi="Calibri" w:cs="Arial"/>
                <w:bCs/>
                <w:sz w:val="20"/>
              </w:rPr>
              <w:br/>
            </w:r>
            <w:r w:rsidRPr="00023EA2">
              <w:rPr>
                <w:rFonts w:ascii="Calibri" w:hAnsi="Calibri" w:cs="Arial"/>
                <w:bCs/>
                <w:sz w:val="20"/>
              </w:rPr>
              <w:t>Tasso di crescita del PIL nelle principali economie. Ann</w:t>
            </w:r>
            <w:r w:rsidR="003D27A3">
              <w:rPr>
                <w:rFonts w:ascii="Calibri" w:hAnsi="Calibri" w:cs="Arial"/>
                <w:bCs/>
                <w:sz w:val="20"/>
              </w:rPr>
              <w:t xml:space="preserve">o </w:t>
            </w:r>
            <w:r>
              <w:rPr>
                <w:rFonts w:ascii="Calibri" w:hAnsi="Calibri" w:cs="Arial"/>
                <w:bCs/>
                <w:sz w:val="20"/>
              </w:rPr>
              <w:t>2023</w:t>
            </w:r>
            <w:r w:rsidRPr="00023EA2">
              <w:rPr>
                <w:rFonts w:ascii="Calibri" w:hAnsi="Calibri" w:cs="Arial"/>
                <w:bCs/>
                <w:sz w:val="20"/>
              </w:rPr>
              <w:t xml:space="preserve"> e previsioni per il 202</w:t>
            </w:r>
            <w:r>
              <w:rPr>
                <w:rFonts w:ascii="Calibri" w:hAnsi="Calibri" w:cs="Arial"/>
                <w:bCs/>
                <w:sz w:val="20"/>
              </w:rPr>
              <w:t>4</w:t>
            </w:r>
            <w:r w:rsidRPr="00023EA2">
              <w:rPr>
                <w:rFonts w:ascii="Calibri" w:hAnsi="Calibri" w:cs="Arial"/>
                <w:bCs/>
                <w:sz w:val="20"/>
              </w:rPr>
              <w:t>-202</w:t>
            </w:r>
            <w:r>
              <w:rPr>
                <w:rFonts w:ascii="Calibri" w:hAnsi="Calibri" w:cs="Arial"/>
                <w:bCs/>
                <w:sz w:val="20"/>
              </w:rPr>
              <w:t>5</w:t>
            </w:r>
          </w:p>
        </w:tc>
      </w:tr>
      <w:tr w:rsidR="00B509EC" w:rsidRPr="00F57866" w14:paraId="418FFCBC" w14:textId="77777777" w:rsidTr="00830B1A">
        <w:tc>
          <w:tcPr>
            <w:tcW w:w="8788" w:type="dxa"/>
            <w:shd w:val="clear" w:color="auto" w:fill="auto"/>
          </w:tcPr>
          <w:p w14:paraId="713962CB" w14:textId="18AD5E39" w:rsidR="00B509EC" w:rsidRPr="00F57866" w:rsidRDefault="0051649E" w:rsidP="00830B1A">
            <w:pPr>
              <w:tabs>
                <w:tab w:val="left" w:pos="3256"/>
              </w:tabs>
              <w:spacing w:before="40"/>
              <w:jc w:val="center"/>
              <w:rPr>
                <w:rFonts w:asciiTheme="minorHAnsi" w:hAnsiTheme="minorHAnsi" w:cs="Arial"/>
                <w:b/>
                <w:bCs/>
                <w:color w:val="00B0F0"/>
                <w:sz w:val="20"/>
              </w:rPr>
            </w:pPr>
            <w:r w:rsidRPr="0051649E">
              <w:rPr>
                <w:rFonts w:asciiTheme="minorHAnsi" w:hAnsiTheme="minorHAnsi" w:cs="Arial"/>
                <w:b/>
                <w:bCs/>
                <w:noProof/>
                <w:color w:val="00B0F0"/>
                <w:sz w:val="20"/>
              </w:rPr>
              <w:drawing>
                <wp:inline distT="0" distB="0" distL="0" distR="0" wp14:anchorId="486330D6" wp14:editId="3130D4B8">
                  <wp:extent cx="4191441" cy="2394714"/>
                  <wp:effectExtent l="0" t="0" r="0" b="5715"/>
                  <wp:docPr id="144883617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0140" cy="2399684"/>
                          </a:xfrm>
                          <a:prstGeom prst="rect">
                            <a:avLst/>
                          </a:prstGeom>
                          <a:noFill/>
                          <a:ln>
                            <a:noFill/>
                          </a:ln>
                        </pic:spPr>
                      </pic:pic>
                    </a:graphicData>
                  </a:graphic>
                </wp:inline>
              </w:drawing>
            </w:r>
          </w:p>
        </w:tc>
      </w:tr>
      <w:tr w:rsidR="00B509EC" w:rsidRPr="00477352" w14:paraId="57C5BF1D" w14:textId="77777777" w:rsidTr="00830B1A">
        <w:tc>
          <w:tcPr>
            <w:tcW w:w="8788" w:type="dxa"/>
            <w:shd w:val="clear" w:color="auto" w:fill="auto"/>
          </w:tcPr>
          <w:p w14:paraId="4BDF7CDB" w14:textId="26CE436F" w:rsidR="00B509EC" w:rsidRPr="00F57866" w:rsidRDefault="00B509EC" w:rsidP="00830B1A">
            <w:pPr>
              <w:tabs>
                <w:tab w:val="left" w:pos="3480"/>
                <w:tab w:val="center" w:pos="4002"/>
              </w:tabs>
              <w:spacing w:before="40"/>
              <w:rPr>
                <w:rFonts w:ascii="Arial" w:hAnsi="Arial" w:cs="Arial"/>
                <w:b/>
                <w:bCs/>
                <w:noProof/>
                <w:color w:val="943634"/>
                <w:sz w:val="16"/>
                <w:szCs w:val="16"/>
                <w:lang w:val="en-US"/>
              </w:rPr>
            </w:pPr>
            <w:r w:rsidRPr="00F57866">
              <w:rPr>
                <w:rFonts w:ascii="Arial" w:hAnsi="Arial" w:cs="Arial"/>
                <w:bCs/>
                <w:i/>
                <w:sz w:val="16"/>
                <w:szCs w:val="16"/>
                <w:shd w:val="clear" w:color="auto" w:fill="FFFFFF" w:themeFill="background1"/>
                <w:lang w:val="en-US"/>
              </w:rPr>
              <w:t>Fonte: World Economic Outlook</w:t>
            </w:r>
            <w:r w:rsidR="00266BCC">
              <w:rPr>
                <w:rFonts w:ascii="Arial" w:hAnsi="Arial" w:cs="Arial"/>
                <w:bCs/>
                <w:i/>
                <w:sz w:val="16"/>
                <w:szCs w:val="16"/>
                <w:shd w:val="clear" w:color="auto" w:fill="FFFFFF" w:themeFill="background1"/>
                <w:lang w:val="en-US"/>
              </w:rPr>
              <w:t>,</w:t>
            </w:r>
            <w:r w:rsidR="005154F4">
              <w:rPr>
                <w:rFonts w:ascii="Arial" w:hAnsi="Arial" w:cs="Arial"/>
                <w:bCs/>
                <w:i/>
                <w:sz w:val="16"/>
                <w:szCs w:val="16"/>
                <w:shd w:val="clear" w:color="auto" w:fill="FFFFFF" w:themeFill="background1"/>
                <w:lang w:val="en-US"/>
              </w:rPr>
              <w:t xml:space="preserve"> </w:t>
            </w:r>
            <w:r w:rsidR="006574CC">
              <w:rPr>
                <w:rFonts w:ascii="Arial" w:hAnsi="Arial" w:cs="Arial"/>
                <w:bCs/>
                <w:i/>
                <w:sz w:val="16"/>
                <w:szCs w:val="16"/>
                <w:shd w:val="clear" w:color="auto" w:fill="FFFFFF" w:themeFill="background1"/>
                <w:lang w:val="en-US"/>
              </w:rPr>
              <w:t>October</w:t>
            </w:r>
            <w:r w:rsidRPr="00F57866">
              <w:rPr>
                <w:rFonts w:ascii="Arial" w:hAnsi="Arial" w:cs="Arial"/>
                <w:bCs/>
                <w:i/>
                <w:sz w:val="16"/>
                <w:szCs w:val="16"/>
                <w:shd w:val="clear" w:color="auto" w:fill="FFFFFF" w:themeFill="background1"/>
                <w:lang w:val="en-US"/>
              </w:rPr>
              <w:t xml:space="preserve"> 202</w:t>
            </w:r>
            <w:r>
              <w:rPr>
                <w:rFonts w:ascii="Arial" w:hAnsi="Arial" w:cs="Arial"/>
                <w:bCs/>
                <w:i/>
                <w:sz w:val="16"/>
                <w:szCs w:val="16"/>
                <w:shd w:val="clear" w:color="auto" w:fill="FFFFFF" w:themeFill="background1"/>
                <w:lang w:val="en-US"/>
              </w:rPr>
              <w:t>4</w:t>
            </w:r>
          </w:p>
        </w:tc>
      </w:tr>
    </w:tbl>
    <w:p w14:paraId="11607FFC" w14:textId="77777777" w:rsidR="00444AD7" w:rsidRDefault="00444AD7" w:rsidP="00444AD7">
      <w:pPr>
        <w:rPr>
          <w:rFonts w:ascii="Calibri" w:hAnsi="Calibri" w:cs="Calibri"/>
          <w:b/>
          <w:szCs w:val="24"/>
          <w:lang w:val="en-US"/>
        </w:rPr>
      </w:pP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444AD7" w:rsidRPr="00BB5A77" w14:paraId="4F7E6B6F" w14:textId="77777777" w:rsidTr="002F619F">
        <w:tc>
          <w:tcPr>
            <w:tcW w:w="8788" w:type="dxa"/>
            <w:shd w:val="clear" w:color="auto" w:fill="auto"/>
          </w:tcPr>
          <w:p w14:paraId="44A38051" w14:textId="3CE50B0D" w:rsidR="00444AD7" w:rsidRPr="00BB5A77" w:rsidRDefault="00444AD7" w:rsidP="002F619F">
            <w:pPr>
              <w:pStyle w:val="Titolo1"/>
              <w:jc w:val="left"/>
              <w:rPr>
                <w:rFonts w:asciiTheme="minorHAnsi" w:hAnsiTheme="minorHAnsi" w:cs="Arial"/>
                <w:b w:val="0"/>
                <w:bCs/>
                <w:sz w:val="20"/>
              </w:rPr>
            </w:pPr>
            <w:r w:rsidRPr="003F5243">
              <w:rPr>
                <w:rFonts w:asciiTheme="minorHAnsi" w:hAnsiTheme="minorHAnsi" w:cs="Arial"/>
                <w:bCs/>
                <w:sz w:val="20"/>
              </w:rPr>
              <w:t xml:space="preserve">Graf. </w:t>
            </w:r>
            <w:r>
              <w:rPr>
                <w:rFonts w:asciiTheme="minorHAnsi" w:hAnsiTheme="minorHAnsi" w:cs="Arial"/>
                <w:bCs/>
                <w:sz w:val="20"/>
              </w:rPr>
              <w:t>1</w:t>
            </w:r>
            <w:r w:rsidRPr="003F5243">
              <w:rPr>
                <w:rFonts w:asciiTheme="minorHAnsi" w:hAnsiTheme="minorHAnsi" w:cs="Arial"/>
                <w:bCs/>
                <w:sz w:val="20"/>
              </w:rPr>
              <w:t xml:space="preserve">.a – </w:t>
            </w:r>
            <w:r w:rsidRPr="003F5243">
              <w:rPr>
                <w:rFonts w:asciiTheme="minorHAnsi" w:hAnsiTheme="minorHAnsi" w:cs="Arial"/>
                <w:bCs/>
                <w:color w:val="00B0F0"/>
                <w:sz w:val="20"/>
              </w:rPr>
              <w:t>Eurozona.</w:t>
            </w:r>
            <w:r w:rsidRPr="003F5243">
              <w:rPr>
                <w:rFonts w:asciiTheme="minorHAnsi" w:hAnsiTheme="minorHAnsi" w:cs="Arial"/>
                <w:bCs/>
                <w:color w:val="00B0F0"/>
                <w:sz w:val="20"/>
              </w:rPr>
              <w:br/>
            </w:r>
            <w:r w:rsidRPr="003F5243">
              <w:rPr>
                <w:rFonts w:asciiTheme="minorHAnsi" w:hAnsiTheme="minorHAnsi" w:cs="Arial"/>
                <w:bCs/>
                <w:sz w:val="20"/>
              </w:rPr>
              <w:t>Indice PMI Settore Manifatturiero a</w:t>
            </w:r>
            <w:r>
              <w:rPr>
                <w:rFonts w:asciiTheme="minorHAnsi" w:hAnsiTheme="minorHAnsi" w:cs="Arial"/>
                <w:bCs/>
                <w:sz w:val="20"/>
              </w:rPr>
              <w:t>d ottobre</w:t>
            </w:r>
            <w:r w:rsidRPr="003F5243">
              <w:rPr>
                <w:rFonts w:asciiTheme="minorHAnsi" w:hAnsiTheme="minorHAnsi" w:cs="Arial"/>
                <w:bCs/>
                <w:sz w:val="20"/>
              </w:rPr>
              <w:t xml:space="preserve"> 2024</w:t>
            </w:r>
          </w:p>
        </w:tc>
      </w:tr>
      <w:tr w:rsidR="00444AD7" w:rsidRPr="00BB5A77" w14:paraId="6A582195" w14:textId="77777777" w:rsidTr="002F619F">
        <w:tc>
          <w:tcPr>
            <w:tcW w:w="8788" w:type="dxa"/>
            <w:shd w:val="clear" w:color="auto" w:fill="auto"/>
          </w:tcPr>
          <w:p w14:paraId="3FEC6128" w14:textId="77777777" w:rsidR="00444AD7" w:rsidRPr="00BB5A77" w:rsidRDefault="00444AD7" w:rsidP="002F619F">
            <w:pPr>
              <w:pStyle w:val="Titolo1"/>
              <w:rPr>
                <w:rFonts w:asciiTheme="minorHAnsi" w:hAnsiTheme="minorHAnsi" w:cs="Arial"/>
                <w:bCs/>
                <w:sz w:val="20"/>
              </w:rPr>
            </w:pPr>
            <w:r w:rsidRPr="00BB5A77">
              <w:rPr>
                <w:rFonts w:asciiTheme="minorHAnsi" w:hAnsiTheme="minorHAnsi" w:cs="Arial"/>
                <w:bCs/>
                <w:sz w:val="20"/>
              </w:rPr>
              <w:t>Eurozona</w:t>
            </w:r>
          </w:p>
        </w:tc>
      </w:tr>
      <w:tr w:rsidR="00444AD7" w:rsidRPr="00BB5A77" w14:paraId="607AE3A4" w14:textId="77777777" w:rsidTr="002F619F">
        <w:tc>
          <w:tcPr>
            <w:tcW w:w="8788" w:type="dxa"/>
            <w:shd w:val="clear" w:color="auto" w:fill="auto"/>
          </w:tcPr>
          <w:p w14:paraId="520D3A1A" w14:textId="77777777" w:rsidR="00444AD7" w:rsidRPr="00BB5A77" w:rsidRDefault="00444AD7" w:rsidP="002F619F">
            <w:pPr>
              <w:pStyle w:val="Titolo1"/>
              <w:rPr>
                <w:rFonts w:asciiTheme="minorHAnsi" w:hAnsiTheme="minorHAnsi" w:cs="Arial"/>
                <w:bCs/>
                <w:sz w:val="20"/>
              </w:rPr>
            </w:pPr>
            <w:r w:rsidRPr="00EA7C8F">
              <w:rPr>
                <w:rFonts w:asciiTheme="minorHAnsi" w:hAnsiTheme="minorHAnsi" w:cs="Arial"/>
                <w:bCs/>
                <w:noProof/>
                <w:sz w:val="20"/>
              </w:rPr>
              <w:drawing>
                <wp:inline distT="0" distB="0" distL="0" distR="0" wp14:anchorId="3F481BB4" wp14:editId="38A673AC">
                  <wp:extent cx="3578317" cy="2115514"/>
                  <wp:effectExtent l="0" t="0" r="3175" b="0"/>
                  <wp:docPr id="42255436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54365" name=""/>
                          <pic:cNvPicPr/>
                        </pic:nvPicPr>
                        <pic:blipFill>
                          <a:blip r:embed="rId9"/>
                          <a:stretch>
                            <a:fillRect/>
                          </a:stretch>
                        </pic:blipFill>
                        <pic:spPr>
                          <a:xfrm>
                            <a:off x="0" y="0"/>
                            <a:ext cx="3604987" cy="2131281"/>
                          </a:xfrm>
                          <a:prstGeom prst="rect">
                            <a:avLst/>
                          </a:prstGeom>
                        </pic:spPr>
                      </pic:pic>
                    </a:graphicData>
                  </a:graphic>
                </wp:inline>
              </w:drawing>
            </w:r>
          </w:p>
        </w:tc>
      </w:tr>
      <w:tr w:rsidR="00444AD7" w:rsidRPr="006768AA" w14:paraId="5EA01B67" w14:textId="77777777" w:rsidTr="002F619F">
        <w:tc>
          <w:tcPr>
            <w:tcW w:w="8788" w:type="dxa"/>
            <w:shd w:val="clear" w:color="auto" w:fill="auto"/>
          </w:tcPr>
          <w:p w14:paraId="657BEF81" w14:textId="77777777" w:rsidR="00444AD7" w:rsidRPr="00BB5A77" w:rsidRDefault="00444AD7" w:rsidP="002F619F">
            <w:pPr>
              <w:keepNext/>
              <w:tabs>
                <w:tab w:val="left" w:pos="3256"/>
              </w:tabs>
              <w:spacing w:before="40"/>
              <w:rPr>
                <w:noProof/>
              </w:rPr>
            </w:pPr>
            <w:r w:rsidRPr="00BB5A77">
              <w:rPr>
                <w:rFonts w:ascii="Arial" w:hAnsi="Arial" w:cs="Arial"/>
                <w:bCs/>
                <w:i/>
                <w:sz w:val="16"/>
                <w:szCs w:val="16"/>
                <w:shd w:val="clear" w:color="auto" w:fill="FFFFFF" w:themeFill="background1"/>
              </w:rPr>
              <w:t xml:space="preserve">Fonte: HCOB e S&amp;P Global PMI, comunicato stampa </w:t>
            </w:r>
            <w:r>
              <w:rPr>
                <w:rFonts w:ascii="Arial" w:hAnsi="Arial" w:cs="Arial"/>
                <w:bCs/>
                <w:i/>
                <w:sz w:val="16"/>
                <w:szCs w:val="16"/>
                <w:shd w:val="clear" w:color="auto" w:fill="FFFFFF" w:themeFill="background1"/>
              </w:rPr>
              <w:t>04</w:t>
            </w:r>
            <w:r w:rsidRPr="00BB5A77">
              <w:rPr>
                <w:rFonts w:ascii="Arial" w:hAnsi="Arial" w:cs="Arial"/>
                <w:bCs/>
                <w:i/>
                <w:sz w:val="16"/>
                <w:szCs w:val="16"/>
                <w:shd w:val="clear" w:color="auto" w:fill="FFFFFF" w:themeFill="background1"/>
              </w:rPr>
              <w:t xml:space="preserve"> </w:t>
            </w:r>
            <w:r>
              <w:rPr>
                <w:rFonts w:ascii="Arial" w:hAnsi="Arial" w:cs="Arial"/>
                <w:bCs/>
                <w:i/>
                <w:sz w:val="16"/>
                <w:szCs w:val="16"/>
                <w:shd w:val="clear" w:color="auto" w:fill="FFFFFF" w:themeFill="background1"/>
              </w:rPr>
              <w:t>novembre</w:t>
            </w:r>
            <w:r w:rsidRPr="00BB5A77">
              <w:rPr>
                <w:rFonts w:ascii="Arial" w:hAnsi="Arial" w:cs="Arial"/>
                <w:bCs/>
                <w:i/>
                <w:sz w:val="16"/>
                <w:szCs w:val="16"/>
                <w:shd w:val="clear" w:color="auto" w:fill="FFFFFF" w:themeFill="background1"/>
              </w:rPr>
              <w:t xml:space="preserve"> 202</w:t>
            </w:r>
            <w:r>
              <w:rPr>
                <w:rFonts w:ascii="Arial" w:hAnsi="Arial" w:cs="Arial"/>
                <w:bCs/>
                <w:i/>
                <w:sz w:val="16"/>
                <w:szCs w:val="16"/>
                <w:shd w:val="clear" w:color="auto" w:fill="FFFFFF" w:themeFill="background1"/>
              </w:rPr>
              <w:t>4</w:t>
            </w:r>
          </w:p>
        </w:tc>
      </w:tr>
    </w:tbl>
    <w:p w14:paraId="01FC3C57" w14:textId="77777777" w:rsidR="00444AD7" w:rsidRDefault="00444AD7" w:rsidP="00444AD7">
      <w:pPr>
        <w:rPr>
          <w:rFonts w:ascii="Calibri" w:hAnsi="Calibri" w:cs="Calibri"/>
          <w:b/>
          <w:szCs w:val="24"/>
          <w:lang w:val="en-US"/>
        </w:rPr>
      </w:pP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5"/>
        <w:gridCol w:w="4343"/>
      </w:tblGrid>
      <w:tr w:rsidR="00444AD7" w:rsidRPr="00BB5A77" w14:paraId="6FE8FE24" w14:textId="77777777" w:rsidTr="002F619F">
        <w:tc>
          <w:tcPr>
            <w:tcW w:w="8788" w:type="dxa"/>
            <w:gridSpan w:val="2"/>
            <w:shd w:val="clear" w:color="auto" w:fill="auto"/>
          </w:tcPr>
          <w:p w14:paraId="567A97B3" w14:textId="49FD7F86" w:rsidR="00444AD7" w:rsidRPr="003F5243" w:rsidRDefault="00444AD7" w:rsidP="002F619F">
            <w:pPr>
              <w:keepNext/>
              <w:tabs>
                <w:tab w:val="left" w:pos="3256"/>
              </w:tabs>
              <w:spacing w:before="40"/>
              <w:jc w:val="left"/>
              <w:rPr>
                <w:rFonts w:asciiTheme="minorHAnsi" w:hAnsiTheme="minorHAnsi" w:cs="Arial"/>
                <w:b/>
                <w:bCs/>
                <w:sz w:val="20"/>
              </w:rPr>
            </w:pPr>
            <w:r w:rsidRPr="003F5243">
              <w:rPr>
                <w:rFonts w:asciiTheme="minorHAnsi" w:hAnsiTheme="minorHAnsi" w:cs="Arial"/>
                <w:b/>
                <w:bCs/>
                <w:sz w:val="20"/>
              </w:rPr>
              <w:t xml:space="preserve">Graf. </w:t>
            </w:r>
            <w:r w:rsidR="00C906D9">
              <w:rPr>
                <w:rFonts w:asciiTheme="minorHAnsi" w:hAnsiTheme="minorHAnsi" w:cs="Arial"/>
                <w:b/>
                <w:bCs/>
                <w:sz w:val="20"/>
              </w:rPr>
              <w:t>1</w:t>
            </w:r>
            <w:r w:rsidRPr="003F5243">
              <w:rPr>
                <w:rFonts w:asciiTheme="minorHAnsi" w:hAnsiTheme="minorHAnsi" w:cs="Arial"/>
                <w:b/>
                <w:bCs/>
                <w:sz w:val="20"/>
              </w:rPr>
              <w:t xml:space="preserve">.b – </w:t>
            </w:r>
            <w:r w:rsidRPr="003F5243">
              <w:rPr>
                <w:rFonts w:asciiTheme="minorHAnsi" w:hAnsiTheme="minorHAnsi" w:cs="Arial"/>
                <w:b/>
                <w:bCs/>
                <w:color w:val="00B0F0"/>
                <w:sz w:val="20"/>
              </w:rPr>
              <w:t>Germania e Italia.</w:t>
            </w:r>
          </w:p>
          <w:p w14:paraId="381A9C3F" w14:textId="77777777" w:rsidR="00444AD7" w:rsidRPr="00BB5A77" w:rsidRDefault="00444AD7" w:rsidP="002F619F">
            <w:pPr>
              <w:pStyle w:val="Titolo1"/>
              <w:jc w:val="left"/>
              <w:rPr>
                <w:rFonts w:asciiTheme="minorHAnsi" w:hAnsiTheme="minorHAnsi" w:cs="Arial"/>
                <w:b w:val="0"/>
                <w:bCs/>
                <w:sz w:val="20"/>
              </w:rPr>
            </w:pPr>
            <w:r w:rsidRPr="003F5243">
              <w:rPr>
                <w:rFonts w:asciiTheme="minorHAnsi" w:hAnsiTheme="minorHAnsi" w:cs="Arial"/>
                <w:bCs/>
                <w:sz w:val="20"/>
              </w:rPr>
              <w:t>Indice PMI Settore Manifatturiero a</w:t>
            </w:r>
            <w:r>
              <w:rPr>
                <w:rFonts w:asciiTheme="minorHAnsi" w:hAnsiTheme="minorHAnsi" w:cs="Arial"/>
                <w:bCs/>
                <w:sz w:val="20"/>
              </w:rPr>
              <w:t>d ottobre</w:t>
            </w:r>
            <w:r w:rsidRPr="003F5243">
              <w:rPr>
                <w:rFonts w:asciiTheme="minorHAnsi" w:hAnsiTheme="minorHAnsi" w:cs="Arial"/>
                <w:bCs/>
                <w:sz w:val="20"/>
              </w:rPr>
              <w:t xml:space="preserve"> 2024</w:t>
            </w:r>
          </w:p>
        </w:tc>
      </w:tr>
      <w:tr w:rsidR="00444AD7" w:rsidRPr="00BB5A77" w14:paraId="604F412D" w14:textId="77777777" w:rsidTr="002F619F">
        <w:tc>
          <w:tcPr>
            <w:tcW w:w="4445" w:type="dxa"/>
            <w:shd w:val="clear" w:color="auto" w:fill="auto"/>
          </w:tcPr>
          <w:p w14:paraId="586AA270" w14:textId="77777777" w:rsidR="00444AD7" w:rsidRPr="00BB5A77" w:rsidRDefault="00444AD7" w:rsidP="002F619F">
            <w:pPr>
              <w:keepNext/>
              <w:tabs>
                <w:tab w:val="left" w:pos="3256"/>
              </w:tabs>
              <w:spacing w:before="40"/>
              <w:jc w:val="center"/>
              <w:rPr>
                <w:rFonts w:asciiTheme="minorHAnsi" w:hAnsiTheme="minorHAnsi" w:cs="Arial"/>
                <w:b/>
                <w:bCs/>
                <w:sz w:val="20"/>
              </w:rPr>
            </w:pPr>
            <w:r w:rsidRPr="00BB5A77">
              <w:rPr>
                <w:rFonts w:asciiTheme="minorHAnsi" w:hAnsiTheme="minorHAnsi" w:cs="Arial"/>
                <w:b/>
                <w:bCs/>
                <w:sz w:val="20"/>
              </w:rPr>
              <w:t>Germania</w:t>
            </w:r>
          </w:p>
        </w:tc>
        <w:tc>
          <w:tcPr>
            <w:tcW w:w="4343" w:type="dxa"/>
            <w:shd w:val="clear" w:color="auto" w:fill="auto"/>
          </w:tcPr>
          <w:p w14:paraId="0DE68A2B" w14:textId="77777777" w:rsidR="00444AD7" w:rsidRPr="00BB5A77" w:rsidRDefault="00444AD7" w:rsidP="002F619F">
            <w:pPr>
              <w:keepNext/>
              <w:tabs>
                <w:tab w:val="left" w:pos="3256"/>
              </w:tabs>
              <w:spacing w:before="40"/>
              <w:jc w:val="center"/>
              <w:rPr>
                <w:rFonts w:asciiTheme="minorHAnsi" w:hAnsiTheme="minorHAnsi" w:cs="Arial"/>
                <w:b/>
                <w:bCs/>
                <w:sz w:val="20"/>
              </w:rPr>
            </w:pPr>
            <w:r w:rsidRPr="00BB5A77">
              <w:rPr>
                <w:rFonts w:asciiTheme="minorHAnsi" w:hAnsiTheme="minorHAnsi" w:cs="Arial"/>
                <w:b/>
                <w:bCs/>
                <w:sz w:val="20"/>
              </w:rPr>
              <w:t>Italia</w:t>
            </w:r>
          </w:p>
        </w:tc>
      </w:tr>
      <w:tr w:rsidR="00444AD7" w:rsidRPr="00BB5A77" w14:paraId="68536711" w14:textId="77777777" w:rsidTr="002F619F">
        <w:tc>
          <w:tcPr>
            <w:tcW w:w="4445" w:type="dxa"/>
            <w:shd w:val="clear" w:color="auto" w:fill="auto"/>
          </w:tcPr>
          <w:p w14:paraId="5B8445F8" w14:textId="77777777" w:rsidR="00444AD7" w:rsidRPr="00BB5A77" w:rsidRDefault="00444AD7" w:rsidP="002F619F">
            <w:pPr>
              <w:keepNext/>
              <w:tabs>
                <w:tab w:val="left" w:pos="3256"/>
              </w:tabs>
              <w:spacing w:before="40"/>
              <w:jc w:val="center"/>
              <w:rPr>
                <w:rFonts w:asciiTheme="minorHAnsi" w:hAnsiTheme="minorHAnsi" w:cs="Arial"/>
                <w:b/>
                <w:bCs/>
                <w:sz w:val="20"/>
              </w:rPr>
            </w:pPr>
            <w:r w:rsidRPr="00EA7C8F">
              <w:rPr>
                <w:rFonts w:asciiTheme="minorHAnsi" w:hAnsiTheme="minorHAnsi" w:cs="Arial"/>
                <w:b/>
                <w:bCs/>
                <w:noProof/>
                <w:sz w:val="20"/>
              </w:rPr>
              <w:drawing>
                <wp:inline distT="0" distB="0" distL="0" distR="0" wp14:anchorId="70700D3B" wp14:editId="15B877C3">
                  <wp:extent cx="2618509" cy="1634429"/>
                  <wp:effectExtent l="0" t="0" r="0" b="4445"/>
                  <wp:docPr id="18707323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32336" name=""/>
                          <pic:cNvPicPr/>
                        </pic:nvPicPr>
                        <pic:blipFill>
                          <a:blip r:embed="rId10"/>
                          <a:stretch>
                            <a:fillRect/>
                          </a:stretch>
                        </pic:blipFill>
                        <pic:spPr>
                          <a:xfrm>
                            <a:off x="0" y="0"/>
                            <a:ext cx="2623629" cy="1637625"/>
                          </a:xfrm>
                          <a:prstGeom prst="rect">
                            <a:avLst/>
                          </a:prstGeom>
                        </pic:spPr>
                      </pic:pic>
                    </a:graphicData>
                  </a:graphic>
                </wp:inline>
              </w:drawing>
            </w:r>
          </w:p>
        </w:tc>
        <w:tc>
          <w:tcPr>
            <w:tcW w:w="4343" w:type="dxa"/>
            <w:shd w:val="clear" w:color="auto" w:fill="auto"/>
          </w:tcPr>
          <w:p w14:paraId="7C7D2723" w14:textId="77777777" w:rsidR="00444AD7" w:rsidRPr="00BB5A77" w:rsidRDefault="00444AD7" w:rsidP="002F619F">
            <w:pPr>
              <w:keepNext/>
              <w:tabs>
                <w:tab w:val="left" w:pos="3256"/>
              </w:tabs>
              <w:spacing w:before="40"/>
              <w:jc w:val="center"/>
              <w:rPr>
                <w:rFonts w:asciiTheme="minorHAnsi" w:hAnsiTheme="minorHAnsi" w:cs="Arial"/>
                <w:b/>
                <w:bCs/>
                <w:sz w:val="20"/>
              </w:rPr>
            </w:pPr>
            <w:r w:rsidRPr="00EA7C8F">
              <w:rPr>
                <w:rFonts w:asciiTheme="minorHAnsi" w:hAnsiTheme="minorHAnsi" w:cs="Arial"/>
                <w:b/>
                <w:bCs/>
                <w:noProof/>
                <w:sz w:val="20"/>
              </w:rPr>
              <w:drawing>
                <wp:inline distT="0" distB="0" distL="0" distR="0" wp14:anchorId="60D739E5" wp14:editId="3BD50006">
                  <wp:extent cx="2529320" cy="1591294"/>
                  <wp:effectExtent l="0" t="0" r="4445" b="9525"/>
                  <wp:docPr id="1149451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45114" name=""/>
                          <pic:cNvPicPr/>
                        </pic:nvPicPr>
                        <pic:blipFill>
                          <a:blip r:embed="rId11"/>
                          <a:stretch>
                            <a:fillRect/>
                          </a:stretch>
                        </pic:blipFill>
                        <pic:spPr>
                          <a:xfrm>
                            <a:off x="0" y="0"/>
                            <a:ext cx="2544569" cy="1600888"/>
                          </a:xfrm>
                          <a:prstGeom prst="rect">
                            <a:avLst/>
                          </a:prstGeom>
                        </pic:spPr>
                      </pic:pic>
                    </a:graphicData>
                  </a:graphic>
                </wp:inline>
              </w:drawing>
            </w:r>
          </w:p>
        </w:tc>
      </w:tr>
      <w:tr w:rsidR="00444AD7" w:rsidRPr="00BB5A77" w14:paraId="4C316760" w14:textId="77777777" w:rsidTr="002F619F">
        <w:tc>
          <w:tcPr>
            <w:tcW w:w="4445" w:type="dxa"/>
            <w:shd w:val="clear" w:color="auto" w:fill="auto"/>
          </w:tcPr>
          <w:p w14:paraId="62A5F308" w14:textId="77777777" w:rsidR="00444AD7" w:rsidRPr="00BB5A77" w:rsidRDefault="00444AD7" w:rsidP="002F619F">
            <w:pPr>
              <w:keepNext/>
              <w:tabs>
                <w:tab w:val="left" w:pos="3256"/>
              </w:tabs>
              <w:spacing w:before="40"/>
              <w:jc w:val="center"/>
              <w:rPr>
                <w:noProof/>
              </w:rPr>
            </w:pPr>
          </w:p>
        </w:tc>
        <w:tc>
          <w:tcPr>
            <w:tcW w:w="4343" w:type="dxa"/>
            <w:shd w:val="clear" w:color="auto" w:fill="auto"/>
          </w:tcPr>
          <w:p w14:paraId="13695D6A" w14:textId="77777777" w:rsidR="00444AD7" w:rsidRPr="00BB5A77" w:rsidRDefault="00444AD7" w:rsidP="002F619F">
            <w:pPr>
              <w:keepNext/>
              <w:tabs>
                <w:tab w:val="left" w:pos="3256"/>
              </w:tabs>
              <w:spacing w:before="40"/>
              <w:jc w:val="center"/>
              <w:rPr>
                <w:noProof/>
              </w:rPr>
            </w:pPr>
          </w:p>
        </w:tc>
      </w:tr>
      <w:tr w:rsidR="00444AD7" w:rsidRPr="006768AA" w14:paraId="248A807D" w14:textId="77777777" w:rsidTr="002F619F">
        <w:tc>
          <w:tcPr>
            <w:tcW w:w="8788" w:type="dxa"/>
            <w:gridSpan w:val="2"/>
            <w:shd w:val="clear" w:color="auto" w:fill="auto"/>
          </w:tcPr>
          <w:p w14:paraId="1E57ACBD" w14:textId="77777777" w:rsidR="00444AD7" w:rsidRPr="00BB5A77" w:rsidRDefault="00444AD7" w:rsidP="002F619F">
            <w:pPr>
              <w:keepNext/>
              <w:tabs>
                <w:tab w:val="left" w:pos="3256"/>
              </w:tabs>
              <w:spacing w:before="40"/>
              <w:rPr>
                <w:rFonts w:ascii="Arial" w:hAnsi="Arial" w:cs="Arial"/>
                <w:b/>
                <w:bCs/>
                <w:sz w:val="16"/>
                <w:szCs w:val="16"/>
              </w:rPr>
            </w:pPr>
            <w:r w:rsidRPr="00BB5A77">
              <w:rPr>
                <w:rFonts w:ascii="Arial" w:hAnsi="Arial" w:cs="Arial"/>
                <w:bCs/>
                <w:i/>
                <w:sz w:val="16"/>
                <w:szCs w:val="16"/>
                <w:shd w:val="clear" w:color="auto" w:fill="FFFFFF" w:themeFill="background1"/>
              </w:rPr>
              <w:t xml:space="preserve">Fonte: HCOB e S&amp;P Global PMI, comunicati stampa </w:t>
            </w:r>
            <w:r>
              <w:rPr>
                <w:rFonts w:ascii="Arial" w:hAnsi="Arial" w:cs="Arial"/>
                <w:bCs/>
                <w:i/>
                <w:sz w:val="16"/>
                <w:szCs w:val="16"/>
                <w:shd w:val="clear" w:color="auto" w:fill="FFFFFF" w:themeFill="background1"/>
              </w:rPr>
              <w:t>04</w:t>
            </w:r>
            <w:r w:rsidRPr="00BB5A77">
              <w:rPr>
                <w:rFonts w:ascii="Arial" w:hAnsi="Arial" w:cs="Arial"/>
                <w:bCs/>
                <w:i/>
                <w:sz w:val="16"/>
                <w:szCs w:val="16"/>
                <w:shd w:val="clear" w:color="auto" w:fill="FFFFFF" w:themeFill="background1"/>
              </w:rPr>
              <w:t xml:space="preserve"> </w:t>
            </w:r>
            <w:r>
              <w:rPr>
                <w:rFonts w:ascii="Arial" w:hAnsi="Arial" w:cs="Arial"/>
                <w:bCs/>
                <w:i/>
                <w:sz w:val="16"/>
                <w:szCs w:val="16"/>
                <w:shd w:val="clear" w:color="auto" w:fill="FFFFFF" w:themeFill="background1"/>
              </w:rPr>
              <w:t>novembre</w:t>
            </w:r>
            <w:r w:rsidRPr="00BB5A77">
              <w:rPr>
                <w:rFonts w:ascii="Arial" w:hAnsi="Arial" w:cs="Arial"/>
                <w:bCs/>
                <w:i/>
                <w:sz w:val="16"/>
                <w:szCs w:val="16"/>
                <w:shd w:val="clear" w:color="auto" w:fill="FFFFFF" w:themeFill="background1"/>
              </w:rPr>
              <w:t xml:space="preserve"> 202</w:t>
            </w:r>
            <w:r>
              <w:rPr>
                <w:rFonts w:ascii="Arial" w:hAnsi="Arial" w:cs="Arial"/>
                <w:bCs/>
                <w:i/>
                <w:sz w:val="16"/>
                <w:szCs w:val="16"/>
                <w:shd w:val="clear" w:color="auto" w:fill="FFFFFF" w:themeFill="background1"/>
              </w:rPr>
              <w:t>4</w:t>
            </w:r>
          </w:p>
        </w:tc>
      </w:tr>
    </w:tbl>
    <w:p w14:paraId="0E8615F8" w14:textId="77777777" w:rsidR="00B642A0" w:rsidRDefault="002D000D" w:rsidP="002D000D">
      <w:pPr>
        <w:spacing w:before="240" w:after="120"/>
        <w:rPr>
          <w:rFonts w:ascii="Calibri" w:hAnsi="Calibri" w:cs="Calibri"/>
          <w:b/>
          <w:szCs w:val="24"/>
        </w:rPr>
      </w:pPr>
      <w:r w:rsidRPr="006520AC">
        <w:rPr>
          <w:rFonts w:ascii="Calibri" w:hAnsi="Calibri" w:cs="Calibri"/>
          <w:b/>
          <w:szCs w:val="24"/>
        </w:rPr>
        <w:lastRenderedPageBreak/>
        <w:t>La dinamica del manifattur</w:t>
      </w:r>
      <w:r w:rsidR="00B642A0">
        <w:rPr>
          <w:rFonts w:ascii="Calibri" w:hAnsi="Calibri" w:cs="Calibri"/>
          <w:b/>
          <w:szCs w:val="24"/>
        </w:rPr>
        <w:t>iero veneto</w:t>
      </w:r>
    </w:p>
    <w:p w14:paraId="3DD45BCD" w14:textId="77777777" w:rsidR="008D0B5E" w:rsidRDefault="00B642A0" w:rsidP="00B642A0">
      <w:pPr>
        <w:spacing w:before="240" w:after="120"/>
        <w:rPr>
          <w:rFonts w:ascii="Calibri" w:hAnsi="Calibri" w:cs="Calibri"/>
          <w:bCs/>
          <w:szCs w:val="24"/>
        </w:rPr>
      </w:pPr>
      <w:r w:rsidRPr="006520AC">
        <w:rPr>
          <w:rFonts w:ascii="Calibri" w:hAnsi="Calibri" w:cs="Calibri"/>
          <w:bCs/>
          <w:szCs w:val="24"/>
        </w:rPr>
        <w:t>I</w:t>
      </w:r>
      <w:r>
        <w:rPr>
          <w:rFonts w:ascii="Calibri" w:hAnsi="Calibri" w:cs="Calibri"/>
          <w:bCs/>
          <w:szCs w:val="24"/>
        </w:rPr>
        <w:t xml:space="preserve">n </w:t>
      </w:r>
      <w:r w:rsidR="008D0B5E">
        <w:rPr>
          <w:rFonts w:ascii="Calibri" w:hAnsi="Calibri" w:cs="Calibri"/>
          <w:bCs/>
          <w:szCs w:val="24"/>
        </w:rPr>
        <w:t>tale sc</w:t>
      </w:r>
      <w:r>
        <w:rPr>
          <w:rFonts w:ascii="Calibri" w:hAnsi="Calibri" w:cs="Calibri"/>
          <w:bCs/>
          <w:szCs w:val="24"/>
        </w:rPr>
        <w:t>enario</w:t>
      </w:r>
      <w:r w:rsidR="00D0510C">
        <w:rPr>
          <w:rFonts w:ascii="Calibri" w:hAnsi="Calibri" w:cs="Calibri"/>
          <w:bCs/>
          <w:szCs w:val="24"/>
        </w:rPr>
        <w:t xml:space="preserve">, quei segni negativi sulla produzione </w:t>
      </w:r>
      <w:r w:rsidR="005E2FC3">
        <w:rPr>
          <w:rFonts w:ascii="Calibri" w:hAnsi="Calibri" w:cs="Calibri"/>
          <w:bCs/>
          <w:szCs w:val="24"/>
        </w:rPr>
        <w:t xml:space="preserve">manifatturiera </w:t>
      </w:r>
      <w:r w:rsidR="00D0510C">
        <w:rPr>
          <w:rFonts w:ascii="Calibri" w:hAnsi="Calibri" w:cs="Calibri"/>
          <w:bCs/>
          <w:szCs w:val="24"/>
        </w:rPr>
        <w:t>veneta che</w:t>
      </w:r>
      <w:r w:rsidR="00227F84">
        <w:rPr>
          <w:rFonts w:ascii="Calibri" w:hAnsi="Calibri" w:cs="Calibri"/>
          <w:bCs/>
          <w:szCs w:val="24"/>
        </w:rPr>
        <w:t xml:space="preserve">, fino a ieri, indicavano il processo di normalizzazione del ciclo economico dopo la ripartenza post-pandemica, oggi sanciscono uno stallo più profondo del comparto, con forti differenze da settore a settore. </w:t>
      </w:r>
    </w:p>
    <w:p w14:paraId="480E5746" w14:textId="42019AB8" w:rsidR="00AE351C" w:rsidRDefault="005E2FC3" w:rsidP="00B642A0">
      <w:pPr>
        <w:spacing w:before="240" w:after="120"/>
        <w:rPr>
          <w:rFonts w:ascii="Calibri" w:hAnsi="Calibri" w:cs="Calibri"/>
          <w:bCs/>
          <w:szCs w:val="24"/>
        </w:rPr>
      </w:pPr>
      <w:r>
        <w:rPr>
          <w:rFonts w:ascii="Calibri" w:hAnsi="Calibri" w:cs="Calibri"/>
          <w:bCs/>
          <w:szCs w:val="24"/>
        </w:rPr>
        <w:t>Così, a nostro avviso, va raccontata la striscia negativa di 6 trimestri consecutivi (o se si preferisce di 18 mesi consecutivi)</w:t>
      </w:r>
      <w:r w:rsidR="00C134EA">
        <w:rPr>
          <w:rFonts w:ascii="Calibri" w:hAnsi="Calibri" w:cs="Calibri"/>
          <w:bCs/>
          <w:szCs w:val="24"/>
        </w:rPr>
        <w:t>. La contrazione della produzione (come degli altri indicatori) è stata</w:t>
      </w:r>
      <w:r>
        <w:rPr>
          <w:rFonts w:ascii="Calibri" w:hAnsi="Calibri" w:cs="Calibri"/>
          <w:bCs/>
          <w:szCs w:val="24"/>
        </w:rPr>
        <w:t xml:space="preserve"> fisiologica fino ad un certo punto (2023), per </w:t>
      </w:r>
      <w:r w:rsidR="00AE351C">
        <w:rPr>
          <w:rFonts w:ascii="Calibri" w:hAnsi="Calibri" w:cs="Calibri"/>
          <w:bCs/>
          <w:szCs w:val="24"/>
        </w:rPr>
        <w:t xml:space="preserve">controreazione ad </w:t>
      </w:r>
      <w:r>
        <w:rPr>
          <w:rFonts w:ascii="Calibri" w:hAnsi="Calibri" w:cs="Calibri"/>
          <w:bCs/>
          <w:szCs w:val="24"/>
        </w:rPr>
        <w:t>un bienni</w:t>
      </w:r>
      <w:r w:rsidR="00AE351C">
        <w:rPr>
          <w:rFonts w:ascii="Calibri" w:hAnsi="Calibri" w:cs="Calibri"/>
          <w:bCs/>
          <w:szCs w:val="24"/>
        </w:rPr>
        <w:t>o (2021-2022) in cui era s</w:t>
      </w:r>
      <w:r>
        <w:rPr>
          <w:rFonts w:ascii="Calibri" w:hAnsi="Calibri" w:cs="Calibri"/>
          <w:bCs/>
          <w:szCs w:val="24"/>
        </w:rPr>
        <w:t xml:space="preserve">tata </w:t>
      </w:r>
      <w:r w:rsidR="00AE351C">
        <w:rPr>
          <w:rFonts w:ascii="Calibri" w:hAnsi="Calibri" w:cs="Calibri"/>
          <w:bCs/>
          <w:szCs w:val="24"/>
        </w:rPr>
        <w:t>anticipata tanta domanda futura (emblematiche, al riguardo, le dinamiche del legno-arredo)</w:t>
      </w:r>
      <w:r w:rsidR="00C134EA">
        <w:rPr>
          <w:rFonts w:ascii="Calibri" w:hAnsi="Calibri" w:cs="Calibri"/>
          <w:bCs/>
          <w:szCs w:val="24"/>
        </w:rPr>
        <w:t>; p</w:t>
      </w:r>
      <w:r w:rsidR="00AE351C">
        <w:rPr>
          <w:rFonts w:ascii="Calibri" w:hAnsi="Calibri" w:cs="Calibri"/>
          <w:bCs/>
          <w:szCs w:val="24"/>
        </w:rPr>
        <w:t>er giunta</w:t>
      </w:r>
      <w:r w:rsidR="00C134EA">
        <w:rPr>
          <w:rFonts w:ascii="Calibri" w:hAnsi="Calibri" w:cs="Calibri"/>
          <w:bCs/>
          <w:szCs w:val="24"/>
        </w:rPr>
        <w:t>,</w:t>
      </w:r>
      <w:r w:rsidR="00AE351C">
        <w:rPr>
          <w:rFonts w:ascii="Calibri" w:hAnsi="Calibri" w:cs="Calibri"/>
          <w:bCs/>
          <w:szCs w:val="24"/>
        </w:rPr>
        <w:t xml:space="preserve"> nel bel mezzo dei noti problemi di approvvigionamento che hanno conferito vita lunga</w:t>
      </w:r>
      <w:r w:rsidR="00C134EA">
        <w:rPr>
          <w:rFonts w:ascii="Calibri" w:hAnsi="Calibri" w:cs="Calibri"/>
          <w:bCs/>
          <w:szCs w:val="24"/>
        </w:rPr>
        <w:t xml:space="preserve"> (e fatturati amplificati dal rincaro dei prezzi)</w:t>
      </w:r>
      <w:r w:rsidR="00AE351C">
        <w:rPr>
          <w:rFonts w:ascii="Calibri" w:hAnsi="Calibri" w:cs="Calibri"/>
          <w:bCs/>
          <w:szCs w:val="24"/>
        </w:rPr>
        <w:t xml:space="preserve"> a quella formidabile incetta di ordini</w:t>
      </w:r>
      <w:r w:rsidR="008D0B5E">
        <w:rPr>
          <w:rFonts w:ascii="Calibri" w:hAnsi="Calibri" w:cs="Calibri"/>
          <w:bCs/>
          <w:szCs w:val="24"/>
        </w:rPr>
        <w:t xml:space="preserve">: </w:t>
      </w:r>
      <w:r w:rsidR="00AE351C">
        <w:rPr>
          <w:rFonts w:ascii="Calibri" w:hAnsi="Calibri" w:cs="Calibri"/>
          <w:bCs/>
          <w:szCs w:val="24"/>
        </w:rPr>
        <w:t xml:space="preserve">nel 2022 la lunghezza media del portafoglio ordini si era dilatata anche oltre i 70 giorni di produzione assicurata, quando nel periodo </w:t>
      </w:r>
      <w:proofErr w:type="spellStart"/>
      <w:r w:rsidR="00AE351C">
        <w:rPr>
          <w:rFonts w:ascii="Calibri" w:hAnsi="Calibri" w:cs="Calibri"/>
          <w:bCs/>
          <w:szCs w:val="24"/>
        </w:rPr>
        <w:t>pre</w:t>
      </w:r>
      <w:proofErr w:type="spellEnd"/>
      <w:r w:rsidR="00AE351C">
        <w:rPr>
          <w:rFonts w:ascii="Calibri" w:hAnsi="Calibri" w:cs="Calibri"/>
          <w:bCs/>
          <w:szCs w:val="24"/>
        </w:rPr>
        <w:t>-Covid questo dato si posizionava attorno ai 58 giorni.</w:t>
      </w:r>
    </w:p>
    <w:p w14:paraId="4E31AD31" w14:textId="5B8A14D2" w:rsidR="00C134EA" w:rsidRDefault="00C134EA" w:rsidP="00B642A0">
      <w:pPr>
        <w:spacing w:before="240" w:after="120"/>
        <w:rPr>
          <w:rFonts w:ascii="Calibri" w:hAnsi="Calibri" w:cs="Calibri"/>
          <w:bCs/>
          <w:szCs w:val="24"/>
        </w:rPr>
      </w:pPr>
      <w:r>
        <w:rPr>
          <w:rFonts w:ascii="Calibri" w:hAnsi="Calibri" w:cs="Calibri"/>
          <w:bCs/>
          <w:szCs w:val="24"/>
        </w:rPr>
        <w:t xml:space="preserve">Ma questa storia della normalizzazione non può continuare all’infinito. Certo, il terzo trimestre, con la consueta pausa estiva di mezzo, non è il periodo più adatto per tracciare bilanci. </w:t>
      </w:r>
      <w:r w:rsidR="008D0B5E">
        <w:rPr>
          <w:rFonts w:ascii="Calibri" w:hAnsi="Calibri" w:cs="Calibri"/>
          <w:bCs/>
          <w:szCs w:val="24"/>
        </w:rPr>
        <w:t>E g</w:t>
      </w:r>
      <w:r>
        <w:rPr>
          <w:rFonts w:ascii="Calibri" w:hAnsi="Calibri" w:cs="Calibri"/>
          <w:bCs/>
          <w:szCs w:val="24"/>
        </w:rPr>
        <w:t xml:space="preserve">uardando alle attese per l’ultimo scorcio dell’anno, ancora pare che gli imprenditori credano in una ripartenza della domanda, pur in mezzo a tante incertezze. Però i numeri che andiamo a commentare incominciano ad essere pesanti, soprattutto se si leggono sotto la superficie del dato medio, portando ad evidenza le polarizzazioni che si stanno </w:t>
      </w:r>
      <w:r w:rsidR="008D0B5E">
        <w:rPr>
          <w:rFonts w:ascii="Calibri" w:hAnsi="Calibri" w:cs="Calibri"/>
          <w:bCs/>
          <w:szCs w:val="24"/>
        </w:rPr>
        <w:t xml:space="preserve">materializzando </w:t>
      </w:r>
      <w:r>
        <w:rPr>
          <w:rFonts w:ascii="Calibri" w:hAnsi="Calibri" w:cs="Calibri"/>
          <w:bCs/>
          <w:szCs w:val="24"/>
        </w:rPr>
        <w:t>tra i settori.</w:t>
      </w:r>
    </w:p>
    <w:p w14:paraId="7E32B36B" w14:textId="609B7594" w:rsidR="008F1438" w:rsidRDefault="00C134EA" w:rsidP="00B642A0">
      <w:pPr>
        <w:spacing w:before="240" w:after="120"/>
        <w:rPr>
          <w:rFonts w:ascii="Calibri" w:hAnsi="Calibri" w:cs="Calibri"/>
          <w:bCs/>
          <w:szCs w:val="24"/>
        </w:rPr>
      </w:pPr>
      <w:r>
        <w:rPr>
          <w:rFonts w:ascii="Calibri" w:hAnsi="Calibri" w:cs="Calibri"/>
          <w:bCs/>
          <w:szCs w:val="24"/>
        </w:rPr>
        <w:t xml:space="preserve">La </w:t>
      </w:r>
      <w:r w:rsidRPr="0016017F">
        <w:rPr>
          <w:rFonts w:ascii="Calibri" w:hAnsi="Calibri" w:cs="Calibri"/>
          <w:b/>
          <w:szCs w:val="24"/>
        </w:rPr>
        <w:t>produzione</w:t>
      </w:r>
      <w:r>
        <w:rPr>
          <w:rFonts w:ascii="Calibri" w:hAnsi="Calibri" w:cs="Calibri"/>
          <w:bCs/>
          <w:szCs w:val="24"/>
        </w:rPr>
        <w:t xml:space="preserve"> manifatturiera veneta anche nel </w:t>
      </w:r>
      <w:r w:rsidR="008D0B5E">
        <w:rPr>
          <w:rFonts w:ascii="Calibri" w:hAnsi="Calibri" w:cs="Calibri"/>
          <w:bCs/>
          <w:szCs w:val="24"/>
        </w:rPr>
        <w:t>terzo trimestre si contrae del -1,9% su base tendenziale, pressoché in linea con il trend evidenziato ne</w:t>
      </w:r>
      <w:r w:rsidR="002C1E7C">
        <w:rPr>
          <w:rFonts w:ascii="Calibri" w:hAnsi="Calibri" w:cs="Calibri"/>
          <w:bCs/>
          <w:szCs w:val="24"/>
        </w:rPr>
        <w:t xml:space="preserve">i precedenti trimestri del </w:t>
      </w:r>
      <w:r w:rsidR="008D0B5E">
        <w:rPr>
          <w:rFonts w:ascii="Calibri" w:hAnsi="Calibri" w:cs="Calibri"/>
          <w:bCs/>
          <w:szCs w:val="24"/>
        </w:rPr>
        <w:t xml:space="preserve">2024. Ma </w:t>
      </w:r>
      <w:r w:rsidR="008F1438">
        <w:rPr>
          <w:rFonts w:ascii="Calibri" w:hAnsi="Calibri" w:cs="Calibri"/>
          <w:bCs/>
          <w:szCs w:val="24"/>
        </w:rPr>
        <w:t xml:space="preserve">fa impressione constatare quanto si sia ampliata la distanza fra questo dato medio, il settore meglio performante (industria alimentare: +4,0%) e quello peggio performante (sistema moda: -7,1%). In territorio positivo si aggiungono solo l’industria della carta, l’orafo, il marmo-vetro-ceramica. Attorno alla media, ma già in negativo, si posizionano la gomma-plastica, il legno-arredo, i macchinari industriali. Evidenziano una flessione della produzione più intensa l’industria dei mezzi di trasporto (come era facile attendersi), gli apparecchi elettrici, </w:t>
      </w:r>
      <w:r w:rsidR="00421838">
        <w:rPr>
          <w:rFonts w:ascii="Calibri" w:hAnsi="Calibri" w:cs="Calibri"/>
          <w:bCs/>
          <w:szCs w:val="24"/>
        </w:rPr>
        <w:t xml:space="preserve">la </w:t>
      </w:r>
      <w:r w:rsidR="008F1438">
        <w:rPr>
          <w:rFonts w:ascii="Calibri" w:hAnsi="Calibri" w:cs="Calibri"/>
          <w:bCs/>
          <w:szCs w:val="24"/>
        </w:rPr>
        <w:t>metallurgia e carpenteria metallica</w:t>
      </w:r>
      <w:r w:rsidR="00DD08E0">
        <w:rPr>
          <w:rFonts w:ascii="Calibri" w:hAnsi="Calibri" w:cs="Calibri"/>
          <w:bCs/>
          <w:szCs w:val="24"/>
        </w:rPr>
        <w:t xml:space="preserve"> (una parte di questo settore ha attività collegate </w:t>
      </w:r>
      <w:proofErr w:type="spellStart"/>
      <w:r w:rsidR="00DD08E0">
        <w:rPr>
          <w:rFonts w:ascii="Calibri" w:hAnsi="Calibri" w:cs="Calibri"/>
          <w:bCs/>
          <w:szCs w:val="24"/>
        </w:rPr>
        <w:t>all’automotive</w:t>
      </w:r>
      <w:proofErr w:type="spellEnd"/>
      <w:r w:rsidR="00DD08E0">
        <w:rPr>
          <w:rFonts w:ascii="Calibri" w:hAnsi="Calibri" w:cs="Calibri"/>
          <w:bCs/>
          <w:szCs w:val="24"/>
        </w:rPr>
        <w:t>)</w:t>
      </w:r>
      <w:r w:rsidR="008F1438">
        <w:rPr>
          <w:rFonts w:ascii="Calibri" w:hAnsi="Calibri" w:cs="Calibri"/>
          <w:bCs/>
          <w:szCs w:val="24"/>
        </w:rPr>
        <w:t>.</w:t>
      </w:r>
      <w:r w:rsidR="00421838">
        <w:rPr>
          <w:rFonts w:ascii="Calibri" w:hAnsi="Calibri" w:cs="Calibri"/>
          <w:bCs/>
          <w:szCs w:val="24"/>
        </w:rPr>
        <w:t xml:space="preserve"> Anche l’occhialeria presenta un’inedita flessione del -5,1%, sempre su base tendenziale</w:t>
      </w:r>
      <w:r w:rsidR="0001686F">
        <w:rPr>
          <w:rFonts w:ascii="Calibri" w:hAnsi="Calibri" w:cs="Calibri"/>
          <w:bCs/>
          <w:szCs w:val="24"/>
        </w:rPr>
        <w:t>, che non ha ricorrenze stagionali</w:t>
      </w:r>
      <w:r w:rsidR="002C1E7C">
        <w:rPr>
          <w:rFonts w:ascii="Calibri" w:hAnsi="Calibri" w:cs="Calibri"/>
          <w:bCs/>
          <w:szCs w:val="24"/>
        </w:rPr>
        <w:t xml:space="preserve"> guardando al passato</w:t>
      </w:r>
      <w:r w:rsidR="00421838">
        <w:rPr>
          <w:rFonts w:ascii="Calibri" w:hAnsi="Calibri" w:cs="Calibri"/>
          <w:bCs/>
          <w:szCs w:val="24"/>
        </w:rPr>
        <w:t xml:space="preserve">: era dal 2020 che, per questo settore, non compariva il segno negativo nella variazione della produzione su base </w:t>
      </w:r>
      <w:r w:rsidR="00B33730">
        <w:rPr>
          <w:rFonts w:ascii="Calibri" w:hAnsi="Calibri" w:cs="Calibri"/>
          <w:bCs/>
          <w:szCs w:val="24"/>
        </w:rPr>
        <w:t>tendenziale</w:t>
      </w:r>
      <w:r w:rsidR="0001686F">
        <w:rPr>
          <w:rFonts w:ascii="Calibri" w:hAnsi="Calibri" w:cs="Calibri"/>
          <w:bCs/>
          <w:szCs w:val="24"/>
        </w:rPr>
        <w:t>.</w:t>
      </w:r>
    </w:p>
    <w:p w14:paraId="2ED42CBA" w14:textId="5FB611C1" w:rsidR="0001686F" w:rsidRDefault="00421838" w:rsidP="00B642A0">
      <w:pPr>
        <w:spacing w:before="240" w:after="120"/>
        <w:rPr>
          <w:rFonts w:ascii="Calibri" w:hAnsi="Calibri" w:cs="Calibri"/>
          <w:bCs/>
          <w:szCs w:val="24"/>
        </w:rPr>
      </w:pPr>
      <w:r>
        <w:rPr>
          <w:rFonts w:ascii="Calibri" w:hAnsi="Calibri" w:cs="Calibri"/>
          <w:bCs/>
          <w:szCs w:val="24"/>
        </w:rPr>
        <w:t xml:space="preserve">A certificare questo rallentamento oltre i confini della normalizzazione, </w:t>
      </w:r>
      <w:r w:rsidR="0001686F">
        <w:rPr>
          <w:rFonts w:ascii="Calibri" w:hAnsi="Calibri" w:cs="Calibri"/>
          <w:bCs/>
          <w:szCs w:val="24"/>
        </w:rPr>
        <w:t xml:space="preserve">c’è </w:t>
      </w:r>
      <w:r>
        <w:rPr>
          <w:rFonts w:ascii="Calibri" w:hAnsi="Calibri" w:cs="Calibri"/>
          <w:bCs/>
          <w:szCs w:val="24"/>
        </w:rPr>
        <w:t xml:space="preserve">un </w:t>
      </w:r>
      <w:r w:rsidRPr="0016017F">
        <w:rPr>
          <w:rFonts w:ascii="Calibri" w:hAnsi="Calibri" w:cs="Calibri"/>
          <w:b/>
          <w:szCs w:val="24"/>
        </w:rPr>
        <w:t>grado di utilizzo degl</w:t>
      </w:r>
      <w:r w:rsidR="0001686F" w:rsidRPr="0016017F">
        <w:rPr>
          <w:rFonts w:ascii="Calibri" w:hAnsi="Calibri" w:cs="Calibri"/>
          <w:b/>
          <w:szCs w:val="24"/>
        </w:rPr>
        <w:t>i impianti</w:t>
      </w:r>
      <w:r w:rsidR="0001686F">
        <w:rPr>
          <w:rFonts w:ascii="Calibri" w:hAnsi="Calibri" w:cs="Calibri"/>
          <w:bCs/>
          <w:szCs w:val="24"/>
        </w:rPr>
        <w:t xml:space="preserve"> che scivola ulteriormente al 68%, come media del comparto, quando ancora a fine 2023 si posizionava sopra il 72%. </w:t>
      </w:r>
      <w:r w:rsidR="002C1E7C">
        <w:rPr>
          <w:rFonts w:ascii="Calibri" w:hAnsi="Calibri" w:cs="Calibri"/>
          <w:bCs/>
          <w:szCs w:val="24"/>
        </w:rPr>
        <w:t>Ma a</w:t>
      </w:r>
      <w:r w:rsidR="0001686F">
        <w:rPr>
          <w:rFonts w:ascii="Calibri" w:hAnsi="Calibri" w:cs="Calibri"/>
          <w:bCs/>
          <w:szCs w:val="24"/>
        </w:rPr>
        <w:t>nche per questo indicatore si replica la polarizzazione di cui sopra: l’industria alimentare satura il 75% della capacità produttiva, mentre il sistema moda “gira” al 64% delle sue potenzialità: più di un terzo della capacità produttiva del settore si trova inutilizzato.</w:t>
      </w:r>
    </w:p>
    <w:p w14:paraId="1E4FFE88" w14:textId="2902EA71" w:rsidR="00E5214A" w:rsidRDefault="002C1E7C" w:rsidP="00B642A0">
      <w:pPr>
        <w:spacing w:before="240" w:after="120"/>
        <w:rPr>
          <w:rFonts w:ascii="Calibri" w:hAnsi="Calibri" w:cs="Calibri"/>
          <w:bCs/>
          <w:szCs w:val="24"/>
        </w:rPr>
      </w:pPr>
      <w:r>
        <w:rPr>
          <w:rFonts w:ascii="Calibri" w:hAnsi="Calibri" w:cs="Calibri"/>
          <w:bCs/>
          <w:szCs w:val="24"/>
        </w:rPr>
        <w:lastRenderedPageBreak/>
        <w:t>L’andamento</w:t>
      </w:r>
      <w:r w:rsidR="007D5201">
        <w:rPr>
          <w:rFonts w:ascii="Calibri" w:hAnsi="Calibri" w:cs="Calibri"/>
          <w:bCs/>
          <w:szCs w:val="24"/>
        </w:rPr>
        <w:t xml:space="preserve"> </w:t>
      </w:r>
      <w:r>
        <w:rPr>
          <w:rFonts w:ascii="Calibri" w:hAnsi="Calibri" w:cs="Calibri"/>
          <w:bCs/>
          <w:szCs w:val="24"/>
        </w:rPr>
        <w:t xml:space="preserve">del </w:t>
      </w:r>
      <w:r w:rsidRPr="0016017F">
        <w:rPr>
          <w:rFonts w:ascii="Calibri" w:hAnsi="Calibri" w:cs="Calibri"/>
          <w:b/>
          <w:szCs w:val="24"/>
        </w:rPr>
        <w:t>fatturato</w:t>
      </w:r>
      <w:r>
        <w:rPr>
          <w:rFonts w:ascii="Calibri" w:hAnsi="Calibri" w:cs="Calibri"/>
          <w:bCs/>
          <w:szCs w:val="24"/>
        </w:rPr>
        <w:t xml:space="preserve"> presenta tratti analoghi alla produzione: la variazione tendenziale media non è neppure terribile (-1,0%)</w:t>
      </w:r>
      <w:r w:rsidR="00E5214A">
        <w:rPr>
          <w:rFonts w:ascii="Calibri" w:hAnsi="Calibri" w:cs="Calibri"/>
          <w:bCs/>
          <w:szCs w:val="24"/>
        </w:rPr>
        <w:t xml:space="preserve">, tenuto conto anche delle dinamiche </w:t>
      </w:r>
      <w:proofErr w:type="spellStart"/>
      <w:r w:rsidR="00E5214A">
        <w:rPr>
          <w:rFonts w:ascii="Calibri" w:hAnsi="Calibri" w:cs="Calibri"/>
          <w:bCs/>
          <w:szCs w:val="24"/>
        </w:rPr>
        <w:t>disinflattive</w:t>
      </w:r>
      <w:proofErr w:type="spellEnd"/>
      <w:r w:rsidR="00E5214A">
        <w:rPr>
          <w:rFonts w:ascii="Calibri" w:hAnsi="Calibri" w:cs="Calibri"/>
          <w:bCs/>
          <w:szCs w:val="24"/>
        </w:rPr>
        <w:t xml:space="preserve"> in atto. Ma tra i settori peggio performanti troviamo l’industria dei metalli (-6,8%) e, ancora una volta, il settore moda (-4,0%); mentre in territorio positivo si posiziona l’industria cartaria (+5,5%), quella alimentare (+4,3%), in compagnia </w:t>
      </w:r>
      <w:r w:rsidR="007D5201">
        <w:rPr>
          <w:rFonts w:ascii="Calibri" w:hAnsi="Calibri" w:cs="Calibri"/>
          <w:bCs/>
          <w:szCs w:val="24"/>
        </w:rPr>
        <w:t xml:space="preserve">come sopra </w:t>
      </w:r>
      <w:r w:rsidR="00E5214A">
        <w:rPr>
          <w:rFonts w:ascii="Calibri" w:hAnsi="Calibri" w:cs="Calibri"/>
          <w:bCs/>
          <w:szCs w:val="24"/>
        </w:rPr>
        <w:t>con orafo, marmo, vetro-ceramica e, di un pelo sopra lo zero, l’industria degli apparecchi elettrici</w:t>
      </w:r>
      <w:r w:rsidR="007D5201">
        <w:rPr>
          <w:rFonts w:ascii="Calibri" w:hAnsi="Calibri" w:cs="Calibri"/>
          <w:bCs/>
          <w:szCs w:val="24"/>
        </w:rPr>
        <w:t xml:space="preserve"> ed elettronici.</w:t>
      </w:r>
    </w:p>
    <w:p w14:paraId="0AFF10AA" w14:textId="240B98EA" w:rsidR="0016017F" w:rsidRDefault="008371F4" w:rsidP="00B642A0">
      <w:pPr>
        <w:spacing w:before="240" w:after="120"/>
        <w:rPr>
          <w:rFonts w:ascii="Calibri" w:hAnsi="Calibri" w:cs="Calibri"/>
          <w:bCs/>
          <w:szCs w:val="24"/>
        </w:rPr>
      </w:pPr>
      <w:r>
        <w:rPr>
          <w:rFonts w:ascii="Calibri" w:hAnsi="Calibri" w:cs="Calibri"/>
          <w:bCs/>
          <w:szCs w:val="24"/>
        </w:rPr>
        <w:t xml:space="preserve">La persistente debolezza della domanda è ben sottolineata dall’andamento degli </w:t>
      </w:r>
      <w:r w:rsidRPr="0016017F">
        <w:rPr>
          <w:rFonts w:ascii="Calibri" w:hAnsi="Calibri" w:cs="Calibri"/>
          <w:b/>
          <w:szCs w:val="24"/>
        </w:rPr>
        <w:t>ordini</w:t>
      </w:r>
      <w:r>
        <w:rPr>
          <w:rFonts w:ascii="Calibri" w:hAnsi="Calibri" w:cs="Calibri"/>
          <w:bCs/>
          <w:szCs w:val="24"/>
        </w:rPr>
        <w:t xml:space="preserve">: quelli </w:t>
      </w:r>
      <w:r w:rsidRPr="0016017F">
        <w:rPr>
          <w:rFonts w:ascii="Calibri" w:hAnsi="Calibri" w:cs="Calibri"/>
          <w:bCs/>
          <w:szCs w:val="24"/>
        </w:rPr>
        <w:t>esteri</w:t>
      </w:r>
      <w:r>
        <w:rPr>
          <w:rFonts w:ascii="Calibri" w:hAnsi="Calibri" w:cs="Calibri"/>
          <w:bCs/>
          <w:szCs w:val="24"/>
        </w:rPr>
        <w:t xml:space="preserve">, dopo il rimbalzino dello scorso trimestre che pareva rischiarare gli orizzonti, tornano a conoscere una significativa flessione (-3,4% sempre su base </w:t>
      </w:r>
      <w:r w:rsidR="00B33730">
        <w:rPr>
          <w:rFonts w:ascii="Calibri" w:hAnsi="Calibri" w:cs="Calibri"/>
          <w:bCs/>
          <w:szCs w:val="24"/>
        </w:rPr>
        <w:t>tendenziale</w:t>
      </w:r>
      <w:r>
        <w:rPr>
          <w:rFonts w:ascii="Calibri" w:hAnsi="Calibri" w:cs="Calibri"/>
          <w:bCs/>
          <w:szCs w:val="24"/>
        </w:rPr>
        <w:t>), che diventa particolarmente pesante (-9,5%) con riferimento all’industria dei metalli. Ma, anche per sistema moda, legno-arredo, industria dei macchinari, mezzi di trasporto, il calo degli ordini è pari o superiore al -5%. Fra i settori che invece agganciano bene la domanda internazionale, oltre a quelli già citati, va aggiunta l’occhialeria. Si difendono, con flessioni degli ordinativi esteri inferiori alla media, l’industria delle apparecchiature elettriche ed elettroniche e la gomma-plastica.</w:t>
      </w:r>
      <w:r w:rsidR="0016017F">
        <w:rPr>
          <w:rFonts w:ascii="Calibri" w:hAnsi="Calibri" w:cs="Calibri"/>
          <w:bCs/>
          <w:szCs w:val="24"/>
        </w:rPr>
        <w:t xml:space="preserve"> </w:t>
      </w:r>
      <w:r>
        <w:rPr>
          <w:rFonts w:ascii="Calibri" w:hAnsi="Calibri" w:cs="Calibri"/>
          <w:bCs/>
          <w:szCs w:val="24"/>
        </w:rPr>
        <w:t xml:space="preserve">Per quanto riguarda gli ordini dal mercato nazionale, la flessione complessiva su base </w:t>
      </w:r>
      <w:r w:rsidR="00B33730">
        <w:rPr>
          <w:rFonts w:ascii="Calibri" w:hAnsi="Calibri" w:cs="Calibri"/>
          <w:bCs/>
          <w:szCs w:val="24"/>
        </w:rPr>
        <w:t>tendenziale</w:t>
      </w:r>
      <w:r>
        <w:rPr>
          <w:rFonts w:ascii="Calibri" w:hAnsi="Calibri" w:cs="Calibri"/>
          <w:bCs/>
          <w:szCs w:val="24"/>
        </w:rPr>
        <w:t xml:space="preserve"> è del -1,1%</w:t>
      </w:r>
      <w:r w:rsidR="0016017F">
        <w:rPr>
          <w:rFonts w:ascii="Calibri" w:hAnsi="Calibri" w:cs="Calibri"/>
          <w:bCs/>
          <w:szCs w:val="24"/>
        </w:rPr>
        <w:t>, con le consuete polarizzazioni tra settori già viste per gli altri indicatori.</w:t>
      </w:r>
    </w:p>
    <w:p w14:paraId="6179CB7A" w14:textId="77777777" w:rsidR="00D27026" w:rsidRDefault="0016017F" w:rsidP="00B642A0">
      <w:pPr>
        <w:spacing w:before="240" w:after="120"/>
        <w:rPr>
          <w:rFonts w:ascii="Calibri" w:hAnsi="Calibri" w:cs="Calibri"/>
          <w:bCs/>
          <w:szCs w:val="24"/>
        </w:rPr>
      </w:pPr>
      <w:r>
        <w:rPr>
          <w:rFonts w:ascii="Calibri" w:hAnsi="Calibri" w:cs="Calibri"/>
          <w:bCs/>
          <w:szCs w:val="24"/>
        </w:rPr>
        <w:t xml:space="preserve">Come il grado di utilizzo degli impianti, anche il </w:t>
      </w:r>
      <w:r w:rsidRPr="0016017F">
        <w:rPr>
          <w:rFonts w:ascii="Calibri" w:hAnsi="Calibri" w:cs="Calibri"/>
          <w:b/>
          <w:szCs w:val="24"/>
        </w:rPr>
        <w:t>portafoglio ordini</w:t>
      </w:r>
      <w:r>
        <w:rPr>
          <w:rFonts w:ascii="Calibri" w:hAnsi="Calibri" w:cs="Calibri"/>
          <w:bCs/>
          <w:szCs w:val="24"/>
        </w:rPr>
        <w:t xml:space="preserve"> scivola al ribasso, posizionandosi attorno alle 51 giornate di produzione assicurate. Si viaggiava attorno alle 56 giornate di produzione assicurate nel 2023, pressoché in linea con il dato </w:t>
      </w:r>
      <w:proofErr w:type="spellStart"/>
      <w:r>
        <w:rPr>
          <w:rFonts w:ascii="Calibri" w:hAnsi="Calibri" w:cs="Calibri"/>
          <w:bCs/>
          <w:szCs w:val="24"/>
        </w:rPr>
        <w:t>pre</w:t>
      </w:r>
      <w:proofErr w:type="spellEnd"/>
      <w:r>
        <w:rPr>
          <w:rFonts w:ascii="Calibri" w:hAnsi="Calibri" w:cs="Calibri"/>
          <w:bCs/>
          <w:szCs w:val="24"/>
        </w:rPr>
        <w:t xml:space="preserve">-Covid. Ora </w:t>
      </w:r>
      <w:r w:rsidR="00D414BB">
        <w:rPr>
          <w:rFonts w:ascii="Calibri" w:hAnsi="Calibri" w:cs="Calibri"/>
          <w:bCs/>
          <w:szCs w:val="24"/>
        </w:rPr>
        <w:t xml:space="preserve">però la proiezione del portafoglio ordini su 51 </w:t>
      </w:r>
      <w:r>
        <w:rPr>
          <w:rFonts w:ascii="Calibri" w:hAnsi="Calibri" w:cs="Calibri"/>
          <w:bCs/>
          <w:szCs w:val="24"/>
        </w:rPr>
        <w:t xml:space="preserve">giornate </w:t>
      </w:r>
      <w:r w:rsidR="00D414BB">
        <w:rPr>
          <w:rFonts w:ascii="Calibri" w:hAnsi="Calibri" w:cs="Calibri"/>
          <w:bCs/>
          <w:szCs w:val="24"/>
        </w:rPr>
        <w:t xml:space="preserve">incomincia a palesare un certo “fiato corto” della domanda. Va detto che, </w:t>
      </w:r>
      <w:r w:rsidR="009D56DC">
        <w:rPr>
          <w:rFonts w:ascii="Calibri" w:hAnsi="Calibri" w:cs="Calibri"/>
          <w:bCs/>
          <w:szCs w:val="24"/>
        </w:rPr>
        <w:t xml:space="preserve">al netto di situazioni palesemente di crisi, </w:t>
      </w:r>
      <w:r w:rsidR="00D414BB">
        <w:rPr>
          <w:rFonts w:ascii="Calibri" w:hAnsi="Calibri" w:cs="Calibri"/>
          <w:bCs/>
          <w:szCs w:val="24"/>
        </w:rPr>
        <w:t>questo rallentamento generalizzato della domanda impatta in modo meno che proporzionale sui funzionamenti aziendali, stante il fatto che</w:t>
      </w:r>
      <w:r w:rsidR="009D56DC">
        <w:rPr>
          <w:rFonts w:ascii="Calibri" w:hAnsi="Calibri" w:cs="Calibri"/>
          <w:bCs/>
          <w:szCs w:val="24"/>
        </w:rPr>
        <w:t xml:space="preserve">, come confermato interloquendo con alcuni imprenditori, </w:t>
      </w:r>
      <w:r w:rsidR="00D414BB">
        <w:rPr>
          <w:rFonts w:ascii="Calibri" w:hAnsi="Calibri" w:cs="Calibri"/>
          <w:bCs/>
          <w:szCs w:val="24"/>
        </w:rPr>
        <w:t>un certo potenziale di crescita era comunque plafonato da fattori strutturali, come la difficoltà a reperire manodopera. Questo aspetto</w:t>
      </w:r>
      <w:r w:rsidR="009D56DC">
        <w:rPr>
          <w:rFonts w:ascii="Calibri" w:hAnsi="Calibri" w:cs="Calibri"/>
          <w:bCs/>
          <w:szCs w:val="24"/>
        </w:rPr>
        <w:t>, che sembra paradossale,</w:t>
      </w:r>
      <w:r w:rsidR="00D27026">
        <w:rPr>
          <w:rFonts w:ascii="Calibri" w:hAnsi="Calibri" w:cs="Calibri"/>
          <w:bCs/>
          <w:szCs w:val="24"/>
        </w:rPr>
        <w:t xml:space="preserve"> concorre a </w:t>
      </w:r>
      <w:r w:rsidR="00D414BB">
        <w:rPr>
          <w:rFonts w:ascii="Calibri" w:hAnsi="Calibri" w:cs="Calibri"/>
          <w:bCs/>
          <w:szCs w:val="24"/>
        </w:rPr>
        <w:t>spiega</w:t>
      </w:r>
      <w:r w:rsidR="00D27026">
        <w:rPr>
          <w:rFonts w:ascii="Calibri" w:hAnsi="Calibri" w:cs="Calibri"/>
          <w:bCs/>
          <w:szCs w:val="24"/>
        </w:rPr>
        <w:t>re, insieme ad altri fattori,</w:t>
      </w:r>
      <w:r w:rsidR="009D56DC">
        <w:rPr>
          <w:rFonts w:ascii="Calibri" w:hAnsi="Calibri" w:cs="Calibri"/>
          <w:bCs/>
          <w:szCs w:val="24"/>
        </w:rPr>
        <w:t xml:space="preserve"> </w:t>
      </w:r>
      <w:r w:rsidR="00D414BB">
        <w:rPr>
          <w:rFonts w:ascii="Calibri" w:hAnsi="Calibri" w:cs="Calibri"/>
          <w:bCs/>
          <w:szCs w:val="24"/>
        </w:rPr>
        <w:t>perché</w:t>
      </w:r>
      <w:r w:rsidR="000609CB">
        <w:rPr>
          <w:rFonts w:ascii="Calibri" w:hAnsi="Calibri" w:cs="Calibri"/>
          <w:bCs/>
          <w:szCs w:val="24"/>
        </w:rPr>
        <w:t>, almeno</w:t>
      </w:r>
      <w:r w:rsidR="00D414BB">
        <w:rPr>
          <w:rFonts w:ascii="Calibri" w:hAnsi="Calibri" w:cs="Calibri"/>
          <w:bCs/>
          <w:szCs w:val="24"/>
        </w:rPr>
        <w:t xml:space="preserve"> finora</w:t>
      </w:r>
      <w:r w:rsidR="000609CB">
        <w:rPr>
          <w:rFonts w:ascii="Calibri" w:hAnsi="Calibri" w:cs="Calibri"/>
          <w:bCs/>
          <w:szCs w:val="24"/>
        </w:rPr>
        <w:t>,</w:t>
      </w:r>
      <w:r w:rsidR="009D56DC">
        <w:rPr>
          <w:rFonts w:ascii="Calibri" w:hAnsi="Calibri" w:cs="Calibri"/>
          <w:bCs/>
          <w:szCs w:val="24"/>
        </w:rPr>
        <w:t xml:space="preserve"> il mercato del lavoro </w:t>
      </w:r>
      <w:r w:rsidR="00F8438F">
        <w:rPr>
          <w:rFonts w:ascii="Calibri" w:hAnsi="Calibri" w:cs="Calibri"/>
          <w:bCs/>
          <w:szCs w:val="24"/>
        </w:rPr>
        <w:t xml:space="preserve">riferito al manifatturiero </w:t>
      </w:r>
      <w:r w:rsidR="009D56DC">
        <w:rPr>
          <w:rFonts w:ascii="Calibri" w:hAnsi="Calibri" w:cs="Calibri"/>
          <w:bCs/>
          <w:szCs w:val="24"/>
        </w:rPr>
        <w:t>stia tenendo</w:t>
      </w:r>
      <w:r w:rsidR="00D414BB">
        <w:rPr>
          <w:rFonts w:ascii="Calibri" w:hAnsi="Calibri" w:cs="Calibri"/>
          <w:bCs/>
          <w:szCs w:val="24"/>
        </w:rPr>
        <w:t xml:space="preserve">, </w:t>
      </w:r>
      <w:r w:rsidR="00B45D39">
        <w:rPr>
          <w:rFonts w:ascii="Calibri" w:hAnsi="Calibri" w:cs="Calibri"/>
          <w:bCs/>
          <w:szCs w:val="24"/>
        </w:rPr>
        <w:t xml:space="preserve">o </w:t>
      </w:r>
      <w:r w:rsidR="00F8438F">
        <w:rPr>
          <w:rFonts w:ascii="Calibri" w:hAnsi="Calibri" w:cs="Calibri"/>
          <w:bCs/>
          <w:szCs w:val="24"/>
        </w:rPr>
        <w:t xml:space="preserve">meglio </w:t>
      </w:r>
      <w:r w:rsidR="00B45D39">
        <w:rPr>
          <w:rFonts w:ascii="Calibri" w:hAnsi="Calibri" w:cs="Calibri"/>
          <w:bCs/>
          <w:szCs w:val="24"/>
        </w:rPr>
        <w:t>stia</w:t>
      </w:r>
      <w:r w:rsidR="00F8438F">
        <w:rPr>
          <w:rFonts w:ascii="Calibri" w:hAnsi="Calibri" w:cs="Calibri"/>
          <w:bCs/>
          <w:szCs w:val="24"/>
        </w:rPr>
        <w:t xml:space="preserve"> certamente</w:t>
      </w:r>
      <w:r w:rsidR="00B45D39">
        <w:rPr>
          <w:rFonts w:ascii="Calibri" w:hAnsi="Calibri" w:cs="Calibri"/>
          <w:bCs/>
          <w:szCs w:val="24"/>
        </w:rPr>
        <w:t xml:space="preserve"> rallentando nelle dinamiche aggregate </w:t>
      </w:r>
      <w:r w:rsidR="003F11A7">
        <w:rPr>
          <w:rFonts w:ascii="Calibri" w:hAnsi="Calibri" w:cs="Calibri"/>
          <w:bCs/>
          <w:szCs w:val="24"/>
        </w:rPr>
        <w:t xml:space="preserve">ma </w:t>
      </w:r>
      <w:r w:rsidR="00B45D39">
        <w:rPr>
          <w:rFonts w:ascii="Calibri" w:hAnsi="Calibri" w:cs="Calibri"/>
          <w:bCs/>
          <w:szCs w:val="24"/>
        </w:rPr>
        <w:t xml:space="preserve">non </w:t>
      </w:r>
      <w:r w:rsidR="003F11A7">
        <w:rPr>
          <w:rFonts w:ascii="Calibri" w:hAnsi="Calibri" w:cs="Calibri"/>
          <w:bCs/>
          <w:szCs w:val="24"/>
        </w:rPr>
        <w:t xml:space="preserve">nella misura che potrebbe far supporre </w:t>
      </w:r>
      <w:r w:rsidR="009D56DC">
        <w:rPr>
          <w:rFonts w:ascii="Calibri" w:hAnsi="Calibri" w:cs="Calibri"/>
          <w:bCs/>
          <w:szCs w:val="24"/>
        </w:rPr>
        <w:t>la congiuntura sfavorevole</w:t>
      </w:r>
      <w:r w:rsidR="00151CD6">
        <w:rPr>
          <w:rFonts w:ascii="Calibri" w:hAnsi="Calibri" w:cs="Calibri"/>
          <w:bCs/>
          <w:szCs w:val="24"/>
        </w:rPr>
        <w:t xml:space="preserve">. </w:t>
      </w:r>
    </w:p>
    <w:p w14:paraId="69862D21" w14:textId="7B602524" w:rsidR="00151CD6" w:rsidRDefault="0000141B" w:rsidP="00B642A0">
      <w:pPr>
        <w:spacing w:before="240" w:after="120"/>
        <w:rPr>
          <w:rFonts w:ascii="Calibri" w:hAnsi="Calibri" w:cs="Calibri"/>
          <w:bCs/>
          <w:szCs w:val="24"/>
        </w:rPr>
      </w:pPr>
      <w:r>
        <w:rPr>
          <w:rFonts w:ascii="Calibri" w:hAnsi="Calibri" w:cs="Calibri"/>
          <w:bCs/>
          <w:szCs w:val="24"/>
        </w:rPr>
        <w:t xml:space="preserve">Certo, </w:t>
      </w:r>
      <w:r w:rsidR="00D27026">
        <w:rPr>
          <w:rFonts w:ascii="Calibri" w:hAnsi="Calibri" w:cs="Calibri"/>
          <w:bCs/>
          <w:szCs w:val="24"/>
        </w:rPr>
        <w:t xml:space="preserve">una prima funzione di tenuta dell’occupazione viene garantita dalla Cassa Integrazione Guadagni, da guardare nel suo effettivo tiraggio più che nei </w:t>
      </w:r>
      <w:r w:rsidR="003F11A7">
        <w:rPr>
          <w:rFonts w:ascii="Calibri" w:hAnsi="Calibri" w:cs="Calibri"/>
          <w:bCs/>
          <w:szCs w:val="24"/>
        </w:rPr>
        <w:t>picchi di richieste</w:t>
      </w:r>
      <w:r w:rsidR="00D27026">
        <w:rPr>
          <w:rFonts w:ascii="Calibri" w:hAnsi="Calibri" w:cs="Calibri"/>
          <w:bCs/>
          <w:szCs w:val="24"/>
        </w:rPr>
        <w:t xml:space="preserve">, </w:t>
      </w:r>
      <w:r w:rsidR="00C26E71">
        <w:rPr>
          <w:rFonts w:ascii="Calibri" w:hAnsi="Calibri" w:cs="Calibri"/>
          <w:bCs/>
          <w:szCs w:val="24"/>
        </w:rPr>
        <w:t xml:space="preserve">che sono </w:t>
      </w:r>
      <w:r w:rsidR="00D27026">
        <w:rPr>
          <w:rFonts w:ascii="Calibri" w:hAnsi="Calibri" w:cs="Calibri"/>
          <w:bCs/>
          <w:szCs w:val="24"/>
        </w:rPr>
        <w:t>dettati dai consueti comportamenti cautelativi delle im</w:t>
      </w:r>
      <w:r w:rsidR="003F11A7">
        <w:rPr>
          <w:rFonts w:ascii="Calibri" w:hAnsi="Calibri" w:cs="Calibri"/>
          <w:bCs/>
          <w:szCs w:val="24"/>
        </w:rPr>
        <w:t xml:space="preserve">prese, </w:t>
      </w:r>
      <w:r w:rsidR="009D56DC">
        <w:rPr>
          <w:rFonts w:ascii="Calibri" w:hAnsi="Calibri" w:cs="Calibri"/>
          <w:bCs/>
          <w:szCs w:val="24"/>
        </w:rPr>
        <w:t>quando le acque dei mercati incominciano a farsi agitate.</w:t>
      </w:r>
      <w:r w:rsidR="003F11A7">
        <w:rPr>
          <w:rFonts w:ascii="Calibri" w:hAnsi="Calibri" w:cs="Calibri"/>
          <w:bCs/>
          <w:szCs w:val="24"/>
        </w:rPr>
        <w:t xml:space="preserve"> </w:t>
      </w:r>
      <w:r w:rsidR="00D27026">
        <w:rPr>
          <w:rFonts w:ascii="Calibri" w:hAnsi="Calibri" w:cs="Calibri"/>
          <w:bCs/>
          <w:szCs w:val="24"/>
        </w:rPr>
        <w:t>Ma non va sottovalutata neppure la funzione “cuscinetto” che può svolgere la strutturale mancanza di manodopera, anche in tem</w:t>
      </w:r>
      <w:r w:rsidR="00C26E71">
        <w:rPr>
          <w:rFonts w:ascii="Calibri" w:hAnsi="Calibri" w:cs="Calibri"/>
          <w:bCs/>
          <w:szCs w:val="24"/>
        </w:rPr>
        <w:t>p</w:t>
      </w:r>
      <w:r w:rsidR="00D27026">
        <w:rPr>
          <w:rFonts w:ascii="Calibri" w:hAnsi="Calibri" w:cs="Calibri"/>
          <w:bCs/>
          <w:szCs w:val="24"/>
        </w:rPr>
        <w:t xml:space="preserve">i di congiuntura sfavorevole: </w:t>
      </w:r>
      <w:r>
        <w:rPr>
          <w:rFonts w:ascii="Calibri" w:hAnsi="Calibri" w:cs="Calibri"/>
          <w:bCs/>
          <w:szCs w:val="24"/>
        </w:rPr>
        <w:t xml:space="preserve">un lavoratore, prima di </w:t>
      </w:r>
      <w:r w:rsidR="00D27026">
        <w:rPr>
          <w:rFonts w:ascii="Calibri" w:hAnsi="Calibri" w:cs="Calibri"/>
          <w:bCs/>
          <w:szCs w:val="24"/>
        </w:rPr>
        <w:t>parcheggiarsi nell’ammortizzatore sociale, ha tutto l’interesse e i margini, in quanto risorsa scarsa, per riposizionarsi in settori meno in sofferenza</w:t>
      </w:r>
      <w:r>
        <w:rPr>
          <w:rFonts w:ascii="Calibri" w:hAnsi="Calibri" w:cs="Calibri"/>
          <w:bCs/>
          <w:szCs w:val="24"/>
        </w:rPr>
        <w:t xml:space="preserve">. </w:t>
      </w:r>
      <w:r w:rsidR="003F11A7">
        <w:rPr>
          <w:rFonts w:ascii="Calibri" w:hAnsi="Calibri" w:cs="Calibri"/>
          <w:bCs/>
          <w:szCs w:val="24"/>
        </w:rPr>
        <w:t xml:space="preserve">Sono </w:t>
      </w:r>
      <w:r w:rsidR="00A811E5">
        <w:rPr>
          <w:rFonts w:ascii="Calibri" w:hAnsi="Calibri" w:cs="Calibri"/>
          <w:bCs/>
          <w:szCs w:val="24"/>
        </w:rPr>
        <w:t xml:space="preserve">interessanti </w:t>
      </w:r>
      <w:r w:rsidR="003F11A7">
        <w:rPr>
          <w:rFonts w:ascii="Calibri" w:hAnsi="Calibri" w:cs="Calibri"/>
          <w:bCs/>
          <w:szCs w:val="24"/>
        </w:rPr>
        <w:t xml:space="preserve">al riguardo i dati di Veneto Lavoro riferiti ai primi nove mesi del 2024: </w:t>
      </w:r>
      <w:r w:rsidR="00F8438F">
        <w:rPr>
          <w:rFonts w:ascii="Calibri" w:hAnsi="Calibri" w:cs="Calibri"/>
          <w:bCs/>
          <w:szCs w:val="24"/>
        </w:rPr>
        <w:t xml:space="preserve">il saldo occupazionale (assunzioni-cessazioni) nel manifatturiero resta ancora positivo (+3.500 posizioni di lavoro dipendente), benché certo più che dimezzato rispetto allo stesso periodo dello scorso anno, quando il saldo era di +7.800 posizioni di lavoro dipendente. </w:t>
      </w:r>
      <w:r w:rsidR="00151CD6">
        <w:rPr>
          <w:rFonts w:ascii="Calibri" w:hAnsi="Calibri" w:cs="Calibri"/>
          <w:bCs/>
          <w:szCs w:val="24"/>
        </w:rPr>
        <w:t xml:space="preserve">Solo nei settori del sistema moda </w:t>
      </w:r>
      <w:r w:rsidR="00A811E5">
        <w:rPr>
          <w:rFonts w:ascii="Calibri" w:hAnsi="Calibri" w:cs="Calibri"/>
          <w:bCs/>
          <w:szCs w:val="24"/>
        </w:rPr>
        <w:t xml:space="preserve">e </w:t>
      </w:r>
      <w:proofErr w:type="spellStart"/>
      <w:r w:rsidR="00A811E5">
        <w:rPr>
          <w:rFonts w:ascii="Calibri" w:hAnsi="Calibri" w:cs="Calibri"/>
          <w:bCs/>
          <w:szCs w:val="24"/>
        </w:rPr>
        <w:t>dell’automotive</w:t>
      </w:r>
      <w:proofErr w:type="spellEnd"/>
      <w:r w:rsidR="00A811E5">
        <w:rPr>
          <w:rFonts w:ascii="Calibri" w:hAnsi="Calibri" w:cs="Calibri"/>
          <w:bCs/>
          <w:szCs w:val="24"/>
        </w:rPr>
        <w:t xml:space="preserve"> </w:t>
      </w:r>
      <w:r w:rsidR="00151CD6">
        <w:rPr>
          <w:rFonts w:ascii="Calibri" w:hAnsi="Calibri" w:cs="Calibri"/>
          <w:bCs/>
          <w:szCs w:val="24"/>
        </w:rPr>
        <w:t>compaiono saldi negativi, mentre negli altri settori, compres</w:t>
      </w:r>
      <w:r w:rsidR="00A811E5">
        <w:rPr>
          <w:rFonts w:ascii="Calibri" w:hAnsi="Calibri" w:cs="Calibri"/>
          <w:bCs/>
          <w:szCs w:val="24"/>
        </w:rPr>
        <w:t>o il resto della</w:t>
      </w:r>
      <w:r w:rsidR="00151CD6">
        <w:rPr>
          <w:rFonts w:ascii="Calibri" w:hAnsi="Calibri" w:cs="Calibri"/>
          <w:bCs/>
          <w:szCs w:val="24"/>
        </w:rPr>
        <w:t xml:space="preserve"> metalmeccanica, i saldi restano in </w:t>
      </w:r>
      <w:r w:rsidR="00151CD6">
        <w:rPr>
          <w:rFonts w:ascii="Calibri" w:hAnsi="Calibri" w:cs="Calibri"/>
          <w:bCs/>
          <w:szCs w:val="24"/>
        </w:rPr>
        <w:lastRenderedPageBreak/>
        <w:t>territorio positivo</w:t>
      </w:r>
      <w:r w:rsidR="00A811E5">
        <w:rPr>
          <w:rFonts w:ascii="Calibri" w:hAnsi="Calibri" w:cs="Calibri"/>
          <w:bCs/>
          <w:szCs w:val="24"/>
        </w:rPr>
        <w:t>, pur assottigliandosi</w:t>
      </w:r>
      <w:r w:rsidR="00151CD6">
        <w:rPr>
          <w:rFonts w:ascii="Calibri" w:hAnsi="Calibri" w:cs="Calibri"/>
          <w:bCs/>
          <w:szCs w:val="24"/>
        </w:rPr>
        <w:t>.</w:t>
      </w:r>
      <w:r w:rsidR="00C26E71">
        <w:rPr>
          <w:rFonts w:ascii="Calibri" w:hAnsi="Calibri" w:cs="Calibri"/>
          <w:bCs/>
          <w:szCs w:val="24"/>
        </w:rPr>
        <w:t xml:space="preserve"> </w:t>
      </w:r>
      <w:r w:rsidR="00A811E5">
        <w:rPr>
          <w:rFonts w:ascii="Calibri" w:hAnsi="Calibri" w:cs="Calibri"/>
          <w:bCs/>
          <w:szCs w:val="24"/>
        </w:rPr>
        <w:t xml:space="preserve">Un tendenza </w:t>
      </w:r>
      <w:r w:rsidR="00C26E71">
        <w:rPr>
          <w:rFonts w:ascii="Calibri" w:hAnsi="Calibri" w:cs="Calibri"/>
          <w:bCs/>
          <w:szCs w:val="24"/>
        </w:rPr>
        <w:t>che sembra trovare conferma anche guardando i dati riferiti al mese di ottobre.</w:t>
      </w:r>
    </w:p>
    <w:p w14:paraId="4C457830" w14:textId="07F6AA37" w:rsidR="00FA4B0B" w:rsidRDefault="00151CD6" w:rsidP="00B642A0">
      <w:pPr>
        <w:spacing w:before="240" w:after="120"/>
        <w:rPr>
          <w:rFonts w:ascii="Calibri" w:hAnsi="Calibri" w:cs="Calibri"/>
          <w:bCs/>
          <w:szCs w:val="24"/>
        </w:rPr>
      </w:pPr>
      <w:r>
        <w:rPr>
          <w:rFonts w:ascii="Calibri" w:hAnsi="Calibri" w:cs="Calibri"/>
          <w:bCs/>
          <w:szCs w:val="24"/>
        </w:rPr>
        <w:t>Naturalmente, t</w:t>
      </w:r>
      <w:r w:rsidR="009D56DC">
        <w:rPr>
          <w:rFonts w:ascii="Calibri" w:hAnsi="Calibri" w:cs="Calibri"/>
          <w:bCs/>
          <w:szCs w:val="24"/>
        </w:rPr>
        <w:t>utto si gioca su sottili equilibri</w:t>
      </w:r>
      <w:r w:rsidR="00C26E71">
        <w:rPr>
          <w:rFonts w:ascii="Calibri" w:hAnsi="Calibri" w:cs="Calibri"/>
          <w:bCs/>
          <w:szCs w:val="24"/>
        </w:rPr>
        <w:t xml:space="preserve"> e sul fattore tempo. Alcune conclamate crisi aziendali sono già in atto in Veneto, ed occorre capire se resteranno circoscritte o ci sia il rischio di un effetto-domino. In tal senso, preoccupano le </w:t>
      </w:r>
      <w:r w:rsidR="00DD08E0">
        <w:rPr>
          <w:rFonts w:ascii="Calibri" w:hAnsi="Calibri" w:cs="Calibri"/>
          <w:bCs/>
          <w:szCs w:val="24"/>
        </w:rPr>
        <w:t xml:space="preserve">pesanti </w:t>
      </w:r>
      <w:r w:rsidR="005A66D7">
        <w:rPr>
          <w:rFonts w:ascii="Calibri" w:hAnsi="Calibri" w:cs="Calibri"/>
          <w:bCs/>
          <w:szCs w:val="24"/>
        </w:rPr>
        <w:t xml:space="preserve">flessioni </w:t>
      </w:r>
      <w:proofErr w:type="spellStart"/>
      <w:r w:rsidR="005A66D7">
        <w:rPr>
          <w:rFonts w:ascii="Calibri" w:hAnsi="Calibri" w:cs="Calibri"/>
          <w:bCs/>
          <w:szCs w:val="24"/>
        </w:rPr>
        <w:t>del</w:t>
      </w:r>
      <w:r w:rsidR="00DD08E0">
        <w:rPr>
          <w:rFonts w:ascii="Calibri" w:hAnsi="Calibri" w:cs="Calibri"/>
          <w:bCs/>
          <w:szCs w:val="24"/>
        </w:rPr>
        <w:t>l’</w:t>
      </w:r>
      <w:r w:rsidR="005A66D7" w:rsidRPr="00DD08E0">
        <w:rPr>
          <w:rFonts w:ascii="Calibri" w:hAnsi="Calibri" w:cs="Calibri"/>
          <w:bCs/>
          <w:i/>
          <w:iCs/>
          <w:szCs w:val="24"/>
        </w:rPr>
        <w:t>automotive</w:t>
      </w:r>
      <w:proofErr w:type="spellEnd"/>
      <w:r w:rsidR="00C26E71">
        <w:rPr>
          <w:rFonts w:ascii="Calibri" w:hAnsi="Calibri" w:cs="Calibri"/>
          <w:bCs/>
          <w:szCs w:val="24"/>
        </w:rPr>
        <w:t xml:space="preserve">, perché possono </w:t>
      </w:r>
      <w:r w:rsidR="008506E8">
        <w:rPr>
          <w:rFonts w:ascii="Calibri" w:hAnsi="Calibri" w:cs="Calibri"/>
          <w:bCs/>
          <w:szCs w:val="24"/>
        </w:rPr>
        <w:t xml:space="preserve">determinare </w:t>
      </w:r>
      <w:r w:rsidR="00C26E71">
        <w:rPr>
          <w:rFonts w:ascii="Calibri" w:hAnsi="Calibri" w:cs="Calibri"/>
          <w:bCs/>
          <w:szCs w:val="24"/>
        </w:rPr>
        <w:t xml:space="preserve">impatti </w:t>
      </w:r>
      <w:r w:rsidR="008506E8">
        <w:rPr>
          <w:rFonts w:ascii="Calibri" w:hAnsi="Calibri" w:cs="Calibri"/>
          <w:bCs/>
          <w:szCs w:val="24"/>
        </w:rPr>
        <w:t xml:space="preserve">trasversali a più settori. Come già si diceva, la filiera veneta legata </w:t>
      </w:r>
      <w:proofErr w:type="spellStart"/>
      <w:r w:rsidR="008506E8">
        <w:rPr>
          <w:rFonts w:ascii="Calibri" w:hAnsi="Calibri" w:cs="Calibri"/>
          <w:bCs/>
          <w:szCs w:val="24"/>
        </w:rPr>
        <w:t>all’</w:t>
      </w:r>
      <w:r w:rsidR="008506E8" w:rsidRPr="00992896">
        <w:rPr>
          <w:rFonts w:ascii="Calibri" w:hAnsi="Calibri" w:cs="Calibri"/>
          <w:bCs/>
          <w:i/>
          <w:iCs/>
          <w:szCs w:val="24"/>
        </w:rPr>
        <w:t>automotive</w:t>
      </w:r>
      <w:proofErr w:type="spellEnd"/>
      <w:r w:rsidR="008506E8">
        <w:rPr>
          <w:rFonts w:ascii="Calibri" w:hAnsi="Calibri" w:cs="Calibri"/>
          <w:bCs/>
          <w:szCs w:val="24"/>
        </w:rPr>
        <w:t xml:space="preserve"> si articola in un “core” di attività esplicitamente associata alla fabbricazione di </w:t>
      </w:r>
      <w:r w:rsidR="00992896">
        <w:rPr>
          <w:rFonts w:ascii="Calibri" w:hAnsi="Calibri" w:cs="Calibri"/>
          <w:bCs/>
          <w:szCs w:val="24"/>
        </w:rPr>
        <w:t xml:space="preserve">parti ed accessori di autoveicoli, che </w:t>
      </w:r>
      <w:r w:rsidR="008506E8">
        <w:rPr>
          <w:rFonts w:ascii="Calibri" w:hAnsi="Calibri" w:cs="Calibri"/>
          <w:bCs/>
          <w:szCs w:val="24"/>
        </w:rPr>
        <w:t>coinvolge circa 7.000 addetti (1.800 a Treviso</w:t>
      </w:r>
      <w:r w:rsidR="00992896">
        <w:rPr>
          <w:rFonts w:ascii="Calibri" w:hAnsi="Calibri" w:cs="Calibri"/>
          <w:bCs/>
          <w:szCs w:val="24"/>
        </w:rPr>
        <w:t>, molto pochi a Belluno</w:t>
      </w:r>
      <w:r w:rsidR="008506E8">
        <w:rPr>
          <w:rFonts w:ascii="Calibri" w:hAnsi="Calibri" w:cs="Calibri"/>
          <w:bCs/>
          <w:szCs w:val="24"/>
        </w:rPr>
        <w:t>)</w:t>
      </w:r>
      <w:r w:rsidR="00992896">
        <w:rPr>
          <w:rFonts w:ascii="Calibri" w:hAnsi="Calibri" w:cs="Calibri"/>
          <w:bCs/>
          <w:szCs w:val="24"/>
        </w:rPr>
        <w:t xml:space="preserve">. Ma a questi addetti bisogna aggiungere (e non è facile la stima) quelli delle tante imprese </w:t>
      </w:r>
      <w:r w:rsidR="00FA4B0B">
        <w:rPr>
          <w:rFonts w:ascii="Calibri" w:hAnsi="Calibri" w:cs="Calibri"/>
          <w:bCs/>
          <w:szCs w:val="24"/>
        </w:rPr>
        <w:t>venete della plastica</w:t>
      </w:r>
      <w:r w:rsidR="00992896">
        <w:rPr>
          <w:rFonts w:ascii="Calibri" w:hAnsi="Calibri" w:cs="Calibri"/>
          <w:bCs/>
          <w:szCs w:val="24"/>
        </w:rPr>
        <w:t>,</w:t>
      </w:r>
      <w:r w:rsidR="00FA4B0B">
        <w:rPr>
          <w:rFonts w:ascii="Calibri" w:hAnsi="Calibri" w:cs="Calibri"/>
          <w:bCs/>
          <w:szCs w:val="24"/>
        </w:rPr>
        <w:t xml:space="preserve"> dei metalli</w:t>
      </w:r>
      <w:r w:rsidR="00992896">
        <w:rPr>
          <w:rFonts w:ascii="Calibri" w:hAnsi="Calibri" w:cs="Calibri"/>
          <w:bCs/>
          <w:szCs w:val="24"/>
        </w:rPr>
        <w:t>, della componentistica elettrica ed elettronica</w:t>
      </w:r>
      <w:r w:rsidR="00FA4B0B">
        <w:rPr>
          <w:rFonts w:ascii="Calibri" w:hAnsi="Calibri" w:cs="Calibri"/>
          <w:bCs/>
          <w:szCs w:val="24"/>
        </w:rPr>
        <w:t xml:space="preserve"> che lavorano nell’indotto automotive, magari in modo non esclusivo</w:t>
      </w:r>
      <w:r w:rsidR="00992896">
        <w:rPr>
          <w:rFonts w:ascii="Calibri" w:hAnsi="Calibri" w:cs="Calibri"/>
          <w:bCs/>
          <w:szCs w:val="24"/>
        </w:rPr>
        <w:t>, con un codice Ateco che non mappa il settore “mezzi di trasporto” ma il processo industriale di pertinenza</w:t>
      </w:r>
      <w:r w:rsidR="00FA4B0B">
        <w:rPr>
          <w:rFonts w:ascii="Calibri" w:hAnsi="Calibri" w:cs="Calibri"/>
          <w:bCs/>
          <w:szCs w:val="24"/>
        </w:rPr>
        <w:t>.</w:t>
      </w:r>
      <w:r w:rsidR="00B45D39">
        <w:rPr>
          <w:rFonts w:ascii="Calibri" w:hAnsi="Calibri" w:cs="Calibri"/>
          <w:bCs/>
          <w:szCs w:val="24"/>
        </w:rPr>
        <w:t xml:space="preserve"> </w:t>
      </w:r>
    </w:p>
    <w:p w14:paraId="3725609C" w14:textId="342B3B31" w:rsidR="00D865E7" w:rsidRDefault="00992896" w:rsidP="00B642A0">
      <w:pPr>
        <w:spacing w:before="240" w:after="120"/>
        <w:rPr>
          <w:rFonts w:ascii="Calibri" w:hAnsi="Calibri" w:cs="Calibri"/>
          <w:bCs/>
          <w:szCs w:val="24"/>
        </w:rPr>
      </w:pPr>
      <w:r>
        <w:rPr>
          <w:rFonts w:ascii="Calibri" w:hAnsi="Calibri" w:cs="Calibri"/>
          <w:bCs/>
          <w:szCs w:val="24"/>
        </w:rPr>
        <w:t>A</w:t>
      </w:r>
      <w:r w:rsidR="00E0278C">
        <w:rPr>
          <w:rFonts w:ascii="Calibri" w:hAnsi="Calibri" w:cs="Calibri"/>
          <w:bCs/>
          <w:szCs w:val="24"/>
        </w:rPr>
        <w:t xml:space="preserve">l mondo </w:t>
      </w:r>
      <w:r w:rsidR="00E0278C" w:rsidRPr="00B533A5">
        <w:rPr>
          <w:rFonts w:ascii="Calibri" w:hAnsi="Calibri" w:cs="Calibri"/>
          <w:bCs/>
          <w:i/>
          <w:iCs/>
          <w:szCs w:val="24"/>
        </w:rPr>
        <w:t>au</w:t>
      </w:r>
      <w:r w:rsidR="00FA4B0B" w:rsidRPr="00B533A5">
        <w:rPr>
          <w:rFonts w:ascii="Calibri" w:hAnsi="Calibri" w:cs="Calibri"/>
          <w:bCs/>
          <w:i/>
          <w:iCs/>
          <w:szCs w:val="24"/>
        </w:rPr>
        <w:t>tomotive</w:t>
      </w:r>
      <w:r w:rsidR="00E0278C">
        <w:rPr>
          <w:rFonts w:ascii="Calibri" w:hAnsi="Calibri" w:cs="Calibri"/>
          <w:bCs/>
          <w:szCs w:val="24"/>
        </w:rPr>
        <w:t xml:space="preserve"> fa riferimento anche un export veneto </w:t>
      </w:r>
      <w:r w:rsidR="00D865E7">
        <w:rPr>
          <w:rFonts w:ascii="Calibri" w:hAnsi="Calibri" w:cs="Calibri"/>
          <w:bCs/>
          <w:szCs w:val="24"/>
        </w:rPr>
        <w:t xml:space="preserve">di parti e accessori di autoveicoli per un importo di </w:t>
      </w:r>
      <w:r w:rsidR="00E0278C">
        <w:rPr>
          <w:rFonts w:ascii="Calibri" w:hAnsi="Calibri" w:cs="Calibri"/>
          <w:bCs/>
          <w:szCs w:val="24"/>
        </w:rPr>
        <w:t>1,5 miliardi di euro (dato 2023)</w:t>
      </w:r>
      <w:r w:rsidR="007341DB">
        <w:rPr>
          <w:rFonts w:ascii="Calibri" w:hAnsi="Calibri" w:cs="Calibri"/>
          <w:bCs/>
          <w:szCs w:val="24"/>
        </w:rPr>
        <w:t xml:space="preserve"> che può </w:t>
      </w:r>
      <w:r>
        <w:rPr>
          <w:rFonts w:ascii="Calibri" w:hAnsi="Calibri" w:cs="Calibri"/>
          <w:bCs/>
          <w:szCs w:val="24"/>
        </w:rPr>
        <w:t xml:space="preserve">avvicinarsi </w:t>
      </w:r>
      <w:r w:rsidR="007341DB">
        <w:rPr>
          <w:rFonts w:ascii="Calibri" w:hAnsi="Calibri" w:cs="Calibri"/>
          <w:bCs/>
          <w:szCs w:val="24"/>
        </w:rPr>
        <w:t xml:space="preserve">anche </w:t>
      </w:r>
      <w:r>
        <w:rPr>
          <w:rFonts w:ascii="Calibri" w:hAnsi="Calibri" w:cs="Calibri"/>
          <w:bCs/>
          <w:szCs w:val="24"/>
        </w:rPr>
        <w:t>a</w:t>
      </w:r>
      <w:r w:rsidR="007341DB">
        <w:rPr>
          <w:rFonts w:ascii="Calibri" w:hAnsi="Calibri" w:cs="Calibri"/>
          <w:bCs/>
          <w:szCs w:val="24"/>
        </w:rPr>
        <w:t xml:space="preserve">i 2 miliardi di euro se si considera </w:t>
      </w:r>
      <w:r>
        <w:rPr>
          <w:rFonts w:ascii="Calibri" w:hAnsi="Calibri" w:cs="Calibri"/>
          <w:bCs/>
          <w:szCs w:val="24"/>
        </w:rPr>
        <w:t xml:space="preserve">una certa parte di </w:t>
      </w:r>
      <w:r w:rsidR="007341DB">
        <w:rPr>
          <w:rFonts w:ascii="Calibri" w:hAnsi="Calibri" w:cs="Calibri"/>
          <w:bCs/>
          <w:szCs w:val="24"/>
        </w:rPr>
        <w:t xml:space="preserve">indotto </w:t>
      </w:r>
      <w:r>
        <w:rPr>
          <w:rFonts w:ascii="Calibri" w:hAnsi="Calibri" w:cs="Calibri"/>
          <w:bCs/>
          <w:szCs w:val="24"/>
        </w:rPr>
        <w:t>dove sono limitati i margini di errore nell’attribuzione alla filiera</w:t>
      </w:r>
      <w:r w:rsidR="007341DB">
        <w:rPr>
          <w:rFonts w:ascii="Calibri" w:hAnsi="Calibri" w:cs="Calibri"/>
          <w:bCs/>
          <w:szCs w:val="24"/>
        </w:rPr>
        <w:t xml:space="preserve">. </w:t>
      </w:r>
      <w:r w:rsidR="00E2522D">
        <w:rPr>
          <w:rFonts w:ascii="Calibri" w:hAnsi="Calibri" w:cs="Calibri"/>
          <w:bCs/>
          <w:szCs w:val="24"/>
        </w:rPr>
        <w:t>Restando al</w:t>
      </w:r>
      <w:r w:rsidR="00B533A5">
        <w:rPr>
          <w:rFonts w:ascii="Calibri" w:hAnsi="Calibri" w:cs="Calibri"/>
          <w:bCs/>
          <w:szCs w:val="24"/>
        </w:rPr>
        <w:t xml:space="preserve"> “visibile statistico”, al</w:t>
      </w:r>
      <w:r w:rsidR="00E2522D">
        <w:rPr>
          <w:rFonts w:ascii="Calibri" w:hAnsi="Calibri" w:cs="Calibri"/>
          <w:bCs/>
          <w:szCs w:val="24"/>
        </w:rPr>
        <w:t xml:space="preserve"> miliardo e mezzo certificato dall’ISTAT, pari al</w:t>
      </w:r>
      <w:r w:rsidR="00E0278C">
        <w:rPr>
          <w:rFonts w:ascii="Calibri" w:hAnsi="Calibri" w:cs="Calibri"/>
          <w:bCs/>
          <w:szCs w:val="24"/>
        </w:rPr>
        <w:t xml:space="preserve">l’1,8% del totale export regionale, quasi 300 milioni (il 19,3%) </w:t>
      </w:r>
      <w:r w:rsidR="00D865E7">
        <w:rPr>
          <w:rFonts w:ascii="Calibri" w:hAnsi="Calibri" w:cs="Calibri"/>
          <w:bCs/>
          <w:szCs w:val="24"/>
        </w:rPr>
        <w:t xml:space="preserve">riguardano flussi di semilavorati verso il </w:t>
      </w:r>
      <w:r w:rsidR="00E0278C">
        <w:rPr>
          <w:rFonts w:ascii="Calibri" w:hAnsi="Calibri" w:cs="Calibri"/>
          <w:bCs/>
          <w:szCs w:val="24"/>
        </w:rPr>
        <w:t>mercato tedesco</w:t>
      </w:r>
      <w:r w:rsidR="00D865E7">
        <w:rPr>
          <w:rFonts w:ascii="Calibri" w:hAnsi="Calibri" w:cs="Calibri"/>
          <w:bCs/>
          <w:szCs w:val="24"/>
        </w:rPr>
        <w:t xml:space="preserve">; altri 270 milioni di semilavorati sono destinati al quadrante più ampio dell’Europa centro-orientale (Austria inclusa) nel quale insistono molti produttori e assemblatori di primo livello legati </w:t>
      </w:r>
      <w:proofErr w:type="spellStart"/>
      <w:r w:rsidR="00D865E7">
        <w:rPr>
          <w:rFonts w:ascii="Calibri" w:hAnsi="Calibri" w:cs="Calibri"/>
          <w:bCs/>
          <w:szCs w:val="24"/>
        </w:rPr>
        <w:t>all’</w:t>
      </w:r>
      <w:r w:rsidR="00D865E7" w:rsidRPr="00B533A5">
        <w:rPr>
          <w:rFonts w:ascii="Calibri" w:hAnsi="Calibri" w:cs="Calibri"/>
          <w:bCs/>
          <w:i/>
          <w:iCs/>
          <w:szCs w:val="24"/>
        </w:rPr>
        <w:t>automotive</w:t>
      </w:r>
      <w:proofErr w:type="spellEnd"/>
      <w:r w:rsidR="00D865E7">
        <w:rPr>
          <w:rFonts w:ascii="Calibri" w:hAnsi="Calibri" w:cs="Calibri"/>
          <w:bCs/>
          <w:szCs w:val="24"/>
        </w:rPr>
        <w:t>. Spostando l’attenzione alla parte occidentale del continente europeo, la Francia assorbe quasi 280 milioni di export veneto del settore (18,4%), Spagna e Regno Unito altri 200 milioni (quasi equamente distribuiti fra i due Paesi). Già nei primi sei mesi del 2024 l’export di questa voce merceologi</w:t>
      </w:r>
      <w:r w:rsidR="00A5523A">
        <w:rPr>
          <w:rFonts w:ascii="Calibri" w:hAnsi="Calibri" w:cs="Calibri"/>
          <w:bCs/>
          <w:szCs w:val="24"/>
        </w:rPr>
        <w:t>c</w:t>
      </w:r>
      <w:r w:rsidR="00D865E7">
        <w:rPr>
          <w:rFonts w:ascii="Calibri" w:hAnsi="Calibri" w:cs="Calibri"/>
          <w:bCs/>
          <w:szCs w:val="24"/>
        </w:rPr>
        <w:t>a ha conosciuto flessioni a due cifre</w:t>
      </w:r>
      <w:r w:rsidR="00A5523A">
        <w:rPr>
          <w:rFonts w:ascii="Calibri" w:hAnsi="Calibri" w:cs="Calibri"/>
          <w:bCs/>
          <w:szCs w:val="24"/>
        </w:rPr>
        <w:t xml:space="preserve"> soprattutto nei mercati sotto più marcata influenza tedesca</w:t>
      </w:r>
      <w:r w:rsidR="00D865E7">
        <w:rPr>
          <w:rFonts w:ascii="Calibri" w:hAnsi="Calibri" w:cs="Calibri"/>
          <w:bCs/>
          <w:szCs w:val="24"/>
        </w:rPr>
        <w:t xml:space="preserve">: </w:t>
      </w:r>
      <w:r w:rsidR="00A5523A">
        <w:rPr>
          <w:rFonts w:ascii="Calibri" w:hAnsi="Calibri" w:cs="Calibri"/>
          <w:bCs/>
          <w:szCs w:val="24"/>
        </w:rPr>
        <w:t xml:space="preserve">nella stessa Germania si è registrato un </w:t>
      </w:r>
      <w:r w:rsidR="00D865E7">
        <w:rPr>
          <w:rFonts w:ascii="Calibri" w:hAnsi="Calibri" w:cs="Calibri"/>
          <w:bCs/>
          <w:szCs w:val="24"/>
        </w:rPr>
        <w:t>-20,7%</w:t>
      </w:r>
      <w:r w:rsidR="00A5523A">
        <w:rPr>
          <w:rFonts w:ascii="Calibri" w:hAnsi="Calibri" w:cs="Calibri"/>
          <w:bCs/>
          <w:szCs w:val="24"/>
        </w:rPr>
        <w:t>; in Austria</w:t>
      </w:r>
      <w:r w:rsidR="00D865E7">
        <w:rPr>
          <w:rFonts w:ascii="Calibri" w:hAnsi="Calibri" w:cs="Calibri"/>
          <w:bCs/>
          <w:szCs w:val="24"/>
        </w:rPr>
        <w:t>, -28,4%</w:t>
      </w:r>
      <w:r w:rsidR="00A5523A">
        <w:rPr>
          <w:rFonts w:ascii="Calibri" w:hAnsi="Calibri" w:cs="Calibri"/>
          <w:bCs/>
          <w:szCs w:val="24"/>
        </w:rPr>
        <w:t>; in Slovacchia, -44,7%. Tengono invece Spagna (+2,5%) e Francia (+24,6%), quest’ultima probabilmente assorbendo parte dell’interscambio che prima di Brexit avveniva con il Regno Unito.</w:t>
      </w:r>
    </w:p>
    <w:p w14:paraId="2C8A15F6" w14:textId="542DBD2D" w:rsidR="00E2522D" w:rsidRDefault="005B09DE" w:rsidP="00B642A0">
      <w:pPr>
        <w:spacing w:before="240" w:after="120"/>
        <w:rPr>
          <w:rFonts w:ascii="Calibri" w:hAnsi="Calibri" w:cs="Calibri"/>
          <w:bCs/>
          <w:szCs w:val="24"/>
        </w:rPr>
      </w:pPr>
      <w:r>
        <w:rPr>
          <w:rFonts w:ascii="Calibri" w:hAnsi="Calibri" w:cs="Calibri"/>
          <w:bCs/>
          <w:szCs w:val="24"/>
        </w:rPr>
        <w:t xml:space="preserve">Se la crisi </w:t>
      </w:r>
      <w:proofErr w:type="spellStart"/>
      <w:r>
        <w:rPr>
          <w:rFonts w:ascii="Calibri" w:hAnsi="Calibri" w:cs="Calibri"/>
          <w:bCs/>
          <w:szCs w:val="24"/>
        </w:rPr>
        <w:t>dell’</w:t>
      </w:r>
      <w:r w:rsidRPr="00B533A5">
        <w:rPr>
          <w:rFonts w:ascii="Calibri" w:hAnsi="Calibri" w:cs="Calibri"/>
          <w:bCs/>
          <w:i/>
          <w:iCs/>
          <w:szCs w:val="24"/>
        </w:rPr>
        <w:t>automotive</w:t>
      </w:r>
      <w:proofErr w:type="spellEnd"/>
      <w:r>
        <w:rPr>
          <w:rFonts w:ascii="Calibri" w:hAnsi="Calibri" w:cs="Calibri"/>
          <w:bCs/>
          <w:szCs w:val="24"/>
        </w:rPr>
        <w:t xml:space="preserve"> </w:t>
      </w:r>
      <w:r w:rsidR="00E7322B">
        <w:rPr>
          <w:rFonts w:ascii="Calibri" w:hAnsi="Calibri" w:cs="Calibri"/>
          <w:bCs/>
          <w:szCs w:val="24"/>
        </w:rPr>
        <w:t>sta impattando</w:t>
      </w:r>
      <w:r w:rsidR="006E6359">
        <w:rPr>
          <w:rFonts w:ascii="Calibri" w:hAnsi="Calibri" w:cs="Calibri"/>
          <w:bCs/>
          <w:szCs w:val="24"/>
        </w:rPr>
        <w:t xml:space="preserve"> su questo </w:t>
      </w:r>
      <w:r>
        <w:rPr>
          <w:rFonts w:ascii="Calibri" w:hAnsi="Calibri" w:cs="Calibri"/>
          <w:bCs/>
          <w:szCs w:val="24"/>
        </w:rPr>
        <w:t xml:space="preserve">volume di scambi con l’estero del Veneto, non dimentichiamo che il </w:t>
      </w:r>
      <w:r w:rsidR="00C71D20">
        <w:rPr>
          <w:rFonts w:ascii="Calibri" w:hAnsi="Calibri" w:cs="Calibri"/>
          <w:bCs/>
          <w:szCs w:val="24"/>
        </w:rPr>
        <w:t>Sistema Moda</w:t>
      </w:r>
      <w:r w:rsidR="006E6359">
        <w:rPr>
          <w:rFonts w:ascii="Calibri" w:hAnsi="Calibri" w:cs="Calibri"/>
          <w:bCs/>
          <w:szCs w:val="24"/>
        </w:rPr>
        <w:t xml:space="preserve">, altro comparto in crisi, </w:t>
      </w:r>
      <w:r>
        <w:rPr>
          <w:rFonts w:ascii="Calibri" w:hAnsi="Calibri" w:cs="Calibri"/>
          <w:bCs/>
          <w:szCs w:val="24"/>
        </w:rPr>
        <w:t xml:space="preserve">vale </w:t>
      </w:r>
      <w:r w:rsidR="00C71D20">
        <w:rPr>
          <w:rFonts w:ascii="Calibri" w:hAnsi="Calibri" w:cs="Calibri"/>
          <w:bCs/>
          <w:szCs w:val="24"/>
        </w:rPr>
        <w:t xml:space="preserve">ben </w:t>
      </w:r>
      <w:r w:rsidR="006E6359">
        <w:rPr>
          <w:rFonts w:ascii="Calibri" w:hAnsi="Calibri" w:cs="Calibri"/>
          <w:bCs/>
          <w:szCs w:val="24"/>
        </w:rPr>
        <w:t>11</w:t>
      </w:r>
      <w:r>
        <w:rPr>
          <w:rFonts w:ascii="Calibri" w:hAnsi="Calibri" w:cs="Calibri"/>
          <w:bCs/>
          <w:szCs w:val="24"/>
        </w:rPr>
        <w:t>,</w:t>
      </w:r>
      <w:r w:rsidR="006E6359">
        <w:rPr>
          <w:rFonts w:ascii="Calibri" w:hAnsi="Calibri" w:cs="Calibri"/>
          <w:bCs/>
          <w:szCs w:val="24"/>
        </w:rPr>
        <w:t>8</w:t>
      </w:r>
      <w:r>
        <w:rPr>
          <w:rFonts w:ascii="Calibri" w:hAnsi="Calibri" w:cs="Calibri"/>
          <w:bCs/>
          <w:szCs w:val="24"/>
        </w:rPr>
        <w:t xml:space="preserve"> miliardi di </w:t>
      </w:r>
      <w:r w:rsidR="0000141B">
        <w:rPr>
          <w:rFonts w:ascii="Calibri" w:hAnsi="Calibri" w:cs="Calibri"/>
          <w:bCs/>
          <w:szCs w:val="24"/>
        </w:rPr>
        <w:t xml:space="preserve">euro di </w:t>
      </w:r>
      <w:r>
        <w:rPr>
          <w:rFonts w:ascii="Calibri" w:hAnsi="Calibri" w:cs="Calibri"/>
          <w:bCs/>
          <w:szCs w:val="24"/>
        </w:rPr>
        <w:t>export</w:t>
      </w:r>
      <w:r w:rsidR="006E6359">
        <w:rPr>
          <w:rFonts w:ascii="Calibri" w:hAnsi="Calibri" w:cs="Calibri"/>
          <w:bCs/>
          <w:szCs w:val="24"/>
        </w:rPr>
        <w:t xml:space="preserve"> (dati sempre riferiti al 2023)</w:t>
      </w:r>
      <w:r w:rsidR="00E7322B">
        <w:rPr>
          <w:rFonts w:ascii="Calibri" w:hAnsi="Calibri" w:cs="Calibri"/>
          <w:bCs/>
          <w:szCs w:val="24"/>
        </w:rPr>
        <w:t xml:space="preserve">, ovvero il 14,4% dell’export regionale. </w:t>
      </w:r>
      <w:r w:rsidR="00E2522D">
        <w:rPr>
          <w:rFonts w:ascii="Calibri" w:hAnsi="Calibri" w:cs="Calibri"/>
          <w:bCs/>
          <w:szCs w:val="24"/>
        </w:rPr>
        <w:t>E nei primi sei mesi del 2024, ultimi dati disponibili, il comparto ha già visto una contrazione delle sue esportazioni del -7,6%, che arrivano al -15,8% in Germania e al -18,4% negli Stati Uniti (rispettivamente secondo e quarto mercato di sbocco per il Veneto).</w:t>
      </w:r>
    </w:p>
    <w:p w14:paraId="14D25E5A" w14:textId="77777777" w:rsidR="00B32695" w:rsidRDefault="00B32695" w:rsidP="00B642A0">
      <w:pPr>
        <w:spacing w:before="240" w:after="120"/>
        <w:rPr>
          <w:rFonts w:ascii="Calibri" w:hAnsi="Calibri" w:cs="Calibri"/>
          <w:b/>
          <w:szCs w:val="24"/>
        </w:rPr>
      </w:pPr>
    </w:p>
    <w:p w14:paraId="5F9E28C9" w14:textId="11737168" w:rsidR="006E6519" w:rsidRPr="006E6519" w:rsidRDefault="006E6519" w:rsidP="00B642A0">
      <w:pPr>
        <w:spacing w:before="240" w:after="120"/>
        <w:rPr>
          <w:rFonts w:ascii="Calibri" w:hAnsi="Calibri" w:cs="Calibri"/>
          <w:b/>
          <w:szCs w:val="24"/>
        </w:rPr>
      </w:pPr>
      <w:r w:rsidRPr="006E6519">
        <w:rPr>
          <w:rFonts w:ascii="Calibri" w:hAnsi="Calibri" w:cs="Calibri"/>
          <w:b/>
          <w:szCs w:val="24"/>
        </w:rPr>
        <w:t>Le previsioni per l’ultimo trimestre del 2024</w:t>
      </w:r>
    </w:p>
    <w:p w14:paraId="4D84DD7E" w14:textId="78F91431" w:rsidR="00B32695" w:rsidRDefault="00B32695" w:rsidP="00B32695">
      <w:pPr>
        <w:spacing w:before="240" w:after="120"/>
        <w:rPr>
          <w:rFonts w:ascii="Calibri" w:hAnsi="Calibri" w:cs="Calibri"/>
          <w:bCs/>
          <w:szCs w:val="24"/>
        </w:rPr>
      </w:pPr>
      <w:r>
        <w:rPr>
          <w:rFonts w:ascii="Calibri" w:hAnsi="Calibri" w:cs="Calibri"/>
          <w:bCs/>
          <w:szCs w:val="24"/>
        </w:rPr>
        <w:t xml:space="preserve">Come proseguirà la situazione? Andrà incontro ad un peggioramento? Dei consueti giudizi raccolti dagli imprenditori, sono interessanti, in particolare, le attese sugli ordinativi esteri. Le meno condizionate dal classico fenomeno di “ripartenza” post-pausa estiva (considerato che il mondo non “va in ferie” in agosto). Il 39% degli intervistati esprime giudizi di </w:t>
      </w:r>
      <w:proofErr w:type="spellStart"/>
      <w:r>
        <w:rPr>
          <w:rFonts w:ascii="Calibri" w:hAnsi="Calibri" w:cs="Calibri"/>
          <w:bCs/>
          <w:szCs w:val="24"/>
        </w:rPr>
        <w:t>possibile</w:t>
      </w:r>
      <w:proofErr w:type="spellEnd"/>
      <w:r>
        <w:rPr>
          <w:rFonts w:ascii="Calibri" w:hAnsi="Calibri" w:cs="Calibri"/>
          <w:bCs/>
          <w:szCs w:val="24"/>
        </w:rPr>
        <w:t xml:space="preserve"> </w:t>
      </w:r>
      <w:r>
        <w:rPr>
          <w:rFonts w:ascii="Calibri" w:hAnsi="Calibri" w:cs="Calibri"/>
          <w:bCs/>
          <w:szCs w:val="24"/>
        </w:rPr>
        <w:lastRenderedPageBreak/>
        <w:t>ripartenza della domanda estera; si fermano al 24% coloro che invece prefigurano una flessione dell’indicatore. In prima battuta, dunque, il saldo tra ottimisti e pessimisti sembra restare a favore dei primi. Ma non può essere sottovalutata la quota di giudizi che opta per la stazionarietà, o se si preferisce per lo scetticismo: sono pari al 37% degli intervistati, hanno lo stesso peso degli ottimisti. Significa che l’andamento della domanda internazionale ancora non convince</w:t>
      </w:r>
      <w:r w:rsidR="00477A14">
        <w:rPr>
          <w:rFonts w:ascii="Calibri" w:hAnsi="Calibri" w:cs="Calibri"/>
          <w:bCs/>
          <w:szCs w:val="24"/>
        </w:rPr>
        <w:t xml:space="preserve"> in diversi settori</w:t>
      </w:r>
      <w:r>
        <w:rPr>
          <w:rFonts w:ascii="Calibri" w:hAnsi="Calibri" w:cs="Calibri"/>
          <w:bCs/>
          <w:szCs w:val="24"/>
        </w:rPr>
        <w:t xml:space="preserve">, che sostanzialmente persisterà debole, il che è poco consolatorio per </w:t>
      </w:r>
      <w:r w:rsidR="00477A14">
        <w:rPr>
          <w:rFonts w:ascii="Calibri" w:hAnsi="Calibri" w:cs="Calibri"/>
          <w:bCs/>
          <w:szCs w:val="24"/>
        </w:rPr>
        <w:t xml:space="preserve">coloro </w:t>
      </w:r>
      <w:r>
        <w:rPr>
          <w:rFonts w:ascii="Calibri" w:hAnsi="Calibri" w:cs="Calibri"/>
          <w:bCs/>
          <w:szCs w:val="24"/>
        </w:rPr>
        <w:t xml:space="preserve">che già hanno conosciuto importanti flessioni. </w:t>
      </w:r>
    </w:p>
    <w:p w14:paraId="7D320D9A" w14:textId="2B4E4700" w:rsidR="00B32695" w:rsidRDefault="00477A14" w:rsidP="00B32695">
      <w:pPr>
        <w:spacing w:before="240" w:after="120"/>
        <w:rPr>
          <w:rFonts w:ascii="Calibri" w:hAnsi="Calibri" w:cs="Calibri"/>
          <w:bCs/>
          <w:szCs w:val="24"/>
        </w:rPr>
      </w:pPr>
      <w:r>
        <w:rPr>
          <w:rFonts w:ascii="Calibri" w:hAnsi="Calibri" w:cs="Calibri"/>
          <w:bCs/>
          <w:szCs w:val="24"/>
        </w:rPr>
        <w:t xml:space="preserve">I settori in cui è più evidente questo </w:t>
      </w:r>
      <w:r w:rsidR="00B32695">
        <w:rPr>
          <w:rFonts w:ascii="Calibri" w:hAnsi="Calibri" w:cs="Calibri"/>
          <w:bCs/>
          <w:szCs w:val="24"/>
        </w:rPr>
        <w:t xml:space="preserve">scetticismo sulla domanda estera </w:t>
      </w:r>
      <w:r w:rsidR="0066096E">
        <w:rPr>
          <w:rFonts w:ascii="Calibri" w:hAnsi="Calibri" w:cs="Calibri"/>
          <w:bCs/>
          <w:szCs w:val="24"/>
        </w:rPr>
        <w:t xml:space="preserve">sono i seguenti: </w:t>
      </w:r>
      <w:r w:rsidR="00B32695">
        <w:rPr>
          <w:rFonts w:ascii="Calibri" w:hAnsi="Calibri" w:cs="Calibri"/>
          <w:bCs/>
          <w:szCs w:val="24"/>
        </w:rPr>
        <w:t xml:space="preserve">nei mezzi di trasporto </w:t>
      </w:r>
      <w:r w:rsidR="0066096E">
        <w:rPr>
          <w:rFonts w:ascii="Calibri" w:hAnsi="Calibri" w:cs="Calibri"/>
          <w:bCs/>
          <w:szCs w:val="24"/>
        </w:rPr>
        <w:t xml:space="preserve">arriva al </w:t>
      </w:r>
      <w:r w:rsidR="00B32695">
        <w:rPr>
          <w:rFonts w:ascii="Calibri" w:hAnsi="Calibri" w:cs="Calibri"/>
          <w:bCs/>
          <w:szCs w:val="24"/>
        </w:rPr>
        <w:t xml:space="preserve">43% </w:t>
      </w:r>
      <w:r w:rsidR="0066096E">
        <w:rPr>
          <w:rFonts w:ascii="Calibri" w:hAnsi="Calibri" w:cs="Calibri"/>
          <w:bCs/>
          <w:szCs w:val="24"/>
        </w:rPr>
        <w:t xml:space="preserve">la quota </w:t>
      </w:r>
      <w:r w:rsidR="00B32695">
        <w:rPr>
          <w:rFonts w:ascii="Calibri" w:hAnsi="Calibri" w:cs="Calibri"/>
          <w:bCs/>
          <w:szCs w:val="24"/>
        </w:rPr>
        <w:t xml:space="preserve">degli intervistati </w:t>
      </w:r>
      <w:r w:rsidR="0066096E">
        <w:rPr>
          <w:rFonts w:ascii="Calibri" w:hAnsi="Calibri" w:cs="Calibri"/>
          <w:bCs/>
          <w:szCs w:val="24"/>
        </w:rPr>
        <w:t xml:space="preserve">che </w:t>
      </w:r>
      <w:r w:rsidR="00B32695">
        <w:rPr>
          <w:rFonts w:ascii="Calibri" w:hAnsi="Calibri" w:cs="Calibri"/>
          <w:bCs/>
          <w:szCs w:val="24"/>
        </w:rPr>
        <w:t xml:space="preserve">non si attende ripartenze degli ordinativi; quota che sale </w:t>
      </w:r>
      <w:r w:rsidR="0066096E">
        <w:rPr>
          <w:rFonts w:ascii="Calibri" w:hAnsi="Calibri" w:cs="Calibri"/>
          <w:bCs/>
          <w:szCs w:val="24"/>
        </w:rPr>
        <w:t xml:space="preserve">ulteriormente </w:t>
      </w:r>
      <w:r w:rsidR="00B32695">
        <w:rPr>
          <w:rFonts w:ascii="Calibri" w:hAnsi="Calibri" w:cs="Calibri"/>
          <w:bCs/>
          <w:szCs w:val="24"/>
        </w:rPr>
        <w:t xml:space="preserve">al 46% nella gomma plastica, forse proprio per i segmenti collegati all’ </w:t>
      </w:r>
      <w:r w:rsidR="00B32695" w:rsidRPr="00B533A5">
        <w:rPr>
          <w:rFonts w:ascii="Calibri" w:hAnsi="Calibri" w:cs="Calibri"/>
          <w:bCs/>
          <w:i/>
          <w:iCs/>
          <w:szCs w:val="24"/>
        </w:rPr>
        <w:t>automotive</w:t>
      </w:r>
      <w:r w:rsidR="00B32695">
        <w:rPr>
          <w:rFonts w:ascii="Calibri" w:hAnsi="Calibri" w:cs="Calibri"/>
          <w:bCs/>
          <w:szCs w:val="24"/>
        </w:rPr>
        <w:t>, sbilanciando perfino in negativo il saldo tra giudizi di crescita e di flessione dell’indicatore. Manifesta ancora incertezza, nei prossimi mesi, anche l’industria dei macchinari, settore con forte propensione all’export: i giudizi di stazionarietà degli ordinativi esteri (36%) sopravanzano, di poco, quelli di crescita (35%), e comunque un cospicuo 29% di imprese teme un’ulteriore contrazione della domanda internazionale.</w:t>
      </w:r>
      <w:r w:rsidR="0066096E">
        <w:rPr>
          <w:rFonts w:ascii="Calibri" w:hAnsi="Calibri" w:cs="Calibri"/>
          <w:bCs/>
          <w:szCs w:val="24"/>
        </w:rPr>
        <w:t xml:space="preserve"> Analoga distribuzione di giudizi si registra nell’industria dei metalli: lo stallo polarizza anche in questo caso la maggioranza degli intervistati (38%), contro un 34% di ottimisti e un 28% di pessimisti.</w:t>
      </w:r>
    </w:p>
    <w:p w14:paraId="312E89C7" w14:textId="7D33D8E6" w:rsidR="00685A66" w:rsidRDefault="00477A14" w:rsidP="00B32695">
      <w:pPr>
        <w:spacing w:before="240" w:after="120"/>
        <w:rPr>
          <w:rFonts w:ascii="Calibri" w:hAnsi="Calibri" w:cs="Calibri"/>
          <w:bCs/>
          <w:szCs w:val="24"/>
        </w:rPr>
      </w:pPr>
      <w:r>
        <w:rPr>
          <w:rFonts w:ascii="Calibri" w:hAnsi="Calibri" w:cs="Calibri"/>
          <w:bCs/>
          <w:szCs w:val="24"/>
        </w:rPr>
        <w:t xml:space="preserve">Altri settori, all’opposto, in numero non irrisorio, guardano alla domanda estera </w:t>
      </w:r>
      <w:r w:rsidR="0066096E">
        <w:rPr>
          <w:rFonts w:ascii="Calibri" w:hAnsi="Calibri" w:cs="Calibri"/>
          <w:bCs/>
          <w:szCs w:val="24"/>
        </w:rPr>
        <w:t xml:space="preserve">con un po’ più di </w:t>
      </w:r>
      <w:r>
        <w:rPr>
          <w:rFonts w:ascii="Calibri" w:hAnsi="Calibri" w:cs="Calibri"/>
          <w:bCs/>
          <w:szCs w:val="24"/>
        </w:rPr>
        <w:t xml:space="preserve">ottimismo: </w:t>
      </w:r>
      <w:r w:rsidR="0066096E">
        <w:rPr>
          <w:rFonts w:ascii="Calibri" w:hAnsi="Calibri" w:cs="Calibri"/>
          <w:bCs/>
          <w:szCs w:val="24"/>
        </w:rPr>
        <w:t xml:space="preserve">sono l’industria </w:t>
      </w:r>
      <w:r>
        <w:rPr>
          <w:rFonts w:ascii="Calibri" w:hAnsi="Calibri" w:cs="Calibri"/>
          <w:bCs/>
          <w:szCs w:val="24"/>
        </w:rPr>
        <w:t xml:space="preserve">alimentare, </w:t>
      </w:r>
      <w:r w:rsidR="0066096E">
        <w:rPr>
          <w:rFonts w:ascii="Calibri" w:hAnsi="Calibri" w:cs="Calibri"/>
          <w:bCs/>
          <w:szCs w:val="24"/>
        </w:rPr>
        <w:t>i</w:t>
      </w:r>
      <w:r>
        <w:rPr>
          <w:rFonts w:ascii="Calibri" w:hAnsi="Calibri" w:cs="Calibri"/>
          <w:bCs/>
          <w:szCs w:val="24"/>
        </w:rPr>
        <w:t xml:space="preserve">l legno-arredo, l’industria </w:t>
      </w:r>
      <w:r w:rsidR="0066096E">
        <w:rPr>
          <w:rFonts w:ascii="Calibri" w:hAnsi="Calibri" w:cs="Calibri"/>
          <w:bCs/>
          <w:szCs w:val="24"/>
        </w:rPr>
        <w:t>della carta, l’orafo, l’occhialeria e l’industria delle apparecchiature elettriche, nei quali le attese di ripartenza degli ordinativi esteri</w:t>
      </w:r>
      <w:r w:rsidR="004318D3">
        <w:rPr>
          <w:rFonts w:ascii="Calibri" w:hAnsi="Calibri" w:cs="Calibri"/>
          <w:bCs/>
          <w:szCs w:val="24"/>
        </w:rPr>
        <w:t xml:space="preserve">, almeno per l’ultimo </w:t>
      </w:r>
      <w:r w:rsidR="0085215B">
        <w:rPr>
          <w:rFonts w:ascii="Calibri" w:hAnsi="Calibri" w:cs="Calibri"/>
          <w:bCs/>
          <w:szCs w:val="24"/>
        </w:rPr>
        <w:t>trimestre</w:t>
      </w:r>
      <w:r w:rsidR="004318D3">
        <w:rPr>
          <w:rFonts w:ascii="Calibri" w:hAnsi="Calibri" w:cs="Calibri"/>
          <w:bCs/>
          <w:szCs w:val="24"/>
        </w:rPr>
        <w:t xml:space="preserve"> del 2024,</w:t>
      </w:r>
      <w:r w:rsidR="0066096E">
        <w:rPr>
          <w:rFonts w:ascii="Calibri" w:hAnsi="Calibri" w:cs="Calibri"/>
          <w:bCs/>
          <w:szCs w:val="24"/>
        </w:rPr>
        <w:t xml:space="preserve"> </w:t>
      </w:r>
      <w:r w:rsidR="00685A66">
        <w:rPr>
          <w:rFonts w:ascii="Calibri" w:hAnsi="Calibri" w:cs="Calibri"/>
          <w:bCs/>
          <w:szCs w:val="24"/>
        </w:rPr>
        <w:t xml:space="preserve">si </w:t>
      </w:r>
      <w:r w:rsidR="0066096E">
        <w:rPr>
          <w:rFonts w:ascii="Calibri" w:hAnsi="Calibri" w:cs="Calibri"/>
          <w:bCs/>
          <w:szCs w:val="24"/>
        </w:rPr>
        <w:t xml:space="preserve">polarizza </w:t>
      </w:r>
      <w:r w:rsidR="00685A66">
        <w:rPr>
          <w:rFonts w:ascii="Calibri" w:hAnsi="Calibri" w:cs="Calibri"/>
          <w:bCs/>
          <w:szCs w:val="24"/>
        </w:rPr>
        <w:t>tra il 45-50% degli intervistati.</w:t>
      </w:r>
    </w:p>
    <w:p w14:paraId="35636316" w14:textId="77777777" w:rsidR="00D414BB" w:rsidRDefault="00D414BB" w:rsidP="00B642A0">
      <w:pPr>
        <w:spacing w:before="240" w:after="120"/>
        <w:rPr>
          <w:rFonts w:ascii="Calibri" w:hAnsi="Calibri" w:cs="Calibri"/>
          <w:bCs/>
          <w:szCs w:val="24"/>
        </w:rPr>
      </w:pPr>
    </w:p>
    <w:p w14:paraId="18B99137" w14:textId="4AB0F070" w:rsidR="002D000D" w:rsidRPr="006520AC" w:rsidRDefault="00B642A0" w:rsidP="00B32695">
      <w:pPr>
        <w:spacing w:before="240" w:after="120"/>
        <w:rPr>
          <w:rFonts w:ascii="Calibri" w:hAnsi="Calibri" w:cs="Calibri"/>
          <w:b/>
          <w:szCs w:val="24"/>
        </w:rPr>
      </w:pPr>
      <w:r w:rsidRPr="00B32695">
        <w:rPr>
          <w:rFonts w:ascii="Calibri" w:hAnsi="Calibri" w:cs="Calibri"/>
          <w:b/>
          <w:szCs w:val="24"/>
        </w:rPr>
        <w:t xml:space="preserve">Il manifatturiero </w:t>
      </w:r>
      <w:r w:rsidR="002D000D" w:rsidRPr="00B32695">
        <w:rPr>
          <w:rFonts w:ascii="Calibri" w:hAnsi="Calibri" w:cs="Calibri"/>
          <w:b/>
          <w:szCs w:val="24"/>
        </w:rPr>
        <w:t>trevigiano e bellunese</w:t>
      </w:r>
    </w:p>
    <w:p w14:paraId="6975B27C" w14:textId="0C8BE44B" w:rsidR="00977D51" w:rsidRDefault="002D000D" w:rsidP="002D000D">
      <w:pPr>
        <w:spacing w:before="240" w:after="120"/>
        <w:rPr>
          <w:rFonts w:ascii="Calibri" w:hAnsi="Calibri" w:cs="Calibri"/>
          <w:bCs/>
          <w:szCs w:val="24"/>
        </w:rPr>
      </w:pPr>
      <w:r w:rsidRPr="006520AC">
        <w:rPr>
          <w:rFonts w:ascii="Calibri" w:hAnsi="Calibri" w:cs="Calibri"/>
          <w:bCs/>
          <w:szCs w:val="24"/>
        </w:rPr>
        <w:t xml:space="preserve">I dati di dettaglio relativi all’andamento del </w:t>
      </w:r>
      <w:r w:rsidRPr="006520AC">
        <w:rPr>
          <w:rFonts w:ascii="Calibri" w:hAnsi="Calibri" w:cs="Calibri"/>
          <w:b/>
          <w:szCs w:val="24"/>
        </w:rPr>
        <w:t>manifatturiero trevigiano</w:t>
      </w:r>
      <w:r w:rsidR="0093715D">
        <w:rPr>
          <w:rFonts w:ascii="Calibri" w:hAnsi="Calibri" w:cs="Calibri"/>
          <w:bCs/>
          <w:szCs w:val="24"/>
        </w:rPr>
        <w:t xml:space="preserve"> </w:t>
      </w:r>
      <w:r w:rsidR="008D5C46">
        <w:rPr>
          <w:rFonts w:ascii="Calibri" w:hAnsi="Calibri" w:cs="Calibri"/>
          <w:bCs/>
          <w:szCs w:val="24"/>
        </w:rPr>
        <w:t>non si scostano dal quadro regionale fin qui delineato, pur tenendo conto delle specificità settoriali della provincia</w:t>
      </w:r>
      <w:r w:rsidR="0093715D" w:rsidRPr="00FA3A9B">
        <w:rPr>
          <w:rFonts w:ascii="Calibri" w:hAnsi="Calibri" w:cs="Calibri"/>
          <w:bCs/>
          <w:szCs w:val="24"/>
        </w:rPr>
        <w:t>. L’indagine ha coinvolto 500 imprese trevigiane cui fanno riferimento 19.325 addetti.</w:t>
      </w:r>
      <w:r w:rsidR="008D5C46">
        <w:rPr>
          <w:rFonts w:ascii="Calibri" w:hAnsi="Calibri" w:cs="Calibri"/>
          <w:bCs/>
          <w:szCs w:val="24"/>
        </w:rPr>
        <w:t xml:space="preserve"> Nel terzo trimestre 2024 l’andamento della produzione, confrontato con lo stesso periodo dell’anno precedente, torna in negativo (-1,2%) dopo il debole rimbalzo dello scorso trimestre. Si conforma a questa dinamica il grado di utilizzo degli impianti, che scivola al 68,3% (contro il 71,6% dello scorso trimestre). Tuttavia, </w:t>
      </w:r>
      <w:r w:rsidR="00977D51">
        <w:rPr>
          <w:rFonts w:ascii="Calibri" w:hAnsi="Calibri" w:cs="Calibri"/>
          <w:bCs/>
          <w:szCs w:val="24"/>
        </w:rPr>
        <w:t>questo regime di utilizzo della capacità produttiva risulta allineato</w:t>
      </w:r>
      <w:r w:rsidR="008D5C46">
        <w:rPr>
          <w:rFonts w:ascii="Calibri" w:hAnsi="Calibri" w:cs="Calibri"/>
          <w:bCs/>
          <w:szCs w:val="24"/>
        </w:rPr>
        <w:t xml:space="preserve"> a quanto </w:t>
      </w:r>
      <w:r w:rsidR="00977D51">
        <w:rPr>
          <w:rFonts w:ascii="Calibri" w:hAnsi="Calibri" w:cs="Calibri"/>
          <w:bCs/>
          <w:szCs w:val="24"/>
        </w:rPr>
        <w:t xml:space="preserve">si rilevava </w:t>
      </w:r>
      <w:r w:rsidR="008D5C46">
        <w:rPr>
          <w:rFonts w:ascii="Calibri" w:hAnsi="Calibri" w:cs="Calibri"/>
          <w:bCs/>
          <w:szCs w:val="24"/>
        </w:rPr>
        <w:t xml:space="preserve">anche </w:t>
      </w:r>
      <w:r w:rsidR="00977D51">
        <w:rPr>
          <w:rFonts w:ascii="Calibri" w:hAnsi="Calibri" w:cs="Calibri"/>
          <w:bCs/>
          <w:szCs w:val="24"/>
        </w:rPr>
        <w:t>nel terzo trimestre 2023</w:t>
      </w:r>
      <w:r w:rsidR="00477A14">
        <w:rPr>
          <w:rFonts w:ascii="Calibri" w:hAnsi="Calibri" w:cs="Calibri"/>
          <w:bCs/>
          <w:szCs w:val="24"/>
        </w:rPr>
        <w:t xml:space="preserve"> (68,0%)</w:t>
      </w:r>
      <w:r w:rsidR="00977D51">
        <w:rPr>
          <w:rFonts w:ascii="Calibri" w:hAnsi="Calibri" w:cs="Calibri"/>
          <w:bCs/>
          <w:szCs w:val="24"/>
        </w:rPr>
        <w:t xml:space="preserve">, né è dissimile da quello che si registrava </w:t>
      </w:r>
      <w:r w:rsidR="00477A14">
        <w:rPr>
          <w:rFonts w:ascii="Calibri" w:hAnsi="Calibri" w:cs="Calibri"/>
          <w:bCs/>
          <w:szCs w:val="24"/>
        </w:rPr>
        <w:t xml:space="preserve">(69,6%) </w:t>
      </w:r>
      <w:r w:rsidR="00977D51">
        <w:rPr>
          <w:rFonts w:ascii="Calibri" w:hAnsi="Calibri" w:cs="Calibri"/>
          <w:bCs/>
          <w:szCs w:val="24"/>
        </w:rPr>
        <w:t xml:space="preserve">nel lontano e </w:t>
      </w:r>
      <w:proofErr w:type="spellStart"/>
      <w:r w:rsidR="00977D51">
        <w:rPr>
          <w:rFonts w:ascii="Calibri" w:hAnsi="Calibri" w:cs="Calibri"/>
          <w:bCs/>
          <w:szCs w:val="24"/>
        </w:rPr>
        <w:t>prepandemico</w:t>
      </w:r>
      <w:proofErr w:type="spellEnd"/>
      <w:r w:rsidR="00977D51">
        <w:rPr>
          <w:rFonts w:ascii="Calibri" w:hAnsi="Calibri" w:cs="Calibri"/>
          <w:bCs/>
          <w:szCs w:val="24"/>
        </w:rPr>
        <w:t xml:space="preserve"> terzo trimestre 2019. </w:t>
      </w:r>
      <w:r w:rsidR="00477A14">
        <w:rPr>
          <w:rFonts w:ascii="Calibri" w:hAnsi="Calibri" w:cs="Calibri"/>
          <w:bCs/>
          <w:szCs w:val="24"/>
        </w:rPr>
        <w:t xml:space="preserve">Come si sottolineava anche nella parte regionale, questo dato </w:t>
      </w:r>
      <w:r w:rsidR="00977D51">
        <w:rPr>
          <w:rFonts w:ascii="Calibri" w:hAnsi="Calibri" w:cs="Calibri"/>
          <w:bCs/>
          <w:szCs w:val="24"/>
        </w:rPr>
        <w:t xml:space="preserve">conferma </w:t>
      </w:r>
      <w:r w:rsidR="00477A14">
        <w:rPr>
          <w:rFonts w:ascii="Calibri" w:hAnsi="Calibri" w:cs="Calibri"/>
          <w:bCs/>
          <w:szCs w:val="24"/>
        </w:rPr>
        <w:t xml:space="preserve">che </w:t>
      </w:r>
      <w:r w:rsidR="00977D51">
        <w:rPr>
          <w:rFonts w:ascii="Calibri" w:hAnsi="Calibri" w:cs="Calibri"/>
          <w:bCs/>
          <w:szCs w:val="24"/>
        </w:rPr>
        <w:t xml:space="preserve">i funzionamenti strutturali del comparto, visti </w:t>
      </w:r>
      <w:r w:rsidR="008939F6">
        <w:rPr>
          <w:rFonts w:ascii="Calibri" w:hAnsi="Calibri" w:cs="Calibri"/>
          <w:bCs/>
          <w:szCs w:val="24"/>
        </w:rPr>
        <w:t>con sguardo più ampio, senza focalizzarsi sulle inevitabili flessioni congiunturali del trimestre estivo</w:t>
      </w:r>
      <w:r w:rsidR="00977D51">
        <w:rPr>
          <w:rFonts w:ascii="Calibri" w:hAnsi="Calibri" w:cs="Calibri"/>
          <w:bCs/>
          <w:szCs w:val="24"/>
        </w:rPr>
        <w:t xml:space="preserve">, </w:t>
      </w:r>
      <w:r w:rsidR="00477A14">
        <w:rPr>
          <w:rFonts w:ascii="Calibri" w:hAnsi="Calibri" w:cs="Calibri"/>
          <w:bCs/>
          <w:szCs w:val="24"/>
        </w:rPr>
        <w:t>tendono a mostrare</w:t>
      </w:r>
      <w:r w:rsidR="00977D51">
        <w:rPr>
          <w:rFonts w:ascii="Calibri" w:hAnsi="Calibri" w:cs="Calibri"/>
          <w:bCs/>
          <w:szCs w:val="24"/>
        </w:rPr>
        <w:t xml:space="preserve"> una certa resilienza rispetto a</w:t>
      </w:r>
      <w:r w:rsidR="00477A14">
        <w:rPr>
          <w:rFonts w:ascii="Calibri" w:hAnsi="Calibri" w:cs="Calibri"/>
          <w:bCs/>
          <w:szCs w:val="24"/>
        </w:rPr>
        <w:t>ll’attuale complessità del ciclo economico</w:t>
      </w:r>
      <w:r w:rsidR="00977D51">
        <w:rPr>
          <w:rFonts w:ascii="Calibri" w:hAnsi="Calibri" w:cs="Calibri"/>
          <w:bCs/>
          <w:szCs w:val="24"/>
        </w:rPr>
        <w:t>, almeno fino a queste ultime osservazioni in nostro possesso.</w:t>
      </w:r>
      <w:r w:rsidR="008939F6">
        <w:rPr>
          <w:rFonts w:ascii="Calibri" w:hAnsi="Calibri" w:cs="Calibri"/>
          <w:bCs/>
          <w:szCs w:val="24"/>
        </w:rPr>
        <w:t xml:space="preserve"> </w:t>
      </w:r>
    </w:p>
    <w:p w14:paraId="0008FA67" w14:textId="551EA50F" w:rsidR="00E658AB" w:rsidRDefault="00E658AB" w:rsidP="002D000D">
      <w:pPr>
        <w:spacing w:before="240" w:after="120"/>
        <w:rPr>
          <w:rFonts w:ascii="Calibri" w:hAnsi="Calibri" w:cs="Calibri"/>
          <w:bCs/>
          <w:szCs w:val="24"/>
        </w:rPr>
      </w:pPr>
      <w:r>
        <w:rPr>
          <w:rFonts w:ascii="Calibri" w:hAnsi="Calibri" w:cs="Calibri"/>
          <w:bCs/>
          <w:szCs w:val="24"/>
        </w:rPr>
        <w:t xml:space="preserve">Il fatturato aveva già conosciuto una significativa decelerazione nei trimestri precedenti, a partire dal secondo trimestre 2023, anche come conseguenza del parziale superamento </w:t>
      </w:r>
      <w:r>
        <w:rPr>
          <w:rFonts w:ascii="Calibri" w:hAnsi="Calibri" w:cs="Calibri"/>
          <w:bCs/>
          <w:szCs w:val="24"/>
        </w:rPr>
        <w:lastRenderedPageBreak/>
        <w:t xml:space="preserve">delle tensioni sui prezzi degli input. Le imprese che si muovono nei mercati internazionali hanno dovuto rivedere al ribasso i listini per non perdere in competitività.  Nel trimestre in esame l’andamento complessivo delle vendite è pressoché stazionario su base </w:t>
      </w:r>
      <w:r w:rsidR="004B00D4">
        <w:rPr>
          <w:rFonts w:ascii="Calibri" w:hAnsi="Calibri" w:cs="Calibri"/>
          <w:bCs/>
          <w:szCs w:val="24"/>
        </w:rPr>
        <w:t>tendenziale</w:t>
      </w:r>
      <w:r>
        <w:rPr>
          <w:rFonts w:ascii="Calibri" w:hAnsi="Calibri" w:cs="Calibri"/>
          <w:bCs/>
          <w:szCs w:val="24"/>
        </w:rPr>
        <w:t xml:space="preserve"> (-0,3%), mentre il fatturato estero flette in modo più sensibile (-2,2%) dopo i due trimestri precedenti in cui era riuscito a restare in territorio positivo.</w:t>
      </w:r>
    </w:p>
    <w:p w14:paraId="3B9464F7" w14:textId="248E45BE" w:rsidR="00766C21" w:rsidRDefault="00766C21" w:rsidP="002D000D">
      <w:pPr>
        <w:spacing w:before="240" w:after="120"/>
        <w:rPr>
          <w:rFonts w:ascii="Calibri" w:hAnsi="Calibri" w:cs="Calibri"/>
          <w:bCs/>
          <w:szCs w:val="24"/>
        </w:rPr>
      </w:pPr>
      <w:r>
        <w:rPr>
          <w:rFonts w:ascii="Calibri" w:hAnsi="Calibri" w:cs="Calibri"/>
          <w:bCs/>
          <w:szCs w:val="24"/>
        </w:rPr>
        <w:t xml:space="preserve">Resta </w:t>
      </w:r>
      <w:r w:rsidR="004B00D4">
        <w:rPr>
          <w:rFonts w:ascii="Calibri" w:hAnsi="Calibri" w:cs="Calibri"/>
          <w:bCs/>
          <w:szCs w:val="24"/>
        </w:rPr>
        <w:t xml:space="preserve">molto </w:t>
      </w:r>
      <w:r>
        <w:rPr>
          <w:rFonts w:ascii="Calibri" w:hAnsi="Calibri" w:cs="Calibri"/>
          <w:bCs/>
          <w:szCs w:val="24"/>
        </w:rPr>
        <w:t>debole la raccolta ordini. La domanda interna, anche nel trimestre in esame come nei precedenti trimestri dell’anno, continua a vegeta</w:t>
      </w:r>
      <w:r w:rsidR="004B00D4">
        <w:rPr>
          <w:rFonts w:ascii="Calibri" w:hAnsi="Calibri" w:cs="Calibri"/>
          <w:bCs/>
          <w:szCs w:val="24"/>
        </w:rPr>
        <w:t>re</w:t>
      </w:r>
      <w:r>
        <w:rPr>
          <w:rFonts w:ascii="Calibri" w:hAnsi="Calibri" w:cs="Calibri"/>
          <w:bCs/>
          <w:szCs w:val="24"/>
        </w:rPr>
        <w:t xml:space="preserve"> attorno a “zerovirgola” di crescita</w:t>
      </w:r>
      <w:r w:rsidR="00B33730">
        <w:rPr>
          <w:rFonts w:ascii="Calibri" w:hAnsi="Calibri" w:cs="Calibri"/>
          <w:bCs/>
          <w:szCs w:val="24"/>
        </w:rPr>
        <w:t xml:space="preserve"> tendenziale</w:t>
      </w:r>
      <w:r>
        <w:rPr>
          <w:rFonts w:ascii="Calibri" w:hAnsi="Calibri" w:cs="Calibri"/>
          <w:bCs/>
          <w:szCs w:val="24"/>
        </w:rPr>
        <w:t xml:space="preserve"> (+0,2%).</w:t>
      </w:r>
      <w:r w:rsidR="004B00D4">
        <w:rPr>
          <w:rFonts w:ascii="Calibri" w:hAnsi="Calibri" w:cs="Calibri"/>
          <w:bCs/>
          <w:szCs w:val="24"/>
        </w:rPr>
        <w:t xml:space="preserve"> Ciò dopo che nel 2023 aveva conosciuto un progressivo ridimensionamento rispetto al periodo post-pandemico. La raccolta ordini dall’estero torna in negativo (-2,9%) dopo l’illusorio sprazzo positivo dello scorso trimestre.</w:t>
      </w:r>
    </w:p>
    <w:p w14:paraId="5AB9D49E" w14:textId="77777777" w:rsidR="007A3254" w:rsidRDefault="00951C0A" w:rsidP="002D000D">
      <w:pPr>
        <w:spacing w:before="240" w:after="120"/>
        <w:rPr>
          <w:rFonts w:ascii="Calibri" w:hAnsi="Calibri" w:cs="Calibri"/>
          <w:bCs/>
          <w:szCs w:val="24"/>
        </w:rPr>
      </w:pPr>
      <w:r>
        <w:rPr>
          <w:rFonts w:ascii="Calibri" w:hAnsi="Calibri" w:cs="Calibri"/>
          <w:bCs/>
          <w:szCs w:val="24"/>
        </w:rPr>
        <w:t xml:space="preserve">Nonostante tutto, il portafoglio ordini dell’industria manifatturiera trevigiana resta posizionato su 51 giorni di produzione assicurata, in linea con le osservazioni dei trimestri precedenti. Era infatti a 52 giorni lo scorso trimestre, come anche nella prima parte </w:t>
      </w:r>
      <w:r w:rsidR="007C2621">
        <w:rPr>
          <w:rFonts w:ascii="Calibri" w:hAnsi="Calibri" w:cs="Calibri"/>
          <w:bCs/>
          <w:szCs w:val="24"/>
        </w:rPr>
        <w:t>dell’anno,</w:t>
      </w:r>
      <w:r>
        <w:rPr>
          <w:rFonts w:ascii="Calibri" w:hAnsi="Calibri" w:cs="Calibri"/>
          <w:bCs/>
          <w:szCs w:val="24"/>
        </w:rPr>
        <w:t xml:space="preserve"> </w:t>
      </w:r>
      <w:r w:rsidR="007C2621">
        <w:rPr>
          <w:rFonts w:ascii="Calibri" w:hAnsi="Calibri" w:cs="Calibri"/>
          <w:bCs/>
          <w:szCs w:val="24"/>
        </w:rPr>
        <w:t>né</w:t>
      </w:r>
      <w:r>
        <w:rPr>
          <w:rFonts w:ascii="Calibri" w:hAnsi="Calibri" w:cs="Calibri"/>
          <w:bCs/>
          <w:szCs w:val="24"/>
        </w:rPr>
        <w:t xml:space="preserve"> risultava molto più lungo un anno fa, nel terzo trimestre del 2023</w:t>
      </w:r>
      <w:r w:rsidR="007C2621">
        <w:rPr>
          <w:rFonts w:ascii="Calibri" w:hAnsi="Calibri" w:cs="Calibri"/>
          <w:bCs/>
          <w:szCs w:val="24"/>
        </w:rPr>
        <w:t xml:space="preserve">, quando si contavano </w:t>
      </w:r>
      <w:r>
        <w:rPr>
          <w:rFonts w:ascii="Calibri" w:hAnsi="Calibri" w:cs="Calibri"/>
          <w:bCs/>
          <w:szCs w:val="24"/>
        </w:rPr>
        <w:t>54 giorni</w:t>
      </w:r>
      <w:r w:rsidR="007C2621">
        <w:rPr>
          <w:rFonts w:ascii="Calibri" w:hAnsi="Calibri" w:cs="Calibri"/>
          <w:bCs/>
          <w:szCs w:val="24"/>
        </w:rPr>
        <w:t xml:space="preserve"> di produzione assicurata</w:t>
      </w:r>
      <w:r>
        <w:rPr>
          <w:rFonts w:ascii="Calibri" w:hAnsi="Calibri" w:cs="Calibri"/>
          <w:bCs/>
          <w:szCs w:val="24"/>
        </w:rPr>
        <w:t>. Chiaramente, non siamo più ai livelli abnormi registrati durante il periodo di carenza di materie prime e semilavorati (</w:t>
      </w:r>
      <w:r w:rsidR="007C2621">
        <w:rPr>
          <w:rFonts w:ascii="Calibri" w:hAnsi="Calibri" w:cs="Calibri"/>
          <w:bCs/>
          <w:szCs w:val="24"/>
        </w:rPr>
        <w:t xml:space="preserve">quando la lunghezza del portafoglio raggiunse anche i 76 giorni perché le imprese non riuscivano proprio ad evaderli, gli ordini). Ma quei 51 giorni di produzione assicurata di oggi non sono molto distanti </w:t>
      </w:r>
      <w:r w:rsidR="007A3254">
        <w:rPr>
          <w:rFonts w:ascii="Calibri" w:hAnsi="Calibri" w:cs="Calibri"/>
          <w:bCs/>
          <w:szCs w:val="24"/>
        </w:rPr>
        <w:t xml:space="preserve">dal valore medio registrato </w:t>
      </w:r>
      <w:proofErr w:type="spellStart"/>
      <w:r w:rsidR="007A3254">
        <w:rPr>
          <w:rFonts w:ascii="Calibri" w:hAnsi="Calibri" w:cs="Calibri"/>
          <w:bCs/>
          <w:szCs w:val="24"/>
        </w:rPr>
        <w:t>pre</w:t>
      </w:r>
      <w:proofErr w:type="spellEnd"/>
      <w:r w:rsidR="007A3254">
        <w:rPr>
          <w:rFonts w:ascii="Calibri" w:hAnsi="Calibri" w:cs="Calibri"/>
          <w:bCs/>
          <w:szCs w:val="24"/>
        </w:rPr>
        <w:t>-Covid, nel 2019.</w:t>
      </w:r>
    </w:p>
    <w:p w14:paraId="6C64E9D3" w14:textId="77777777" w:rsidR="00CA355C" w:rsidRDefault="007A3254" w:rsidP="002D000D">
      <w:pPr>
        <w:spacing w:before="240" w:after="120"/>
        <w:rPr>
          <w:rFonts w:ascii="Calibri" w:hAnsi="Calibri" w:cs="Calibri"/>
          <w:bCs/>
          <w:szCs w:val="24"/>
        </w:rPr>
      </w:pPr>
      <w:r>
        <w:rPr>
          <w:rFonts w:ascii="Calibri" w:hAnsi="Calibri" w:cs="Calibri"/>
          <w:bCs/>
          <w:szCs w:val="24"/>
        </w:rPr>
        <w:t>Per quanto riguarda le previsioni relative all’ultimo trimestre del 2024, si pone qui attenzione esclusivamente alle attese degli imprenditori sulla domanda, dato che per gli altri indicatori (produzione e fatturato) i giudizi sono condizionati dall’inevitabile effetto-ripartenza dopo la pausa estiva. Come già osservato a livello regionale, il “sentiment” degli imprenditori intervistati è piuttosto scettico sulla ripartenza, nel breve della domanda. I giudizi positivi, sia per la domanda estera che per quella interna, sopravanzano quelli negativi: e questa, tutto sommato, è già una buona notizia. Tuttavia, per la domanda estera sono i giudizi di stazionarietà a catalizzare la maggioranza degli intervistati (40%).  E anche con riferimento alla domanda interna la quota delle indicazioni per la stazionarietà (36%) risulta molto prossima alla quota delle indicazioni di crescita (39%). Per entrambi gli indicatori un quarto degli intervistati teme un’ulteriore contrazione degli ordini.</w:t>
      </w:r>
      <w:r w:rsidR="00BF639A">
        <w:rPr>
          <w:rFonts w:ascii="Calibri" w:hAnsi="Calibri" w:cs="Calibri"/>
          <w:bCs/>
          <w:szCs w:val="24"/>
        </w:rPr>
        <w:t xml:space="preserve"> </w:t>
      </w:r>
    </w:p>
    <w:p w14:paraId="00DB4647" w14:textId="48794DA9" w:rsidR="007A3254" w:rsidRDefault="00BF639A" w:rsidP="002D000D">
      <w:pPr>
        <w:spacing w:before="240" w:after="120"/>
        <w:rPr>
          <w:rFonts w:ascii="Calibri" w:hAnsi="Calibri" w:cs="Calibri"/>
          <w:bCs/>
          <w:szCs w:val="24"/>
        </w:rPr>
      </w:pPr>
      <w:r>
        <w:rPr>
          <w:rFonts w:ascii="Calibri" w:hAnsi="Calibri" w:cs="Calibri"/>
          <w:bCs/>
          <w:szCs w:val="24"/>
        </w:rPr>
        <w:t>Fuori dal coro, in positivo, il legno-arredo, il cui dato regionale sugli ordinativi esteri si può ritenere rappresentativo anche del dato provinciale, considerata la presenza nella Marca dell’</w:t>
      </w:r>
      <w:r w:rsidR="00CA355C">
        <w:rPr>
          <w:rFonts w:ascii="Calibri" w:hAnsi="Calibri" w:cs="Calibri"/>
          <w:bCs/>
          <w:szCs w:val="24"/>
        </w:rPr>
        <w:t>esteso</w:t>
      </w:r>
      <w:r>
        <w:rPr>
          <w:rFonts w:ascii="Calibri" w:hAnsi="Calibri" w:cs="Calibri"/>
          <w:bCs/>
          <w:szCs w:val="24"/>
        </w:rPr>
        <w:t xml:space="preserve"> distretto della Sinistra Piave</w:t>
      </w:r>
      <w:r w:rsidR="00CA355C">
        <w:rPr>
          <w:rFonts w:ascii="Calibri" w:hAnsi="Calibri" w:cs="Calibri"/>
          <w:bCs/>
          <w:szCs w:val="24"/>
        </w:rPr>
        <w:t>. P</w:t>
      </w:r>
      <w:r>
        <w:rPr>
          <w:rFonts w:ascii="Calibri" w:hAnsi="Calibri" w:cs="Calibri"/>
          <w:bCs/>
          <w:szCs w:val="24"/>
        </w:rPr>
        <w:t>er questo settore quasi il 50% degli intervistati si attende una ripartenza della domanda estera nell’ultima parte dell’anno, a fronte di un 35% di indicazioni di stazionarietà e di un 15% di indicazioni di flessione.</w:t>
      </w:r>
      <w:r w:rsidR="00CA355C">
        <w:rPr>
          <w:rFonts w:ascii="Calibri" w:hAnsi="Calibri" w:cs="Calibri"/>
          <w:bCs/>
          <w:szCs w:val="24"/>
        </w:rPr>
        <w:t xml:space="preserve"> Dopo aver anticipato una quota importante di domanda futura, sotto il periodo di lockdown, e dopo aver vissuto gli ultimi trimestri con il freno tirato, ora gli operatori del settore sembrano avvertire buoni sentori dai mercati. </w:t>
      </w:r>
    </w:p>
    <w:p w14:paraId="4B88C2BE" w14:textId="77777777" w:rsidR="001E1B93" w:rsidRDefault="0079242D" w:rsidP="00B23D40">
      <w:pPr>
        <w:spacing w:before="240" w:after="120"/>
        <w:rPr>
          <w:rFonts w:ascii="Calibri" w:hAnsi="Calibri" w:cs="Calibri"/>
          <w:bCs/>
          <w:szCs w:val="24"/>
        </w:rPr>
      </w:pPr>
      <w:r>
        <w:rPr>
          <w:rFonts w:ascii="Calibri" w:hAnsi="Calibri" w:cs="Calibri"/>
          <w:bCs/>
          <w:szCs w:val="24"/>
        </w:rPr>
        <w:t xml:space="preserve">Quando si commentano i dati relativi al </w:t>
      </w:r>
      <w:r w:rsidR="002D000D" w:rsidRPr="004B6C79">
        <w:rPr>
          <w:rFonts w:ascii="Calibri" w:hAnsi="Calibri" w:cs="Calibri"/>
          <w:b/>
          <w:szCs w:val="24"/>
        </w:rPr>
        <w:t>manifatturiero bellunese</w:t>
      </w:r>
      <w:r w:rsidR="00C868C0" w:rsidRPr="004B6C79">
        <w:rPr>
          <w:rFonts w:ascii="Calibri" w:hAnsi="Calibri" w:cs="Calibri"/>
          <w:b/>
          <w:szCs w:val="24"/>
        </w:rPr>
        <w:t xml:space="preserve"> </w:t>
      </w:r>
      <w:r>
        <w:rPr>
          <w:rFonts w:ascii="Calibri" w:hAnsi="Calibri" w:cs="Calibri"/>
          <w:bCs/>
          <w:szCs w:val="24"/>
        </w:rPr>
        <w:t xml:space="preserve">bisogna ogni volta richiamare l’attenzione sulla limitata numerosità del campione provinciale: 77 imprese intervistate sopra i 10 dipendenti, che danno occupazione a circa 3.900 addetti. Questo aspetto, come ribadiamo </w:t>
      </w:r>
      <w:r w:rsidR="00873960">
        <w:rPr>
          <w:rFonts w:ascii="Calibri" w:hAnsi="Calibri" w:cs="Calibri"/>
          <w:bCs/>
          <w:szCs w:val="24"/>
        </w:rPr>
        <w:t>sempre</w:t>
      </w:r>
      <w:r>
        <w:rPr>
          <w:rFonts w:ascii="Calibri" w:hAnsi="Calibri" w:cs="Calibri"/>
          <w:bCs/>
          <w:szCs w:val="24"/>
        </w:rPr>
        <w:t xml:space="preserve">, amplifica l’intensità delle variazioni per i vari indicatori. </w:t>
      </w:r>
      <w:r>
        <w:rPr>
          <w:rFonts w:ascii="Calibri" w:hAnsi="Calibri" w:cs="Calibri"/>
          <w:bCs/>
          <w:szCs w:val="24"/>
        </w:rPr>
        <w:lastRenderedPageBreak/>
        <w:t xml:space="preserve">In quest’ottica va letta una produzione industriale che si contrae del -8,9% </w:t>
      </w:r>
      <w:r w:rsidR="000C4A2A">
        <w:rPr>
          <w:rFonts w:ascii="Calibri" w:hAnsi="Calibri" w:cs="Calibri"/>
          <w:bCs/>
          <w:szCs w:val="24"/>
        </w:rPr>
        <w:t xml:space="preserve">su base tendenziale, </w:t>
      </w:r>
      <w:r>
        <w:rPr>
          <w:rFonts w:ascii="Calibri" w:hAnsi="Calibri" w:cs="Calibri"/>
          <w:bCs/>
          <w:szCs w:val="24"/>
        </w:rPr>
        <w:t>in m</w:t>
      </w:r>
      <w:r w:rsidR="000C4A2A">
        <w:rPr>
          <w:rFonts w:ascii="Calibri" w:hAnsi="Calibri" w:cs="Calibri"/>
          <w:bCs/>
          <w:szCs w:val="24"/>
        </w:rPr>
        <w:t>isura</w:t>
      </w:r>
      <w:r>
        <w:rPr>
          <w:rFonts w:ascii="Calibri" w:hAnsi="Calibri" w:cs="Calibri"/>
          <w:bCs/>
          <w:szCs w:val="24"/>
        </w:rPr>
        <w:t xml:space="preserve"> nettamente più vistos</w:t>
      </w:r>
      <w:r w:rsidR="000C4A2A">
        <w:rPr>
          <w:rFonts w:ascii="Calibri" w:hAnsi="Calibri" w:cs="Calibri"/>
          <w:bCs/>
          <w:szCs w:val="24"/>
        </w:rPr>
        <w:t>a</w:t>
      </w:r>
      <w:r>
        <w:rPr>
          <w:rFonts w:ascii="Calibri" w:hAnsi="Calibri" w:cs="Calibri"/>
          <w:bCs/>
          <w:szCs w:val="24"/>
        </w:rPr>
        <w:t xml:space="preserve"> del dato regionale e di quello relativo alla provincia di Treviso. Ma </w:t>
      </w:r>
      <w:r w:rsidR="00873960">
        <w:rPr>
          <w:rFonts w:ascii="Calibri" w:hAnsi="Calibri" w:cs="Calibri"/>
          <w:bCs/>
          <w:szCs w:val="24"/>
        </w:rPr>
        <w:t>sotto la superficie di questa variazione, inevitabilmente amplificata</w:t>
      </w:r>
      <w:r w:rsidR="00802FD1">
        <w:rPr>
          <w:rFonts w:ascii="Calibri" w:hAnsi="Calibri" w:cs="Calibri"/>
          <w:bCs/>
          <w:szCs w:val="24"/>
        </w:rPr>
        <w:t xml:space="preserve"> per ragioni statistiche</w:t>
      </w:r>
      <w:r w:rsidR="00873960">
        <w:rPr>
          <w:rFonts w:ascii="Calibri" w:hAnsi="Calibri" w:cs="Calibri"/>
          <w:bCs/>
          <w:szCs w:val="24"/>
        </w:rPr>
        <w:t>, si nascondono dettagli importanti</w:t>
      </w:r>
      <w:r w:rsidR="00FB07C0">
        <w:rPr>
          <w:rFonts w:ascii="Calibri" w:hAnsi="Calibri" w:cs="Calibri"/>
          <w:bCs/>
          <w:szCs w:val="24"/>
        </w:rPr>
        <w:t>. Il primo, come già evidenziato nella parte regionale:</w:t>
      </w:r>
      <w:r w:rsidR="00873960">
        <w:rPr>
          <w:rFonts w:ascii="Calibri" w:hAnsi="Calibri" w:cs="Calibri"/>
          <w:bCs/>
          <w:szCs w:val="24"/>
        </w:rPr>
        <w:t xml:space="preserve"> </w:t>
      </w:r>
      <w:r w:rsidR="00FB07C0">
        <w:rPr>
          <w:rFonts w:ascii="Calibri" w:hAnsi="Calibri" w:cs="Calibri"/>
          <w:bCs/>
          <w:szCs w:val="24"/>
        </w:rPr>
        <w:t xml:space="preserve">si contrae del -5,1% anche la produzione nell’occhialeria, un dato che non ha precedenti stagionali. Bisogna risalire al 2020 per trovare, per l’occhialeria, una variazione negativa su base tendenziale. </w:t>
      </w:r>
    </w:p>
    <w:p w14:paraId="27348E15" w14:textId="222C7B2B" w:rsidR="00802FD1" w:rsidRDefault="00FB07C0" w:rsidP="00B23D40">
      <w:pPr>
        <w:spacing w:before="240" w:after="120"/>
        <w:rPr>
          <w:rFonts w:ascii="Calibri" w:hAnsi="Calibri" w:cs="Calibri"/>
          <w:bCs/>
          <w:szCs w:val="24"/>
        </w:rPr>
      </w:pPr>
      <w:r>
        <w:rPr>
          <w:rFonts w:ascii="Calibri" w:hAnsi="Calibri" w:cs="Calibri"/>
          <w:bCs/>
          <w:szCs w:val="24"/>
        </w:rPr>
        <w:t xml:space="preserve">Ma se la matematica non è un’opinione, appare evidente che altri settori concorrono in modo maggiore </w:t>
      </w:r>
      <w:r w:rsidR="001E1B93">
        <w:rPr>
          <w:rFonts w:ascii="Calibri" w:hAnsi="Calibri" w:cs="Calibri"/>
          <w:bCs/>
          <w:szCs w:val="24"/>
        </w:rPr>
        <w:t xml:space="preserve">alla flessione complessiva della produzione manifatturiera nel bellunese: sono </w:t>
      </w:r>
      <w:r w:rsidR="00873960">
        <w:rPr>
          <w:rFonts w:ascii="Calibri" w:hAnsi="Calibri" w:cs="Calibri"/>
          <w:bCs/>
          <w:szCs w:val="24"/>
        </w:rPr>
        <w:t xml:space="preserve">l’industria dei metalli, dei macchinari e delle apparecchiature elettriche (con imprese </w:t>
      </w:r>
      <w:r w:rsidR="002E22C4">
        <w:rPr>
          <w:rFonts w:ascii="Calibri" w:hAnsi="Calibri" w:cs="Calibri"/>
          <w:bCs/>
          <w:szCs w:val="24"/>
        </w:rPr>
        <w:t xml:space="preserve">in </w:t>
      </w:r>
      <w:r w:rsidR="00873960">
        <w:rPr>
          <w:rFonts w:ascii="Calibri" w:hAnsi="Calibri" w:cs="Calibri"/>
          <w:bCs/>
          <w:szCs w:val="24"/>
        </w:rPr>
        <w:t>parte connesse alla filiera del freddo)</w:t>
      </w:r>
      <w:r w:rsidR="000029B3">
        <w:rPr>
          <w:rFonts w:ascii="Calibri" w:hAnsi="Calibri" w:cs="Calibri"/>
          <w:bCs/>
          <w:szCs w:val="24"/>
        </w:rPr>
        <w:t>, del tessile</w:t>
      </w:r>
      <w:r w:rsidR="00873960">
        <w:rPr>
          <w:rFonts w:ascii="Calibri" w:hAnsi="Calibri" w:cs="Calibri"/>
          <w:bCs/>
          <w:szCs w:val="24"/>
        </w:rPr>
        <w:t>.</w:t>
      </w:r>
      <w:r w:rsidR="000C4A2A">
        <w:rPr>
          <w:rFonts w:ascii="Calibri" w:hAnsi="Calibri" w:cs="Calibri"/>
          <w:bCs/>
          <w:szCs w:val="24"/>
        </w:rPr>
        <w:t xml:space="preserve"> </w:t>
      </w:r>
      <w:r w:rsidR="001E1B93">
        <w:rPr>
          <w:rFonts w:ascii="Calibri" w:hAnsi="Calibri" w:cs="Calibri"/>
          <w:bCs/>
          <w:szCs w:val="24"/>
        </w:rPr>
        <w:t xml:space="preserve">Di questa flessione differenziata fra settori se ne ha prova anche attraverso i </w:t>
      </w:r>
      <w:r w:rsidR="000C4A2A">
        <w:rPr>
          <w:rFonts w:ascii="Calibri" w:hAnsi="Calibri" w:cs="Calibri"/>
          <w:bCs/>
          <w:szCs w:val="24"/>
        </w:rPr>
        <w:t>più solidi dati Istat sulle esportazioni</w:t>
      </w:r>
      <w:r w:rsidR="001E1B93">
        <w:rPr>
          <w:rFonts w:ascii="Calibri" w:hAnsi="Calibri" w:cs="Calibri"/>
          <w:bCs/>
          <w:szCs w:val="24"/>
        </w:rPr>
        <w:t xml:space="preserve">, pur riferiti al primo </w:t>
      </w:r>
      <w:r w:rsidR="000C4A2A">
        <w:rPr>
          <w:rFonts w:ascii="Calibri" w:hAnsi="Calibri" w:cs="Calibri"/>
          <w:bCs/>
          <w:szCs w:val="24"/>
        </w:rPr>
        <w:t>semestre 2024</w:t>
      </w:r>
      <w:r w:rsidR="001E1B93">
        <w:rPr>
          <w:rFonts w:ascii="Calibri" w:hAnsi="Calibri" w:cs="Calibri"/>
          <w:bCs/>
          <w:szCs w:val="24"/>
        </w:rPr>
        <w:t>: in quei dati, confrontati con lo stesso periodo dell’anno precedente,</w:t>
      </w:r>
      <w:r w:rsidR="000C4A2A">
        <w:rPr>
          <w:rFonts w:ascii="Calibri" w:hAnsi="Calibri" w:cs="Calibri"/>
          <w:bCs/>
          <w:szCs w:val="24"/>
        </w:rPr>
        <w:t xml:space="preserve"> già emergeva che la contrazione delle vendite all’estero risultava </w:t>
      </w:r>
      <w:r w:rsidR="001E1B93">
        <w:rPr>
          <w:rFonts w:ascii="Calibri" w:hAnsi="Calibri" w:cs="Calibri"/>
          <w:bCs/>
          <w:szCs w:val="24"/>
        </w:rPr>
        <w:t>“</w:t>
      </w:r>
      <w:r w:rsidR="000C4A2A">
        <w:rPr>
          <w:rFonts w:ascii="Calibri" w:hAnsi="Calibri" w:cs="Calibri"/>
          <w:bCs/>
          <w:szCs w:val="24"/>
        </w:rPr>
        <w:t>limitata</w:t>
      </w:r>
      <w:r w:rsidR="001E1B93">
        <w:rPr>
          <w:rFonts w:ascii="Calibri" w:hAnsi="Calibri" w:cs="Calibri"/>
          <w:bCs/>
          <w:szCs w:val="24"/>
        </w:rPr>
        <w:t>”</w:t>
      </w:r>
      <w:r w:rsidR="000C4A2A">
        <w:rPr>
          <w:rFonts w:ascii="Calibri" w:hAnsi="Calibri" w:cs="Calibri"/>
          <w:bCs/>
          <w:szCs w:val="24"/>
        </w:rPr>
        <w:t xml:space="preserve"> al -4,2% per l’occhialeria, contro il -13,1% per tutti gli altri settori industriali</w:t>
      </w:r>
      <w:r w:rsidR="001E1B93">
        <w:rPr>
          <w:rFonts w:ascii="Calibri" w:hAnsi="Calibri" w:cs="Calibri"/>
          <w:bCs/>
          <w:szCs w:val="24"/>
        </w:rPr>
        <w:t>.</w:t>
      </w:r>
    </w:p>
    <w:p w14:paraId="1F1F2D35" w14:textId="1877F52D" w:rsidR="00802FD1" w:rsidRDefault="000C4A2A" w:rsidP="00B23D40">
      <w:pPr>
        <w:spacing w:before="240" w:after="120"/>
        <w:rPr>
          <w:rFonts w:ascii="Calibri" w:hAnsi="Calibri" w:cs="Calibri"/>
          <w:bCs/>
          <w:szCs w:val="24"/>
        </w:rPr>
      </w:pPr>
      <w:r>
        <w:rPr>
          <w:rFonts w:ascii="Calibri" w:hAnsi="Calibri" w:cs="Calibri"/>
          <w:bCs/>
          <w:szCs w:val="24"/>
        </w:rPr>
        <w:t>Un q</w:t>
      </w:r>
      <w:r w:rsidR="002E22C4">
        <w:rPr>
          <w:rFonts w:ascii="Calibri" w:hAnsi="Calibri" w:cs="Calibri"/>
          <w:bCs/>
          <w:szCs w:val="24"/>
        </w:rPr>
        <w:t xml:space="preserve">uadro </w:t>
      </w:r>
      <w:r w:rsidR="000029B3">
        <w:rPr>
          <w:rFonts w:ascii="Calibri" w:hAnsi="Calibri" w:cs="Calibri"/>
          <w:bCs/>
          <w:szCs w:val="24"/>
        </w:rPr>
        <w:t xml:space="preserve">diffuso di negatività </w:t>
      </w:r>
      <w:r w:rsidR="002E22C4">
        <w:rPr>
          <w:rFonts w:ascii="Calibri" w:hAnsi="Calibri" w:cs="Calibri"/>
          <w:bCs/>
          <w:szCs w:val="24"/>
        </w:rPr>
        <w:t>d</w:t>
      </w:r>
      <w:r>
        <w:rPr>
          <w:rFonts w:ascii="Calibri" w:hAnsi="Calibri" w:cs="Calibri"/>
          <w:bCs/>
          <w:szCs w:val="24"/>
        </w:rPr>
        <w:t>unque d</w:t>
      </w:r>
      <w:r w:rsidR="002E22C4">
        <w:rPr>
          <w:rFonts w:ascii="Calibri" w:hAnsi="Calibri" w:cs="Calibri"/>
          <w:bCs/>
          <w:szCs w:val="24"/>
        </w:rPr>
        <w:t>a non sottovalutare</w:t>
      </w:r>
      <w:r w:rsidR="00802FD1">
        <w:rPr>
          <w:rFonts w:ascii="Calibri" w:hAnsi="Calibri" w:cs="Calibri"/>
          <w:bCs/>
          <w:szCs w:val="24"/>
        </w:rPr>
        <w:t>, che tuttavia, come per il contesto regionale,</w:t>
      </w:r>
      <w:r w:rsidR="000029B3">
        <w:rPr>
          <w:rFonts w:ascii="Calibri" w:hAnsi="Calibri" w:cs="Calibri"/>
          <w:bCs/>
          <w:szCs w:val="24"/>
        </w:rPr>
        <w:t xml:space="preserve"> ancora</w:t>
      </w:r>
      <w:r w:rsidR="00802FD1">
        <w:rPr>
          <w:rFonts w:ascii="Calibri" w:hAnsi="Calibri" w:cs="Calibri"/>
          <w:bCs/>
          <w:szCs w:val="24"/>
        </w:rPr>
        <w:t xml:space="preserve"> non si trasferisce automaticamente al grado di utilizzo degli impianti, che resta attorno al 70% della capacità produttiva, in linea con quanto evidenziato nei trimestri precedenti</w:t>
      </w:r>
      <w:r w:rsidR="000029B3">
        <w:rPr>
          <w:rFonts w:ascii="Calibri" w:hAnsi="Calibri" w:cs="Calibri"/>
          <w:bCs/>
          <w:szCs w:val="24"/>
        </w:rPr>
        <w:t xml:space="preserve"> del 2024 come per tutto l’anno 2023.</w:t>
      </w:r>
    </w:p>
    <w:p w14:paraId="0BB8A737" w14:textId="52B3AA7D" w:rsidR="00CA0549" w:rsidRDefault="000029B3" w:rsidP="00B23D40">
      <w:pPr>
        <w:spacing w:before="240" w:after="120"/>
        <w:rPr>
          <w:rFonts w:ascii="Calibri" w:hAnsi="Calibri" w:cs="Calibri"/>
          <w:bCs/>
          <w:szCs w:val="24"/>
        </w:rPr>
      </w:pPr>
      <w:r>
        <w:rPr>
          <w:rFonts w:ascii="Calibri" w:hAnsi="Calibri" w:cs="Calibri"/>
          <w:bCs/>
          <w:szCs w:val="24"/>
        </w:rPr>
        <w:t xml:space="preserve">Anche la lunghezza del portafoglio ordini si assesta di poco al ribasso: portandosi a 55 giorni di produzione assicurata nel trimestre in esame, rispetto ai 57 giorni dello scorso trimestre. </w:t>
      </w:r>
      <w:r w:rsidR="00CA0549">
        <w:rPr>
          <w:rFonts w:ascii="Calibri" w:hAnsi="Calibri" w:cs="Calibri"/>
          <w:bCs/>
          <w:szCs w:val="24"/>
        </w:rPr>
        <w:t xml:space="preserve">Conseguenza di una raccolta ordini non brillante, ma neppure troppo in negativo: su base tendenziale i nuovi ordini dall’estero sono calati “solo” del -0,6%, mentre i nuovi ordini dal mercato interno sono persino cresciuti del +2,2%. Con questi effetti compensazione, fra settori e probabilmente anche fra imprese, si spiega, almeno finora (la formula è assolutamente d’obbligo) la tenuta del portafoglio ordini, su valori in </w:t>
      </w:r>
      <w:r>
        <w:rPr>
          <w:rFonts w:ascii="Calibri" w:hAnsi="Calibri" w:cs="Calibri"/>
          <w:bCs/>
          <w:szCs w:val="24"/>
        </w:rPr>
        <w:t xml:space="preserve">linea </w:t>
      </w:r>
      <w:r w:rsidR="00CA0549">
        <w:rPr>
          <w:rFonts w:ascii="Calibri" w:hAnsi="Calibri" w:cs="Calibri"/>
          <w:bCs/>
          <w:szCs w:val="24"/>
        </w:rPr>
        <w:t xml:space="preserve">con </w:t>
      </w:r>
      <w:r>
        <w:rPr>
          <w:rFonts w:ascii="Calibri" w:hAnsi="Calibri" w:cs="Calibri"/>
          <w:bCs/>
          <w:szCs w:val="24"/>
        </w:rPr>
        <w:t>il dato medio del 2023 (</w:t>
      </w:r>
      <w:r w:rsidR="00CA0549">
        <w:rPr>
          <w:rFonts w:ascii="Calibri" w:hAnsi="Calibri" w:cs="Calibri"/>
          <w:bCs/>
          <w:szCs w:val="24"/>
        </w:rPr>
        <w:t xml:space="preserve">come anche del periodo </w:t>
      </w:r>
      <w:proofErr w:type="spellStart"/>
      <w:r w:rsidR="00CA0549">
        <w:rPr>
          <w:rFonts w:ascii="Calibri" w:hAnsi="Calibri" w:cs="Calibri"/>
          <w:bCs/>
          <w:szCs w:val="24"/>
        </w:rPr>
        <w:t>pre</w:t>
      </w:r>
      <w:proofErr w:type="spellEnd"/>
      <w:r w:rsidR="00CA0549">
        <w:rPr>
          <w:rFonts w:ascii="Calibri" w:hAnsi="Calibri" w:cs="Calibri"/>
          <w:bCs/>
          <w:szCs w:val="24"/>
        </w:rPr>
        <w:t xml:space="preserve">-Covid). Giusto il fatturato accusa una contrazione: </w:t>
      </w:r>
      <w:r>
        <w:rPr>
          <w:rFonts w:ascii="Calibri" w:hAnsi="Calibri" w:cs="Calibri"/>
          <w:bCs/>
          <w:szCs w:val="24"/>
        </w:rPr>
        <w:t xml:space="preserve">del -2,0% </w:t>
      </w:r>
      <w:r w:rsidR="00CA0549">
        <w:rPr>
          <w:rFonts w:ascii="Calibri" w:hAnsi="Calibri" w:cs="Calibri"/>
          <w:bCs/>
          <w:szCs w:val="24"/>
        </w:rPr>
        <w:t xml:space="preserve">nel complesso, </w:t>
      </w:r>
      <w:r w:rsidR="001F55CB">
        <w:rPr>
          <w:rFonts w:ascii="Calibri" w:hAnsi="Calibri" w:cs="Calibri"/>
          <w:bCs/>
          <w:szCs w:val="24"/>
        </w:rPr>
        <w:t>che sale al -5,8% per le vendite all’estero: sempre con riferimento allo stesso trimestre dell’anno precedente.</w:t>
      </w:r>
    </w:p>
    <w:p w14:paraId="01898F57" w14:textId="446FCDF2" w:rsidR="001F55CB" w:rsidRDefault="00CA0549" w:rsidP="00B23D40">
      <w:pPr>
        <w:spacing w:before="240" w:after="120"/>
        <w:rPr>
          <w:rFonts w:ascii="Calibri" w:hAnsi="Calibri" w:cs="Calibri"/>
          <w:bCs/>
          <w:szCs w:val="24"/>
        </w:rPr>
      </w:pPr>
      <w:r>
        <w:rPr>
          <w:rFonts w:ascii="Calibri" w:hAnsi="Calibri" w:cs="Calibri"/>
          <w:bCs/>
          <w:szCs w:val="24"/>
        </w:rPr>
        <w:t xml:space="preserve">Il tutto si sorregge su equilibri fragili, se </w:t>
      </w:r>
      <w:r w:rsidR="001F55CB">
        <w:rPr>
          <w:rFonts w:ascii="Calibri" w:hAnsi="Calibri" w:cs="Calibri"/>
          <w:bCs/>
          <w:szCs w:val="24"/>
        </w:rPr>
        <w:t xml:space="preserve">si analizzano </w:t>
      </w:r>
      <w:r>
        <w:rPr>
          <w:rFonts w:ascii="Calibri" w:hAnsi="Calibri" w:cs="Calibri"/>
          <w:bCs/>
          <w:szCs w:val="24"/>
        </w:rPr>
        <w:t xml:space="preserve">le previsioni raccolte dalle imprese manifatturiere bellunesi per l’ultimo trimestre 2024. Le nubi si addensano, come a livello regionale, </w:t>
      </w:r>
      <w:r w:rsidR="001F55CB">
        <w:rPr>
          <w:rFonts w:ascii="Calibri" w:hAnsi="Calibri" w:cs="Calibri"/>
          <w:bCs/>
          <w:szCs w:val="24"/>
        </w:rPr>
        <w:t xml:space="preserve">soprattutto </w:t>
      </w:r>
      <w:r>
        <w:rPr>
          <w:rFonts w:ascii="Calibri" w:hAnsi="Calibri" w:cs="Calibri"/>
          <w:bCs/>
          <w:szCs w:val="24"/>
        </w:rPr>
        <w:t xml:space="preserve">sulla domanda estera: </w:t>
      </w:r>
      <w:r w:rsidR="001F55CB">
        <w:rPr>
          <w:rFonts w:ascii="Calibri" w:hAnsi="Calibri" w:cs="Calibri"/>
          <w:bCs/>
          <w:szCs w:val="24"/>
        </w:rPr>
        <w:t xml:space="preserve">i giudizi di crescita o flessione si elidono a vicenda, il 30% degli intervistati </w:t>
      </w:r>
      <w:r>
        <w:rPr>
          <w:rFonts w:ascii="Calibri" w:hAnsi="Calibri" w:cs="Calibri"/>
          <w:bCs/>
          <w:szCs w:val="24"/>
        </w:rPr>
        <w:t>si attende una ripartenza de</w:t>
      </w:r>
      <w:r w:rsidR="001F55CB">
        <w:rPr>
          <w:rFonts w:ascii="Calibri" w:hAnsi="Calibri" w:cs="Calibri"/>
          <w:bCs/>
          <w:szCs w:val="24"/>
        </w:rPr>
        <w:t>i mercati, quasi pari quota manifesta invece pessimismo. In mezzo, la maggioranza assoluta (41%) ritiene più credibile una situazione di stazionarietà. Non per l’occhialeria, però, dove le indicazioni di crescita della domanda estera polarizzano l’ampia maggioranza degli intervistati.</w:t>
      </w:r>
    </w:p>
    <w:p w14:paraId="67BBDB58" w14:textId="7E62960A" w:rsidR="002D000D" w:rsidRDefault="002D000D" w:rsidP="002D000D">
      <w:pPr>
        <w:spacing w:after="120"/>
        <w:rPr>
          <w:rFonts w:ascii="Calibri" w:hAnsi="Calibri" w:cs="Calibri"/>
          <w:bCs/>
          <w:szCs w:val="24"/>
          <w:highlight w:val="yellow"/>
        </w:rPr>
      </w:pPr>
    </w:p>
    <w:p w14:paraId="3EE11452" w14:textId="77777777" w:rsidR="00433D95" w:rsidRDefault="00433D95" w:rsidP="002D000D">
      <w:pPr>
        <w:spacing w:after="120"/>
        <w:rPr>
          <w:rFonts w:ascii="Calibri" w:hAnsi="Calibri" w:cs="Calibri"/>
          <w:bCs/>
          <w:szCs w:val="24"/>
          <w:highlight w:val="yellow"/>
        </w:rPr>
      </w:pPr>
    </w:p>
    <w:p w14:paraId="2296D873" w14:textId="77777777" w:rsidR="00433D95" w:rsidRDefault="00433D95" w:rsidP="002D000D">
      <w:pPr>
        <w:spacing w:after="120"/>
        <w:rPr>
          <w:rFonts w:ascii="Calibri" w:hAnsi="Calibri" w:cs="Calibri"/>
          <w:bCs/>
          <w:szCs w:val="24"/>
          <w:highlight w:val="yellow"/>
        </w:rPr>
      </w:pPr>
    </w:p>
    <w:p w14:paraId="181AEEF7" w14:textId="77777777" w:rsidR="00433D95" w:rsidRDefault="00433D95" w:rsidP="002D000D">
      <w:pPr>
        <w:spacing w:after="120"/>
        <w:rPr>
          <w:rFonts w:ascii="Calibri" w:hAnsi="Calibri" w:cs="Calibri"/>
          <w:bCs/>
          <w:szCs w:val="24"/>
          <w:highlight w:val="yellow"/>
        </w:rPr>
      </w:pPr>
    </w:p>
    <w:p w14:paraId="3E2BFBCC" w14:textId="77777777" w:rsidR="00433D95" w:rsidRPr="007A1A88" w:rsidRDefault="00433D95" w:rsidP="002D000D">
      <w:pPr>
        <w:spacing w:after="120"/>
        <w:rPr>
          <w:rFonts w:ascii="Calibri" w:hAnsi="Calibri" w:cs="Calibri"/>
          <w:bCs/>
          <w:szCs w:val="24"/>
          <w:highlight w:val="yellow"/>
        </w:rPr>
      </w:pPr>
    </w:p>
    <w:tbl>
      <w:tblPr>
        <w:tblStyle w:val="Grigliatabella"/>
        <w:tblpPr w:leftFromText="141" w:rightFromText="141" w:vertAnchor="text" w:horzAnchor="margin"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2D000D" w:rsidRPr="00C04857" w14:paraId="547DFA34" w14:textId="77777777" w:rsidTr="004540C5">
        <w:tc>
          <w:tcPr>
            <w:tcW w:w="8788" w:type="dxa"/>
            <w:shd w:val="clear" w:color="auto" w:fill="auto"/>
          </w:tcPr>
          <w:p w14:paraId="2CDAA2A0" w14:textId="196414BC" w:rsidR="002D000D" w:rsidRPr="00C04857" w:rsidRDefault="002D000D" w:rsidP="004540C5">
            <w:pPr>
              <w:pStyle w:val="Titolo1"/>
              <w:jc w:val="left"/>
              <w:rPr>
                <w:rFonts w:ascii="Calibri" w:hAnsi="Calibri" w:cs="Arial"/>
                <w:b w:val="0"/>
                <w:bCs/>
                <w:color w:val="00B0F0"/>
                <w:sz w:val="20"/>
              </w:rPr>
            </w:pPr>
            <w:r w:rsidRPr="00C04857">
              <w:rPr>
                <w:rFonts w:ascii="Calibri" w:hAnsi="Calibri" w:cs="Arial"/>
                <w:bCs/>
                <w:sz w:val="20"/>
              </w:rPr>
              <w:lastRenderedPageBreak/>
              <w:t xml:space="preserve">Tab. </w:t>
            </w:r>
            <w:r w:rsidR="00C506B1">
              <w:rPr>
                <w:rFonts w:ascii="Calibri" w:hAnsi="Calibri" w:cs="Arial"/>
                <w:bCs/>
                <w:sz w:val="20"/>
              </w:rPr>
              <w:t>2</w:t>
            </w:r>
            <w:r w:rsidRPr="00C04857">
              <w:rPr>
                <w:rFonts w:ascii="Calibri" w:hAnsi="Calibri" w:cs="Arial"/>
                <w:bCs/>
                <w:sz w:val="20"/>
              </w:rPr>
              <w:t xml:space="preserve"> </w:t>
            </w:r>
            <w:r w:rsidR="00433D95">
              <w:rPr>
                <w:rFonts w:ascii="Calibri" w:hAnsi="Calibri" w:cs="Arial"/>
                <w:bCs/>
                <w:sz w:val="20"/>
              </w:rPr>
              <w:t>–</w:t>
            </w:r>
            <w:r w:rsidRPr="00C04857">
              <w:rPr>
                <w:rFonts w:ascii="Calibri" w:hAnsi="Calibri" w:cs="Arial"/>
                <w:bCs/>
                <w:sz w:val="20"/>
              </w:rPr>
              <w:t xml:space="preserve"> </w:t>
            </w:r>
            <w:r w:rsidR="00433D95" w:rsidRPr="00433D95">
              <w:rPr>
                <w:rFonts w:ascii="Calibri" w:hAnsi="Calibri" w:cs="Arial"/>
                <w:bCs/>
                <w:color w:val="00B0F0"/>
                <w:sz w:val="20"/>
              </w:rPr>
              <w:t xml:space="preserve">Veneto e </w:t>
            </w:r>
            <w:r w:rsidRPr="00433D95">
              <w:rPr>
                <w:rFonts w:ascii="Calibri" w:hAnsi="Calibri" w:cs="Arial"/>
                <w:bCs/>
                <w:color w:val="00B0F0"/>
                <w:sz w:val="20"/>
              </w:rPr>
              <w:t xml:space="preserve">Province di </w:t>
            </w:r>
            <w:r w:rsidR="00433D95">
              <w:rPr>
                <w:rFonts w:ascii="Calibri" w:hAnsi="Calibri" w:cs="Arial"/>
                <w:bCs/>
                <w:color w:val="00B0F0"/>
                <w:sz w:val="20"/>
              </w:rPr>
              <w:t>Treviso</w:t>
            </w:r>
            <w:r w:rsidRPr="00433D95">
              <w:rPr>
                <w:rFonts w:ascii="Calibri" w:hAnsi="Calibri" w:cs="Arial"/>
                <w:bCs/>
                <w:color w:val="00B0F0"/>
                <w:sz w:val="20"/>
              </w:rPr>
              <w:t xml:space="preserve"> e di </w:t>
            </w:r>
            <w:r w:rsidR="00433D95">
              <w:rPr>
                <w:rFonts w:ascii="Calibri" w:hAnsi="Calibri" w:cs="Arial"/>
                <w:bCs/>
                <w:color w:val="00B0F0"/>
                <w:sz w:val="20"/>
              </w:rPr>
              <w:t>Belluno</w:t>
            </w:r>
            <w:r w:rsidRPr="00433D95">
              <w:rPr>
                <w:rFonts w:ascii="Calibri" w:hAnsi="Calibri" w:cs="Arial"/>
                <w:bCs/>
                <w:color w:val="00B0F0"/>
                <w:sz w:val="20"/>
              </w:rPr>
              <w:t xml:space="preserve">. </w:t>
            </w:r>
          </w:p>
          <w:p w14:paraId="5A9D9DEE" w14:textId="51E26F45" w:rsidR="002D000D" w:rsidRPr="00C04857" w:rsidRDefault="002D000D" w:rsidP="004540C5">
            <w:pPr>
              <w:pStyle w:val="Titolo1"/>
              <w:jc w:val="left"/>
              <w:rPr>
                <w:rFonts w:ascii="Calibri" w:hAnsi="Calibri" w:cs="Arial"/>
                <w:bCs/>
                <w:sz w:val="20"/>
              </w:rPr>
            </w:pPr>
            <w:r w:rsidRPr="00C04857">
              <w:rPr>
                <w:rFonts w:ascii="Calibri" w:hAnsi="Calibri" w:cs="Arial"/>
                <w:bCs/>
                <w:sz w:val="20"/>
              </w:rPr>
              <w:t xml:space="preserve">Andamento dei principali indicatori dell’industria manifatturiera nel </w:t>
            </w:r>
            <w:r w:rsidR="006574CC">
              <w:rPr>
                <w:rFonts w:ascii="Calibri" w:hAnsi="Calibri" w:cs="Arial"/>
                <w:bCs/>
                <w:sz w:val="20"/>
              </w:rPr>
              <w:t>terzo</w:t>
            </w:r>
            <w:r w:rsidRPr="00C04857">
              <w:rPr>
                <w:rFonts w:ascii="Calibri" w:hAnsi="Calibri" w:cs="Arial"/>
                <w:bCs/>
                <w:sz w:val="20"/>
              </w:rPr>
              <w:t xml:space="preserve"> trimestre 2024</w:t>
            </w:r>
          </w:p>
          <w:p w14:paraId="6BC08A13" w14:textId="77777777" w:rsidR="002D000D" w:rsidRPr="00C04857" w:rsidRDefault="002D000D" w:rsidP="004540C5">
            <w:pPr>
              <w:pStyle w:val="Titolo1"/>
              <w:spacing w:after="120"/>
              <w:jc w:val="left"/>
            </w:pPr>
            <w:r w:rsidRPr="00C04857">
              <w:rPr>
                <w:rFonts w:ascii="Calibri" w:hAnsi="Calibri" w:cs="Arial"/>
                <w:b w:val="0"/>
                <w:bCs/>
                <w:sz w:val="20"/>
              </w:rPr>
              <w:t>(variazione % congiunturale ed annuale)</w:t>
            </w:r>
          </w:p>
        </w:tc>
      </w:tr>
      <w:tr w:rsidR="002D000D" w:rsidRPr="00C04857" w14:paraId="63FC8D41" w14:textId="77777777" w:rsidTr="004540C5">
        <w:tc>
          <w:tcPr>
            <w:tcW w:w="8788" w:type="dxa"/>
            <w:shd w:val="clear" w:color="auto" w:fill="auto"/>
          </w:tcPr>
          <w:p w14:paraId="7FF48E1B" w14:textId="2E8C6A91" w:rsidR="002D000D" w:rsidRPr="00C04857" w:rsidRDefault="002D1BE9" w:rsidP="004540C5">
            <w:pPr>
              <w:tabs>
                <w:tab w:val="left" w:pos="3256"/>
              </w:tabs>
              <w:spacing w:before="40"/>
              <w:jc w:val="center"/>
              <w:rPr>
                <w:rFonts w:ascii="Arial" w:hAnsi="Arial" w:cs="Arial"/>
                <w:b/>
                <w:bCs/>
                <w:sz w:val="20"/>
              </w:rPr>
            </w:pPr>
            <w:r w:rsidRPr="002D1BE9">
              <w:rPr>
                <w:rFonts w:ascii="Arial" w:hAnsi="Arial" w:cs="Arial"/>
                <w:b/>
                <w:bCs/>
                <w:noProof/>
                <w:sz w:val="20"/>
              </w:rPr>
              <w:drawing>
                <wp:inline distT="0" distB="0" distL="0" distR="0" wp14:anchorId="3B55AA2C" wp14:editId="17252BA7">
                  <wp:extent cx="3567745" cy="1783873"/>
                  <wp:effectExtent l="0" t="0" r="0" b="0"/>
                  <wp:docPr id="141248429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2860" cy="1791431"/>
                          </a:xfrm>
                          <a:prstGeom prst="rect">
                            <a:avLst/>
                          </a:prstGeom>
                          <a:noFill/>
                          <a:ln>
                            <a:noFill/>
                          </a:ln>
                        </pic:spPr>
                      </pic:pic>
                    </a:graphicData>
                  </a:graphic>
                </wp:inline>
              </w:drawing>
            </w:r>
          </w:p>
        </w:tc>
      </w:tr>
      <w:tr w:rsidR="002D000D" w:rsidRPr="00C04857" w14:paraId="77DE2441" w14:textId="77777777" w:rsidTr="004540C5">
        <w:tc>
          <w:tcPr>
            <w:tcW w:w="8788" w:type="dxa"/>
            <w:shd w:val="clear" w:color="auto" w:fill="auto"/>
          </w:tcPr>
          <w:p w14:paraId="6AC3E2BC" w14:textId="77777777" w:rsidR="002D000D" w:rsidRPr="00C04857" w:rsidRDefault="002D000D" w:rsidP="004540C5">
            <w:pPr>
              <w:tabs>
                <w:tab w:val="left" w:pos="3256"/>
              </w:tabs>
              <w:spacing w:before="40"/>
              <w:rPr>
                <w:rFonts w:ascii="Arial" w:hAnsi="Arial" w:cs="Arial"/>
                <w:b/>
                <w:bCs/>
                <w:sz w:val="20"/>
              </w:rPr>
            </w:pPr>
          </w:p>
        </w:tc>
      </w:tr>
      <w:tr w:rsidR="002D000D" w:rsidRPr="00C35859" w14:paraId="4B335F6A" w14:textId="77777777" w:rsidTr="004540C5">
        <w:trPr>
          <w:trHeight w:val="164"/>
        </w:trPr>
        <w:tc>
          <w:tcPr>
            <w:tcW w:w="8788" w:type="dxa"/>
            <w:shd w:val="clear" w:color="auto" w:fill="auto"/>
          </w:tcPr>
          <w:p w14:paraId="2021C947" w14:textId="77777777" w:rsidR="002D000D" w:rsidRPr="00C35859" w:rsidRDefault="002D000D" w:rsidP="004540C5">
            <w:pPr>
              <w:tabs>
                <w:tab w:val="left" w:pos="3256"/>
              </w:tabs>
              <w:spacing w:before="40"/>
              <w:rPr>
                <w:rFonts w:ascii="Arial" w:hAnsi="Arial" w:cs="Arial"/>
                <w:b/>
                <w:bCs/>
                <w:sz w:val="20"/>
              </w:rPr>
            </w:pPr>
            <w:r w:rsidRPr="00C04857">
              <w:rPr>
                <w:rFonts w:ascii="Arial" w:hAnsi="Arial" w:cs="Arial"/>
                <w:bCs/>
                <w:i/>
                <w:sz w:val="16"/>
                <w:szCs w:val="16"/>
                <w:shd w:val="clear" w:color="auto" w:fill="FFFFFF" w:themeFill="background1"/>
              </w:rPr>
              <w:t xml:space="preserve">Fonte: Unioncamere del Veneto - Indagine </w:t>
            </w:r>
            <w:proofErr w:type="spellStart"/>
            <w:r w:rsidRPr="00C04857">
              <w:rPr>
                <w:rFonts w:ascii="Arial" w:hAnsi="Arial" w:cs="Arial"/>
                <w:bCs/>
                <w:i/>
                <w:sz w:val="16"/>
                <w:szCs w:val="16"/>
                <w:shd w:val="clear" w:color="auto" w:fill="FFFFFF" w:themeFill="background1"/>
              </w:rPr>
              <w:t>VenetoCongiuntura</w:t>
            </w:r>
            <w:proofErr w:type="spellEnd"/>
          </w:p>
        </w:tc>
      </w:tr>
    </w:tbl>
    <w:p w14:paraId="43827710" w14:textId="77777777" w:rsidR="00B509EC" w:rsidRPr="002D000D" w:rsidRDefault="00B509EC" w:rsidP="005B3546">
      <w:pPr>
        <w:spacing w:before="240" w:after="120"/>
        <w:rPr>
          <w:rFonts w:ascii="Calibri" w:hAnsi="Calibri" w:cs="Calibri"/>
          <w:bCs/>
          <w:szCs w:val="24"/>
        </w:rPr>
      </w:pP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0D1F8B" w:rsidRPr="008203FB" w14:paraId="7DEF6A01" w14:textId="77777777" w:rsidTr="002F619F">
        <w:tc>
          <w:tcPr>
            <w:tcW w:w="8788" w:type="dxa"/>
            <w:shd w:val="clear" w:color="auto" w:fill="auto"/>
          </w:tcPr>
          <w:p w14:paraId="40536E98" w14:textId="77777777" w:rsidR="00342521" w:rsidRDefault="000D1F8B" w:rsidP="002F619F">
            <w:pPr>
              <w:pStyle w:val="Titolo1"/>
              <w:jc w:val="left"/>
              <w:rPr>
                <w:rFonts w:asciiTheme="minorHAnsi" w:hAnsiTheme="minorHAnsi" w:cs="Arial"/>
                <w:bCs/>
                <w:sz w:val="20"/>
              </w:rPr>
            </w:pPr>
            <w:r w:rsidRPr="00B106BE">
              <w:rPr>
                <w:rFonts w:asciiTheme="minorHAnsi" w:hAnsiTheme="minorHAnsi" w:cs="Arial"/>
                <w:bCs/>
                <w:sz w:val="20"/>
              </w:rPr>
              <w:t xml:space="preserve">Graf. </w:t>
            </w:r>
            <w:r>
              <w:rPr>
                <w:rFonts w:asciiTheme="minorHAnsi" w:hAnsiTheme="minorHAnsi" w:cs="Arial"/>
                <w:bCs/>
                <w:sz w:val="20"/>
              </w:rPr>
              <w:t>3</w:t>
            </w:r>
            <w:r w:rsidRPr="00B106BE">
              <w:rPr>
                <w:rFonts w:asciiTheme="minorHAnsi" w:hAnsiTheme="minorHAnsi" w:cs="Arial"/>
                <w:bCs/>
                <w:sz w:val="20"/>
              </w:rPr>
              <w:t xml:space="preserve"> – </w:t>
            </w:r>
            <w:r w:rsidRPr="00B106BE">
              <w:rPr>
                <w:rFonts w:asciiTheme="minorHAnsi" w:hAnsiTheme="minorHAnsi" w:cs="Arial"/>
                <w:bCs/>
                <w:color w:val="00B0F0"/>
                <w:sz w:val="20"/>
              </w:rPr>
              <w:t>Veneto.</w:t>
            </w:r>
            <w:r w:rsidRPr="00B106BE">
              <w:rPr>
                <w:rFonts w:asciiTheme="minorHAnsi" w:hAnsiTheme="minorHAnsi" w:cs="Arial"/>
                <w:bCs/>
                <w:color w:val="00B0F0"/>
                <w:sz w:val="20"/>
              </w:rPr>
              <w:br/>
            </w:r>
            <w:r w:rsidRPr="00B106BE">
              <w:rPr>
                <w:rFonts w:asciiTheme="minorHAnsi" w:hAnsiTheme="minorHAnsi" w:cs="Arial"/>
                <w:bCs/>
                <w:sz w:val="20"/>
              </w:rPr>
              <w:t xml:space="preserve">Variazione % nel </w:t>
            </w:r>
            <w:r>
              <w:rPr>
                <w:rFonts w:asciiTheme="minorHAnsi" w:hAnsiTheme="minorHAnsi" w:cs="Arial"/>
                <w:bCs/>
                <w:sz w:val="20"/>
              </w:rPr>
              <w:t>3</w:t>
            </w:r>
            <w:r w:rsidRPr="00B106BE">
              <w:rPr>
                <w:rFonts w:asciiTheme="minorHAnsi" w:hAnsiTheme="minorHAnsi" w:cs="Arial"/>
                <w:bCs/>
                <w:sz w:val="20"/>
              </w:rPr>
              <w:t>° trimestre 2024, rispetto al</w:t>
            </w:r>
            <w:r>
              <w:rPr>
                <w:rFonts w:asciiTheme="minorHAnsi" w:hAnsiTheme="minorHAnsi" w:cs="Arial"/>
                <w:bCs/>
                <w:sz w:val="20"/>
              </w:rPr>
              <w:t>lo stesso trimestre dell’anno precedente</w:t>
            </w:r>
            <w:r w:rsidRPr="00B106BE">
              <w:rPr>
                <w:rFonts w:asciiTheme="minorHAnsi" w:hAnsiTheme="minorHAnsi" w:cs="Arial"/>
                <w:bCs/>
                <w:sz w:val="20"/>
              </w:rPr>
              <w:t>, della PRODUZIONE, ORDINI INTERNI ed ORDINI ESTERI per i principali settori manifatturieri</w:t>
            </w:r>
            <w:r>
              <w:rPr>
                <w:rFonts w:asciiTheme="minorHAnsi" w:hAnsiTheme="minorHAnsi" w:cs="Arial"/>
                <w:bCs/>
                <w:sz w:val="20"/>
              </w:rPr>
              <w:t xml:space="preserve">. </w:t>
            </w:r>
          </w:p>
          <w:p w14:paraId="1B49EC00" w14:textId="12EA4485" w:rsidR="000D1F8B" w:rsidRPr="00466E0C" w:rsidRDefault="000D1F8B" w:rsidP="002F619F">
            <w:pPr>
              <w:pStyle w:val="Titolo1"/>
              <w:jc w:val="left"/>
              <w:rPr>
                <w:rFonts w:asciiTheme="minorHAnsi" w:hAnsiTheme="minorHAnsi" w:cs="Arial"/>
                <w:b w:val="0"/>
                <w:sz w:val="20"/>
              </w:rPr>
            </w:pPr>
            <w:r>
              <w:rPr>
                <w:rFonts w:asciiTheme="minorHAnsi" w:hAnsiTheme="minorHAnsi" w:cs="Arial"/>
                <w:b w:val="0"/>
                <w:sz w:val="20"/>
              </w:rPr>
              <w:t>Graduatoria in base alla variazione % degli ordini esteri</w:t>
            </w:r>
          </w:p>
        </w:tc>
      </w:tr>
      <w:tr w:rsidR="000D1F8B" w:rsidRPr="008203FB" w14:paraId="1811F3B9" w14:textId="77777777" w:rsidTr="002F619F">
        <w:tc>
          <w:tcPr>
            <w:tcW w:w="8788" w:type="dxa"/>
            <w:shd w:val="clear" w:color="auto" w:fill="auto"/>
          </w:tcPr>
          <w:p w14:paraId="64C2966E" w14:textId="77777777" w:rsidR="000D1F8B" w:rsidRPr="008203FB" w:rsidRDefault="000D1F8B" w:rsidP="002F619F">
            <w:pPr>
              <w:tabs>
                <w:tab w:val="left" w:pos="3256"/>
              </w:tabs>
              <w:spacing w:before="40"/>
              <w:jc w:val="center"/>
              <w:rPr>
                <w:rFonts w:asciiTheme="minorHAnsi" w:hAnsiTheme="minorHAnsi" w:cs="Arial"/>
                <w:b/>
                <w:bCs/>
                <w:sz w:val="20"/>
              </w:rPr>
            </w:pPr>
            <w:r w:rsidRPr="00466E0C">
              <w:rPr>
                <w:rFonts w:asciiTheme="minorHAnsi" w:hAnsiTheme="minorHAnsi" w:cs="Arial"/>
                <w:b/>
                <w:bCs/>
                <w:noProof/>
                <w:sz w:val="20"/>
              </w:rPr>
              <w:drawing>
                <wp:inline distT="0" distB="0" distL="0" distR="0" wp14:anchorId="66F2FCFB" wp14:editId="12E01768">
                  <wp:extent cx="4969824" cy="2183556"/>
                  <wp:effectExtent l="0" t="0" r="2540" b="7620"/>
                  <wp:docPr id="1838387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72975" cy="2184940"/>
                          </a:xfrm>
                          <a:prstGeom prst="rect">
                            <a:avLst/>
                          </a:prstGeom>
                          <a:noFill/>
                          <a:ln>
                            <a:noFill/>
                          </a:ln>
                        </pic:spPr>
                      </pic:pic>
                    </a:graphicData>
                  </a:graphic>
                </wp:inline>
              </w:drawing>
            </w:r>
          </w:p>
        </w:tc>
      </w:tr>
      <w:tr w:rsidR="000D1F8B" w:rsidRPr="008203FB" w14:paraId="6D516740" w14:textId="77777777" w:rsidTr="002F619F">
        <w:tc>
          <w:tcPr>
            <w:tcW w:w="8788" w:type="dxa"/>
            <w:shd w:val="clear" w:color="auto" w:fill="auto"/>
          </w:tcPr>
          <w:p w14:paraId="03BFBA0E" w14:textId="77777777" w:rsidR="000D1F8B" w:rsidRPr="008203FB" w:rsidRDefault="000D1F8B" w:rsidP="002F619F">
            <w:pPr>
              <w:tabs>
                <w:tab w:val="left" w:pos="3256"/>
              </w:tabs>
              <w:spacing w:before="40"/>
              <w:jc w:val="left"/>
              <w:rPr>
                <w:rFonts w:asciiTheme="minorHAnsi" w:hAnsiTheme="minorHAnsi" w:cs="Arial"/>
                <w:b/>
                <w:bCs/>
                <w:noProof/>
                <w:sz w:val="20"/>
              </w:rPr>
            </w:pPr>
            <w:r w:rsidRPr="008203FB">
              <w:rPr>
                <w:rFonts w:ascii="Arial" w:hAnsi="Arial" w:cs="Arial"/>
                <w:bCs/>
                <w:i/>
                <w:sz w:val="16"/>
                <w:szCs w:val="16"/>
                <w:shd w:val="clear" w:color="auto" w:fill="FFFFFF" w:themeFill="background1"/>
              </w:rPr>
              <w:t xml:space="preserve">Fonte: Elaborazioni Ufficio Studi e Statistica CCIAA Treviso-Belluno su dati Unioncamere del Veneto - Indagine </w:t>
            </w:r>
            <w:proofErr w:type="spellStart"/>
            <w:r w:rsidRPr="008203FB">
              <w:rPr>
                <w:rFonts w:ascii="Arial" w:hAnsi="Arial" w:cs="Arial"/>
                <w:bCs/>
                <w:i/>
                <w:sz w:val="16"/>
                <w:szCs w:val="16"/>
                <w:shd w:val="clear" w:color="auto" w:fill="FFFFFF" w:themeFill="background1"/>
              </w:rPr>
              <w:t>VenetoCongiuntura</w:t>
            </w:r>
            <w:proofErr w:type="spellEnd"/>
          </w:p>
        </w:tc>
      </w:tr>
    </w:tbl>
    <w:p w14:paraId="24DCFE4D" w14:textId="77777777" w:rsidR="00B258AB" w:rsidRPr="006768AA" w:rsidRDefault="00B258AB" w:rsidP="00937C1A">
      <w:pPr>
        <w:spacing w:line="320" w:lineRule="exact"/>
        <w:jc w:val="right"/>
        <w:rPr>
          <w:rFonts w:ascii="Calibri" w:hAnsi="Calibri" w:cs="Calibri"/>
          <w:i/>
          <w:color w:val="1D1B11"/>
          <w:szCs w:val="24"/>
          <w:highlight w:val="yellow"/>
        </w:rPr>
      </w:pPr>
    </w:p>
    <w:p w14:paraId="46358EDE" w14:textId="77777777" w:rsidR="00937C1A" w:rsidRPr="006768AA" w:rsidRDefault="00937C1A" w:rsidP="00937C1A">
      <w:pPr>
        <w:spacing w:line="320" w:lineRule="exact"/>
        <w:jc w:val="right"/>
        <w:rPr>
          <w:rFonts w:ascii="Calibri" w:hAnsi="Calibri" w:cs="Calibri"/>
          <w:i/>
          <w:color w:val="1D1B11"/>
          <w:szCs w:val="24"/>
        </w:rPr>
      </w:pPr>
      <w:r w:rsidRPr="006768AA">
        <w:rPr>
          <w:rFonts w:ascii="Calibri" w:hAnsi="Calibri" w:cs="Calibri"/>
          <w:i/>
          <w:color w:val="1D1B11"/>
          <w:szCs w:val="24"/>
        </w:rPr>
        <w:t>A cura dell’Ufficio Studi e Statistica della</w:t>
      </w:r>
    </w:p>
    <w:p w14:paraId="707BC277" w14:textId="77BEE4B4" w:rsidR="00937C1A" w:rsidRDefault="00937C1A" w:rsidP="00937C1A">
      <w:pPr>
        <w:spacing w:line="320" w:lineRule="exact"/>
        <w:jc w:val="right"/>
        <w:rPr>
          <w:rFonts w:ascii="Calibri" w:hAnsi="Calibri" w:cs="Calibri"/>
          <w:i/>
          <w:color w:val="1D1B11"/>
          <w:szCs w:val="24"/>
        </w:rPr>
      </w:pPr>
      <w:r w:rsidRPr="006768AA">
        <w:rPr>
          <w:rFonts w:ascii="Calibri" w:hAnsi="Calibri" w:cs="Calibri"/>
          <w:i/>
          <w:color w:val="1D1B11"/>
          <w:szCs w:val="24"/>
        </w:rPr>
        <w:t>Camera di Commercio di Treviso – Belluno</w:t>
      </w:r>
    </w:p>
    <w:p w14:paraId="7158CC64" w14:textId="76A61408" w:rsidR="006B3720" w:rsidRDefault="006B3720" w:rsidP="00937C1A">
      <w:pPr>
        <w:spacing w:line="320" w:lineRule="exact"/>
        <w:jc w:val="right"/>
        <w:rPr>
          <w:rFonts w:ascii="Calibri" w:hAnsi="Calibri" w:cs="Calibri"/>
          <w:i/>
          <w:color w:val="1D1B11"/>
          <w:szCs w:val="24"/>
        </w:rPr>
      </w:pPr>
    </w:p>
    <w:p w14:paraId="758A0418" w14:textId="77777777" w:rsidR="006B3720" w:rsidRPr="006768AA" w:rsidRDefault="006B3720" w:rsidP="00937C1A">
      <w:pPr>
        <w:spacing w:line="320" w:lineRule="exact"/>
        <w:jc w:val="right"/>
        <w:rPr>
          <w:rFonts w:ascii="Calibri" w:hAnsi="Calibri" w:cs="Calibri"/>
          <w:color w:val="1D1B11"/>
          <w:szCs w:val="24"/>
        </w:rPr>
      </w:pPr>
    </w:p>
    <w:p w14:paraId="56E049AA" w14:textId="77777777" w:rsidR="00937C1A" w:rsidRPr="006768AA" w:rsidRDefault="00937C1A" w:rsidP="00937C1A">
      <w:pPr>
        <w:pStyle w:val="Pidipagina"/>
        <w:keepNext/>
        <w:rPr>
          <w:rFonts w:ascii="Calibri" w:hAnsi="Calibri" w:cs="Calibri"/>
          <w:b/>
          <w:sz w:val="20"/>
        </w:rPr>
      </w:pPr>
      <w:r w:rsidRPr="006768AA">
        <w:rPr>
          <w:rFonts w:ascii="Calibri" w:hAnsi="Calibri" w:cs="Calibri"/>
          <w:b/>
          <w:sz w:val="20"/>
        </w:rPr>
        <w:t>Nota metodologica</w:t>
      </w:r>
    </w:p>
    <w:p w14:paraId="7576D11A" w14:textId="0F23BB43" w:rsidR="00937C1A" w:rsidRPr="006768AA" w:rsidRDefault="00937C1A" w:rsidP="00937C1A">
      <w:pPr>
        <w:pStyle w:val="Pidipagina"/>
        <w:rPr>
          <w:rFonts w:ascii="Calibri" w:hAnsi="Calibri" w:cs="Calibri"/>
          <w:sz w:val="20"/>
        </w:rPr>
      </w:pPr>
      <w:r w:rsidRPr="006768AA">
        <w:rPr>
          <w:rFonts w:ascii="Calibri" w:hAnsi="Calibri" w:cs="Calibri"/>
          <w:sz w:val="20"/>
        </w:rPr>
        <w:t xml:space="preserve">L’indagine Veneto Congiuntura </w:t>
      </w:r>
      <w:r w:rsidR="008E43F4" w:rsidRPr="006768AA">
        <w:rPr>
          <w:rFonts w:ascii="Calibri" w:hAnsi="Calibri" w:cs="Calibri"/>
          <w:sz w:val="20"/>
        </w:rPr>
        <w:t>del</w:t>
      </w:r>
      <w:r w:rsidR="00C75D2B">
        <w:rPr>
          <w:rFonts w:ascii="Calibri" w:hAnsi="Calibri" w:cs="Calibri"/>
          <w:sz w:val="20"/>
        </w:rPr>
        <w:t xml:space="preserve"> </w:t>
      </w:r>
      <w:r w:rsidR="00D628F0">
        <w:rPr>
          <w:rFonts w:ascii="Calibri" w:hAnsi="Calibri" w:cs="Calibri"/>
          <w:sz w:val="20"/>
        </w:rPr>
        <w:t>terzo</w:t>
      </w:r>
      <w:r w:rsidRPr="006768AA">
        <w:rPr>
          <w:rFonts w:ascii="Calibri" w:hAnsi="Calibri" w:cs="Calibri"/>
          <w:sz w:val="20"/>
        </w:rPr>
        <w:t xml:space="preserve"> trimestre 202</w:t>
      </w:r>
      <w:r w:rsidR="00C75D2B">
        <w:rPr>
          <w:rFonts w:ascii="Calibri" w:hAnsi="Calibri" w:cs="Calibri"/>
          <w:sz w:val="20"/>
        </w:rPr>
        <w:t>4</w:t>
      </w:r>
      <w:r w:rsidRPr="006768AA">
        <w:rPr>
          <w:rFonts w:ascii="Calibri" w:hAnsi="Calibri" w:cs="Calibri"/>
          <w:sz w:val="20"/>
        </w:rPr>
        <w:t xml:space="preserve"> - realizzata da Unioncamere del Veneto - si basa </w:t>
      </w:r>
      <w:r w:rsidR="00C75D2B" w:rsidRPr="006768AA">
        <w:rPr>
          <w:rFonts w:ascii="Calibri" w:hAnsi="Calibri" w:cs="Calibri"/>
          <w:sz w:val="20"/>
        </w:rPr>
        <w:t xml:space="preserve">su </w:t>
      </w:r>
      <w:r w:rsidR="00D628F0" w:rsidRPr="00D628F0">
        <w:rPr>
          <w:rFonts w:ascii="Calibri" w:hAnsi="Calibri" w:cs="Calibri"/>
          <w:sz w:val="20"/>
        </w:rPr>
        <w:t xml:space="preserve"> 2.303 </w:t>
      </w:r>
      <w:r w:rsidRPr="006768AA">
        <w:rPr>
          <w:rFonts w:ascii="Calibri" w:hAnsi="Calibri" w:cs="Calibri"/>
          <w:sz w:val="20"/>
        </w:rPr>
        <w:t>imprese del Veneto con almeno 10 addetti (</w:t>
      </w:r>
      <w:r w:rsidR="008D0ADF" w:rsidRPr="006768AA">
        <w:rPr>
          <w:rFonts w:ascii="Calibri" w:hAnsi="Calibri" w:cs="Calibri"/>
          <w:sz w:val="20"/>
        </w:rPr>
        <w:t xml:space="preserve">per un totale </w:t>
      </w:r>
      <w:r w:rsidR="00D67131" w:rsidRPr="006768AA">
        <w:rPr>
          <w:rFonts w:ascii="Calibri" w:hAnsi="Calibri" w:cs="Calibri"/>
          <w:sz w:val="20"/>
        </w:rPr>
        <w:t xml:space="preserve">di </w:t>
      </w:r>
      <w:r w:rsidR="00D628F0" w:rsidRPr="00D628F0">
        <w:rPr>
          <w:rFonts w:ascii="Calibri" w:hAnsi="Calibri" w:cs="Calibri"/>
          <w:sz w:val="20"/>
        </w:rPr>
        <w:t xml:space="preserve"> 90.780 </w:t>
      </w:r>
      <w:r w:rsidRPr="006768AA">
        <w:rPr>
          <w:rFonts w:ascii="Calibri" w:hAnsi="Calibri" w:cs="Calibri"/>
          <w:sz w:val="20"/>
        </w:rPr>
        <w:t xml:space="preserve">addetti) di </w:t>
      </w:r>
      <w:r w:rsidR="002579A7" w:rsidRPr="006768AA">
        <w:rPr>
          <w:rFonts w:ascii="Calibri" w:hAnsi="Calibri" w:cs="Calibri"/>
          <w:sz w:val="20"/>
        </w:rPr>
        <w:t xml:space="preserve">cui </w:t>
      </w:r>
      <w:r w:rsidR="00D628F0" w:rsidRPr="00D628F0">
        <w:rPr>
          <w:rFonts w:ascii="Calibri" w:hAnsi="Calibri" w:cs="Calibri"/>
          <w:sz w:val="20"/>
        </w:rPr>
        <w:t xml:space="preserve"> 500 </w:t>
      </w:r>
      <w:r w:rsidR="002D54EB" w:rsidRPr="009367B8">
        <w:rPr>
          <w:rFonts w:ascii="Calibri" w:hAnsi="Calibri" w:cs="Calibri"/>
          <w:sz w:val="20"/>
        </w:rPr>
        <w:t>imprese</w:t>
      </w:r>
      <w:r w:rsidRPr="006768AA">
        <w:rPr>
          <w:rFonts w:ascii="Calibri" w:hAnsi="Calibri" w:cs="Calibri"/>
          <w:sz w:val="20"/>
        </w:rPr>
        <w:t xml:space="preserve"> della provincia di Treviso (per un totale </w:t>
      </w:r>
      <w:r w:rsidR="00383EB6" w:rsidRPr="006768AA">
        <w:rPr>
          <w:rFonts w:ascii="Calibri" w:hAnsi="Calibri" w:cs="Calibri"/>
          <w:sz w:val="20"/>
        </w:rPr>
        <w:t xml:space="preserve">di </w:t>
      </w:r>
      <w:r w:rsidR="00D628F0" w:rsidRPr="00D628F0">
        <w:rPr>
          <w:rFonts w:ascii="Calibri" w:hAnsi="Calibri" w:cs="Calibri"/>
          <w:sz w:val="20"/>
        </w:rPr>
        <w:t xml:space="preserve"> 19.325 </w:t>
      </w:r>
      <w:r w:rsidRPr="006768AA">
        <w:rPr>
          <w:rFonts w:ascii="Calibri" w:hAnsi="Calibri" w:cs="Calibri"/>
          <w:sz w:val="20"/>
        </w:rPr>
        <w:t xml:space="preserve">addetti) </w:t>
      </w:r>
      <w:r w:rsidR="00D628F0" w:rsidRPr="006768AA">
        <w:rPr>
          <w:rFonts w:ascii="Calibri" w:hAnsi="Calibri" w:cs="Calibri"/>
          <w:sz w:val="20"/>
        </w:rPr>
        <w:t xml:space="preserve">e </w:t>
      </w:r>
      <w:r w:rsidR="00D628F0" w:rsidRPr="00C75D2B">
        <w:rPr>
          <w:rFonts w:ascii="Calibri" w:hAnsi="Calibri" w:cs="Calibri"/>
          <w:sz w:val="20"/>
        </w:rPr>
        <w:t>7</w:t>
      </w:r>
      <w:r w:rsidR="00D628F0">
        <w:rPr>
          <w:rFonts w:ascii="Calibri" w:hAnsi="Calibri" w:cs="Calibri"/>
          <w:sz w:val="20"/>
        </w:rPr>
        <w:t>7</w:t>
      </w:r>
      <w:r w:rsidR="00E14AD7" w:rsidRPr="00E14AD7">
        <w:rPr>
          <w:rFonts w:ascii="Calibri" w:hAnsi="Calibri" w:cs="Calibri"/>
          <w:sz w:val="20"/>
        </w:rPr>
        <w:t xml:space="preserve"> </w:t>
      </w:r>
      <w:r w:rsidR="00CA192E" w:rsidRPr="009367B8">
        <w:rPr>
          <w:rFonts w:ascii="Calibri" w:hAnsi="Calibri" w:cs="Calibri"/>
          <w:sz w:val="20"/>
        </w:rPr>
        <w:t xml:space="preserve"> </w:t>
      </w:r>
      <w:r w:rsidR="00CA192E" w:rsidRPr="006768AA">
        <w:rPr>
          <w:rFonts w:ascii="Calibri" w:hAnsi="Calibri" w:cs="Calibri"/>
          <w:sz w:val="20"/>
        </w:rPr>
        <w:t>imprese</w:t>
      </w:r>
      <w:r w:rsidRPr="006768AA">
        <w:rPr>
          <w:rFonts w:ascii="Calibri" w:hAnsi="Calibri" w:cs="Calibri"/>
          <w:sz w:val="20"/>
        </w:rPr>
        <w:t xml:space="preserve"> della provincia di Belluno con almeno 10 addetti (per un totale </w:t>
      </w:r>
      <w:r w:rsidR="00020016" w:rsidRPr="006768AA">
        <w:rPr>
          <w:rFonts w:ascii="Calibri" w:hAnsi="Calibri" w:cs="Calibri"/>
          <w:sz w:val="20"/>
        </w:rPr>
        <w:t>di</w:t>
      </w:r>
      <w:r w:rsidR="006768AA" w:rsidRPr="006768AA">
        <w:rPr>
          <w:rFonts w:ascii="Calibri" w:hAnsi="Calibri" w:cs="Calibri"/>
          <w:sz w:val="20"/>
        </w:rPr>
        <w:t xml:space="preserve"> </w:t>
      </w:r>
      <w:r w:rsidR="00C75D2B" w:rsidRPr="00C75D2B">
        <w:rPr>
          <w:rFonts w:ascii="Calibri" w:hAnsi="Calibri" w:cs="Calibri"/>
          <w:sz w:val="20"/>
        </w:rPr>
        <w:t xml:space="preserve"> </w:t>
      </w:r>
      <w:r w:rsidR="00D628F0" w:rsidRPr="00D628F0">
        <w:rPr>
          <w:rFonts w:ascii="Calibri" w:hAnsi="Calibri" w:cs="Calibri"/>
          <w:sz w:val="20"/>
        </w:rPr>
        <w:t xml:space="preserve"> 3.924 </w:t>
      </w:r>
      <w:r w:rsidRPr="006768AA">
        <w:rPr>
          <w:rFonts w:ascii="Calibri" w:hAnsi="Calibri" w:cs="Calibri"/>
          <w:sz w:val="20"/>
        </w:rPr>
        <w:t>addetti).</w:t>
      </w:r>
    </w:p>
    <w:p w14:paraId="4CD78FE5" w14:textId="04B810FF" w:rsidR="00FF6952" w:rsidRDefault="00FF6952" w:rsidP="00937C1A">
      <w:pPr>
        <w:pStyle w:val="Pidipagina"/>
        <w:rPr>
          <w:rFonts w:ascii="Calibri" w:hAnsi="Calibri" w:cs="Calibri"/>
          <w:sz w:val="20"/>
        </w:rPr>
      </w:pPr>
    </w:p>
    <w:p w14:paraId="03513635" w14:textId="77777777" w:rsidR="00D628F0" w:rsidRPr="006768AA" w:rsidRDefault="00D628F0" w:rsidP="00937C1A">
      <w:pPr>
        <w:pStyle w:val="Pidipagina"/>
        <w:rPr>
          <w:rFonts w:ascii="Calibri" w:hAnsi="Calibri" w:cs="Calibri"/>
          <w:sz w:val="20"/>
        </w:rPr>
      </w:pPr>
    </w:p>
    <w:p w14:paraId="6A40C42F" w14:textId="77777777" w:rsidR="00937C1A" w:rsidRPr="006768AA" w:rsidRDefault="00937C1A" w:rsidP="00937C1A">
      <w:pPr>
        <w:pStyle w:val="Pidipagina"/>
        <w:tabs>
          <w:tab w:val="left" w:pos="785"/>
        </w:tabs>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937C1A" w:rsidRPr="006768AA" w14:paraId="1509E2A9" w14:textId="77777777" w:rsidTr="008E6148">
        <w:tc>
          <w:tcPr>
            <w:tcW w:w="4389" w:type="dxa"/>
          </w:tcPr>
          <w:p w14:paraId="51B33516" w14:textId="77777777" w:rsidR="00937C1A" w:rsidRPr="006768AA" w:rsidRDefault="00937C1A" w:rsidP="008E6148">
            <w:pPr>
              <w:rPr>
                <w:rFonts w:ascii="Calibri" w:hAnsi="Calibri" w:cs="Calibri"/>
                <w:b/>
                <w:color w:val="00B0F0"/>
                <w:sz w:val="22"/>
                <w:szCs w:val="24"/>
              </w:rPr>
            </w:pPr>
            <w:r w:rsidRPr="006768AA">
              <w:rPr>
                <w:rFonts w:ascii="Calibri" w:hAnsi="Calibri" w:cs="Calibri"/>
                <w:b/>
                <w:color w:val="00B0F0"/>
                <w:sz w:val="22"/>
                <w:szCs w:val="24"/>
              </w:rPr>
              <w:lastRenderedPageBreak/>
              <w:t xml:space="preserve">Per informazioni </w:t>
            </w:r>
          </w:p>
          <w:p w14:paraId="63086A0D"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 xml:space="preserve">Ufficio Studi e Statistica </w:t>
            </w:r>
          </w:p>
          <w:p w14:paraId="54D9657D"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Camera di Commercio di Treviso - Belluno</w:t>
            </w:r>
          </w:p>
          <w:p w14:paraId="33175469" w14:textId="4DFF0CA2" w:rsidR="00937C1A" w:rsidRPr="006768AA" w:rsidRDefault="00AF29BB" w:rsidP="008E6148">
            <w:pPr>
              <w:rPr>
                <w:rFonts w:ascii="Calibri" w:hAnsi="Calibri" w:cs="Calibri"/>
                <w:sz w:val="22"/>
                <w:szCs w:val="24"/>
              </w:rPr>
            </w:pPr>
            <w:r w:rsidRPr="006768AA">
              <w:rPr>
                <w:rFonts w:ascii="Calibri" w:hAnsi="Calibri" w:cs="Calibri"/>
                <w:sz w:val="22"/>
                <w:szCs w:val="24"/>
              </w:rPr>
              <w:t>tel. 0422.595239</w:t>
            </w:r>
            <w:r w:rsidR="00521E38" w:rsidRPr="006768AA">
              <w:rPr>
                <w:rFonts w:ascii="Calibri" w:hAnsi="Calibri" w:cs="Calibri"/>
                <w:sz w:val="22"/>
                <w:szCs w:val="24"/>
              </w:rPr>
              <w:t xml:space="preserve"> - 362</w:t>
            </w:r>
          </w:p>
          <w:p w14:paraId="210E1E7B"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 xml:space="preserve">e-mail:  </w:t>
            </w:r>
            <w:hyperlink r:id="rId14" w:history="1">
              <w:r w:rsidRPr="006768AA">
                <w:rPr>
                  <w:rStyle w:val="Collegamentoipertestuale"/>
                  <w:rFonts w:ascii="Calibri" w:hAnsi="Calibri" w:cs="Calibri"/>
                  <w:sz w:val="22"/>
                  <w:szCs w:val="24"/>
                </w:rPr>
                <w:t>statistica@tb.camcom.it</w:t>
              </w:r>
            </w:hyperlink>
            <w:r w:rsidRPr="006768AA">
              <w:rPr>
                <w:rFonts w:ascii="Calibri" w:hAnsi="Calibri" w:cs="Calibri"/>
                <w:sz w:val="22"/>
                <w:szCs w:val="24"/>
              </w:rPr>
              <w:t xml:space="preserve">   </w:t>
            </w:r>
          </w:p>
          <w:p w14:paraId="35B42276" w14:textId="77777777" w:rsidR="00937C1A" w:rsidRPr="006768AA" w:rsidRDefault="00937C1A" w:rsidP="008E6148">
            <w:pPr>
              <w:rPr>
                <w:rFonts w:ascii="Calibri" w:hAnsi="Calibri" w:cs="Calibri"/>
                <w:sz w:val="22"/>
                <w:szCs w:val="24"/>
              </w:rPr>
            </w:pPr>
          </w:p>
        </w:tc>
        <w:tc>
          <w:tcPr>
            <w:tcW w:w="4389" w:type="dxa"/>
          </w:tcPr>
          <w:p w14:paraId="5A9AD12C" w14:textId="77777777" w:rsidR="00937C1A" w:rsidRPr="006768AA" w:rsidRDefault="00937C1A" w:rsidP="008E6148">
            <w:pPr>
              <w:rPr>
                <w:rFonts w:ascii="Calibri" w:hAnsi="Calibri" w:cs="Calibri"/>
                <w:b/>
                <w:color w:val="00B0F0"/>
                <w:sz w:val="22"/>
                <w:szCs w:val="24"/>
              </w:rPr>
            </w:pPr>
            <w:r w:rsidRPr="006768AA">
              <w:rPr>
                <w:rFonts w:ascii="Calibri" w:hAnsi="Calibri" w:cs="Calibri"/>
                <w:b/>
                <w:color w:val="00B0F0"/>
                <w:sz w:val="22"/>
                <w:szCs w:val="24"/>
              </w:rPr>
              <w:t>Informazioni per la stampa</w:t>
            </w:r>
          </w:p>
          <w:p w14:paraId="005769B1"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Silvia Trevisan</w:t>
            </w:r>
          </w:p>
          <w:p w14:paraId="347E6393" w14:textId="1BD32375" w:rsidR="00937C1A" w:rsidRPr="006768AA" w:rsidRDefault="00937C1A" w:rsidP="008E6148">
            <w:pPr>
              <w:rPr>
                <w:rFonts w:ascii="Calibri" w:hAnsi="Calibri" w:cs="Calibri"/>
                <w:sz w:val="22"/>
                <w:szCs w:val="24"/>
              </w:rPr>
            </w:pPr>
            <w:r w:rsidRPr="006768AA">
              <w:rPr>
                <w:rFonts w:ascii="Calibri" w:hAnsi="Calibri" w:cs="Calibri"/>
                <w:sz w:val="22"/>
                <w:szCs w:val="24"/>
              </w:rPr>
              <w:t>Comunicazione e Media Relation</w:t>
            </w:r>
            <w:r w:rsidR="00884026" w:rsidRPr="006768AA">
              <w:rPr>
                <w:rFonts w:ascii="Calibri" w:hAnsi="Calibri" w:cs="Calibri"/>
                <w:sz w:val="22"/>
                <w:szCs w:val="24"/>
              </w:rPr>
              <w:t>s</w:t>
            </w:r>
          </w:p>
          <w:p w14:paraId="6FBEC1B0" w14:textId="7CC874A0" w:rsidR="00937C1A" w:rsidRPr="006768AA" w:rsidRDefault="00937C1A" w:rsidP="008E6148">
            <w:pPr>
              <w:rPr>
                <w:rFonts w:ascii="Calibri" w:hAnsi="Calibri" w:cs="Calibri"/>
                <w:sz w:val="22"/>
                <w:szCs w:val="24"/>
              </w:rPr>
            </w:pPr>
            <w:r w:rsidRPr="006768AA">
              <w:rPr>
                <w:rFonts w:ascii="Calibri" w:hAnsi="Calibri" w:cs="Calibri"/>
                <w:sz w:val="22"/>
                <w:szCs w:val="24"/>
              </w:rPr>
              <w:t>Staff del Presiden</w:t>
            </w:r>
            <w:r w:rsidR="00925F5C" w:rsidRPr="006768AA">
              <w:rPr>
                <w:rFonts w:ascii="Calibri" w:hAnsi="Calibri" w:cs="Calibri"/>
                <w:sz w:val="22"/>
                <w:szCs w:val="24"/>
              </w:rPr>
              <w:t>te</w:t>
            </w:r>
            <w:r w:rsidRPr="006768AA">
              <w:rPr>
                <w:rFonts w:ascii="Calibri" w:hAnsi="Calibri" w:cs="Calibri"/>
                <w:sz w:val="22"/>
                <w:szCs w:val="24"/>
              </w:rPr>
              <w:t xml:space="preserve"> </w:t>
            </w:r>
          </w:p>
          <w:p w14:paraId="04196983"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Tel.: 0422-595366   Cell.: 391-3236809</w:t>
            </w:r>
            <w:r w:rsidRPr="006768AA">
              <w:t xml:space="preserve"> </w:t>
            </w:r>
          </w:p>
          <w:p w14:paraId="5DF181B5"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 xml:space="preserve">e-mail:  </w:t>
            </w:r>
            <w:hyperlink r:id="rId15" w:history="1">
              <w:r w:rsidRPr="006768AA">
                <w:rPr>
                  <w:rStyle w:val="Collegamentoipertestuale"/>
                  <w:rFonts w:ascii="Calibri" w:hAnsi="Calibri" w:cs="Calibri"/>
                  <w:sz w:val="22"/>
                  <w:szCs w:val="24"/>
                </w:rPr>
                <w:t>silvia.trevisan@tb.camcom.it</w:t>
              </w:r>
            </w:hyperlink>
            <w:r w:rsidRPr="006768AA">
              <w:rPr>
                <w:rFonts w:ascii="Calibri" w:hAnsi="Calibri" w:cs="Calibri"/>
                <w:sz w:val="22"/>
                <w:szCs w:val="24"/>
              </w:rPr>
              <w:t xml:space="preserve"> </w:t>
            </w:r>
          </w:p>
        </w:tc>
      </w:tr>
    </w:tbl>
    <w:p w14:paraId="615E8AF7" w14:textId="77777777" w:rsidR="00F53615" w:rsidRPr="006768AA" w:rsidRDefault="00F53615" w:rsidP="00331370">
      <w:pPr>
        <w:spacing w:after="120"/>
        <w:rPr>
          <w:rFonts w:asciiTheme="minorHAnsi" w:hAnsiTheme="minorHAnsi" w:cs="Arial"/>
          <w:b/>
          <w:bCs/>
          <w:sz w:val="20"/>
          <w:highlight w:val="yellow"/>
        </w:rPr>
      </w:pPr>
    </w:p>
    <w:p w14:paraId="0EBEC522" w14:textId="77777777" w:rsidR="00331370" w:rsidRPr="004F532A" w:rsidRDefault="00331370" w:rsidP="00331370">
      <w:pPr>
        <w:spacing w:after="120"/>
        <w:rPr>
          <w:rFonts w:asciiTheme="minorHAnsi" w:hAnsiTheme="minorHAnsi" w:cs="Arial"/>
          <w:b/>
          <w:bCs/>
          <w:sz w:val="20"/>
        </w:rPr>
      </w:pPr>
      <w:r w:rsidRPr="004F532A">
        <w:rPr>
          <w:rFonts w:asciiTheme="minorHAnsi" w:hAnsiTheme="minorHAnsi" w:cs="Arial"/>
          <w:b/>
          <w:bCs/>
          <w:sz w:val="20"/>
        </w:rPr>
        <w:t xml:space="preserve">Appendice statistica: </w:t>
      </w:r>
    </w:p>
    <w:p w14:paraId="479D5AA7" w14:textId="76D23FEF" w:rsidR="00331370" w:rsidRPr="0089498C" w:rsidRDefault="00331370" w:rsidP="0089498C">
      <w:pPr>
        <w:pStyle w:val="Paragrafoelenco"/>
        <w:numPr>
          <w:ilvl w:val="0"/>
          <w:numId w:val="18"/>
        </w:numPr>
        <w:suppressAutoHyphens/>
        <w:spacing w:after="60" w:line="240" w:lineRule="auto"/>
        <w:ind w:left="318" w:hanging="318"/>
        <w:jc w:val="both"/>
        <w:rPr>
          <w:rFonts w:asciiTheme="minorHAnsi" w:hAnsiTheme="minorHAnsi" w:cs="Arial"/>
          <w:bCs/>
          <w:sz w:val="20"/>
          <w:szCs w:val="20"/>
        </w:rPr>
      </w:pPr>
      <w:r w:rsidRPr="004F532A">
        <w:rPr>
          <w:rFonts w:asciiTheme="minorHAnsi" w:hAnsiTheme="minorHAnsi" w:cs="Arial"/>
          <w:bCs/>
          <w:sz w:val="20"/>
          <w:szCs w:val="20"/>
        </w:rPr>
        <w:t>Tab. 1 – Province di TREVISO e di BELLUNO: andamento dei principali indicatori. Produzione, fatturato, nuovi ordinativi (variazioni % trimestrali congiunturali e tendenziali), capacità pr</w:t>
      </w:r>
      <w:r w:rsidR="00694146" w:rsidRPr="004F532A">
        <w:rPr>
          <w:rFonts w:asciiTheme="minorHAnsi" w:hAnsiTheme="minorHAnsi" w:cs="Arial"/>
          <w:bCs/>
          <w:sz w:val="20"/>
          <w:szCs w:val="20"/>
        </w:rPr>
        <w:t xml:space="preserve">oduttiva e portafoglio </w:t>
      </w:r>
      <w:r w:rsidR="00694146" w:rsidRPr="0089498C">
        <w:rPr>
          <w:rFonts w:asciiTheme="minorHAnsi" w:hAnsiTheme="minorHAnsi" w:cs="Arial"/>
          <w:bCs/>
          <w:sz w:val="20"/>
          <w:szCs w:val="20"/>
        </w:rPr>
        <w:t>ordini. 1</w:t>
      </w:r>
      <w:r w:rsidRPr="0089498C">
        <w:rPr>
          <w:rFonts w:asciiTheme="minorHAnsi" w:hAnsiTheme="minorHAnsi" w:cs="Arial"/>
          <w:bCs/>
          <w:sz w:val="20"/>
          <w:szCs w:val="20"/>
        </w:rPr>
        <w:t>° trim. 20</w:t>
      </w:r>
      <w:r w:rsidR="00FA3A9B">
        <w:rPr>
          <w:rFonts w:asciiTheme="minorHAnsi" w:hAnsiTheme="minorHAnsi" w:cs="Arial"/>
          <w:bCs/>
          <w:sz w:val="20"/>
          <w:szCs w:val="20"/>
        </w:rPr>
        <w:t>21</w:t>
      </w:r>
      <w:r w:rsidRPr="0089498C">
        <w:rPr>
          <w:rFonts w:asciiTheme="minorHAnsi" w:hAnsiTheme="minorHAnsi" w:cs="Arial"/>
          <w:bCs/>
          <w:sz w:val="20"/>
          <w:szCs w:val="20"/>
        </w:rPr>
        <w:t>-</w:t>
      </w:r>
      <w:r w:rsidR="009329B6">
        <w:rPr>
          <w:rFonts w:asciiTheme="minorHAnsi" w:hAnsiTheme="minorHAnsi" w:cs="Arial"/>
          <w:bCs/>
          <w:sz w:val="20"/>
          <w:szCs w:val="20"/>
        </w:rPr>
        <w:t>3</w:t>
      </w:r>
      <w:r w:rsidRPr="0089498C">
        <w:rPr>
          <w:rFonts w:asciiTheme="minorHAnsi" w:hAnsiTheme="minorHAnsi" w:cs="Arial"/>
          <w:bCs/>
          <w:sz w:val="20"/>
          <w:szCs w:val="20"/>
        </w:rPr>
        <w:t>° trim.202</w:t>
      </w:r>
      <w:r w:rsidR="00E267A0" w:rsidRPr="0089498C">
        <w:rPr>
          <w:rFonts w:asciiTheme="minorHAnsi" w:hAnsiTheme="minorHAnsi" w:cs="Arial"/>
          <w:bCs/>
          <w:sz w:val="20"/>
          <w:szCs w:val="20"/>
        </w:rPr>
        <w:t>4</w:t>
      </w:r>
    </w:p>
    <w:p w14:paraId="5D096A28" w14:textId="3E580E72" w:rsidR="00C55417" w:rsidRPr="0089498C" w:rsidRDefault="00331370" w:rsidP="0089498C">
      <w:pPr>
        <w:pStyle w:val="Paragrafoelenco"/>
        <w:numPr>
          <w:ilvl w:val="0"/>
          <w:numId w:val="18"/>
        </w:numPr>
        <w:suppressAutoHyphens/>
        <w:spacing w:after="120" w:line="240" w:lineRule="auto"/>
        <w:ind w:left="318" w:hanging="318"/>
        <w:jc w:val="both"/>
        <w:rPr>
          <w:rFonts w:ascii="Arial" w:hAnsi="Arial" w:cs="Arial"/>
          <w:b/>
          <w:bCs/>
          <w:color w:val="00B0F0"/>
          <w:sz w:val="20"/>
        </w:rPr>
      </w:pPr>
      <w:r w:rsidRPr="0089498C">
        <w:rPr>
          <w:rFonts w:asciiTheme="minorHAnsi" w:hAnsiTheme="minorHAnsi" w:cs="Arial"/>
          <w:bCs/>
          <w:sz w:val="20"/>
          <w:szCs w:val="20"/>
        </w:rPr>
        <w:t xml:space="preserve">Tab. 2 – </w:t>
      </w:r>
      <w:r w:rsidR="0090598A" w:rsidRPr="0089498C">
        <w:rPr>
          <w:rFonts w:asciiTheme="minorHAnsi" w:hAnsiTheme="minorHAnsi" w:cs="Arial"/>
          <w:bCs/>
          <w:sz w:val="20"/>
          <w:szCs w:val="20"/>
        </w:rPr>
        <w:t>Province di TREVISO e di BELLUNO</w:t>
      </w:r>
      <w:r w:rsidRPr="0089498C">
        <w:rPr>
          <w:rFonts w:asciiTheme="minorHAnsi" w:hAnsiTheme="minorHAnsi" w:cs="Arial"/>
          <w:bCs/>
          <w:sz w:val="20"/>
          <w:szCs w:val="20"/>
        </w:rPr>
        <w:t>: previsioni per il</w:t>
      </w:r>
      <w:r w:rsidR="00694146" w:rsidRPr="0089498C">
        <w:rPr>
          <w:rFonts w:asciiTheme="minorHAnsi" w:hAnsiTheme="minorHAnsi" w:cs="Arial"/>
          <w:bCs/>
          <w:sz w:val="20"/>
          <w:szCs w:val="20"/>
        </w:rPr>
        <w:t xml:space="preserve"> </w:t>
      </w:r>
      <w:r w:rsidR="00C04857">
        <w:rPr>
          <w:rFonts w:asciiTheme="minorHAnsi" w:hAnsiTheme="minorHAnsi" w:cs="Arial"/>
          <w:bCs/>
          <w:sz w:val="20"/>
          <w:szCs w:val="20"/>
        </w:rPr>
        <w:t>3</w:t>
      </w:r>
      <w:r w:rsidR="0090598A" w:rsidRPr="0089498C">
        <w:rPr>
          <w:rFonts w:asciiTheme="minorHAnsi" w:hAnsiTheme="minorHAnsi" w:cs="Arial"/>
          <w:bCs/>
          <w:sz w:val="20"/>
          <w:szCs w:val="20"/>
        </w:rPr>
        <w:t xml:space="preserve">° </w:t>
      </w:r>
      <w:r w:rsidRPr="0089498C">
        <w:rPr>
          <w:rFonts w:asciiTheme="minorHAnsi" w:hAnsiTheme="minorHAnsi" w:cs="Arial"/>
          <w:bCs/>
          <w:sz w:val="20"/>
          <w:szCs w:val="20"/>
        </w:rPr>
        <w:t>trimestre 202</w:t>
      </w:r>
      <w:r w:rsidR="008A07C8" w:rsidRPr="0089498C">
        <w:rPr>
          <w:rFonts w:asciiTheme="minorHAnsi" w:hAnsiTheme="minorHAnsi" w:cs="Arial"/>
          <w:bCs/>
          <w:sz w:val="20"/>
          <w:szCs w:val="20"/>
        </w:rPr>
        <w:t>4</w:t>
      </w:r>
      <w:r w:rsidRPr="0089498C">
        <w:rPr>
          <w:rFonts w:asciiTheme="minorHAnsi" w:hAnsiTheme="minorHAnsi" w:cs="Arial"/>
          <w:bCs/>
          <w:sz w:val="20"/>
          <w:szCs w:val="20"/>
        </w:rPr>
        <w:t xml:space="preserve"> e confronto con le previsioni dei trimestri precedenti. Percentuali di giudizi di aumento, stabilità, diminuzione e saldo per produzione, fatturato e nuovi ordinativi. Previsioni raccolte nel </w:t>
      </w:r>
      <w:r w:rsidR="00FA3A9B">
        <w:rPr>
          <w:rFonts w:asciiTheme="minorHAnsi" w:hAnsiTheme="minorHAnsi" w:cs="Arial"/>
          <w:bCs/>
          <w:sz w:val="20"/>
          <w:szCs w:val="20"/>
        </w:rPr>
        <w:t>4</w:t>
      </w:r>
      <w:r w:rsidR="0090598A" w:rsidRPr="0089498C">
        <w:rPr>
          <w:rFonts w:asciiTheme="minorHAnsi" w:hAnsiTheme="minorHAnsi" w:cs="Arial"/>
          <w:bCs/>
          <w:sz w:val="20"/>
          <w:szCs w:val="20"/>
        </w:rPr>
        <w:t xml:space="preserve">° </w:t>
      </w:r>
      <w:r w:rsidRPr="0089498C">
        <w:rPr>
          <w:rFonts w:asciiTheme="minorHAnsi" w:hAnsiTheme="minorHAnsi" w:cs="Arial"/>
          <w:bCs/>
          <w:sz w:val="20"/>
          <w:szCs w:val="20"/>
        </w:rPr>
        <w:t>trimestre 202</w:t>
      </w:r>
      <w:r w:rsidR="00E267A0" w:rsidRPr="0089498C">
        <w:rPr>
          <w:rFonts w:asciiTheme="minorHAnsi" w:hAnsiTheme="minorHAnsi" w:cs="Arial"/>
          <w:bCs/>
          <w:sz w:val="20"/>
          <w:szCs w:val="20"/>
        </w:rPr>
        <w:t>4</w:t>
      </w:r>
    </w:p>
    <w:p w14:paraId="1E1BC15D" w14:textId="2E8C724B" w:rsidR="00D6351D" w:rsidRPr="00C55417" w:rsidRDefault="00D6351D" w:rsidP="00E854E8">
      <w:pPr>
        <w:pStyle w:val="Paragrafoelenco"/>
        <w:numPr>
          <w:ilvl w:val="0"/>
          <w:numId w:val="18"/>
        </w:numPr>
        <w:suppressAutoHyphens/>
        <w:spacing w:after="120" w:line="240" w:lineRule="auto"/>
        <w:ind w:left="318" w:hanging="318"/>
        <w:rPr>
          <w:rFonts w:ascii="Arial" w:hAnsi="Arial" w:cs="Arial"/>
          <w:b/>
          <w:bCs/>
          <w:color w:val="00B0F0"/>
          <w:sz w:val="20"/>
          <w:highlight w:val="yellow"/>
        </w:rPr>
      </w:pPr>
      <w:r w:rsidRPr="00C55417">
        <w:rPr>
          <w:rFonts w:ascii="Arial" w:hAnsi="Arial" w:cs="Arial"/>
          <w:b/>
          <w:bCs/>
          <w:color w:val="00B0F0"/>
          <w:sz w:val="20"/>
          <w:highlight w:val="yellow"/>
        </w:rPr>
        <w:br w:type="page"/>
      </w:r>
    </w:p>
    <w:p w14:paraId="4070E395" w14:textId="77777777" w:rsidR="0090598A" w:rsidRPr="006768AA" w:rsidRDefault="0090598A" w:rsidP="0090598A">
      <w:pPr>
        <w:pStyle w:val="Paragrafoelenco"/>
        <w:suppressAutoHyphens/>
        <w:spacing w:after="120"/>
        <w:ind w:left="318"/>
        <w:rPr>
          <w:rFonts w:ascii="Arial" w:hAnsi="Arial" w:cs="Arial"/>
          <w:b/>
          <w:bCs/>
          <w:color w:val="00B0F0"/>
          <w:sz w:val="20"/>
          <w:szCs w:val="20"/>
          <w:highlight w:val="yellow"/>
        </w:rPr>
      </w:pP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31370" w:rsidRPr="003D27A3" w14:paraId="6D9CE540" w14:textId="77777777" w:rsidTr="003D27A3">
        <w:tc>
          <w:tcPr>
            <w:tcW w:w="9004" w:type="dxa"/>
            <w:shd w:val="clear" w:color="auto" w:fill="auto"/>
          </w:tcPr>
          <w:p w14:paraId="5A77A03C" w14:textId="77777777" w:rsidR="00331370" w:rsidRPr="003D27A3" w:rsidRDefault="00331370" w:rsidP="00BB65D4">
            <w:pPr>
              <w:pStyle w:val="Titolo1"/>
              <w:jc w:val="left"/>
              <w:rPr>
                <w:rFonts w:ascii="Arial" w:hAnsi="Arial" w:cs="Arial"/>
                <w:bCs/>
                <w:color w:val="00B0F0"/>
                <w:sz w:val="18"/>
                <w:szCs w:val="18"/>
              </w:rPr>
            </w:pPr>
            <w:bookmarkStart w:id="0" w:name="_Toc119661571"/>
            <w:r w:rsidRPr="003D27A3">
              <w:rPr>
                <w:rFonts w:ascii="Arial" w:hAnsi="Arial" w:cs="Arial"/>
                <w:bCs/>
                <w:sz w:val="18"/>
                <w:szCs w:val="18"/>
              </w:rPr>
              <w:t xml:space="preserve">Tab. 1 – </w:t>
            </w:r>
            <w:r w:rsidRPr="003D27A3">
              <w:rPr>
                <w:rFonts w:ascii="Arial" w:hAnsi="Arial" w:cs="Arial"/>
                <w:bCs/>
                <w:color w:val="00B0F0"/>
                <w:sz w:val="18"/>
                <w:szCs w:val="18"/>
              </w:rPr>
              <w:t>Province di Treviso e di Belluno: andamento dei principali indicatori.</w:t>
            </w:r>
          </w:p>
          <w:p w14:paraId="3A4B1622" w14:textId="285735D9" w:rsidR="00331370" w:rsidRPr="003D27A3" w:rsidRDefault="00331370" w:rsidP="00BB65D4">
            <w:pPr>
              <w:pStyle w:val="Titolo1"/>
              <w:jc w:val="left"/>
              <w:rPr>
                <w:rFonts w:ascii="Arial" w:hAnsi="Arial" w:cs="Arial"/>
                <w:bCs/>
                <w:sz w:val="16"/>
                <w:szCs w:val="16"/>
              </w:rPr>
            </w:pPr>
            <w:r w:rsidRPr="003D27A3">
              <w:rPr>
                <w:rFonts w:ascii="Arial" w:hAnsi="Arial" w:cs="Arial"/>
                <w:bCs/>
                <w:sz w:val="18"/>
                <w:szCs w:val="18"/>
              </w:rPr>
              <w:t>Produzione, fatturato, nuovi ordinativi (variazioni % trimestrali congiunturali e tendenziali)</w:t>
            </w:r>
            <w:bookmarkEnd w:id="0"/>
            <w:r w:rsidRPr="003D27A3">
              <w:rPr>
                <w:rFonts w:ascii="Arial" w:hAnsi="Arial" w:cs="Arial"/>
                <w:bCs/>
                <w:sz w:val="18"/>
                <w:szCs w:val="18"/>
              </w:rPr>
              <w:t>, capacità produttiva e portafoglio ordini.</w:t>
            </w:r>
            <w:r w:rsidR="003501CC" w:rsidRPr="003D27A3">
              <w:rPr>
                <w:rFonts w:ascii="Arial" w:hAnsi="Arial" w:cs="Arial"/>
                <w:b w:val="0"/>
                <w:bCs/>
                <w:sz w:val="18"/>
                <w:szCs w:val="18"/>
              </w:rPr>
              <w:t xml:space="preserve"> 1° trim. 20</w:t>
            </w:r>
            <w:r w:rsidR="007269EA">
              <w:rPr>
                <w:rFonts w:ascii="Arial" w:hAnsi="Arial" w:cs="Arial"/>
                <w:b w:val="0"/>
                <w:bCs/>
                <w:sz w:val="18"/>
                <w:szCs w:val="18"/>
              </w:rPr>
              <w:t>21</w:t>
            </w:r>
            <w:r w:rsidR="003501CC" w:rsidRPr="003D27A3">
              <w:rPr>
                <w:rFonts w:ascii="Arial" w:hAnsi="Arial" w:cs="Arial"/>
                <w:b w:val="0"/>
                <w:bCs/>
                <w:sz w:val="18"/>
                <w:szCs w:val="18"/>
              </w:rPr>
              <w:t xml:space="preserve"> - </w:t>
            </w:r>
            <w:r w:rsidR="003D27A3" w:rsidRPr="003D27A3">
              <w:rPr>
                <w:rFonts w:ascii="Arial" w:hAnsi="Arial" w:cs="Arial"/>
                <w:b w:val="0"/>
                <w:bCs/>
                <w:sz w:val="18"/>
                <w:szCs w:val="18"/>
              </w:rPr>
              <w:t>3</w:t>
            </w:r>
            <w:r w:rsidRPr="003D27A3">
              <w:rPr>
                <w:rFonts w:ascii="Arial" w:hAnsi="Arial" w:cs="Arial"/>
                <w:b w:val="0"/>
                <w:bCs/>
                <w:sz w:val="18"/>
                <w:szCs w:val="18"/>
              </w:rPr>
              <w:t>° trim. 202</w:t>
            </w:r>
            <w:r w:rsidR="004B4CC8" w:rsidRPr="003D27A3">
              <w:rPr>
                <w:rFonts w:ascii="Arial" w:hAnsi="Arial" w:cs="Arial"/>
                <w:b w:val="0"/>
                <w:bCs/>
                <w:sz w:val="18"/>
                <w:szCs w:val="18"/>
              </w:rPr>
              <w:t>4</w:t>
            </w:r>
          </w:p>
        </w:tc>
      </w:tr>
      <w:tr w:rsidR="00331370" w:rsidRPr="003D27A3" w14:paraId="08C7EC50" w14:textId="77777777" w:rsidTr="003D27A3">
        <w:tc>
          <w:tcPr>
            <w:tcW w:w="9004" w:type="dxa"/>
            <w:shd w:val="clear" w:color="auto" w:fill="auto"/>
          </w:tcPr>
          <w:p w14:paraId="3713AC5B" w14:textId="3913EA1E" w:rsidR="00331370" w:rsidRPr="003D27A3" w:rsidRDefault="00331370" w:rsidP="00BB65D4">
            <w:pPr>
              <w:rPr>
                <w:rFonts w:ascii="Arial" w:hAnsi="Arial" w:cs="Arial"/>
                <w:b/>
                <w:bCs/>
                <w:sz w:val="20"/>
              </w:rPr>
            </w:pPr>
          </w:p>
        </w:tc>
      </w:tr>
      <w:tr w:rsidR="00331370" w:rsidRPr="003D27A3" w14:paraId="30FD49D4" w14:textId="77777777" w:rsidTr="003D27A3">
        <w:tc>
          <w:tcPr>
            <w:tcW w:w="9004" w:type="dxa"/>
            <w:shd w:val="clear" w:color="auto" w:fill="auto"/>
          </w:tcPr>
          <w:p w14:paraId="78C176F3" w14:textId="77777777" w:rsidR="00331370" w:rsidRPr="003D27A3" w:rsidRDefault="00331370" w:rsidP="00BB65D4">
            <w:pPr>
              <w:tabs>
                <w:tab w:val="left" w:pos="3256"/>
              </w:tabs>
              <w:spacing w:before="40"/>
              <w:jc w:val="center"/>
              <w:rPr>
                <w:rFonts w:ascii="Arial" w:hAnsi="Arial" w:cs="Arial"/>
                <w:b/>
                <w:bCs/>
                <w:color w:val="00B0F0"/>
                <w:sz w:val="16"/>
                <w:szCs w:val="16"/>
              </w:rPr>
            </w:pPr>
            <w:r w:rsidRPr="003D27A3">
              <w:rPr>
                <w:rFonts w:ascii="Arial" w:hAnsi="Arial" w:cs="Arial"/>
                <w:b/>
                <w:bCs/>
                <w:color w:val="00B0F0"/>
                <w:sz w:val="16"/>
                <w:szCs w:val="16"/>
              </w:rPr>
              <w:t>Provincia di Treviso</w:t>
            </w:r>
          </w:p>
        </w:tc>
      </w:tr>
      <w:tr w:rsidR="00331370" w:rsidRPr="003D27A3" w14:paraId="06F0965B" w14:textId="77777777" w:rsidTr="003D27A3">
        <w:tc>
          <w:tcPr>
            <w:tcW w:w="9004" w:type="dxa"/>
            <w:shd w:val="clear" w:color="auto" w:fill="auto"/>
          </w:tcPr>
          <w:p w14:paraId="0006261B" w14:textId="6635ECEC" w:rsidR="00331370" w:rsidRPr="003D27A3" w:rsidRDefault="009922A5" w:rsidP="00BB65D4">
            <w:pPr>
              <w:tabs>
                <w:tab w:val="left" w:pos="3480"/>
                <w:tab w:val="center" w:pos="4002"/>
              </w:tabs>
              <w:spacing w:before="40"/>
              <w:jc w:val="center"/>
              <w:rPr>
                <w:rFonts w:ascii="Arial" w:hAnsi="Arial" w:cs="Arial"/>
                <w:b/>
                <w:bCs/>
                <w:color w:val="943634"/>
                <w:sz w:val="20"/>
              </w:rPr>
            </w:pPr>
            <w:r w:rsidRPr="009922A5">
              <w:rPr>
                <w:rFonts w:ascii="Arial" w:hAnsi="Arial" w:cs="Arial"/>
                <w:b/>
                <w:bCs/>
                <w:noProof/>
                <w:color w:val="943634"/>
                <w:sz w:val="20"/>
              </w:rPr>
              <w:drawing>
                <wp:inline distT="0" distB="0" distL="0" distR="0" wp14:anchorId="7A3224D0" wp14:editId="335020E4">
                  <wp:extent cx="5216837" cy="3356138"/>
                  <wp:effectExtent l="0" t="0" r="3175" b="0"/>
                  <wp:docPr id="86222301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1674" cy="3365683"/>
                          </a:xfrm>
                          <a:prstGeom prst="rect">
                            <a:avLst/>
                          </a:prstGeom>
                          <a:noFill/>
                          <a:ln>
                            <a:noFill/>
                          </a:ln>
                        </pic:spPr>
                      </pic:pic>
                    </a:graphicData>
                  </a:graphic>
                </wp:inline>
              </w:drawing>
            </w:r>
          </w:p>
        </w:tc>
      </w:tr>
      <w:tr w:rsidR="00331370" w:rsidRPr="003D27A3" w14:paraId="56C17A9D" w14:textId="77777777" w:rsidTr="003D27A3">
        <w:tc>
          <w:tcPr>
            <w:tcW w:w="9004" w:type="dxa"/>
            <w:shd w:val="clear" w:color="auto" w:fill="auto"/>
          </w:tcPr>
          <w:p w14:paraId="56C4CB8B" w14:textId="77777777" w:rsidR="00331370" w:rsidRPr="003D27A3" w:rsidRDefault="00331370" w:rsidP="00BB65D4">
            <w:pPr>
              <w:tabs>
                <w:tab w:val="left" w:pos="3256"/>
              </w:tabs>
              <w:spacing w:before="40"/>
              <w:jc w:val="center"/>
              <w:rPr>
                <w:rFonts w:ascii="Arial" w:hAnsi="Arial" w:cs="Arial"/>
                <w:b/>
                <w:bCs/>
                <w:color w:val="00B0F0"/>
                <w:sz w:val="16"/>
                <w:szCs w:val="16"/>
              </w:rPr>
            </w:pPr>
            <w:r w:rsidRPr="003D27A3">
              <w:rPr>
                <w:rFonts w:ascii="Arial" w:hAnsi="Arial" w:cs="Arial"/>
                <w:b/>
                <w:bCs/>
                <w:color w:val="00B0F0"/>
                <w:sz w:val="16"/>
                <w:szCs w:val="16"/>
              </w:rPr>
              <w:t>Provincia di Belluno</w:t>
            </w:r>
          </w:p>
        </w:tc>
      </w:tr>
      <w:tr w:rsidR="00331370" w:rsidRPr="003D27A3" w14:paraId="5CD5FC8C" w14:textId="77777777" w:rsidTr="003D27A3">
        <w:tc>
          <w:tcPr>
            <w:tcW w:w="9004" w:type="dxa"/>
            <w:shd w:val="clear" w:color="auto" w:fill="auto"/>
          </w:tcPr>
          <w:p w14:paraId="5789CEF9" w14:textId="365FD7A4" w:rsidR="00331370" w:rsidRPr="003D27A3" w:rsidRDefault="009329B6" w:rsidP="00BB65D4">
            <w:pPr>
              <w:tabs>
                <w:tab w:val="left" w:pos="3480"/>
                <w:tab w:val="center" w:pos="4002"/>
              </w:tabs>
              <w:spacing w:before="40"/>
              <w:jc w:val="center"/>
              <w:rPr>
                <w:rFonts w:ascii="Arial" w:hAnsi="Arial" w:cs="Arial"/>
                <w:b/>
                <w:bCs/>
                <w:noProof/>
                <w:color w:val="943634"/>
                <w:sz w:val="20"/>
              </w:rPr>
            </w:pPr>
            <w:r w:rsidRPr="009329B6">
              <w:rPr>
                <w:rFonts w:ascii="Arial" w:hAnsi="Arial" w:cs="Arial"/>
                <w:b/>
                <w:bCs/>
                <w:noProof/>
                <w:color w:val="943634"/>
                <w:sz w:val="20"/>
              </w:rPr>
              <w:drawing>
                <wp:inline distT="0" distB="0" distL="0" distR="0" wp14:anchorId="1291164D" wp14:editId="4E89F4E4">
                  <wp:extent cx="5222123" cy="3295433"/>
                  <wp:effectExtent l="0" t="0" r="0" b="635"/>
                  <wp:docPr id="202280042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3228" cy="3302441"/>
                          </a:xfrm>
                          <a:prstGeom prst="rect">
                            <a:avLst/>
                          </a:prstGeom>
                          <a:noFill/>
                          <a:ln>
                            <a:noFill/>
                          </a:ln>
                        </pic:spPr>
                      </pic:pic>
                    </a:graphicData>
                  </a:graphic>
                </wp:inline>
              </w:drawing>
            </w:r>
          </w:p>
        </w:tc>
      </w:tr>
      <w:tr w:rsidR="00331370" w:rsidRPr="006768AA" w14:paraId="093F104C" w14:textId="77777777" w:rsidTr="003D27A3">
        <w:tc>
          <w:tcPr>
            <w:tcW w:w="9004" w:type="dxa"/>
            <w:shd w:val="clear" w:color="auto" w:fill="auto"/>
          </w:tcPr>
          <w:p w14:paraId="18467BC0" w14:textId="77777777" w:rsidR="00331370" w:rsidRPr="003D27A3" w:rsidRDefault="00331370" w:rsidP="00BB65D4">
            <w:pPr>
              <w:spacing w:before="120"/>
              <w:rPr>
                <w:rFonts w:ascii="Arial" w:hAnsi="Arial" w:cs="Arial"/>
                <w:bCs/>
                <w:sz w:val="16"/>
                <w:szCs w:val="16"/>
                <w:shd w:val="clear" w:color="auto" w:fill="FFFFFF" w:themeFill="background1"/>
              </w:rPr>
            </w:pPr>
          </w:p>
          <w:p w14:paraId="63063603" w14:textId="2F6D3956" w:rsidR="00331370" w:rsidRPr="003D27A3" w:rsidRDefault="00331370" w:rsidP="00BB65D4">
            <w:pPr>
              <w:spacing w:before="40" w:after="120"/>
              <w:rPr>
                <w:rFonts w:ascii="Arial" w:hAnsi="Arial" w:cs="Arial"/>
                <w:bCs/>
                <w:i/>
                <w:sz w:val="14"/>
                <w:szCs w:val="14"/>
                <w:shd w:val="clear" w:color="auto" w:fill="FFFFFF" w:themeFill="background1"/>
              </w:rPr>
            </w:pPr>
            <w:r w:rsidRPr="003D27A3">
              <w:rPr>
                <w:rFonts w:ascii="Arial" w:hAnsi="Arial" w:cs="Arial"/>
                <w:bCs/>
                <w:sz w:val="14"/>
                <w:szCs w:val="14"/>
                <w:shd w:val="clear" w:color="auto" w:fill="FFFFFF" w:themeFill="background1"/>
              </w:rPr>
              <w:t xml:space="preserve">Per il </w:t>
            </w:r>
            <w:r w:rsidR="003D27A3">
              <w:rPr>
                <w:rFonts w:ascii="Arial" w:hAnsi="Arial" w:cs="Arial"/>
                <w:bCs/>
                <w:sz w:val="14"/>
                <w:szCs w:val="14"/>
                <w:shd w:val="clear" w:color="auto" w:fill="FFFFFF" w:themeFill="background1"/>
              </w:rPr>
              <w:t>terzo</w:t>
            </w:r>
            <w:r w:rsidR="00D5753D" w:rsidRPr="003D27A3">
              <w:rPr>
                <w:rFonts w:ascii="Arial" w:hAnsi="Arial" w:cs="Arial"/>
                <w:bCs/>
                <w:sz w:val="14"/>
                <w:szCs w:val="14"/>
                <w:shd w:val="clear" w:color="auto" w:fill="FFFFFF" w:themeFill="background1"/>
              </w:rPr>
              <w:t xml:space="preserve"> trimestre 202</w:t>
            </w:r>
            <w:r w:rsidR="00C75D2B" w:rsidRPr="003D27A3">
              <w:rPr>
                <w:rFonts w:ascii="Arial" w:hAnsi="Arial" w:cs="Arial"/>
                <w:bCs/>
                <w:sz w:val="14"/>
                <w:szCs w:val="14"/>
                <w:shd w:val="clear" w:color="auto" w:fill="FFFFFF" w:themeFill="background1"/>
              </w:rPr>
              <w:t>4</w:t>
            </w:r>
            <w:r w:rsidRPr="003D27A3">
              <w:rPr>
                <w:rFonts w:ascii="Arial" w:hAnsi="Arial" w:cs="Arial"/>
                <w:bCs/>
                <w:sz w:val="14"/>
                <w:szCs w:val="14"/>
                <w:shd w:val="clear" w:color="auto" w:fill="FFFFFF" w:themeFill="background1"/>
              </w:rPr>
              <w:t xml:space="preserve">, indagine su un campione di </w:t>
            </w:r>
            <w:r w:rsidR="003D27A3">
              <w:rPr>
                <w:rFonts w:ascii="Arial" w:hAnsi="Arial" w:cs="Arial"/>
                <w:bCs/>
                <w:sz w:val="14"/>
                <w:szCs w:val="14"/>
                <w:shd w:val="clear" w:color="auto" w:fill="FFFFFF" w:themeFill="background1"/>
              </w:rPr>
              <w:t>500</w:t>
            </w:r>
            <w:r w:rsidR="00C75D2B" w:rsidRPr="003D27A3">
              <w:rPr>
                <w:rFonts w:ascii="Arial" w:hAnsi="Arial" w:cs="Arial"/>
                <w:bCs/>
                <w:sz w:val="14"/>
                <w:szCs w:val="14"/>
                <w:shd w:val="clear" w:color="auto" w:fill="FFFFFF" w:themeFill="background1"/>
              </w:rPr>
              <w:t xml:space="preserve"> imprese della provincia di Treviso (per un totale </w:t>
            </w:r>
            <w:r w:rsidR="00E14AD7" w:rsidRPr="003D27A3">
              <w:rPr>
                <w:rFonts w:ascii="Arial" w:hAnsi="Arial" w:cs="Arial"/>
                <w:bCs/>
                <w:sz w:val="14"/>
                <w:szCs w:val="14"/>
                <w:shd w:val="clear" w:color="auto" w:fill="FFFFFF" w:themeFill="background1"/>
              </w:rPr>
              <w:t xml:space="preserve">di </w:t>
            </w:r>
            <w:r w:rsidR="003D27A3" w:rsidRPr="003D27A3">
              <w:rPr>
                <w:rFonts w:ascii="Arial" w:hAnsi="Arial" w:cs="Arial"/>
                <w:bCs/>
                <w:sz w:val="14"/>
                <w:szCs w:val="14"/>
                <w:shd w:val="clear" w:color="auto" w:fill="FFFFFF" w:themeFill="background1"/>
              </w:rPr>
              <w:t xml:space="preserve">19.325 </w:t>
            </w:r>
            <w:r w:rsidR="00C75D2B" w:rsidRPr="003D27A3">
              <w:rPr>
                <w:rFonts w:ascii="Arial" w:hAnsi="Arial" w:cs="Arial"/>
                <w:bCs/>
                <w:sz w:val="14"/>
                <w:szCs w:val="14"/>
                <w:shd w:val="clear" w:color="auto" w:fill="FFFFFF" w:themeFill="background1"/>
              </w:rPr>
              <w:t>addetti) e di 7</w:t>
            </w:r>
            <w:r w:rsidR="003D27A3">
              <w:rPr>
                <w:rFonts w:ascii="Arial" w:hAnsi="Arial" w:cs="Arial"/>
                <w:bCs/>
                <w:sz w:val="14"/>
                <w:szCs w:val="14"/>
                <w:shd w:val="clear" w:color="auto" w:fill="FFFFFF" w:themeFill="background1"/>
              </w:rPr>
              <w:t>7</w:t>
            </w:r>
            <w:r w:rsidR="00C75D2B" w:rsidRPr="003D27A3">
              <w:rPr>
                <w:rFonts w:ascii="Arial" w:hAnsi="Arial" w:cs="Arial"/>
                <w:bCs/>
                <w:sz w:val="14"/>
                <w:szCs w:val="14"/>
                <w:shd w:val="clear" w:color="auto" w:fill="FFFFFF" w:themeFill="background1"/>
              </w:rPr>
              <w:t xml:space="preserve"> imprese della provincia di Belluno con almeno 10 addetti (per un totale </w:t>
            </w:r>
            <w:r w:rsidR="003D27A3" w:rsidRPr="003D27A3">
              <w:rPr>
                <w:rFonts w:ascii="Arial" w:hAnsi="Arial" w:cs="Arial"/>
                <w:bCs/>
                <w:sz w:val="14"/>
                <w:szCs w:val="14"/>
                <w:shd w:val="clear" w:color="auto" w:fill="FFFFFF" w:themeFill="background1"/>
              </w:rPr>
              <w:t xml:space="preserve">di 3.924 </w:t>
            </w:r>
            <w:r w:rsidR="00C75D2B" w:rsidRPr="003D27A3">
              <w:rPr>
                <w:rFonts w:ascii="Arial" w:hAnsi="Arial" w:cs="Arial"/>
                <w:bCs/>
                <w:sz w:val="14"/>
                <w:szCs w:val="14"/>
                <w:shd w:val="clear" w:color="auto" w:fill="FFFFFF" w:themeFill="background1"/>
              </w:rPr>
              <w:t>addetti).</w:t>
            </w:r>
          </w:p>
          <w:p w14:paraId="0052F2F3" w14:textId="77777777" w:rsidR="00331370" w:rsidRPr="003D27A3" w:rsidRDefault="00331370" w:rsidP="00BB65D4">
            <w:pPr>
              <w:spacing w:before="40"/>
              <w:rPr>
                <w:rFonts w:ascii="Arial" w:hAnsi="Arial" w:cs="Arial"/>
                <w:bCs/>
                <w:color w:val="943634"/>
                <w:sz w:val="20"/>
              </w:rPr>
            </w:pPr>
            <w:r w:rsidRPr="003D27A3">
              <w:rPr>
                <w:rFonts w:ascii="Arial" w:hAnsi="Arial" w:cs="Arial"/>
                <w:bCs/>
                <w:i/>
                <w:sz w:val="14"/>
                <w:szCs w:val="14"/>
                <w:shd w:val="clear" w:color="auto" w:fill="FFFFFF" w:themeFill="background1"/>
              </w:rPr>
              <w:t xml:space="preserve">Fonte: Elaborazioni Ufficio Studi e Statistica CCIAA Treviso-Belluno su dati Unioncamere del Veneto - Indagine </w:t>
            </w:r>
            <w:proofErr w:type="spellStart"/>
            <w:r w:rsidRPr="003D27A3">
              <w:rPr>
                <w:rFonts w:ascii="Arial" w:hAnsi="Arial" w:cs="Arial"/>
                <w:bCs/>
                <w:i/>
                <w:sz w:val="14"/>
                <w:szCs w:val="14"/>
                <w:shd w:val="clear" w:color="auto" w:fill="FFFFFF" w:themeFill="background1"/>
              </w:rPr>
              <w:t>VenetoCongiuntura</w:t>
            </w:r>
            <w:proofErr w:type="spellEnd"/>
          </w:p>
        </w:tc>
      </w:tr>
    </w:tbl>
    <w:p w14:paraId="6F09ABC3" w14:textId="610F4143" w:rsidR="004C5F04" w:rsidRDefault="004C5F04">
      <w:pPr>
        <w:jc w:val="left"/>
        <w:rPr>
          <w:rFonts w:ascii="Arial" w:hAnsi="Arial" w:cs="Arial"/>
          <w:b/>
          <w:bCs/>
          <w:color w:val="00B0F0"/>
          <w:sz w:val="22"/>
          <w:szCs w:val="22"/>
          <w:highlight w:val="yellow"/>
        </w:rPr>
      </w:pPr>
      <w:r w:rsidRPr="006768AA">
        <w:rPr>
          <w:rFonts w:ascii="Arial" w:hAnsi="Arial" w:cs="Arial"/>
          <w:b/>
          <w:bCs/>
          <w:color w:val="00B0F0"/>
          <w:sz w:val="22"/>
          <w:szCs w:val="22"/>
          <w:highlight w:val="yellow"/>
        </w:rPr>
        <w:br w:type="page"/>
      </w:r>
    </w:p>
    <w:p w14:paraId="28F3F48B" w14:textId="77777777" w:rsidR="009E023B" w:rsidRPr="006768AA" w:rsidRDefault="009E023B">
      <w:pPr>
        <w:jc w:val="left"/>
        <w:rPr>
          <w:rFonts w:ascii="Arial" w:hAnsi="Arial" w:cs="Arial"/>
          <w:b/>
          <w:bCs/>
          <w:color w:val="00B0F0"/>
          <w:sz w:val="22"/>
          <w:szCs w:val="22"/>
          <w:highlight w:val="yellow"/>
        </w:rPr>
      </w:pP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8"/>
      </w:tblGrid>
      <w:tr w:rsidR="00722766" w:rsidRPr="003D27A3" w14:paraId="1D6DB95C" w14:textId="77777777" w:rsidTr="003D27A3">
        <w:tc>
          <w:tcPr>
            <w:tcW w:w="8788" w:type="dxa"/>
            <w:shd w:val="clear" w:color="auto" w:fill="auto"/>
          </w:tcPr>
          <w:p w14:paraId="1B10D088" w14:textId="08DFE186" w:rsidR="00722766" w:rsidRPr="003D27A3" w:rsidRDefault="00722766" w:rsidP="00BB65D4">
            <w:pPr>
              <w:pStyle w:val="Titolo1"/>
              <w:jc w:val="left"/>
              <w:rPr>
                <w:rFonts w:ascii="Arial" w:hAnsi="Arial" w:cs="Arial"/>
                <w:bCs/>
                <w:color w:val="00B0F0"/>
                <w:sz w:val="18"/>
                <w:szCs w:val="18"/>
              </w:rPr>
            </w:pPr>
            <w:bookmarkStart w:id="1" w:name="_Toc119661577"/>
            <w:r w:rsidRPr="003D27A3">
              <w:rPr>
                <w:rFonts w:ascii="Arial" w:hAnsi="Arial" w:cs="Arial"/>
                <w:bCs/>
                <w:sz w:val="18"/>
                <w:szCs w:val="18"/>
              </w:rPr>
              <w:t xml:space="preserve">Tab. 2 </w:t>
            </w:r>
            <w:r w:rsidR="00D42D1F" w:rsidRPr="003D27A3">
              <w:rPr>
                <w:rFonts w:ascii="Arial" w:hAnsi="Arial" w:cs="Arial"/>
                <w:bCs/>
                <w:sz w:val="18"/>
                <w:szCs w:val="18"/>
              </w:rPr>
              <w:t xml:space="preserve">- </w:t>
            </w:r>
            <w:r w:rsidR="00D42D1F" w:rsidRPr="003D27A3">
              <w:rPr>
                <w:rFonts w:ascii="Arial" w:hAnsi="Arial" w:cs="Arial"/>
                <w:bCs/>
                <w:color w:val="00B0F0"/>
                <w:sz w:val="18"/>
                <w:szCs w:val="18"/>
              </w:rPr>
              <w:t>Province</w:t>
            </w:r>
            <w:r w:rsidR="00D558AE" w:rsidRPr="003D27A3">
              <w:rPr>
                <w:rFonts w:ascii="Arial" w:hAnsi="Arial" w:cs="Arial"/>
                <w:bCs/>
                <w:color w:val="00B0F0"/>
                <w:sz w:val="18"/>
                <w:szCs w:val="18"/>
              </w:rPr>
              <w:t xml:space="preserve"> di Treviso e di Belluno</w:t>
            </w:r>
            <w:r w:rsidRPr="003D27A3">
              <w:rPr>
                <w:rFonts w:ascii="Arial" w:hAnsi="Arial" w:cs="Arial"/>
                <w:bCs/>
                <w:color w:val="00B0F0"/>
                <w:sz w:val="18"/>
                <w:szCs w:val="18"/>
              </w:rPr>
              <w:t xml:space="preserve">: previsioni per il </w:t>
            </w:r>
            <w:r w:rsidR="003D27A3" w:rsidRPr="003D27A3">
              <w:rPr>
                <w:rFonts w:ascii="Arial" w:hAnsi="Arial" w:cs="Arial"/>
                <w:bCs/>
                <w:color w:val="00B0F0"/>
                <w:sz w:val="18"/>
                <w:szCs w:val="18"/>
              </w:rPr>
              <w:t>4</w:t>
            </w:r>
            <w:r w:rsidRPr="003D27A3">
              <w:rPr>
                <w:rFonts w:ascii="Arial" w:hAnsi="Arial" w:cs="Arial"/>
                <w:bCs/>
                <w:color w:val="00B0F0"/>
                <w:sz w:val="18"/>
                <w:szCs w:val="18"/>
              </w:rPr>
              <w:t>° trimestre 202</w:t>
            </w:r>
            <w:r w:rsidR="00274028" w:rsidRPr="003D27A3">
              <w:rPr>
                <w:rFonts w:ascii="Arial" w:hAnsi="Arial" w:cs="Arial"/>
                <w:bCs/>
                <w:color w:val="00B0F0"/>
                <w:sz w:val="18"/>
                <w:szCs w:val="18"/>
              </w:rPr>
              <w:t>4</w:t>
            </w:r>
            <w:r w:rsidRPr="003D27A3">
              <w:rPr>
                <w:rFonts w:ascii="Arial" w:hAnsi="Arial" w:cs="Arial"/>
                <w:bCs/>
                <w:color w:val="00B0F0"/>
                <w:sz w:val="18"/>
                <w:szCs w:val="18"/>
              </w:rPr>
              <w:t>.</w:t>
            </w:r>
          </w:p>
          <w:p w14:paraId="6F1CB49D" w14:textId="7353C3EB" w:rsidR="00722766" w:rsidRPr="003D27A3" w:rsidRDefault="00722766" w:rsidP="00BB65D4">
            <w:pPr>
              <w:pStyle w:val="Titolo1"/>
              <w:jc w:val="left"/>
              <w:rPr>
                <w:rFonts w:ascii="Arial" w:hAnsi="Arial" w:cs="Arial"/>
                <w:b w:val="0"/>
                <w:bCs/>
                <w:sz w:val="18"/>
                <w:szCs w:val="18"/>
              </w:rPr>
            </w:pPr>
            <w:r w:rsidRPr="003D27A3">
              <w:rPr>
                <w:rFonts w:ascii="Arial" w:hAnsi="Arial" w:cs="Arial"/>
                <w:bCs/>
                <w:sz w:val="18"/>
                <w:szCs w:val="18"/>
              </w:rPr>
              <w:t>Percentuale di giudizi di aumento, stabilità, diminuzione e saldo (calcolato come differenza tra percentuale di aumento e percentuale di diminuzione) per produzione, fatturato e nuovi ordinativi</w:t>
            </w:r>
            <w:bookmarkEnd w:id="1"/>
            <w:r w:rsidRPr="003D27A3">
              <w:rPr>
                <w:rFonts w:ascii="Arial" w:hAnsi="Arial" w:cs="Arial"/>
                <w:bCs/>
                <w:sz w:val="18"/>
                <w:szCs w:val="18"/>
              </w:rPr>
              <w:t xml:space="preserve">. </w:t>
            </w:r>
            <w:r w:rsidR="003501CC" w:rsidRPr="003D27A3">
              <w:rPr>
                <w:rFonts w:ascii="Arial" w:hAnsi="Arial" w:cs="Arial"/>
                <w:b w:val="0"/>
                <w:bCs/>
                <w:sz w:val="18"/>
                <w:szCs w:val="18"/>
              </w:rPr>
              <w:t xml:space="preserve">Previsioni raccolte nel </w:t>
            </w:r>
            <w:r w:rsidR="003D27A3" w:rsidRPr="003D27A3">
              <w:rPr>
                <w:rFonts w:ascii="Arial" w:hAnsi="Arial" w:cs="Arial"/>
                <w:b w:val="0"/>
                <w:bCs/>
                <w:sz w:val="18"/>
                <w:szCs w:val="18"/>
              </w:rPr>
              <w:t>3</w:t>
            </w:r>
            <w:r w:rsidR="00D558AE" w:rsidRPr="003D27A3">
              <w:rPr>
                <w:rFonts w:ascii="Arial" w:hAnsi="Arial" w:cs="Arial"/>
                <w:b w:val="0"/>
                <w:bCs/>
                <w:sz w:val="18"/>
                <w:szCs w:val="18"/>
              </w:rPr>
              <w:t>° trimestre 2023</w:t>
            </w:r>
          </w:p>
          <w:p w14:paraId="3B49E89E" w14:textId="77777777" w:rsidR="00722766" w:rsidRPr="003D27A3" w:rsidRDefault="00722766" w:rsidP="00BB65D4">
            <w:pPr>
              <w:pStyle w:val="Titolo1"/>
              <w:jc w:val="left"/>
              <w:rPr>
                <w:rFonts w:ascii="Arial" w:hAnsi="Arial" w:cs="Arial"/>
                <w:b w:val="0"/>
                <w:bCs/>
                <w:color w:val="943634"/>
                <w:sz w:val="18"/>
                <w:szCs w:val="18"/>
              </w:rPr>
            </w:pPr>
          </w:p>
        </w:tc>
      </w:tr>
      <w:tr w:rsidR="00722766" w:rsidRPr="003D27A3" w14:paraId="0A3E84B3" w14:textId="77777777" w:rsidTr="003D27A3">
        <w:tc>
          <w:tcPr>
            <w:tcW w:w="8788" w:type="dxa"/>
            <w:shd w:val="clear" w:color="auto" w:fill="auto"/>
          </w:tcPr>
          <w:p w14:paraId="156CCE99" w14:textId="0990F213" w:rsidR="00722766" w:rsidRPr="003D27A3" w:rsidRDefault="00722766" w:rsidP="0018370C">
            <w:pPr>
              <w:tabs>
                <w:tab w:val="left" w:pos="3256"/>
              </w:tabs>
              <w:spacing w:before="40" w:after="120"/>
              <w:jc w:val="center"/>
              <w:rPr>
                <w:rFonts w:ascii="Arial" w:hAnsi="Arial" w:cs="Arial"/>
                <w:b/>
                <w:bCs/>
                <w:color w:val="00B0F0"/>
                <w:sz w:val="20"/>
              </w:rPr>
            </w:pPr>
            <w:r w:rsidRPr="003D27A3">
              <w:rPr>
                <w:rFonts w:ascii="Arial" w:hAnsi="Arial" w:cs="Arial"/>
                <w:b/>
                <w:bCs/>
                <w:color w:val="00B0F0"/>
                <w:sz w:val="16"/>
                <w:szCs w:val="16"/>
              </w:rPr>
              <w:t>Provincia di Treviso</w:t>
            </w:r>
          </w:p>
        </w:tc>
      </w:tr>
      <w:tr w:rsidR="00722766" w:rsidRPr="003D27A3" w14:paraId="04074BCD" w14:textId="77777777" w:rsidTr="003D27A3">
        <w:tc>
          <w:tcPr>
            <w:tcW w:w="8788" w:type="dxa"/>
            <w:shd w:val="clear" w:color="auto" w:fill="auto"/>
          </w:tcPr>
          <w:p w14:paraId="040662C1" w14:textId="192D3954" w:rsidR="00722766" w:rsidRPr="003D27A3" w:rsidRDefault="003D27A3" w:rsidP="00722766">
            <w:pPr>
              <w:tabs>
                <w:tab w:val="left" w:pos="3480"/>
                <w:tab w:val="center" w:pos="4002"/>
              </w:tabs>
              <w:spacing w:before="40"/>
              <w:jc w:val="center"/>
              <w:rPr>
                <w:rFonts w:ascii="Arial" w:hAnsi="Arial" w:cs="Arial"/>
                <w:b/>
                <w:bCs/>
                <w:color w:val="943634"/>
                <w:sz w:val="20"/>
              </w:rPr>
            </w:pPr>
            <w:r w:rsidRPr="003D27A3">
              <w:rPr>
                <w:rFonts w:ascii="Arial" w:hAnsi="Arial" w:cs="Arial"/>
                <w:b/>
                <w:bCs/>
                <w:noProof/>
                <w:color w:val="943634"/>
                <w:sz w:val="20"/>
              </w:rPr>
              <w:drawing>
                <wp:inline distT="0" distB="0" distL="0" distR="0" wp14:anchorId="1E33D01B" wp14:editId="02E9BE41">
                  <wp:extent cx="3927163" cy="2725913"/>
                  <wp:effectExtent l="0" t="0" r="0" b="0"/>
                  <wp:docPr id="214545132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34007" cy="2730664"/>
                          </a:xfrm>
                          <a:prstGeom prst="rect">
                            <a:avLst/>
                          </a:prstGeom>
                          <a:noFill/>
                          <a:ln>
                            <a:noFill/>
                          </a:ln>
                        </pic:spPr>
                      </pic:pic>
                    </a:graphicData>
                  </a:graphic>
                </wp:inline>
              </w:drawing>
            </w:r>
          </w:p>
        </w:tc>
      </w:tr>
      <w:tr w:rsidR="00722766" w:rsidRPr="003D27A3" w14:paraId="6C84C2DC" w14:textId="77777777" w:rsidTr="003D27A3">
        <w:tc>
          <w:tcPr>
            <w:tcW w:w="8788" w:type="dxa"/>
            <w:shd w:val="clear" w:color="auto" w:fill="auto"/>
          </w:tcPr>
          <w:p w14:paraId="26F3A81A" w14:textId="1852A249" w:rsidR="00722766" w:rsidRPr="003D27A3" w:rsidRDefault="00722766" w:rsidP="0018370C">
            <w:pPr>
              <w:tabs>
                <w:tab w:val="left" w:pos="3256"/>
              </w:tabs>
              <w:spacing w:before="120" w:after="120"/>
              <w:jc w:val="center"/>
              <w:rPr>
                <w:rFonts w:ascii="Arial" w:hAnsi="Arial" w:cs="Arial"/>
                <w:b/>
                <w:bCs/>
                <w:color w:val="00B0F0"/>
                <w:sz w:val="20"/>
              </w:rPr>
            </w:pPr>
            <w:r w:rsidRPr="003D27A3">
              <w:rPr>
                <w:rFonts w:ascii="Arial" w:hAnsi="Arial" w:cs="Arial"/>
                <w:b/>
                <w:bCs/>
                <w:color w:val="00B0F0"/>
                <w:sz w:val="16"/>
                <w:szCs w:val="16"/>
              </w:rPr>
              <w:t>Provincia di Belluno</w:t>
            </w:r>
          </w:p>
        </w:tc>
      </w:tr>
      <w:tr w:rsidR="00722766" w:rsidRPr="003D27A3" w14:paraId="1B0D8BF0" w14:textId="77777777" w:rsidTr="003D27A3">
        <w:tc>
          <w:tcPr>
            <w:tcW w:w="8788" w:type="dxa"/>
            <w:shd w:val="clear" w:color="auto" w:fill="auto"/>
          </w:tcPr>
          <w:p w14:paraId="437282B7" w14:textId="58EAB8D9" w:rsidR="00722766" w:rsidRPr="003D27A3" w:rsidRDefault="003D27A3" w:rsidP="00BB65D4">
            <w:pPr>
              <w:tabs>
                <w:tab w:val="left" w:pos="3480"/>
                <w:tab w:val="center" w:pos="4002"/>
              </w:tabs>
              <w:spacing w:before="40"/>
              <w:jc w:val="center"/>
              <w:rPr>
                <w:rFonts w:ascii="Arial" w:hAnsi="Arial" w:cs="Arial"/>
                <w:b/>
                <w:bCs/>
                <w:noProof/>
                <w:color w:val="943634"/>
                <w:sz w:val="20"/>
              </w:rPr>
            </w:pPr>
            <w:r w:rsidRPr="003D27A3">
              <w:rPr>
                <w:rFonts w:ascii="Arial" w:hAnsi="Arial" w:cs="Arial"/>
                <w:b/>
                <w:bCs/>
                <w:noProof/>
                <w:color w:val="943634"/>
                <w:sz w:val="20"/>
              </w:rPr>
              <w:drawing>
                <wp:inline distT="0" distB="0" distL="0" distR="0" wp14:anchorId="3CA3F80C" wp14:editId="740A8443">
                  <wp:extent cx="4069873" cy="2862388"/>
                  <wp:effectExtent l="0" t="0" r="6985" b="0"/>
                  <wp:docPr id="68042027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79633" cy="2869252"/>
                          </a:xfrm>
                          <a:prstGeom prst="rect">
                            <a:avLst/>
                          </a:prstGeom>
                          <a:noFill/>
                          <a:ln>
                            <a:noFill/>
                          </a:ln>
                        </pic:spPr>
                      </pic:pic>
                    </a:graphicData>
                  </a:graphic>
                </wp:inline>
              </w:drawing>
            </w:r>
          </w:p>
        </w:tc>
      </w:tr>
      <w:tr w:rsidR="00722766" w:rsidRPr="00F24ED8" w14:paraId="047B5CA2" w14:textId="77777777" w:rsidTr="003D27A3">
        <w:tc>
          <w:tcPr>
            <w:tcW w:w="8788" w:type="dxa"/>
            <w:shd w:val="clear" w:color="auto" w:fill="auto"/>
          </w:tcPr>
          <w:p w14:paraId="30403A98" w14:textId="77777777" w:rsidR="003501CC" w:rsidRPr="003D27A3" w:rsidRDefault="003501CC" w:rsidP="003501CC">
            <w:pPr>
              <w:spacing w:before="120"/>
              <w:rPr>
                <w:rFonts w:ascii="Arial" w:hAnsi="Arial" w:cs="Arial"/>
                <w:bCs/>
                <w:sz w:val="16"/>
                <w:szCs w:val="16"/>
                <w:shd w:val="clear" w:color="auto" w:fill="FFFFFF" w:themeFill="background1"/>
              </w:rPr>
            </w:pPr>
          </w:p>
          <w:p w14:paraId="77CE3E2F" w14:textId="2A0F7B2B" w:rsidR="003D27A3" w:rsidRPr="003D27A3" w:rsidRDefault="003D27A3" w:rsidP="003D27A3">
            <w:pPr>
              <w:spacing w:before="40" w:after="120"/>
              <w:rPr>
                <w:rFonts w:ascii="Arial" w:hAnsi="Arial" w:cs="Arial"/>
                <w:bCs/>
                <w:i/>
                <w:sz w:val="14"/>
                <w:szCs w:val="14"/>
                <w:shd w:val="clear" w:color="auto" w:fill="FFFFFF" w:themeFill="background1"/>
              </w:rPr>
            </w:pPr>
            <w:r w:rsidRPr="003D27A3">
              <w:rPr>
                <w:rFonts w:ascii="Arial" w:hAnsi="Arial" w:cs="Arial"/>
                <w:bCs/>
                <w:sz w:val="14"/>
                <w:szCs w:val="14"/>
                <w:shd w:val="clear" w:color="auto" w:fill="FFFFFF" w:themeFill="background1"/>
              </w:rPr>
              <w:t>Per il terzo trimestre 2024, indagine su un campione di 500 imprese della provincia di Treviso (per un totale di 19.325 addetti) e di 77 imprese della provincia di Belluno con almeno 10 addetti (per un totale di 3.924 addetti).</w:t>
            </w:r>
          </w:p>
          <w:p w14:paraId="26FAF450" w14:textId="3F80353C" w:rsidR="00722766" w:rsidRPr="00A46838" w:rsidRDefault="00813871" w:rsidP="00813871">
            <w:pPr>
              <w:spacing w:before="40"/>
              <w:jc w:val="left"/>
              <w:rPr>
                <w:rFonts w:ascii="Arial" w:hAnsi="Arial" w:cs="Arial"/>
                <w:bCs/>
                <w:color w:val="943634"/>
                <w:sz w:val="20"/>
              </w:rPr>
            </w:pPr>
            <w:r w:rsidRPr="003D27A3">
              <w:rPr>
                <w:rFonts w:ascii="Arial" w:hAnsi="Arial" w:cs="Arial"/>
                <w:bCs/>
                <w:i/>
                <w:sz w:val="14"/>
                <w:szCs w:val="14"/>
                <w:shd w:val="clear" w:color="auto" w:fill="FFFFFF" w:themeFill="background1"/>
              </w:rPr>
              <w:t xml:space="preserve">Fonte: Elaborazioni Ufficio Studi e Statistica CCIAA Treviso-Belluno su dati Unioncamere del Veneto - Indagine </w:t>
            </w:r>
            <w:proofErr w:type="spellStart"/>
            <w:r w:rsidRPr="003D27A3">
              <w:rPr>
                <w:rFonts w:ascii="Arial" w:hAnsi="Arial" w:cs="Arial"/>
                <w:bCs/>
                <w:i/>
                <w:sz w:val="14"/>
                <w:szCs w:val="14"/>
                <w:shd w:val="clear" w:color="auto" w:fill="FFFFFF" w:themeFill="background1"/>
              </w:rPr>
              <w:t>VenetoCongiuntura</w:t>
            </w:r>
            <w:proofErr w:type="spellEnd"/>
          </w:p>
        </w:tc>
      </w:tr>
    </w:tbl>
    <w:p w14:paraId="2147970F" w14:textId="77777777" w:rsidR="004C5F04" w:rsidRPr="00020016" w:rsidRDefault="004C5F04" w:rsidP="00937C1A">
      <w:pPr>
        <w:spacing w:after="120" w:line="276" w:lineRule="auto"/>
        <w:rPr>
          <w:rFonts w:ascii="Arial" w:hAnsi="Arial" w:cs="Arial"/>
          <w:b/>
          <w:bCs/>
          <w:color w:val="00B0F0"/>
          <w:sz w:val="22"/>
          <w:szCs w:val="22"/>
        </w:rPr>
      </w:pPr>
    </w:p>
    <w:sectPr w:rsidR="004C5F04" w:rsidRPr="00020016" w:rsidSect="005E5CA8">
      <w:headerReference w:type="default" r:id="rId20"/>
      <w:footerReference w:type="default" r:id="rId21"/>
      <w:headerReference w:type="first" r:id="rId22"/>
      <w:footerReference w:type="first" r:id="rId23"/>
      <w:pgSz w:w="11906" w:h="16838"/>
      <w:pgMar w:top="1701" w:right="1559" w:bottom="1134" w:left="1559" w:header="1418" w:footer="61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5D89C1" w14:textId="77777777" w:rsidR="00635471" w:rsidRDefault="00635471">
      <w:r>
        <w:separator/>
      </w:r>
    </w:p>
  </w:endnote>
  <w:endnote w:type="continuationSeparator" w:id="0">
    <w:p w14:paraId="20214A27" w14:textId="77777777" w:rsidR="00635471" w:rsidRDefault="00635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libri"/>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edra Sans Std Demi">
    <w:altName w:val="Calibri"/>
    <w:panose1 w:val="00000000000000000000"/>
    <w:charset w:val="00"/>
    <w:family w:val="swiss"/>
    <w:notTrueType/>
    <w:pitch w:val="variable"/>
    <w:sig w:usb0="00000001" w:usb1="00000003" w:usb2="00000000" w:usb3="00000000" w:csb0="00000193" w:csb1="00000000"/>
  </w:font>
  <w:font w:name="Fedra Sans Std Light">
    <w:altName w:val="Arial"/>
    <w:panose1 w:val="00000000000000000000"/>
    <w:charset w:val="00"/>
    <w:family w:val="swiss"/>
    <w:notTrueType/>
    <w:pitch w:val="variable"/>
    <w:sig w:usb0="00000001" w:usb1="00000003"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074EE" w14:textId="77777777" w:rsidR="001525E8" w:rsidRPr="00B702F8" w:rsidRDefault="001525E8">
    <w:pPr>
      <w:pStyle w:val="Pidipagina"/>
      <w:jc w:val="right"/>
      <w:rPr>
        <w:rFonts w:ascii="Fedra Sans Std Light" w:hAnsi="Fedra Sans Std Light"/>
        <w:color w:val="000000"/>
      </w:rPr>
    </w:pPr>
    <w:r w:rsidRPr="00B702F8">
      <w:rPr>
        <w:rFonts w:ascii="Fedra Sans Std Light" w:hAnsi="Fedra Sans Std Light"/>
        <w:color w:val="000000"/>
      </w:rPr>
      <w:fldChar w:fldCharType="begin"/>
    </w:r>
    <w:r w:rsidRPr="00B702F8">
      <w:rPr>
        <w:rFonts w:ascii="Fedra Sans Std Light" w:hAnsi="Fedra Sans Std Light"/>
        <w:color w:val="000000"/>
      </w:rPr>
      <w:instrText>PAGE   \* MERGEFORMAT</w:instrText>
    </w:r>
    <w:r w:rsidRPr="00B702F8">
      <w:rPr>
        <w:rFonts w:ascii="Fedra Sans Std Light" w:hAnsi="Fedra Sans Std Light"/>
        <w:color w:val="000000"/>
      </w:rPr>
      <w:fldChar w:fldCharType="separate"/>
    </w:r>
    <w:r w:rsidR="000455C9">
      <w:rPr>
        <w:rFonts w:ascii="Fedra Sans Std Light" w:hAnsi="Fedra Sans Std Light"/>
        <w:noProof/>
        <w:color w:val="000000"/>
      </w:rPr>
      <w:t>4</w:t>
    </w:r>
    <w:r w:rsidRPr="00B702F8">
      <w:rPr>
        <w:rFonts w:ascii="Fedra Sans Std Light" w:hAnsi="Fedra Sans Std Light"/>
        <w:color w:val="000000"/>
      </w:rPr>
      <w:fldChar w:fldCharType="end"/>
    </w:r>
  </w:p>
  <w:p w14:paraId="5FF286CE" w14:textId="77777777" w:rsidR="001525E8" w:rsidRDefault="001525E8" w:rsidP="00F7784A">
    <w:pPr>
      <w:pStyle w:val="Pidipagina"/>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41" w:rightFromText="141" w:vertAnchor="text" w:horzAnchor="margin" w:tblpX="-72" w:tblpY="9499"/>
      <w:tblW w:w="9356" w:type="dxa"/>
      <w:tblLayout w:type="fixed"/>
      <w:tblCellMar>
        <w:left w:w="70" w:type="dxa"/>
        <w:right w:w="70" w:type="dxa"/>
      </w:tblCellMar>
      <w:tblLook w:val="0000" w:firstRow="0" w:lastRow="0" w:firstColumn="0" w:lastColumn="0" w:noHBand="0" w:noVBand="0"/>
    </w:tblPr>
    <w:tblGrid>
      <w:gridCol w:w="4678"/>
      <w:gridCol w:w="4678"/>
    </w:tblGrid>
    <w:tr w:rsidR="001525E8" w:rsidRPr="002814E2" w14:paraId="132D5CB5" w14:textId="77777777" w:rsidTr="00240F6B">
      <w:trPr>
        <w:trHeight w:val="464"/>
      </w:trPr>
      <w:tc>
        <w:tcPr>
          <w:tcW w:w="4678" w:type="dxa"/>
          <w:vAlign w:val="center"/>
        </w:tcPr>
        <w:p w14:paraId="6C74625C" w14:textId="77777777" w:rsidR="001525E8" w:rsidRPr="00DE7B49" w:rsidRDefault="001525E8" w:rsidP="00240F6B">
          <w:pPr>
            <w:pStyle w:val="Pidipagina"/>
            <w:tabs>
              <w:tab w:val="clear" w:pos="9638"/>
            </w:tabs>
            <w:jc w:val="left"/>
            <w:rPr>
              <w:rFonts w:ascii="Fedra Sans Std Light" w:hAnsi="Fedra Sans Std Light"/>
              <w:b/>
              <w:color w:val="071D49"/>
              <w:sz w:val="20"/>
            </w:rPr>
          </w:pPr>
          <w:r w:rsidRPr="00DE7B49">
            <w:rPr>
              <w:rFonts w:ascii="Fedra Sans Std Light" w:hAnsi="Fedra Sans Std Light"/>
              <w:b/>
              <w:color w:val="071D49"/>
              <w:sz w:val="20"/>
            </w:rPr>
            <w:t>Per ulteriori informazioni:</w:t>
          </w:r>
        </w:p>
        <w:p w14:paraId="47EE50E4" w14:textId="77777777" w:rsidR="001525E8" w:rsidRPr="00DE7B49" w:rsidRDefault="001525E8" w:rsidP="00240F6B">
          <w:pPr>
            <w:pStyle w:val="Pidipagina"/>
            <w:jc w:val="left"/>
            <w:rPr>
              <w:rFonts w:ascii="Calibri" w:hAnsi="Calibri" w:cs="Calibri"/>
              <w:szCs w:val="24"/>
            </w:rPr>
          </w:pPr>
          <w:r>
            <w:rPr>
              <w:rFonts w:ascii="Fedra Sans Std Light" w:hAnsi="Fedra Sans Std Light"/>
              <w:color w:val="071D49"/>
              <w:sz w:val="20"/>
            </w:rPr>
            <w:t>0422</w:t>
          </w:r>
          <w:r w:rsidRPr="00DE7B49">
            <w:rPr>
              <w:rFonts w:ascii="Fedra Sans Std Light" w:hAnsi="Fedra Sans Std Light"/>
              <w:color w:val="071D49"/>
              <w:sz w:val="20"/>
            </w:rPr>
            <w:t xml:space="preserve"> / </w:t>
          </w:r>
          <w:r>
            <w:rPr>
              <w:rFonts w:ascii="Fedra Sans Std Light" w:hAnsi="Fedra Sans Std Light"/>
              <w:color w:val="071D49"/>
              <w:sz w:val="20"/>
            </w:rPr>
            <w:t>595366</w:t>
          </w:r>
          <w:r w:rsidRPr="00DE7B49">
            <w:rPr>
              <w:rFonts w:ascii="Fedra Sans Std Light" w:hAnsi="Fedra Sans Std Light"/>
              <w:color w:val="071D49"/>
              <w:sz w:val="20"/>
            </w:rPr>
            <w:t>-</w:t>
          </w:r>
          <w:r>
            <w:rPr>
              <w:rFonts w:ascii="Fedra Sans Std Light" w:hAnsi="Fedra Sans Std Light"/>
              <w:color w:val="071D49"/>
              <w:sz w:val="20"/>
            </w:rPr>
            <w:t>391.3236809</w:t>
          </w:r>
          <w:r w:rsidRPr="00DE7B49">
            <w:rPr>
              <w:rFonts w:ascii="Verdana" w:hAnsi="Verdana"/>
              <w:color w:val="808080"/>
              <w:sz w:val="18"/>
            </w:rPr>
            <w:t xml:space="preserve"> </w:t>
          </w:r>
        </w:p>
      </w:tc>
      <w:tc>
        <w:tcPr>
          <w:tcW w:w="4678" w:type="dxa"/>
          <w:vAlign w:val="center"/>
        </w:tcPr>
        <w:p w14:paraId="1CA22335" w14:textId="77777777" w:rsidR="001525E8" w:rsidRPr="002814E2" w:rsidRDefault="001525E8" w:rsidP="00240F6B">
          <w:pPr>
            <w:jc w:val="right"/>
            <w:rPr>
              <w:rFonts w:ascii="Calibri" w:hAnsi="Calibri" w:cs="Calibri"/>
            </w:rPr>
          </w:pPr>
          <w:r w:rsidRPr="002814E2">
            <w:rPr>
              <w:rFonts w:ascii="Calibri" w:hAnsi="Calibri" w:cs="Calibri"/>
              <w:b/>
              <w:noProof/>
            </w:rPr>
            <w:drawing>
              <wp:inline distT="0" distB="0" distL="0" distR="0" wp14:anchorId="708C9105" wp14:editId="5BA4563D">
                <wp:extent cx="219075" cy="219075"/>
                <wp:effectExtent l="0" t="0" r="9525" b="9525"/>
                <wp:docPr id="17" name="Immagine 17" descr="home_uc_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_uc_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2814E2">
            <w:rPr>
              <w:rFonts w:ascii="Calibri" w:hAnsi="Calibri" w:cs="Calibri"/>
              <w:b/>
            </w:rPr>
            <w:t xml:space="preserve"> </w:t>
          </w:r>
          <w:r w:rsidRPr="002814E2">
            <w:rPr>
              <w:rFonts w:ascii="Calibri" w:hAnsi="Calibri" w:cs="Calibri"/>
              <w:b/>
              <w:noProof/>
            </w:rPr>
            <w:drawing>
              <wp:inline distT="0" distB="0" distL="0" distR="0" wp14:anchorId="4A8D51E1" wp14:editId="2A8AF7E9">
                <wp:extent cx="219075" cy="219075"/>
                <wp:effectExtent l="0" t="0" r="9525" b="9525"/>
                <wp:docPr id="18" name="Immagine 18" descr="ico_uc_email">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_uc_ema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2814E2">
            <w:rPr>
              <w:rFonts w:ascii="Calibri" w:hAnsi="Calibri" w:cs="Calibri"/>
              <w:b/>
            </w:rPr>
            <w:t xml:space="preserve"> </w:t>
          </w:r>
          <w:r>
            <w:rPr>
              <w:noProof/>
            </w:rPr>
            <w:drawing>
              <wp:inline distT="0" distB="0" distL="0" distR="0" wp14:anchorId="305570F3" wp14:editId="58DAE2CF">
                <wp:extent cx="228600" cy="228600"/>
                <wp:effectExtent l="0" t="0" r="0" b="0"/>
                <wp:docPr id="19" name="Immagine 19" descr="logo-facebook-piccolo-andal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facebook-piccolo-andal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2814E2">
            <w:rPr>
              <w:rFonts w:ascii="Calibri" w:hAnsi="Calibri" w:cs="Calibri"/>
              <w:noProof/>
            </w:rPr>
            <w:drawing>
              <wp:inline distT="0" distB="0" distL="0" distR="0" wp14:anchorId="603BF271" wp14:editId="76D0D1AF">
                <wp:extent cx="400050" cy="219075"/>
                <wp:effectExtent l="0" t="0" r="0" b="9525"/>
                <wp:docPr id="20" name="Immagine 20" descr="twit rosso uc">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wit rosso u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219075"/>
                        </a:xfrm>
                        <a:prstGeom prst="rect">
                          <a:avLst/>
                        </a:prstGeom>
                        <a:noFill/>
                        <a:ln>
                          <a:noFill/>
                        </a:ln>
                      </pic:spPr>
                    </pic:pic>
                  </a:graphicData>
                </a:graphic>
              </wp:inline>
            </w:drawing>
          </w:r>
          <w:r w:rsidRPr="002814E2">
            <w:rPr>
              <w:rFonts w:ascii="Calibri" w:hAnsi="Calibri" w:cs="Calibri"/>
              <w:noProof/>
            </w:rPr>
            <w:drawing>
              <wp:inline distT="0" distB="0" distL="0" distR="0" wp14:anchorId="44091159" wp14:editId="2AEB5707">
                <wp:extent cx="428625" cy="228600"/>
                <wp:effectExtent l="0" t="0" r="9525" b="0"/>
                <wp:docPr id="21" name="Immagine 21" descr="url1_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rl1_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 cy="228600"/>
                        </a:xfrm>
                        <a:prstGeom prst="rect">
                          <a:avLst/>
                        </a:prstGeom>
                        <a:noFill/>
                        <a:ln>
                          <a:noFill/>
                        </a:ln>
                      </pic:spPr>
                    </pic:pic>
                  </a:graphicData>
                </a:graphic>
              </wp:inline>
            </w:drawing>
          </w:r>
          <w:r w:rsidRPr="002814E2">
            <w:rPr>
              <w:rFonts w:ascii="Calibri" w:hAnsi="Calibri" w:cs="Calibri"/>
            </w:rPr>
            <w:t xml:space="preserve">  </w:t>
          </w:r>
          <w:r w:rsidRPr="002814E2">
            <w:rPr>
              <w:rFonts w:ascii="Calibri" w:hAnsi="Calibri" w:cs="Calibri"/>
              <w:b/>
            </w:rPr>
            <w:t xml:space="preserve"> </w:t>
          </w:r>
        </w:p>
      </w:tc>
    </w:tr>
  </w:tbl>
  <w:p w14:paraId="4E4A44EC" w14:textId="77777777" w:rsidR="001525E8" w:rsidRDefault="001525E8" w:rsidP="00F26FF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E96D3A" w14:textId="77777777" w:rsidR="00635471" w:rsidRDefault="00635471">
      <w:r>
        <w:separator/>
      </w:r>
    </w:p>
  </w:footnote>
  <w:footnote w:type="continuationSeparator" w:id="0">
    <w:p w14:paraId="2E9DA612" w14:textId="77777777" w:rsidR="00635471" w:rsidRDefault="00635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1F336" w14:textId="77777777" w:rsidR="001525E8" w:rsidRDefault="001525E8">
    <w:pPr>
      <w:pStyle w:val="Intestazione"/>
    </w:pPr>
    <w:r>
      <w:rPr>
        <w:noProof/>
      </w:rPr>
      <w:drawing>
        <wp:anchor distT="0" distB="0" distL="114300" distR="114300" simplePos="0" relativeHeight="251656704" behindDoc="0" locked="0" layoutInCell="1" allowOverlap="1" wp14:anchorId="3B4F5F2A" wp14:editId="6F029AE8">
          <wp:simplePos x="0" y="0"/>
          <wp:positionH relativeFrom="margin">
            <wp:posOffset>-565150</wp:posOffset>
          </wp:positionH>
          <wp:positionV relativeFrom="margin">
            <wp:posOffset>-1009015</wp:posOffset>
          </wp:positionV>
          <wp:extent cx="3122930" cy="543560"/>
          <wp:effectExtent l="0" t="0" r="1270" b="8890"/>
          <wp:wrapNone/>
          <wp:docPr id="13" name="Immagine 5" descr="TrevisoBelluno2-marchio-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visoBelluno2-marchio-colo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2930" cy="543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C3BC1" w14:textId="77777777" w:rsidR="001525E8" w:rsidRDefault="001525E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BA534" w14:textId="5F159AEA" w:rsidR="001525E8" w:rsidRDefault="00A230FF">
    <w:pPr>
      <w:pStyle w:val="Intestazione"/>
    </w:pPr>
    <w:r>
      <w:rPr>
        <w:noProof/>
      </w:rPr>
      <w:drawing>
        <wp:anchor distT="0" distB="0" distL="114300" distR="114300" simplePos="0" relativeHeight="251658752" behindDoc="0" locked="0" layoutInCell="1" allowOverlap="1" wp14:anchorId="51FDAF84" wp14:editId="14C9B8E2">
          <wp:simplePos x="0" y="0"/>
          <wp:positionH relativeFrom="margin">
            <wp:posOffset>-740410</wp:posOffset>
          </wp:positionH>
          <wp:positionV relativeFrom="margin">
            <wp:posOffset>-525145</wp:posOffset>
          </wp:positionV>
          <wp:extent cx="3122930" cy="543560"/>
          <wp:effectExtent l="0" t="0" r="1270" b="8890"/>
          <wp:wrapNone/>
          <wp:docPr id="15" name="Immagine 15" descr="TrevisoBelluno2-marchio-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evisoBelluno2-marchio-colo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293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08B7A826" wp14:editId="6C80E0E5">
          <wp:simplePos x="0" y="0"/>
          <wp:positionH relativeFrom="page">
            <wp:align>left</wp:align>
          </wp:positionH>
          <wp:positionV relativeFrom="page">
            <wp:align>top</wp:align>
          </wp:positionV>
          <wp:extent cx="8170545" cy="1692275"/>
          <wp:effectExtent l="0" t="0" r="1905" b="3175"/>
          <wp:wrapNone/>
          <wp:docPr id="16" name="Immagine 16" descr="testata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estata ne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70545" cy="1692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50.4pt;height:50.4pt" o:bullet="t">
        <v:imagedata r:id="rId1" o:title="ico_uc_email"/>
      </v:shape>
    </w:pict>
  </w:numPicBullet>
  <w:abstractNum w:abstractNumId="0" w15:restartNumberingAfterBreak="0">
    <w:nsid w:val="0C862C21"/>
    <w:multiLevelType w:val="hybridMultilevel"/>
    <w:tmpl w:val="B5562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A7E05C5"/>
    <w:multiLevelType w:val="hybridMultilevel"/>
    <w:tmpl w:val="29A2BAC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AF15840"/>
    <w:multiLevelType w:val="hybridMultilevel"/>
    <w:tmpl w:val="F334AE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CE5CDB"/>
    <w:multiLevelType w:val="hybridMultilevel"/>
    <w:tmpl w:val="08FADE9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8F04347"/>
    <w:multiLevelType w:val="hybridMultilevel"/>
    <w:tmpl w:val="98E05D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D0F61C1"/>
    <w:multiLevelType w:val="hybridMultilevel"/>
    <w:tmpl w:val="F54C22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9"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0357191"/>
    <w:multiLevelType w:val="hybridMultilevel"/>
    <w:tmpl w:val="1F02DF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4B3611A5"/>
    <w:multiLevelType w:val="hybridMultilevel"/>
    <w:tmpl w:val="1C4E47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1EF0424"/>
    <w:multiLevelType w:val="hybridMultilevel"/>
    <w:tmpl w:val="0AE409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3F67D5"/>
    <w:multiLevelType w:val="hybridMultilevel"/>
    <w:tmpl w:val="F334AE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5E84738"/>
    <w:multiLevelType w:val="hybridMultilevel"/>
    <w:tmpl w:val="F334AE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96B79CB"/>
    <w:multiLevelType w:val="hybridMultilevel"/>
    <w:tmpl w:val="D1FE794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18" w15:restartNumberingAfterBreak="0">
    <w:nsid w:val="6A1E5877"/>
    <w:multiLevelType w:val="hybridMultilevel"/>
    <w:tmpl w:val="43069C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D1A44D9"/>
    <w:multiLevelType w:val="hybridMultilevel"/>
    <w:tmpl w:val="03042C52"/>
    <w:lvl w:ilvl="0" w:tplc="B426A8A8">
      <w:start w:val="1"/>
      <w:numFmt w:val="bullet"/>
      <w:lvlText w:val=""/>
      <w:lvlJc w:val="left"/>
      <w:pPr>
        <w:ind w:left="-2136" w:hanging="360"/>
      </w:pPr>
      <w:rPr>
        <w:rFonts w:ascii="Symbol" w:hAnsi="Symbol" w:hint="default"/>
        <w:color w:val="auto"/>
      </w:rPr>
    </w:lvl>
    <w:lvl w:ilvl="1" w:tplc="04100003">
      <w:start w:val="1"/>
      <w:numFmt w:val="bullet"/>
      <w:lvlText w:val="o"/>
      <w:lvlJc w:val="left"/>
      <w:pPr>
        <w:ind w:left="-1416" w:hanging="360"/>
      </w:pPr>
      <w:rPr>
        <w:rFonts w:ascii="Courier New" w:hAnsi="Courier New" w:cs="Courier New" w:hint="default"/>
      </w:rPr>
    </w:lvl>
    <w:lvl w:ilvl="2" w:tplc="04100005">
      <w:start w:val="1"/>
      <w:numFmt w:val="bullet"/>
      <w:lvlText w:val=""/>
      <w:lvlJc w:val="left"/>
      <w:pPr>
        <w:ind w:left="-696" w:hanging="360"/>
      </w:pPr>
      <w:rPr>
        <w:rFonts w:ascii="Wingdings" w:hAnsi="Wingdings" w:hint="default"/>
      </w:rPr>
    </w:lvl>
    <w:lvl w:ilvl="3" w:tplc="04100001">
      <w:start w:val="1"/>
      <w:numFmt w:val="bullet"/>
      <w:lvlText w:val=""/>
      <w:lvlJc w:val="left"/>
      <w:pPr>
        <w:ind w:left="24" w:hanging="360"/>
      </w:pPr>
      <w:rPr>
        <w:rFonts w:ascii="Symbol" w:hAnsi="Symbol" w:hint="default"/>
      </w:rPr>
    </w:lvl>
    <w:lvl w:ilvl="4" w:tplc="04100003" w:tentative="1">
      <w:start w:val="1"/>
      <w:numFmt w:val="bullet"/>
      <w:lvlText w:val="o"/>
      <w:lvlJc w:val="left"/>
      <w:pPr>
        <w:ind w:left="744" w:hanging="360"/>
      </w:pPr>
      <w:rPr>
        <w:rFonts w:ascii="Courier New" w:hAnsi="Courier New" w:cs="Courier New" w:hint="default"/>
      </w:rPr>
    </w:lvl>
    <w:lvl w:ilvl="5" w:tplc="04100005" w:tentative="1">
      <w:start w:val="1"/>
      <w:numFmt w:val="bullet"/>
      <w:lvlText w:val=""/>
      <w:lvlJc w:val="left"/>
      <w:pPr>
        <w:ind w:left="1464" w:hanging="360"/>
      </w:pPr>
      <w:rPr>
        <w:rFonts w:ascii="Wingdings" w:hAnsi="Wingdings" w:hint="default"/>
      </w:rPr>
    </w:lvl>
    <w:lvl w:ilvl="6" w:tplc="04100001" w:tentative="1">
      <w:start w:val="1"/>
      <w:numFmt w:val="bullet"/>
      <w:lvlText w:val=""/>
      <w:lvlJc w:val="left"/>
      <w:pPr>
        <w:ind w:left="2184" w:hanging="360"/>
      </w:pPr>
      <w:rPr>
        <w:rFonts w:ascii="Symbol" w:hAnsi="Symbol" w:hint="default"/>
      </w:rPr>
    </w:lvl>
    <w:lvl w:ilvl="7" w:tplc="04100003" w:tentative="1">
      <w:start w:val="1"/>
      <w:numFmt w:val="bullet"/>
      <w:lvlText w:val="o"/>
      <w:lvlJc w:val="left"/>
      <w:pPr>
        <w:ind w:left="2904" w:hanging="360"/>
      </w:pPr>
      <w:rPr>
        <w:rFonts w:ascii="Courier New" w:hAnsi="Courier New" w:cs="Courier New" w:hint="default"/>
      </w:rPr>
    </w:lvl>
    <w:lvl w:ilvl="8" w:tplc="04100005" w:tentative="1">
      <w:start w:val="1"/>
      <w:numFmt w:val="bullet"/>
      <w:lvlText w:val=""/>
      <w:lvlJc w:val="left"/>
      <w:pPr>
        <w:ind w:left="3624" w:hanging="360"/>
      </w:pPr>
      <w:rPr>
        <w:rFonts w:ascii="Wingdings" w:hAnsi="Wingdings" w:hint="default"/>
      </w:rPr>
    </w:lvl>
  </w:abstractNum>
  <w:abstractNum w:abstractNumId="20" w15:restartNumberingAfterBreak="0">
    <w:nsid w:val="71E0764D"/>
    <w:multiLevelType w:val="hybridMultilevel"/>
    <w:tmpl w:val="886870D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854732383">
    <w:abstractNumId w:val="21"/>
  </w:num>
  <w:num w:numId="2" w16cid:durableId="574586051">
    <w:abstractNumId w:val="17"/>
  </w:num>
  <w:num w:numId="3" w16cid:durableId="230970560">
    <w:abstractNumId w:val="4"/>
  </w:num>
  <w:num w:numId="4" w16cid:durableId="1644313728">
    <w:abstractNumId w:val="8"/>
  </w:num>
  <w:num w:numId="5" w16cid:durableId="1176579892">
    <w:abstractNumId w:val="1"/>
  </w:num>
  <w:num w:numId="6" w16cid:durableId="1483815008">
    <w:abstractNumId w:val="9"/>
  </w:num>
  <w:num w:numId="7" w16cid:durableId="1559976903">
    <w:abstractNumId w:val="11"/>
  </w:num>
  <w:num w:numId="8" w16cid:durableId="1872721963">
    <w:abstractNumId w:val="6"/>
  </w:num>
  <w:num w:numId="9" w16cid:durableId="1264918403">
    <w:abstractNumId w:val="16"/>
  </w:num>
  <w:num w:numId="10" w16cid:durableId="983660304">
    <w:abstractNumId w:val="0"/>
  </w:num>
  <w:num w:numId="11" w16cid:durableId="684868137">
    <w:abstractNumId w:val="20"/>
  </w:num>
  <w:num w:numId="12" w16cid:durableId="1454902452">
    <w:abstractNumId w:val="15"/>
  </w:num>
  <w:num w:numId="13" w16cid:durableId="1400439090">
    <w:abstractNumId w:val="3"/>
  </w:num>
  <w:num w:numId="14" w16cid:durableId="373239779">
    <w:abstractNumId w:val="14"/>
  </w:num>
  <w:num w:numId="15" w16cid:durableId="1173954113">
    <w:abstractNumId w:val="2"/>
  </w:num>
  <w:num w:numId="16" w16cid:durableId="2056469673">
    <w:abstractNumId w:val="5"/>
  </w:num>
  <w:num w:numId="17" w16cid:durableId="1373966177">
    <w:abstractNumId w:val="13"/>
  </w:num>
  <w:num w:numId="18" w16cid:durableId="1500191047">
    <w:abstractNumId w:val="19"/>
  </w:num>
  <w:num w:numId="19" w16cid:durableId="1804154362">
    <w:abstractNumId w:val="18"/>
  </w:num>
  <w:num w:numId="20" w16cid:durableId="1547333684">
    <w:abstractNumId w:val="10"/>
  </w:num>
  <w:num w:numId="21" w16cid:durableId="1659651832">
    <w:abstractNumId w:val="12"/>
  </w:num>
  <w:num w:numId="22" w16cid:durableId="89489572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82D"/>
    <w:rsid w:val="00000928"/>
    <w:rsid w:val="0000141B"/>
    <w:rsid w:val="0000268E"/>
    <w:rsid w:val="000029B3"/>
    <w:rsid w:val="00002EC7"/>
    <w:rsid w:val="00003548"/>
    <w:rsid w:val="00003972"/>
    <w:rsid w:val="00003C06"/>
    <w:rsid w:val="00004370"/>
    <w:rsid w:val="00004F0E"/>
    <w:rsid w:val="00005C8A"/>
    <w:rsid w:val="00006442"/>
    <w:rsid w:val="000073D1"/>
    <w:rsid w:val="00007CB9"/>
    <w:rsid w:val="0001097C"/>
    <w:rsid w:val="00011912"/>
    <w:rsid w:val="000121D2"/>
    <w:rsid w:val="000132FD"/>
    <w:rsid w:val="00014811"/>
    <w:rsid w:val="00014F9E"/>
    <w:rsid w:val="0001618B"/>
    <w:rsid w:val="0001686F"/>
    <w:rsid w:val="00017A75"/>
    <w:rsid w:val="00017ABD"/>
    <w:rsid w:val="00017B9B"/>
    <w:rsid w:val="00017BE4"/>
    <w:rsid w:val="00017D52"/>
    <w:rsid w:val="00017EA6"/>
    <w:rsid w:val="00020016"/>
    <w:rsid w:val="0002005B"/>
    <w:rsid w:val="00020DC8"/>
    <w:rsid w:val="00021059"/>
    <w:rsid w:val="000219E6"/>
    <w:rsid w:val="00021EBC"/>
    <w:rsid w:val="0002287C"/>
    <w:rsid w:val="00022AF9"/>
    <w:rsid w:val="00023E81"/>
    <w:rsid w:val="00023EA2"/>
    <w:rsid w:val="0002456A"/>
    <w:rsid w:val="00025019"/>
    <w:rsid w:val="00025236"/>
    <w:rsid w:val="0002529B"/>
    <w:rsid w:val="00025381"/>
    <w:rsid w:val="00026B09"/>
    <w:rsid w:val="0002702E"/>
    <w:rsid w:val="000270C7"/>
    <w:rsid w:val="00027C94"/>
    <w:rsid w:val="00027F2E"/>
    <w:rsid w:val="00031CE8"/>
    <w:rsid w:val="000331F4"/>
    <w:rsid w:val="00033295"/>
    <w:rsid w:val="00034813"/>
    <w:rsid w:val="00034C00"/>
    <w:rsid w:val="00034E0A"/>
    <w:rsid w:val="00034FA9"/>
    <w:rsid w:val="0003666F"/>
    <w:rsid w:val="00037F6B"/>
    <w:rsid w:val="000407B0"/>
    <w:rsid w:val="00040C2C"/>
    <w:rsid w:val="000418B0"/>
    <w:rsid w:val="00042128"/>
    <w:rsid w:val="00043006"/>
    <w:rsid w:val="00043A2D"/>
    <w:rsid w:val="000454BF"/>
    <w:rsid w:val="000455C9"/>
    <w:rsid w:val="000461F7"/>
    <w:rsid w:val="00050076"/>
    <w:rsid w:val="000506A1"/>
    <w:rsid w:val="00050CEE"/>
    <w:rsid w:val="00052137"/>
    <w:rsid w:val="000521DC"/>
    <w:rsid w:val="000524D0"/>
    <w:rsid w:val="00052700"/>
    <w:rsid w:val="000533F9"/>
    <w:rsid w:val="000536E0"/>
    <w:rsid w:val="00053D79"/>
    <w:rsid w:val="00054023"/>
    <w:rsid w:val="000546B1"/>
    <w:rsid w:val="0005579B"/>
    <w:rsid w:val="00055B04"/>
    <w:rsid w:val="00055E89"/>
    <w:rsid w:val="00055EDA"/>
    <w:rsid w:val="00056556"/>
    <w:rsid w:val="00056A8C"/>
    <w:rsid w:val="00057361"/>
    <w:rsid w:val="000601AC"/>
    <w:rsid w:val="0006087B"/>
    <w:rsid w:val="000609CB"/>
    <w:rsid w:val="000611E7"/>
    <w:rsid w:val="000625D3"/>
    <w:rsid w:val="00062665"/>
    <w:rsid w:val="00063A79"/>
    <w:rsid w:val="00064317"/>
    <w:rsid w:val="00064496"/>
    <w:rsid w:val="00064E8B"/>
    <w:rsid w:val="000658A3"/>
    <w:rsid w:val="00065A3F"/>
    <w:rsid w:val="00065EAB"/>
    <w:rsid w:val="000660E4"/>
    <w:rsid w:val="000675AA"/>
    <w:rsid w:val="00071C47"/>
    <w:rsid w:val="00072502"/>
    <w:rsid w:val="00072EDB"/>
    <w:rsid w:val="000732A6"/>
    <w:rsid w:val="00073993"/>
    <w:rsid w:val="0007438F"/>
    <w:rsid w:val="000743AB"/>
    <w:rsid w:val="00074CF3"/>
    <w:rsid w:val="00075674"/>
    <w:rsid w:val="00075717"/>
    <w:rsid w:val="00075768"/>
    <w:rsid w:val="00076260"/>
    <w:rsid w:val="00076976"/>
    <w:rsid w:val="000776E3"/>
    <w:rsid w:val="00077AF7"/>
    <w:rsid w:val="00077E23"/>
    <w:rsid w:val="00080131"/>
    <w:rsid w:val="00081250"/>
    <w:rsid w:val="00081315"/>
    <w:rsid w:val="00081AA6"/>
    <w:rsid w:val="0008234A"/>
    <w:rsid w:val="000842B4"/>
    <w:rsid w:val="000850D0"/>
    <w:rsid w:val="0008516D"/>
    <w:rsid w:val="00085780"/>
    <w:rsid w:val="00085B7C"/>
    <w:rsid w:val="00086677"/>
    <w:rsid w:val="00087E52"/>
    <w:rsid w:val="00091C1D"/>
    <w:rsid w:val="0009266C"/>
    <w:rsid w:val="00092AA6"/>
    <w:rsid w:val="00092B0A"/>
    <w:rsid w:val="00092DD2"/>
    <w:rsid w:val="000930C5"/>
    <w:rsid w:val="00094D41"/>
    <w:rsid w:val="00095AD6"/>
    <w:rsid w:val="00096092"/>
    <w:rsid w:val="00096418"/>
    <w:rsid w:val="00096F23"/>
    <w:rsid w:val="0009763B"/>
    <w:rsid w:val="00097D84"/>
    <w:rsid w:val="000A0D17"/>
    <w:rsid w:val="000A1C18"/>
    <w:rsid w:val="000A1EA8"/>
    <w:rsid w:val="000A1F2B"/>
    <w:rsid w:val="000A254C"/>
    <w:rsid w:val="000A2780"/>
    <w:rsid w:val="000A35C6"/>
    <w:rsid w:val="000A3C0C"/>
    <w:rsid w:val="000A411E"/>
    <w:rsid w:val="000A4846"/>
    <w:rsid w:val="000A505C"/>
    <w:rsid w:val="000A5C7E"/>
    <w:rsid w:val="000A657A"/>
    <w:rsid w:val="000A68DE"/>
    <w:rsid w:val="000A7179"/>
    <w:rsid w:val="000A71E9"/>
    <w:rsid w:val="000B1360"/>
    <w:rsid w:val="000B1B42"/>
    <w:rsid w:val="000B217E"/>
    <w:rsid w:val="000B2D19"/>
    <w:rsid w:val="000B3A2B"/>
    <w:rsid w:val="000B441C"/>
    <w:rsid w:val="000B4897"/>
    <w:rsid w:val="000B49A8"/>
    <w:rsid w:val="000B4DC4"/>
    <w:rsid w:val="000B55D8"/>
    <w:rsid w:val="000B594E"/>
    <w:rsid w:val="000B5BF3"/>
    <w:rsid w:val="000B5C29"/>
    <w:rsid w:val="000B6C06"/>
    <w:rsid w:val="000B784A"/>
    <w:rsid w:val="000C1633"/>
    <w:rsid w:val="000C26ED"/>
    <w:rsid w:val="000C2A74"/>
    <w:rsid w:val="000C2ACE"/>
    <w:rsid w:val="000C302B"/>
    <w:rsid w:val="000C3321"/>
    <w:rsid w:val="000C33B0"/>
    <w:rsid w:val="000C3ABD"/>
    <w:rsid w:val="000C48B9"/>
    <w:rsid w:val="000C4A2A"/>
    <w:rsid w:val="000C5546"/>
    <w:rsid w:val="000C5AF0"/>
    <w:rsid w:val="000C608D"/>
    <w:rsid w:val="000C655D"/>
    <w:rsid w:val="000C6686"/>
    <w:rsid w:val="000C723F"/>
    <w:rsid w:val="000C792E"/>
    <w:rsid w:val="000C7F11"/>
    <w:rsid w:val="000D02E6"/>
    <w:rsid w:val="000D0A3C"/>
    <w:rsid w:val="000D0B5A"/>
    <w:rsid w:val="000D0BCE"/>
    <w:rsid w:val="000D123F"/>
    <w:rsid w:val="000D174F"/>
    <w:rsid w:val="000D1E86"/>
    <w:rsid w:val="000D1EE3"/>
    <w:rsid w:val="000D1F8B"/>
    <w:rsid w:val="000D3896"/>
    <w:rsid w:val="000D3C9E"/>
    <w:rsid w:val="000D3E59"/>
    <w:rsid w:val="000D415B"/>
    <w:rsid w:val="000D52F9"/>
    <w:rsid w:val="000D615E"/>
    <w:rsid w:val="000E02E5"/>
    <w:rsid w:val="000E073D"/>
    <w:rsid w:val="000E0FDC"/>
    <w:rsid w:val="000E11AE"/>
    <w:rsid w:val="000E1752"/>
    <w:rsid w:val="000E2560"/>
    <w:rsid w:val="000E475F"/>
    <w:rsid w:val="000E48CB"/>
    <w:rsid w:val="000E542C"/>
    <w:rsid w:val="000E5BF7"/>
    <w:rsid w:val="000E669F"/>
    <w:rsid w:val="000E6BB1"/>
    <w:rsid w:val="000E6FE3"/>
    <w:rsid w:val="000E744C"/>
    <w:rsid w:val="000E76C1"/>
    <w:rsid w:val="000F0606"/>
    <w:rsid w:val="000F067A"/>
    <w:rsid w:val="000F0987"/>
    <w:rsid w:val="000F1CD3"/>
    <w:rsid w:val="000F21BC"/>
    <w:rsid w:val="000F3A56"/>
    <w:rsid w:val="000F3D20"/>
    <w:rsid w:val="000F4291"/>
    <w:rsid w:val="000F4E00"/>
    <w:rsid w:val="000F59F4"/>
    <w:rsid w:val="000F5B3A"/>
    <w:rsid w:val="000F5EC7"/>
    <w:rsid w:val="000F6131"/>
    <w:rsid w:val="000F6AFD"/>
    <w:rsid w:val="000F70D9"/>
    <w:rsid w:val="000F7D2B"/>
    <w:rsid w:val="00100146"/>
    <w:rsid w:val="00100BE1"/>
    <w:rsid w:val="0010260E"/>
    <w:rsid w:val="00103549"/>
    <w:rsid w:val="00103F35"/>
    <w:rsid w:val="00106043"/>
    <w:rsid w:val="00106264"/>
    <w:rsid w:val="001063DE"/>
    <w:rsid w:val="001064BB"/>
    <w:rsid w:val="001069E4"/>
    <w:rsid w:val="001078D9"/>
    <w:rsid w:val="00107E13"/>
    <w:rsid w:val="00110941"/>
    <w:rsid w:val="00110AEA"/>
    <w:rsid w:val="00113F90"/>
    <w:rsid w:val="001140F7"/>
    <w:rsid w:val="00114CC3"/>
    <w:rsid w:val="00115901"/>
    <w:rsid w:val="0011658F"/>
    <w:rsid w:val="001179D5"/>
    <w:rsid w:val="00120548"/>
    <w:rsid w:val="001211FE"/>
    <w:rsid w:val="0012386E"/>
    <w:rsid w:val="00124036"/>
    <w:rsid w:val="00124188"/>
    <w:rsid w:val="00125320"/>
    <w:rsid w:val="00125DF7"/>
    <w:rsid w:val="001263A4"/>
    <w:rsid w:val="001267D0"/>
    <w:rsid w:val="00127225"/>
    <w:rsid w:val="001307DC"/>
    <w:rsid w:val="00130A2D"/>
    <w:rsid w:val="00131082"/>
    <w:rsid w:val="001315AB"/>
    <w:rsid w:val="0013235E"/>
    <w:rsid w:val="0013265E"/>
    <w:rsid w:val="00133856"/>
    <w:rsid w:val="00133B82"/>
    <w:rsid w:val="00133D71"/>
    <w:rsid w:val="001343D3"/>
    <w:rsid w:val="001346A0"/>
    <w:rsid w:val="00136422"/>
    <w:rsid w:val="00136511"/>
    <w:rsid w:val="00136844"/>
    <w:rsid w:val="00140644"/>
    <w:rsid w:val="0014099B"/>
    <w:rsid w:val="00140BBB"/>
    <w:rsid w:val="00140E91"/>
    <w:rsid w:val="0014164D"/>
    <w:rsid w:val="00141D9C"/>
    <w:rsid w:val="001424D6"/>
    <w:rsid w:val="00142E25"/>
    <w:rsid w:val="00142F58"/>
    <w:rsid w:val="0014309F"/>
    <w:rsid w:val="00143E45"/>
    <w:rsid w:val="0014547E"/>
    <w:rsid w:val="00146157"/>
    <w:rsid w:val="00146BE9"/>
    <w:rsid w:val="00147F23"/>
    <w:rsid w:val="00151CD6"/>
    <w:rsid w:val="0015212C"/>
    <w:rsid w:val="001524E2"/>
    <w:rsid w:val="001525E8"/>
    <w:rsid w:val="00152D8F"/>
    <w:rsid w:val="001530AF"/>
    <w:rsid w:val="001531A2"/>
    <w:rsid w:val="00153E76"/>
    <w:rsid w:val="00154362"/>
    <w:rsid w:val="001556A6"/>
    <w:rsid w:val="00156608"/>
    <w:rsid w:val="001566FA"/>
    <w:rsid w:val="001572A9"/>
    <w:rsid w:val="00157363"/>
    <w:rsid w:val="0016017F"/>
    <w:rsid w:val="00160B8D"/>
    <w:rsid w:val="00161EE6"/>
    <w:rsid w:val="00162BBF"/>
    <w:rsid w:val="0016338A"/>
    <w:rsid w:val="00164195"/>
    <w:rsid w:val="00164601"/>
    <w:rsid w:val="0016573E"/>
    <w:rsid w:val="00165C7E"/>
    <w:rsid w:val="00166071"/>
    <w:rsid w:val="00166607"/>
    <w:rsid w:val="001670DE"/>
    <w:rsid w:val="001671BA"/>
    <w:rsid w:val="00167EA3"/>
    <w:rsid w:val="00170154"/>
    <w:rsid w:val="00170895"/>
    <w:rsid w:val="00170DE3"/>
    <w:rsid w:val="00172A3F"/>
    <w:rsid w:val="00172A83"/>
    <w:rsid w:val="00172D61"/>
    <w:rsid w:val="00172D8A"/>
    <w:rsid w:val="001754A4"/>
    <w:rsid w:val="00175C59"/>
    <w:rsid w:val="0017635B"/>
    <w:rsid w:val="00176D87"/>
    <w:rsid w:val="0017748E"/>
    <w:rsid w:val="00180229"/>
    <w:rsid w:val="001804DA"/>
    <w:rsid w:val="001805C5"/>
    <w:rsid w:val="00180E79"/>
    <w:rsid w:val="00181497"/>
    <w:rsid w:val="00181D74"/>
    <w:rsid w:val="001820D8"/>
    <w:rsid w:val="00183418"/>
    <w:rsid w:val="0018370C"/>
    <w:rsid w:val="00183DE7"/>
    <w:rsid w:val="00184455"/>
    <w:rsid w:val="00184ADD"/>
    <w:rsid w:val="00184AEF"/>
    <w:rsid w:val="0018523D"/>
    <w:rsid w:val="0018533C"/>
    <w:rsid w:val="001853D7"/>
    <w:rsid w:val="001855DE"/>
    <w:rsid w:val="0018664C"/>
    <w:rsid w:val="00186862"/>
    <w:rsid w:val="001872BB"/>
    <w:rsid w:val="001873E2"/>
    <w:rsid w:val="0019162E"/>
    <w:rsid w:val="001918F8"/>
    <w:rsid w:val="00191AA5"/>
    <w:rsid w:val="00192E4F"/>
    <w:rsid w:val="00192EDE"/>
    <w:rsid w:val="00193C6C"/>
    <w:rsid w:val="00193F64"/>
    <w:rsid w:val="00194A33"/>
    <w:rsid w:val="001956FC"/>
    <w:rsid w:val="00195960"/>
    <w:rsid w:val="00195A5A"/>
    <w:rsid w:val="00197BB0"/>
    <w:rsid w:val="00197FFD"/>
    <w:rsid w:val="001A097C"/>
    <w:rsid w:val="001A24F8"/>
    <w:rsid w:val="001A2BB5"/>
    <w:rsid w:val="001A3519"/>
    <w:rsid w:val="001A505A"/>
    <w:rsid w:val="001A610B"/>
    <w:rsid w:val="001A62AF"/>
    <w:rsid w:val="001A631D"/>
    <w:rsid w:val="001A6474"/>
    <w:rsid w:val="001A6A7C"/>
    <w:rsid w:val="001B0380"/>
    <w:rsid w:val="001B14D1"/>
    <w:rsid w:val="001B228A"/>
    <w:rsid w:val="001B2295"/>
    <w:rsid w:val="001B268F"/>
    <w:rsid w:val="001B27D8"/>
    <w:rsid w:val="001B2BEC"/>
    <w:rsid w:val="001B2E3D"/>
    <w:rsid w:val="001B4047"/>
    <w:rsid w:val="001B47D8"/>
    <w:rsid w:val="001B4969"/>
    <w:rsid w:val="001B4BA4"/>
    <w:rsid w:val="001B5032"/>
    <w:rsid w:val="001B5B8F"/>
    <w:rsid w:val="001B5D8B"/>
    <w:rsid w:val="001B5E38"/>
    <w:rsid w:val="001B76D7"/>
    <w:rsid w:val="001C04EA"/>
    <w:rsid w:val="001C1138"/>
    <w:rsid w:val="001C12E3"/>
    <w:rsid w:val="001C2C84"/>
    <w:rsid w:val="001C3E01"/>
    <w:rsid w:val="001C4D4F"/>
    <w:rsid w:val="001C4EA2"/>
    <w:rsid w:val="001C5883"/>
    <w:rsid w:val="001C6093"/>
    <w:rsid w:val="001C72A1"/>
    <w:rsid w:val="001C7C69"/>
    <w:rsid w:val="001D0DB1"/>
    <w:rsid w:val="001D1FBC"/>
    <w:rsid w:val="001D281A"/>
    <w:rsid w:val="001D4FEC"/>
    <w:rsid w:val="001D6310"/>
    <w:rsid w:val="001D656B"/>
    <w:rsid w:val="001D7A9F"/>
    <w:rsid w:val="001E1B93"/>
    <w:rsid w:val="001E2550"/>
    <w:rsid w:val="001E3506"/>
    <w:rsid w:val="001E3831"/>
    <w:rsid w:val="001E3BFC"/>
    <w:rsid w:val="001E4038"/>
    <w:rsid w:val="001E48A1"/>
    <w:rsid w:val="001E56DF"/>
    <w:rsid w:val="001E5A58"/>
    <w:rsid w:val="001E5FD0"/>
    <w:rsid w:val="001E6D64"/>
    <w:rsid w:val="001F1187"/>
    <w:rsid w:val="001F23C0"/>
    <w:rsid w:val="001F23E6"/>
    <w:rsid w:val="001F2776"/>
    <w:rsid w:val="001F337F"/>
    <w:rsid w:val="001F3BFD"/>
    <w:rsid w:val="001F4790"/>
    <w:rsid w:val="001F4B6B"/>
    <w:rsid w:val="001F5263"/>
    <w:rsid w:val="001F55CB"/>
    <w:rsid w:val="001F560B"/>
    <w:rsid w:val="001F5B99"/>
    <w:rsid w:val="001F5D82"/>
    <w:rsid w:val="001F61AB"/>
    <w:rsid w:val="001F7093"/>
    <w:rsid w:val="001F7244"/>
    <w:rsid w:val="001F781D"/>
    <w:rsid w:val="00201591"/>
    <w:rsid w:val="00202536"/>
    <w:rsid w:val="00203DFA"/>
    <w:rsid w:val="00204939"/>
    <w:rsid w:val="002056A8"/>
    <w:rsid w:val="002058A9"/>
    <w:rsid w:val="00205AA8"/>
    <w:rsid w:val="00205BEA"/>
    <w:rsid w:val="00206143"/>
    <w:rsid w:val="002077AB"/>
    <w:rsid w:val="00207C83"/>
    <w:rsid w:val="00210493"/>
    <w:rsid w:val="00210653"/>
    <w:rsid w:val="00210BAC"/>
    <w:rsid w:val="00210CCC"/>
    <w:rsid w:val="00210D39"/>
    <w:rsid w:val="00211361"/>
    <w:rsid w:val="00211A2A"/>
    <w:rsid w:val="00212129"/>
    <w:rsid w:val="002124CC"/>
    <w:rsid w:val="002135B0"/>
    <w:rsid w:val="00213CA2"/>
    <w:rsid w:val="00214B82"/>
    <w:rsid w:val="00214B8E"/>
    <w:rsid w:val="00215C54"/>
    <w:rsid w:val="00216AFC"/>
    <w:rsid w:val="002176F4"/>
    <w:rsid w:val="002203EB"/>
    <w:rsid w:val="00220746"/>
    <w:rsid w:val="00221F1A"/>
    <w:rsid w:val="00222688"/>
    <w:rsid w:val="00222902"/>
    <w:rsid w:val="00223A02"/>
    <w:rsid w:val="00223A59"/>
    <w:rsid w:val="00223AF0"/>
    <w:rsid w:val="00223C02"/>
    <w:rsid w:val="002248BC"/>
    <w:rsid w:val="00224C4F"/>
    <w:rsid w:val="00225205"/>
    <w:rsid w:val="002252AA"/>
    <w:rsid w:val="002260C5"/>
    <w:rsid w:val="0022622E"/>
    <w:rsid w:val="00226B11"/>
    <w:rsid w:val="00227F84"/>
    <w:rsid w:val="00230187"/>
    <w:rsid w:val="00230607"/>
    <w:rsid w:val="00230673"/>
    <w:rsid w:val="00232088"/>
    <w:rsid w:val="0023219F"/>
    <w:rsid w:val="00232745"/>
    <w:rsid w:val="002327BC"/>
    <w:rsid w:val="00233C51"/>
    <w:rsid w:val="002342F0"/>
    <w:rsid w:val="00234D95"/>
    <w:rsid w:val="002351F0"/>
    <w:rsid w:val="002355BF"/>
    <w:rsid w:val="0023756E"/>
    <w:rsid w:val="00237791"/>
    <w:rsid w:val="0023796A"/>
    <w:rsid w:val="00240F6B"/>
    <w:rsid w:val="002416AB"/>
    <w:rsid w:val="002435B6"/>
    <w:rsid w:val="002441B5"/>
    <w:rsid w:val="00244F0B"/>
    <w:rsid w:val="00246CCA"/>
    <w:rsid w:val="00246D75"/>
    <w:rsid w:val="00247566"/>
    <w:rsid w:val="00247850"/>
    <w:rsid w:val="00250144"/>
    <w:rsid w:val="0025073C"/>
    <w:rsid w:val="00250C66"/>
    <w:rsid w:val="00250E38"/>
    <w:rsid w:val="002518B7"/>
    <w:rsid w:val="002518CC"/>
    <w:rsid w:val="00251BBE"/>
    <w:rsid w:val="00252016"/>
    <w:rsid w:val="002520BB"/>
    <w:rsid w:val="00252488"/>
    <w:rsid w:val="0025257E"/>
    <w:rsid w:val="0025305E"/>
    <w:rsid w:val="002548A3"/>
    <w:rsid w:val="00255EFB"/>
    <w:rsid w:val="002579A7"/>
    <w:rsid w:val="00260FDA"/>
    <w:rsid w:val="0026377B"/>
    <w:rsid w:val="00263C75"/>
    <w:rsid w:val="002640F7"/>
    <w:rsid w:val="00265051"/>
    <w:rsid w:val="00265579"/>
    <w:rsid w:val="002664BA"/>
    <w:rsid w:val="00266AFD"/>
    <w:rsid w:val="00266BCC"/>
    <w:rsid w:val="00267F42"/>
    <w:rsid w:val="0027070F"/>
    <w:rsid w:val="00270A43"/>
    <w:rsid w:val="00271153"/>
    <w:rsid w:val="00272EC1"/>
    <w:rsid w:val="00273A48"/>
    <w:rsid w:val="00273F30"/>
    <w:rsid w:val="0027400A"/>
    <w:rsid w:val="00274028"/>
    <w:rsid w:val="002744A4"/>
    <w:rsid w:val="00274875"/>
    <w:rsid w:val="002754DD"/>
    <w:rsid w:val="002759F9"/>
    <w:rsid w:val="0027689D"/>
    <w:rsid w:val="00276BC2"/>
    <w:rsid w:val="00277DE8"/>
    <w:rsid w:val="00280CCC"/>
    <w:rsid w:val="002814E2"/>
    <w:rsid w:val="00281870"/>
    <w:rsid w:val="00281962"/>
    <w:rsid w:val="00282438"/>
    <w:rsid w:val="0028348B"/>
    <w:rsid w:val="00283941"/>
    <w:rsid w:val="00283C6E"/>
    <w:rsid w:val="00283D40"/>
    <w:rsid w:val="00283E30"/>
    <w:rsid w:val="00284A80"/>
    <w:rsid w:val="0028543F"/>
    <w:rsid w:val="00285875"/>
    <w:rsid w:val="00285960"/>
    <w:rsid w:val="002868F0"/>
    <w:rsid w:val="00292218"/>
    <w:rsid w:val="0029238D"/>
    <w:rsid w:val="0029287A"/>
    <w:rsid w:val="002934B8"/>
    <w:rsid w:val="002935DC"/>
    <w:rsid w:val="0029477F"/>
    <w:rsid w:val="00294781"/>
    <w:rsid w:val="0029538C"/>
    <w:rsid w:val="00295438"/>
    <w:rsid w:val="0029587D"/>
    <w:rsid w:val="00295B2B"/>
    <w:rsid w:val="002A06CE"/>
    <w:rsid w:val="002A0881"/>
    <w:rsid w:val="002A0B5F"/>
    <w:rsid w:val="002A243B"/>
    <w:rsid w:val="002A298D"/>
    <w:rsid w:val="002A32A5"/>
    <w:rsid w:val="002A37A7"/>
    <w:rsid w:val="002A3EA5"/>
    <w:rsid w:val="002A4644"/>
    <w:rsid w:val="002A60A9"/>
    <w:rsid w:val="002B00DE"/>
    <w:rsid w:val="002B01AB"/>
    <w:rsid w:val="002B03FE"/>
    <w:rsid w:val="002B055A"/>
    <w:rsid w:val="002B05EB"/>
    <w:rsid w:val="002B08DA"/>
    <w:rsid w:val="002B16C4"/>
    <w:rsid w:val="002B18D6"/>
    <w:rsid w:val="002B18FE"/>
    <w:rsid w:val="002B1971"/>
    <w:rsid w:val="002B1DF9"/>
    <w:rsid w:val="002B22AC"/>
    <w:rsid w:val="002B22BA"/>
    <w:rsid w:val="002B2455"/>
    <w:rsid w:val="002B3731"/>
    <w:rsid w:val="002B4622"/>
    <w:rsid w:val="002B4BEE"/>
    <w:rsid w:val="002B506B"/>
    <w:rsid w:val="002B5B3A"/>
    <w:rsid w:val="002C0093"/>
    <w:rsid w:val="002C01E7"/>
    <w:rsid w:val="002C06E6"/>
    <w:rsid w:val="002C0769"/>
    <w:rsid w:val="002C0BCC"/>
    <w:rsid w:val="002C0E39"/>
    <w:rsid w:val="002C1E7C"/>
    <w:rsid w:val="002C2637"/>
    <w:rsid w:val="002C27A4"/>
    <w:rsid w:val="002C2807"/>
    <w:rsid w:val="002C3023"/>
    <w:rsid w:val="002C34C2"/>
    <w:rsid w:val="002C5976"/>
    <w:rsid w:val="002C676E"/>
    <w:rsid w:val="002D000D"/>
    <w:rsid w:val="002D012A"/>
    <w:rsid w:val="002D1548"/>
    <w:rsid w:val="002D1BE9"/>
    <w:rsid w:val="002D2691"/>
    <w:rsid w:val="002D33A5"/>
    <w:rsid w:val="002D43A6"/>
    <w:rsid w:val="002D469D"/>
    <w:rsid w:val="002D4712"/>
    <w:rsid w:val="002D5384"/>
    <w:rsid w:val="002D54EB"/>
    <w:rsid w:val="002D6AF5"/>
    <w:rsid w:val="002D6BBB"/>
    <w:rsid w:val="002D7417"/>
    <w:rsid w:val="002D7B2B"/>
    <w:rsid w:val="002E1179"/>
    <w:rsid w:val="002E1FAD"/>
    <w:rsid w:val="002E22C4"/>
    <w:rsid w:val="002E2310"/>
    <w:rsid w:val="002E23CD"/>
    <w:rsid w:val="002E4325"/>
    <w:rsid w:val="002E459D"/>
    <w:rsid w:val="002E5023"/>
    <w:rsid w:val="002E5105"/>
    <w:rsid w:val="002E5348"/>
    <w:rsid w:val="002E5668"/>
    <w:rsid w:val="002E68A6"/>
    <w:rsid w:val="002E6D00"/>
    <w:rsid w:val="002E71F0"/>
    <w:rsid w:val="002E7B5B"/>
    <w:rsid w:val="002F00D1"/>
    <w:rsid w:val="002F103F"/>
    <w:rsid w:val="002F2FB1"/>
    <w:rsid w:val="002F33CC"/>
    <w:rsid w:val="002F3445"/>
    <w:rsid w:val="002F41B8"/>
    <w:rsid w:val="002F45DF"/>
    <w:rsid w:val="002F4948"/>
    <w:rsid w:val="002F56D6"/>
    <w:rsid w:val="002F69C8"/>
    <w:rsid w:val="002F69E1"/>
    <w:rsid w:val="002F70D8"/>
    <w:rsid w:val="0030017B"/>
    <w:rsid w:val="003007BB"/>
    <w:rsid w:val="00300963"/>
    <w:rsid w:val="0030160F"/>
    <w:rsid w:val="00301CE9"/>
    <w:rsid w:val="00301F85"/>
    <w:rsid w:val="003028EA"/>
    <w:rsid w:val="00303673"/>
    <w:rsid w:val="003039BC"/>
    <w:rsid w:val="00305202"/>
    <w:rsid w:val="003058A5"/>
    <w:rsid w:val="003060E2"/>
    <w:rsid w:val="00307108"/>
    <w:rsid w:val="003105A7"/>
    <w:rsid w:val="00310E6B"/>
    <w:rsid w:val="00311754"/>
    <w:rsid w:val="00311E29"/>
    <w:rsid w:val="003142FB"/>
    <w:rsid w:val="00314A2A"/>
    <w:rsid w:val="003156F3"/>
    <w:rsid w:val="00315F90"/>
    <w:rsid w:val="003171CB"/>
    <w:rsid w:val="003214D4"/>
    <w:rsid w:val="00321562"/>
    <w:rsid w:val="00321E96"/>
    <w:rsid w:val="003222CB"/>
    <w:rsid w:val="003231DD"/>
    <w:rsid w:val="00324D3D"/>
    <w:rsid w:val="0032543B"/>
    <w:rsid w:val="00325BC0"/>
    <w:rsid w:val="0032657A"/>
    <w:rsid w:val="003274EC"/>
    <w:rsid w:val="003300DA"/>
    <w:rsid w:val="00330A42"/>
    <w:rsid w:val="0033129A"/>
    <w:rsid w:val="00331370"/>
    <w:rsid w:val="00331874"/>
    <w:rsid w:val="00332B47"/>
    <w:rsid w:val="00332F4D"/>
    <w:rsid w:val="00333215"/>
    <w:rsid w:val="00333B68"/>
    <w:rsid w:val="0033473C"/>
    <w:rsid w:val="00335BA8"/>
    <w:rsid w:val="003377CB"/>
    <w:rsid w:val="00337D70"/>
    <w:rsid w:val="00340AFC"/>
    <w:rsid w:val="0034137E"/>
    <w:rsid w:val="00341576"/>
    <w:rsid w:val="0034159F"/>
    <w:rsid w:val="0034241C"/>
    <w:rsid w:val="003424A9"/>
    <w:rsid w:val="00342521"/>
    <w:rsid w:val="00342F86"/>
    <w:rsid w:val="00342FB8"/>
    <w:rsid w:val="0034309A"/>
    <w:rsid w:val="003432B3"/>
    <w:rsid w:val="00344EBD"/>
    <w:rsid w:val="00345C4C"/>
    <w:rsid w:val="0034672C"/>
    <w:rsid w:val="00346ADC"/>
    <w:rsid w:val="00346EB1"/>
    <w:rsid w:val="003501CC"/>
    <w:rsid w:val="00351896"/>
    <w:rsid w:val="00352376"/>
    <w:rsid w:val="003524E6"/>
    <w:rsid w:val="003529D4"/>
    <w:rsid w:val="00352BC2"/>
    <w:rsid w:val="00352C0D"/>
    <w:rsid w:val="0035344E"/>
    <w:rsid w:val="003535ED"/>
    <w:rsid w:val="00355DCF"/>
    <w:rsid w:val="003566C5"/>
    <w:rsid w:val="0035671E"/>
    <w:rsid w:val="00357DE9"/>
    <w:rsid w:val="003603A6"/>
    <w:rsid w:val="00360A18"/>
    <w:rsid w:val="00360B31"/>
    <w:rsid w:val="00360BA7"/>
    <w:rsid w:val="00360CF7"/>
    <w:rsid w:val="00361167"/>
    <w:rsid w:val="00361D70"/>
    <w:rsid w:val="00362385"/>
    <w:rsid w:val="0036273E"/>
    <w:rsid w:val="0036288C"/>
    <w:rsid w:val="00362E1E"/>
    <w:rsid w:val="00363DE2"/>
    <w:rsid w:val="003648D5"/>
    <w:rsid w:val="00364D5F"/>
    <w:rsid w:val="00364EFD"/>
    <w:rsid w:val="00365823"/>
    <w:rsid w:val="00365B27"/>
    <w:rsid w:val="003661D3"/>
    <w:rsid w:val="00366338"/>
    <w:rsid w:val="00366F11"/>
    <w:rsid w:val="00367654"/>
    <w:rsid w:val="00367DA8"/>
    <w:rsid w:val="00372BCD"/>
    <w:rsid w:val="00372D33"/>
    <w:rsid w:val="00373095"/>
    <w:rsid w:val="00373742"/>
    <w:rsid w:val="00375703"/>
    <w:rsid w:val="00375D5B"/>
    <w:rsid w:val="00376806"/>
    <w:rsid w:val="00377C31"/>
    <w:rsid w:val="003819E1"/>
    <w:rsid w:val="00382684"/>
    <w:rsid w:val="00382858"/>
    <w:rsid w:val="0038288E"/>
    <w:rsid w:val="00383763"/>
    <w:rsid w:val="00383DEC"/>
    <w:rsid w:val="00383EB6"/>
    <w:rsid w:val="0038497E"/>
    <w:rsid w:val="00384AC7"/>
    <w:rsid w:val="00384D9C"/>
    <w:rsid w:val="00385648"/>
    <w:rsid w:val="0038597E"/>
    <w:rsid w:val="003864F8"/>
    <w:rsid w:val="003868E9"/>
    <w:rsid w:val="00390662"/>
    <w:rsid w:val="00390ED6"/>
    <w:rsid w:val="00391D84"/>
    <w:rsid w:val="00393376"/>
    <w:rsid w:val="00393425"/>
    <w:rsid w:val="00393492"/>
    <w:rsid w:val="00393AFF"/>
    <w:rsid w:val="00393E00"/>
    <w:rsid w:val="00394584"/>
    <w:rsid w:val="00394DF1"/>
    <w:rsid w:val="0039500F"/>
    <w:rsid w:val="003953E8"/>
    <w:rsid w:val="00396656"/>
    <w:rsid w:val="00396EFD"/>
    <w:rsid w:val="00397FA1"/>
    <w:rsid w:val="00397FA8"/>
    <w:rsid w:val="003A04B1"/>
    <w:rsid w:val="003A04E2"/>
    <w:rsid w:val="003A15A3"/>
    <w:rsid w:val="003A21E3"/>
    <w:rsid w:val="003A2B9C"/>
    <w:rsid w:val="003A30BC"/>
    <w:rsid w:val="003A3186"/>
    <w:rsid w:val="003A3477"/>
    <w:rsid w:val="003A4A95"/>
    <w:rsid w:val="003A52C4"/>
    <w:rsid w:val="003A5773"/>
    <w:rsid w:val="003A6494"/>
    <w:rsid w:val="003A6533"/>
    <w:rsid w:val="003A6D86"/>
    <w:rsid w:val="003A7969"/>
    <w:rsid w:val="003A7D1D"/>
    <w:rsid w:val="003B0296"/>
    <w:rsid w:val="003B03A1"/>
    <w:rsid w:val="003B149D"/>
    <w:rsid w:val="003B1863"/>
    <w:rsid w:val="003B2516"/>
    <w:rsid w:val="003B2762"/>
    <w:rsid w:val="003B2843"/>
    <w:rsid w:val="003B2D9C"/>
    <w:rsid w:val="003B301E"/>
    <w:rsid w:val="003B528F"/>
    <w:rsid w:val="003B5391"/>
    <w:rsid w:val="003B5469"/>
    <w:rsid w:val="003B54BA"/>
    <w:rsid w:val="003B566A"/>
    <w:rsid w:val="003B5939"/>
    <w:rsid w:val="003B6673"/>
    <w:rsid w:val="003B7637"/>
    <w:rsid w:val="003B7A56"/>
    <w:rsid w:val="003C1191"/>
    <w:rsid w:val="003C1331"/>
    <w:rsid w:val="003C1BE6"/>
    <w:rsid w:val="003C24D9"/>
    <w:rsid w:val="003C3396"/>
    <w:rsid w:val="003C3BEB"/>
    <w:rsid w:val="003C3F32"/>
    <w:rsid w:val="003C401E"/>
    <w:rsid w:val="003C617A"/>
    <w:rsid w:val="003C6A67"/>
    <w:rsid w:val="003C6F0F"/>
    <w:rsid w:val="003D0B70"/>
    <w:rsid w:val="003D0F8B"/>
    <w:rsid w:val="003D27A3"/>
    <w:rsid w:val="003D2BC4"/>
    <w:rsid w:val="003D3968"/>
    <w:rsid w:val="003D3FDA"/>
    <w:rsid w:val="003D4220"/>
    <w:rsid w:val="003D49C5"/>
    <w:rsid w:val="003D5624"/>
    <w:rsid w:val="003D594C"/>
    <w:rsid w:val="003D6BA6"/>
    <w:rsid w:val="003D7046"/>
    <w:rsid w:val="003D76D9"/>
    <w:rsid w:val="003E1E4D"/>
    <w:rsid w:val="003E2065"/>
    <w:rsid w:val="003E30CF"/>
    <w:rsid w:val="003E38CD"/>
    <w:rsid w:val="003E3DD4"/>
    <w:rsid w:val="003E4C17"/>
    <w:rsid w:val="003E508A"/>
    <w:rsid w:val="003E56E9"/>
    <w:rsid w:val="003E6442"/>
    <w:rsid w:val="003E6DEB"/>
    <w:rsid w:val="003E6E98"/>
    <w:rsid w:val="003E7585"/>
    <w:rsid w:val="003E7B74"/>
    <w:rsid w:val="003E7B9B"/>
    <w:rsid w:val="003E7E1C"/>
    <w:rsid w:val="003F02AB"/>
    <w:rsid w:val="003F11A7"/>
    <w:rsid w:val="003F16B0"/>
    <w:rsid w:val="003F170F"/>
    <w:rsid w:val="003F1F80"/>
    <w:rsid w:val="003F2893"/>
    <w:rsid w:val="003F3BB5"/>
    <w:rsid w:val="003F3C66"/>
    <w:rsid w:val="003F41E6"/>
    <w:rsid w:val="003F45E3"/>
    <w:rsid w:val="003F5095"/>
    <w:rsid w:val="003F5243"/>
    <w:rsid w:val="003F5F5E"/>
    <w:rsid w:val="003F778C"/>
    <w:rsid w:val="003F7B32"/>
    <w:rsid w:val="004012FF"/>
    <w:rsid w:val="004014F8"/>
    <w:rsid w:val="00401675"/>
    <w:rsid w:val="00401B95"/>
    <w:rsid w:val="00401C95"/>
    <w:rsid w:val="00402475"/>
    <w:rsid w:val="00402716"/>
    <w:rsid w:val="00402B32"/>
    <w:rsid w:val="00402B4E"/>
    <w:rsid w:val="00402B8A"/>
    <w:rsid w:val="004038E8"/>
    <w:rsid w:val="004039F5"/>
    <w:rsid w:val="0040413A"/>
    <w:rsid w:val="00404AA6"/>
    <w:rsid w:val="004062AB"/>
    <w:rsid w:val="00406938"/>
    <w:rsid w:val="00406A87"/>
    <w:rsid w:val="00410C68"/>
    <w:rsid w:val="004115B6"/>
    <w:rsid w:val="00411838"/>
    <w:rsid w:val="00411CED"/>
    <w:rsid w:val="00412241"/>
    <w:rsid w:val="004125EE"/>
    <w:rsid w:val="0041294E"/>
    <w:rsid w:val="004139EB"/>
    <w:rsid w:val="00414321"/>
    <w:rsid w:val="004148BF"/>
    <w:rsid w:val="00416B25"/>
    <w:rsid w:val="00417082"/>
    <w:rsid w:val="00417318"/>
    <w:rsid w:val="0041779A"/>
    <w:rsid w:val="004177CA"/>
    <w:rsid w:val="00421838"/>
    <w:rsid w:val="00421946"/>
    <w:rsid w:val="00421993"/>
    <w:rsid w:val="00421CD1"/>
    <w:rsid w:val="00421D1C"/>
    <w:rsid w:val="00422497"/>
    <w:rsid w:val="00422576"/>
    <w:rsid w:val="00422F2B"/>
    <w:rsid w:val="00423EC4"/>
    <w:rsid w:val="00424F82"/>
    <w:rsid w:val="00425A19"/>
    <w:rsid w:val="00425AFA"/>
    <w:rsid w:val="00425BF1"/>
    <w:rsid w:val="00425D86"/>
    <w:rsid w:val="00425E15"/>
    <w:rsid w:val="0042651E"/>
    <w:rsid w:val="0042670C"/>
    <w:rsid w:val="00426C12"/>
    <w:rsid w:val="00427D9C"/>
    <w:rsid w:val="00427EC3"/>
    <w:rsid w:val="004310D8"/>
    <w:rsid w:val="0043167E"/>
    <w:rsid w:val="00431795"/>
    <w:rsid w:val="004318D3"/>
    <w:rsid w:val="0043211B"/>
    <w:rsid w:val="0043387A"/>
    <w:rsid w:val="00433D95"/>
    <w:rsid w:val="0043471E"/>
    <w:rsid w:val="00434A6A"/>
    <w:rsid w:val="0043569A"/>
    <w:rsid w:val="00435B02"/>
    <w:rsid w:val="004366BA"/>
    <w:rsid w:val="00436921"/>
    <w:rsid w:val="00436C3C"/>
    <w:rsid w:val="00436D24"/>
    <w:rsid w:val="00437468"/>
    <w:rsid w:val="00440356"/>
    <w:rsid w:val="00440D38"/>
    <w:rsid w:val="004413CE"/>
    <w:rsid w:val="004413F5"/>
    <w:rsid w:val="00441571"/>
    <w:rsid w:val="00441C70"/>
    <w:rsid w:val="00441E47"/>
    <w:rsid w:val="00443445"/>
    <w:rsid w:val="00444AD7"/>
    <w:rsid w:val="00445C76"/>
    <w:rsid w:val="00446384"/>
    <w:rsid w:val="0044654B"/>
    <w:rsid w:val="00447096"/>
    <w:rsid w:val="00447739"/>
    <w:rsid w:val="004503B3"/>
    <w:rsid w:val="00452565"/>
    <w:rsid w:val="00452BB0"/>
    <w:rsid w:val="004531DD"/>
    <w:rsid w:val="00453E27"/>
    <w:rsid w:val="0045425A"/>
    <w:rsid w:val="0045497D"/>
    <w:rsid w:val="00455ED4"/>
    <w:rsid w:val="0045607C"/>
    <w:rsid w:val="004570FB"/>
    <w:rsid w:val="0045732E"/>
    <w:rsid w:val="00457C81"/>
    <w:rsid w:val="00462A29"/>
    <w:rsid w:val="00462B4A"/>
    <w:rsid w:val="0046329B"/>
    <w:rsid w:val="0046364F"/>
    <w:rsid w:val="00464406"/>
    <w:rsid w:val="00464431"/>
    <w:rsid w:val="0046460C"/>
    <w:rsid w:val="004647C0"/>
    <w:rsid w:val="00464D70"/>
    <w:rsid w:val="00465476"/>
    <w:rsid w:val="0046577B"/>
    <w:rsid w:val="004667CC"/>
    <w:rsid w:val="00466CCF"/>
    <w:rsid w:val="004671E1"/>
    <w:rsid w:val="00467CEC"/>
    <w:rsid w:val="00470323"/>
    <w:rsid w:val="0047065F"/>
    <w:rsid w:val="00470EC2"/>
    <w:rsid w:val="0047123A"/>
    <w:rsid w:val="00471820"/>
    <w:rsid w:val="00471D82"/>
    <w:rsid w:val="00473385"/>
    <w:rsid w:val="004737C5"/>
    <w:rsid w:val="0047447E"/>
    <w:rsid w:val="0047470E"/>
    <w:rsid w:val="00474A75"/>
    <w:rsid w:val="0047541D"/>
    <w:rsid w:val="00477352"/>
    <w:rsid w:val="00477A14"/>
    <w:rsid w:val="004804A8"/>
    <w:rsid w:val="004806ED"/>
    <w:rsid w:val="004808BA"/>
    <w:rsid w:val="00480A6D"/>
    <w:rsid w:val="00480ADD"/>
    <w:rsid w:val="00481136"/>
    <w:rsid w:val="00482801"/>
    <w:rsid w:val="00482982"/>
    <w:rsid w:val="00482EE1"/>
    <w:rsid w:val="00484430"/>
    <w:rsid w:val="00486721"/>
    <w:rsid w:val="00486A92"/>
    <w:rsid w:val="00486D2F"/>
    <w:rsid w:val="004875F4"/>
    <w:rsid w:val="00487CFF"/>
    <w:rsid w:val="00490191"/>
    <w:rsid w:val="004905CF"/>
    <w:rsid w:val="00490631"/>
    <w:rsid w:val="00490FE9"/>
    <w:rsid w:val="00492A1D"/>
    <w:rsid w:val="00492E01"/>
    <w:rsid w:val="00493222"/>
    <w:rsid w:val="0049374A"/>
    <w:rsid w:val="00494885"/>
    <w:rsid w:val="0049546A"/>
    <w:rsid w:val="00496548"/>
    <w:rsid w:val="004965C4"/>
    <w:rsid w:val="00496827"/>
    <w:rsid w:val="00496A16"/>
    <w:rsid w:val="00496A2F"/>
    <w:rsid w:val="00496A81"/>
    <w:rsid w:val="00496F2D"/>
    <w:rsid w:val="004A042B"/>
    <w:rsid w:val="004A1679"/>
    <w:rsid w:val="004A2211"/>
    <w:rsid w:val="004A32A7"/>
    <w:rsid w:val="004A5205"/>
    <w:rsid w:val="004A5FE5"/>
    <w:rsid w:val="004A6B37"/>
    <w:rsid w:val="004A709D"/>
    <w:rsid w:val="004A7913"/>
    <w:rsid w:val="004A7A87"/>
    <w:rsid w:val="004B00D4"/>
    <w:rsid w:val="004B092A"/>
    <w:rsid w:val="004B1016"/>
    <w:rsid w:val="004B1EB8"/>
    <w:rsid w:val="004B1FB7"/>
    <w:rsid w:val="004B2A5B"/>
    <w:rsid w:val="004B350B"/>
    <w:rsid w:val="004B4338"/>
    <w:rsid w:val="004B4CC8"/>
    <w:rsid w:val="004B4E61"/>
    <w:rsid w:val="004B50A8"/>
    <w:rsid w:val="004B698F"/>
    <w:rsid w:val="004B6AF8"/>
    <w:rsid w:val="004B6C79"/>
    <w:rsid w:val="004B718B"/>
    <w:rsid w:val="004C159F"/>
    <w:rsid w:val="004C1F8B"/>
    <w:rsid w:val="004C23B6"/>
    <w:rsid w:val="004C2A10"/>
    <w:rsid w:val="004C3216"/>
    <w:rsid w:val="004C39B1"/>
    <w:rsid w:val="004C4344"/>
    <w:rsid w:val="004C4507"/>
    <w:rsid w:val="004C4DB5"/>
    <w:rsid w:val="004C56B3"/>
    <w:rsid w:val="004C5F04"/>
    <w:rsid w:val="004C6850"/>
    <w:rsid w:val="004C6ED6"/>
    <w:rsid w:val="004C7231"/>
    <w:rsid w:val="004C7D24"/>
    <w:rsid w:val="004D1E6C"/>
    <w:rsid w:val="004D1E7F"/>
    <w:rsid w:val="004D3776"/>
    <w:rsid w:val="004D3EF0"/>
    <w:rsid w:val="004D4147"/>
    <w:rsid w:val="004D4591"/>
    <w:rsid w:val="004D4714"/>
    <w:rsid w:val="004D4A3D"/>
    <w:rsid w:val="004D5238"/>
    <w:rsid w:val="004D54F0"/>
    <w:rsid w:val="004D5509"/>
    <w:rsid w:val="004D60A6"/>
    <w:rsid w:val="004D6516"/>
    <w:rsid w:val="004D7A91"/>
    <w:rsid w:val="004E00E5"/>
    <w:rsid w:val="004E0D61"/>
    <w:rsid w:val="004E14D2"/>
    <w:rsid w:val="004E1A6C"/>
    <w:rsid w:val="004E2095"/>
    <w:rsid w:val="004E235C"/>
    <w:rsid w:val="004E28EB"/>
    <w:rsid w:val="004E2EDF"/>
    <w:rsid w:val="004E48F0"/>
    <w:rsid w:val="004E4CBE"/>
    <w:rsid w:val="004E520B"/>
    <w:rsid w:val="004E52B3"/>
    <w:rsid w:val="004E541F"/>
    <w:rsid w:val="004F0141"/>
    <w:rsid w:val="004F0CB6"/>
    <w:rsid w:val="004F0CB8"/>
    <w:rsid w:val="004F0F1B"/>
    <w:rsid w:val="004F15CF"/>
    <w:rsid w:val="004F1AA1"/>
    <w:rsid w:val="004F282D"/>
    <w:rsid w:val="004F34F6"/>
    <w:rsid w:val="004F365D"/>
    <w:rsid w:val="004F371B"/>
    <w:rsid w:val="004F459F"/>
    <w:rsid w:val="004F4BBD"/>
    <w:rsid w:val="004F532A"/>
    <w:rsid w:val="00500508"/>
    <w:rsid w:val="005011E8"/>
    <w:rsid w:val="00501F39"/>
    <w:rsid w:val="005036AD"/>
    <w:rsid w:val="005037BA"/>
    <w:rsid w:val="00503D57"/>
    <w:rsid w:val="00506247"/>
    <w:rsid w:val="00506363"/>
    <w:rsid w:val="005064AD"/>
    <w:rsid w:val="0050682D"/>
    <w:rsid w:val="00507364"/>
    <w:rsid w:val="005079CE"/>
    <w:rsid w:val="0051059A"/>
    <w:rsid w:val="00511BAA"/>
    <w:rsid w:val="00511FEF"/>
    <w:rsid w:val="00512902"/>
    <w:rsid w:val="0051341E"/>
    <w:rsid w:val="0051403B"/>
    <w:rsid w:val="00514820"/>
    <w:rsid w:val="005148AE"/>
    <w:rsid w:val="00514995"/>
    <w:rsid w:val="00514F3D"/>
    <w:rsid w:val="005154F4"/>
    <w:rsid w:val="005159A1"/>
    <w:rsid w:val="00515DE6"/>
    <w:rsid w:val="00516183"/>
    <w:rsid w:val="0051649E"/>
    <w:rsid w:val="005175A4"/>
    <w:rsid w:val="00520DF9"/>
    <w:rsid w:val="00521E38"/>
    <w:rsid w:val="005232B3"/>
    <w:rsid w:val="00523956"/>
    <w:rsid w:val="00523D00"/>
    <w:rsid w:val="00523D52"/>
    <w:rsid w:val="00523DD7"/>
    <w:rsid w:val="00525265"/>
    <w:rsid w:val="0052580A"/>
    <w:rsid w:val="005266AF"/>
    <w:rsid w:val="00526B59"/>
    <w:rsid w:val="00530224"/>
    <w:rsid w:val="0053049C"/>
    <w:rsid w:val="00530609"/>
    <w:rsid w:val="00530E46"/>
    <w:rsid w:val="00531404"/>
    <w:rsid w:val="00531652"/>
    <w:rsid w:val="00532001"/>
    <w:rsid w:val="00532282"/>
    <w:rsid w:val="00535EC5"/>
    <w:rsid w:val="00536E6B"/>
    <w:rsid w:val="00537790"/>
    <w:rsid w:val="005379EA"/>
    <w:rsid w:val="00537ADE"/>
    <w:rsid w:val="005405A9"/>
    <w:rsid w:val="005419C1"/>
    <w:rsid w:val="005425A2"/>
    <w:rsid w:val="005432FB"/>
    <w:rsid w:val="00543E87"/>
    <w:rsid w:val="00544F63"/>
    <w:rsid w:val="005453E4"/>
    <w:rsid w:val="00546094"/>
    <w:rsid w:val="00546BA4"/>
    <w:rsid w:val="00546BE2"/>
    <w:rsid w:val="00546D92"/>
    <w:rsid w:val="00547133"/>
    <w:rsid w:val="0054730C"/>
    <w:rsid w:val="00547A6E"/>
    <w:rsid w:val="005505A8"/>
    <w:rsid w:val="00550B15"/>
    <w:rsid w:val="0055126D"/>
    <w:rsid w:val="0055168A"/>
    <w:rsid w:val="0055185D"/>
    <w:rsid w:val="00552644"/>
    <w:rsid w:val="00552E7A"/>
    <w:rsid w:val="005538C3"/>
    <w:rsid w:val="0055469A"/>
    <w:rsid w:val="00554A1D"/>
    <w:rsid w:val="00557716"/>
    <w:rsid w:val="00560365"/>
    <w:rsid w:val="005605EB"/>
    <w:rsid w:val="00560DB8"/>
    <w:rsid w:val="005619AC"/>
    <w:rsid w:val="00561C2F"/>
    <w:rsid w:val="005626BA"/>
    <w:rsid w:val="005634AB"/>
    <w:rsid w:val="0056381A"/>
    <w:rsid w:val="0056471D"/>
    <w:rsid w:val="005648F3"/>
    <w:rsid w:val="005653A4"/>
    <w:rsid w:val="00566429"/>
    <w:rsid w:val="00566D80"/>
    <w:rsid w:val="00567FDB"/>
    <w:rsid w:val="00573C9E"/>
    <w:rsid w:val="005744D5"/>
    <w:rsid w:val="005752F5"/>
    <w:rsid w:val="005770E4"/>
    <w:rsid w:val="00577553"/>
    <w:rsid w:val="005777A9"/>
    <w:rsid w:val="00577C2E"/>
    <w:rsid w:val="00577D2C"/>
    <w:rsid w:val="00577FDA"/>
    <w:rsid w:val="0058009A"/>
    <w:rsid w:val="00580275"/>
    <w:rsid w:val="00581135"/>
    <w:rsid w:val="005830A3"/>
    <w:rsid w:val="00583AEA"/>
    <w:rsid w:val="00584498"/>
    <w:rsid w:val="00584F67"/>
    <w:rsid w:val="00585620"/>
    <w:rsid w:val="00585AFD"/>
    <w:rsid w:val="00587468"/>
    <w:rsid w:val="00590253"/>
    <w:rsid w:val="00590479"/>
    <w:rsid w:val="0059047A"/>
    <w:rsid w:val="00590C35"/>
    <w:rsid w:val="00591AC1"/>
    <w:rsid w:val="00592124"/>
    <w:rsid w:val="00593E4E"/>
    <w:rsid w:val="00594DCE"/>
    <w:rsid w:val="005953CD"/>
    <w:rsid w:val="00596BE5"/>
    <w:rsid w:val="0059715A"/>
    <w:rsid w:val="00597E82"/>
    <w:rsid w:val="005A03F2"/>
    <w:rsid w:val="005A0C6D"/>
    <w:rsid w:val="005A208A"/>
    <w:rsid w:val="005A23FA"/>
    <w:rsid w:val="005A3333"/>
    <w:rsid w:val="005A3766"/>
    <w:rsid w:val="005A44DF"/>
    <w:rsid w:val="005A49E5"/>
    <w:rsid w:val="005A51C5"/>
    <w:rsid w:val="005A5B7C"/>
    <w:rsid w:val="005A66D7"/>
    <w:rsid w:val="005A7FD9"/>
    <w:rsid w:val="005B09DE"/>
    <w:rsid w:val="005B09F5"/>
    <w:rsid w:val="005B13F0"/>
    <w:rsid w:val="005B156F"/>
    <w:rsid w:val="005B209F"/>
    <w:rsid w:val="005B216A"/>
    <w:rsid w:val="005B226F"/>
    <w:rsid w:val="005B3546"/>
    <w:rsid w:val="005B47C2"/>
    <w:rsid w:val="005B54BF"/>
    <w:rsid w:val="005B58FF"/>
    <w:rsid w:val="005B5C91"/>
    <w:rsid w:val="005B62FE"/>
    <w:rsid w:val="005B64AB"/>
    <w:rsid w:val="005B7346"/>
    <w:rsid w:val="005B7C73"/>
    <w:rsid w:val="005C03E3"/>
    <w:rsid w:val="005C20EB"/>
    <w:rsid w:val="005C224F"/>
    <w:rsid w:val="005C235D"/>
    <w:rsid w:val="005C23BE"/>
    <w:rsid w:val="005C2703"/>
    <w:rsid w:val="005C4ACF"/>
    <w:rsid w:val="005C5026"/>
    <w:rsid w:val="005C548B"/>
    <w:rsid w:val="005C6CA8"/>
    <w:rsid w:val="005C7446"/>
    <w:rsid w:val="005C793D"/>
    <w:rsid w:val="005D0642"/>
    <w:rsid w:val="005D0852"/>
    <w:rsid w:val="005D0AA0"/>
    <w:rsid w:val="005D165C"/>
    <w:rsid w:val="005D1B46"/>
    <w:rsid w:val="005D41C7"/>
    <w:rsid w:val="005D5C61"/>
    <w:rsid w:val="005D5F92"/>
    <w:rsid w:val="005D5FC6"/>
    <w:rsid w:val="005D61E6"/>
    <w:rsid w:val="005D6D69"/>
    <w:rsid w:val="005D71CC"/>
    <w:rsid w:val="005D7372"/>
    <w:rsid w:val="005D7693"/>
    <w:rsid w:val="005D7BBF"/>
    <w:rsid w:val="005D7E24"/>
    <w:rsid w:val="005D7FAB"/>
    <w:rsid w:val="005E058A"/>
    <w:rsid w:val="005E2FC3"/>
    <w:rsid w:val="005E42DB"/>
    <w:rsid w:val="005E45EC"/>
    <w:rsid w:val="005E50FE"/>
    <w:rsid w:val="005E568C"/>
    <w:rsid w:val="005E5CA8"/>
    <w:rsid w:val="005E5CF9"/>
    <w:rsid w:val="005E6593"/>
    <w:rsid w:val="005E6C33"/>
    <w:rsid w:val="005E6C9F"/>
    <w:rsid w:val="005E6CA4"/>
    <w:rsid w:val="005E7580"/>
    <w:rsid w:val="005E7661"/>
    <w:rsid w:val="005F1031"/>
    <w:rsid w:val="005F11E2"/>
    <w:rsid w:val="005F2A66"/>
    <w:rsid w:val="005F42E6"/>
    <w:rsid w:val="005F4BFA"/>
    <w:rsid w:val="005F605E"/>
    <w:rsid w:val="005F6A2C"/>
    <w:rsid w:val="005F6C03"/>
    <w:rsid w:val="005F75A1"/>
    <w:rsid w:val="005F79F9"/>
    <w:rsid w:val="0060067D"/>
    <w:rsid w:val="0060080E"/>
    <w:rsid w:val="00600DFB"/>
    <w:rsid w:val="00601C7D"/>
    <w:rsid w:val="00601CA5"/>
    <w:rsid w:val="006023EF"/>
    <w:rsid w:val="0060248A"/>
    <w:rsid w:val="0060367F"/>
    <w:rsid w:val="006050A4"/>
    <w:rsid w:val="00605400"/>
    <w:rsid w:val="00605AB6"/>
    <w:rsid w:val="006063F6"/>
    <w:rsid w:val="00606786"/>
    <w:rsid w:val="00606A26"/>
    <w:rsid w:val="00606F82"/>
    <w:rsid w:val="00607F2E"/>
    <w:rsid w:val="0061131D"/>
    <w:rsid w:val="00611649"/>
    <w:rsid w:val="00611F46"/>
    <w:rsid w:val="006123A8"/>
    <w:rsid w:val="006126AD"/>
    <w:rsid w:val="00612C08"/>
    <w:rsid w:val="00613C38"/>
    <w:rsid w:val="00614583"/>
    <w:rsid w:val="0061460F"/>
    <w:rsid w:val="00615BDD"/>
    <w:rsid w:val="0061674C"/>
    <w:rsid w:val="006178D6"/>
    <w:rsid w:val="006204F4"/>
    <w:rsid w:val="00621F3A"/>
    <w:rsid w:val="006224BD"/>
    <w:rsid w:val="0062285A"/>
    <w:rsid w:val="00623219"/>
    <w:rsid w:val="00623C95"/>
    <w:rsid w:val="006257A3"/>
    <w:rsid w:val="00626828"/>
    <w:rsid w:val="006272D4"/>
    <w:rsid w:val="00630BA3"/>
    <w:rsid w:val="00630D90"/>
    <w:rsid w:val="0063108E"/>
    <w:rsid w:val="0063134B"/>
    <w:rsid w:val="00631A14"/>
    <w:rsid w:val="0063210D"/>
    <w:rsid w:val="0063245E"/>
    <w:rsid w:val="0063262E"/>
    <w:rsid w:val="006326B8"/>
    <w:rsid w:val="00634DED"/>
    <w:rsid w:val="00635471"/>
    <w:rsid w:val="006359C9"/>
    <w:rsid w:val="0063635E"/>
    <w:rsid w:val="006364D9"/>
    <w:rsid w:val="006368CA"/>
    <w:rsid w:val="00636C2C"/>
    <w:rsid w:val="00637C3C"/>
    <w:rsid w:val="00640B4F"/>
    <w:rsid w:val="00640EC3"/>
    <w:rsid w:val="00641246"/>
    <w:rsid w:val="00641447"/>
    <w:rsid w:val="006425B9"/>
    <w:rsid w:val="00642A67"/>
    <w:rsid w:val="00643353"/>
    <w:rsid w:val="00644B34"/>
    <w:rsid w:val="00645F47"/>
    <w:rsid w:val="0064625B"/>
    <w:rsid w:val="0064642E"/>
    <w:rsid w:val="00647558"/>
    <w:rsid w:val="006475A5"/>
    <w:rsid w:val="006501A8"/>
    <w:rsid w:val="00651231"/>
    <w:rsid w:val="006513EC"/>
    <w:rsid w:val="00651E35"/>
    <w:rsid w:val="006520AC"/>
    <w:rsid w:val="006527DB"/>
    <w:rsid w:val="00652B41"/>
    <w:rsid w:val="00652F81"/>
    <w:rsid w:val="00653CDB"/>
    <w:rsid w:val="006544F7"/>
    <w:rsid w:val="00654B43"/>
    <w:rsid w:val="00655031"/>
    <w:rsid w:val="00655951"/>
    <w:rsid w:val="00655959"/>
    <w:rsid w:val="00655BEE"/>
    <w:rsid w:val="00655E12"/>
    <w:rsid w:val="00656633"/>
    <w:rsid w:val="006574CC"/>
    <w:rsid w:val="00657715"/>
    <w:rsid w:val="0066036E"/>
    <w:rsid w:val="0066096E"/>
    <w:rsid w:val="00661046"/>
    <w:rsid w:val="006625AA"/>
    <w:rsid w:val="00662C0D"/>
    <w:rsid w:val="00662E8C"/>
    <w:rsid w:val="00663335"/>
    <w:rsid w:val="006639FE"/>
    <w:rsid w:val="00663F40"/>
    <w:rsid w:val="00663FA5"/>
    <w:rsid w:val="00664F8D"/>
    <w:rsid w:val="00665731"/>
    <w:rsid w:val="00665919"/>
    <w:rsid w:val="0066593A"/>
    <w:rsid w:val="00665D54"/>
    <w:rsid w:val="006661BA"/>
    <w:rsid w:val="006665BE"/>
    <w:rsid w:val="0066662D"/>
    <w:rsid w:val="00667428"/>
    <w:rsid w:val="0067102F"/>
    <w:rsid w:val="00671255"/>
    <w:rsid w:val="00671503"/>
    <w:rsid w:val="006719A1"/>
    <w:rsid w:val="00672957"/>
    <w:rsid w:val="006729F8"/>
    <w:rsid w:val="006748D6"/>
    <w:rsid w:val="006768AA"/>
    <w:rsid w:val="006772A9"/>
    <w:rsid w:val="006779B7"/>
    <w:rsid w:val="00677C4D"/>
    <w:rsid w:val="00680310"/>
    <w:rsid w:val="00680D1E"/>
    <w:rsid w:val="0068155A"/>
    <w:rsid w:val="00681C5A"/>
    <w:rsid w:val="00682050"/>
    <w:rsid w:val="00682D68"/>
    <w:rsid w:val="00683537"/>
    <w:rsid w:val="0068368A"/>
    <w:rsid w:val="006837DD"/>
    <w:rsid w:val="00683937"/>
    <w:rsid w:val="00683BDB"/>
    <w:rsid w:val="00684402"/>
    <w:rsid w:val="00684D82"/>
    <w:rsid w:val="00684DF3"/>
    <w:rsid w:val="00685A66"/>
    <w:rsid w:val="00685AF5"/>
    <w:rsid w:val="006865BF"/>
    <w:rsid w:val="00686936"/>
    <w:rsid w:val="00691F52"/>
    <w:rsid w:val="00692026"/>
    <w:rsid w:val="006926DC"/>
    <w:rsid w:val="00692D53"/>
    <w:rsid w:val="00694146"/>
    <w:rsid w:val="00694DA4"/>
    <w:rsid w:val="00694F94"/>
    <w:rsid w:val="00694FB9"/>
    <w:rsid w:val="00695394"/>
    <w:rsid w:val="00696761"/>
    <w:rsid w:val="00696EF6"/>
    <w:rsid w:val="00697197"/>
    <w:rsid w:val="006A0F05"/>
    <w:rsid w:val="006A12D8"/>
    <w:rsid w:val="006A12E7"/>
    <w:rsid w:val="006A278E"/>
    <w:rsid w:val="006A2D54"/>
    <w:rsid w:val="006A47B4"/>
    <w:rsid w:val="006A50CB"/>
    <w:rsid w:val="006A5E04"/>
    <w:rsid w:val="006A60EB"/>
    <w:rsid w:val="006A676B"/>
    <w:rsid w:val="006A6B44"/>
    <w:rsid w:val="006A7600"/>
    <w:rsid w:val="006A788C"/>
    <w:rsid w:val="006A7D9D"/>
    <w:rsid w:val="006B0361"/>
    <w:rsid w:val="006B0B41"/>
    <w:rsid w:val="006B0BCC"/>
    <w:rsid w:val="006B32D3"/>
    <w:rsid w:val="006B34A5"/>
    <w:rsid w:val="006B3546"/>
    <w:rsid w:val="006B3702"/>
    <w:rsid w:val="006B3720"/>
    <w:rsid w:val="006B4895"/>
    <w:rsid w:val="006B4A51"/>
    <w:rsid w:val="006B5152"/>
    <w:rsid w:val="006B5594"/>
    <w:rsid w:val="006B64D7"/>
    <w:rsid w:val="006B75FB"/>
    <w:rsid w:val="006B7E4F"/>
    <w:rsid w:val="006B7FA4"/>
    <w:rsid w:val="006C12E3"/>
    <w:rsid w:val="006C152F"/>
    <w:rsid w:val="006C1643"/>
    <w:rsid w:val="006C1A7A"/>
    <w:rsid w:val="006C1C6D"/>
    <w:rsid w:val="006C20D4"/>
    <w:rsid w:val="006C25CB"/>
    <w:rsid w:val="006C339A"/>
    <w:rsid w:val="006C3AE7"/>
    <w:rsid w:val="006C3B1B"/>
    <w:rsid w:val="006C3D08"/>
    <w:rsid w:val="006C3E9A"/>
    <w:rsid w:val="006C41C7"/>
    <w:rsid w:val="006C5714"/>
    <w:rsid w:val="006C5BA8"/>
    <w:rsid w:val="006C7E14"/>
    <w:rsid w:val="006D0CAB"/>
    <w:rsid w:val="006D1ABE"/>
    <w:rsid w:val="006D1DDB"/>
    <w:rsid w:val="006D3283"/>
    <w:rsid w:val="006D3554"/>
    <w:rsid w:val="006D37AA"/>
    <w:rsid w:val="006D3CA9"/>
    <w:rsid w:val="006D4AF2"/>
    <w:rsid w:val="006D5851"/>
    <w:rsid w:val="006D5CE2"/>
    <w:rsid w:val="006D6345"/>
    <w:rsid w:val="006D6CAA"/>
    <w:rsid w:val="006D7F8D"/>
    <w:rsid w:val="006E0FEE"/>
    <w:rsid w:val="006E17F7"/>
    <w:rsid w:val="006E225E"/>
    <w:rsid w:val="006E2DCA"/>
    <w:rsid w:val="006E2EAD"/>
    <w:rsid w:val="006E30DB"/>
    <w:rsid w:val="006E33C5"/>
    <w:rsid w:val="006E3829"/>
    <w:rsid w:val="006E3918"/>
    <w:rsid w:val="006E4310"/>
    <w:rsid w:val="006E4328"/>
    <w:rsid w:val="006E4C3F"/>
    <w:rsid w:val="006E6005"/>
    <w:rsid w:val="006E6135"/>
    <w:rsid w:val="006E6359"/>
    <w:rsid w:val="006E6519"/>
    <w:rsid w:val="006E6BA5"/>
    <w:rsid w:val="006E707E"/>
    <w:rsid w:val="006E7452"/>
    <w:rsid w:val="006E7554"/>
    <w:rsid w:val="006E756B"/>
    <w:rsid w:val="006E7788"/>
    <w:rsid w:val="006E7B42"/>
    <w:rsid w:val="006F0B58"/>
    <w:rsid w:val="006F151D"/>
    <w:rsid w:val="006F1657"/>
    <w:rsid w:val="006F1A38"/>
    <w:rsid w:val="006F1B8A"/>
    <w:rsid w:val="006F3E96"/>
    <w:rsid w:val="006F4306"/>
    <w:rsid w:val="006F4779"/>
    <w:rsid w:val="006F65AA"/>
    <w:rsid w:val="006F70AE"/>
    <w:rsid w:val="0070021A"/>
    <w:rsid w:val="007012DB"/>
    <w:rsid w:val="007021AD"/>
    <w:rsid w:val="007023F1"/>
    <w:rsid w:val="0070281B"/>
    <w:rsid w:val="00703D43"/>
    <w:rsid w:val="00704C02"/>
    <w:rsid w:val="00704D07"/>
    <w:rsid w:val="0070505A"/>
    <w:rsid w:val="0070563E"/>
    <w:rsid w:val="00705DB6"/>
    <w:rsid w:val="0070706A"/>
    <w:rsid w:val="007071D1"/>
    <w:rsid w:val="00707531"/>
    <w:rsid w:val="00707C99"/>
    <w:rsid w:val="00707F76"/>
    <w:rsid w:val="00710802"/>
    <w:rsid w:val="007113BD"/>
    <w:rsid w:val="00712C47"/>
    <w:rsid w:val="0071355E"/>
    <w:rsid w:val="00713D1A"/>
    <w:rsid w:val="00714303"/>
    <w:rsid w:val="00714CC1"/>
    <w:rsid w:val="00714D0E"/>
    <w:rsid w:val="00715CFD"/>
    <w:rsid w:val="007163A4"/>
    <w:rsid w:val="00716AB5"/>
    <w:rsid w:val="007178D7"/>
    <w:rsid w:val="007202D0"/>
    <w:rsid w:val="0072083C"/>
    <w:rsid w:val="007210BC"/>
    <w:rsid w:val="00721881"/>
    <w:rsid w:val="00721D72"/>
    <w:rsid w:val="00722391"/>
    <w:rsid w:val="007224EC"/>
    <w:rsid w:val="00722766"/>
    <w:rsid w:val="007233DC"/>
    <w:rsid w:val="0072381C"/>
    <w:rsid w:val="00723ABD"/>
    <w:rsid w:val="0072435E"/>
    <w:rsid w:val="00724468"/>
    <w:rsid w:val="00724589"/>
    <w:rsid w:val="0072639E"/>
    <w:rsid w:val="007269EA"/>
    <w:rsid w:val="00726C89"/>
    <w:rsid w:val="00727EB5"/>
    <w:rsid w:val="00730050"/>
    <w:rsid w:val="00730289"/>
    <w:rsid w:val="00730811"/>
    <w:rsid w:val="00730E17"/>
    <w:rsid w:val="007325A0"/>
    <w:rsid w:val="00733140"/>
    <w:rsid w:val="0073418A"/>
    <w:rsid w:val="007341DB"/>
    <w:rsid w:val="007353EC"/>
    <w:rsid w:val="007359FA"/>
    <w:rsid w:val="0073781A"/>
    <w:rsid w:val="00737D7E"/>
    <w:rsid w:val="00737E06"/>
    <w:rsid w:val="00740423"/>
    <w:rsid w:val="00742646"/>
    <w:rsid w:val="00742DB3"/>
    <w:rsid w:val="007444C3"/>
    <w:rsid w:val="007445AB"/>
    <w:rsid w:val="00744B52"/>
    <w:rsid w:val="00744FAE"/>
    <w:rsid w:val="00745A1D"/>
    <w:rsid w:val="00745C33"/>
    <w:rsid w:val="00746332"/>
    <w:rsid w:val="00746927"/>
    <w:rsid w:val="00746D3D"/>
    <w:rsid w:val="00750057"/>
    <w:rsid w:val="00750547"/>
    <w:rsid w:val="007508A4"/>
    <w:rsid w:val="00750B48"/>
    <w:rsid w:val="00752648"/>
    <w:rsid w:val="007526D0"/>
    <w:rsid w:val="00752B95"/>
    <w:rsid w:val="0075346D"/>
    <w:rsid w:val="0075449B"/>
    <w:rsid w:val="0075474E"/>
    <w:rsid w:val="007549D9"/>
    <w:rsid w:val="00754FD6"/>
    <w:rsid w:val="0075596C"/>
    <w:rsid w:val="00755F3C"/>
    <w:rsid w:val="00756191"/>
    <w:rsid w:val="007575E3"/>
    <w:rsid w:val="00763AB6"/>
    <w:rsid w:val="007647CA"/>
    <w:rsid w:val="00764C93"/>
    <w:rsid w:val="00765B1C"/>
    <w:rsid w:val="0076635C"/>
    <w:rsid w:val="0076646B"/>
    <w:rsid w:val="00766802"/>
    <w:rsid w:val="00766C21"/>
    <w:rsid w:val="007676D7"/>
    <w:rsid w:val="00767F53"/>
    <w:rsid w:val="0077086C"/>
    <w:rsid w:val="00770C55"/>
    <w:rsid w:val="00771269"/>
    <w:rsid w:val="00771316"/>
    <w:rsid w:val="00771DD5"/>
    <w:rsid w:val="00771F68"/>
    <w:rsid w:val="00772122"/>
    <w:rsid w:val="00772505"/>
    <w:rsid w:val="0077283B"/>
    <w:rsid w:val="00772959"/>
    <w:rsid w:val="007738E9"/>
    <w:rsid w:val="00773D56"/>
    <w:rsid w:val="0077541E"/>
    <w:rsid w:val="00776303"/>
    <w:rsid w:val="0077657D"/>
    <w:rsid w:val="0077718A"/>
    <w:rsid w:val="00782F7B"/>
    <w:rsid w:val="00783616"/>
    <w:rsid w:val="0078443B"/>
    <w:rsid w:val="00784E60"/>
    <w:rsid w:val="00786856"/>
    <w:rsid w:val="00786F84"/>
    <w:rsid w:val="00787851"/>
    <w:rsid w:val="00787AC5"/>
    <w:rsid w:val="00790912"/>
    <w:rsid w:val="00791A79"/>
    <w:rsid w:val="00791FA5"/>
    <w:rsid w:val="0079238E"/>
    <w:rsid w:val="0079242D"/>
    <w:rsid w:val="00792594"/>
    <w:rsid w:val="00792906"/>
    <w:rsid w:val="0079327C"/>
    <w:rsid w:val="0079396D"/>
    <w:rsid w:val="00794885"/>
    <w:rsid w:val="007957FF"/>
    <w:rsid w:val="00795E33"/>
    <w:rsid w:val="00796264"/>
    <w:rsid w:val="007973CE"/>
    <w:rsid w:val="007A1A88"/>
    <w:rsid w:val="007A1B31"/>
    <w:rsid w:val="007A2512"/>
    <w:rsid w:val="007A3254"/>
    <w:rsid w:val="007A3920"/>
    <w:rsid w:val="007A397E"/>
    <w:rsid w:val="007A43BB"/>
    <w:rsid w:val="007A43BF"/>
    <w:rsid w:val="007A4439"/>
    <w:rsid w:val="007A45C0"/>
    <w:rsid w:val="007A49DB"/>
    <w:rsid w:val="007A4E4C"/>
    <w:rsid w:val="007A4FBA"/>
    <w:rsid w:val="007A5A3F"/>
    <w:rsid w:val="007A63BE"/>
    <w:rsid w:val="007A685E"/>
    <w:rsid w:val="007A77D9"/>
    <w:rsid w:val="007A78D3"/>
    <w:rsid w:val="007A7F16"/>
    <w:rsid w:val="007B065C"/>
    <w:rsid w:val="007B0D26"/>
    <w:rsid w:val="007B2BCE"/>
    <w:rsid w:val="007B3772"/>
    <w:rsid w:val="007B3CC0"/>
    <w:rsid w:val="007B57E8"/>
    <w:rsid w:val="007B5884"/>
    <w:rsid w:val="007B58FA"/>
    <w:rsid w:val="007B5C7B"/>
    <w:rsid w:val="007B6376"/>
    <w:rsid w:val="007C05BD"/>
    <w:rsid w:val="007C0665"/>
    <w:rsid w:val="007C0B5F"/>
    <w:rsid w:val="007C115C"/>
    <w:rsid w:val="007C2445"/>
    <w:rsid w:val="007C252A"/>
    <w:rsid w:val="007C2607"/>
    <w:rsid w:val="007C2621"/>
    <w:rsid w:val="007C2785"/>
    <w:rsid w:val="007C2D16"/>
    <w:rsid w:val="007C2DD5"/>
    <w:rsid w:val="007C388E"/>
    <w:rsid w:val="007C3B12"/>
    <w:rsid w:val="007C3D2F"/>
    <w:rsid w:val="007C4400"/>
    <w:rsid w:val="007C4BDD"/>
    <w:rsid w:val="007C4F8C"/>
    <w:rsid w:val="007C5F1B"/>
    <w:rsid w:val="007C6476"/>
    <w:rsid w:val="007C67CD"/>
    <w:rsid w:val="007C6980"/>
    <w:rsid w:val="007C6A31"/>
    <w:rsid w:val="007C73E1"/>
    <w:rsid w:val="007C78A4"/>
    <w:rsid w:val="007D033C"/>
    <w:rsid w:val="007D0FDA"/>
    <w:rsid w:val="007D1106"/>
    <w:rsid w:val="007D2AF5"/>
    <w:rsid w:val="007D2B82"/>
    <w:rsid w:val="007D3524"/>
    <w:rsid w:val="007D3B45"/>
    <w:rsid w:val="007D4C58"/>
    <w:rsid w:val="007D5201"/>
    <w:rsid w:val="007D5963"/>
    <w:rsid w:val="007D5998"/>
    <w:rsid w:val="007D7664"/>
    <w:rsid w:val="007E00C3"/>
    <w:rsid w:val="007E0B3B"/>
    <w:rsid w:val="007E167F"/>
    <w:rsid w:val="007E169D"/>
    <w:rsid w:val="007E1838"/>
    <w:rsid w:val="007E1C0D"/>
    <w:rsid w:val="007E22C8"/>
    <w:rsid w:val="007E4191"/>
    <w:rsid w:val="007E4B08"/>
    <w:rsid w:val="007E5479"/>
    <w:rsid w:val="007E5FA6"/>
    <w:rsid w:val="007E6007"/>
    <w:rsid w:val="007E6249"/>
    <w:rsid w:val="007E640A"/>
    <w:rsid w:val="007E6F36"/>
    <w:rsid w:val="007E78C9"/>
    <w:rsid w:val="007E7CB9"/>
    <w:rsid w:val="007F15DD"/>
    <w:rsid w:val="007F1F4E"/>
    <w:rsid w:val="007F26F2"/>
    <w:rsid w:val="007F33DB"/>
    <w:rsid w:val="007F382B"/>
    <w:rsid w:val="007F385C"/>
    <w:rsid w:val="007F3A64"/>
    <w:rsid w:val="007F4084"/>
    <w:rsid w:val="007F4BFA"/>
    <w:rsid w:val="007F525C"/>
    <w:rsid w:val="007F5B39"/>
    <w:rsid w:val="007F5FDC"/>
    <w:rsid w:val="007F6024"/>
    <w:rsid w:val="007F7145"/>
    <w:rsid w:val="007F7358"/>
    <w:rsid w:val="007F7C1E"/>
    <w:rsid w:val="00800911"/>
    <w:rsid w:val="00800A4E"/>
    <w:rsid w:val="0080122E"/>
    <w:rsid w:val="0080251F"/>
    <w:rsid w:val="008025DE"/>
    <w:rsid w:val="00802786"/>
    <w:rsid w:val="00802FD1"/>
    <w:rsid w:val="00803E03"/>
    <w:rsid w:val="008041F6"/>
    <w:rsid w:val="00804A3B"/>
    <w:rsid w:val="0080539F"/>
    <w:rsid w:val="00805C20"/>
    <w:rsid w:val="00805E22"/>
    <w:rsid w:val="008074C9"/>
    <w:rsid w:val="00807709"/>
    <w:rsid w:val="00807CED"/>
    <w:rsid w:val="00810318"/>
    <w:rsid w:val="00810898"/>
    <w:rsid w:val="00810DA6"/>
    <w:rsid w:val="008116E3"/>
    <w:rsid w:val="008128A3"/>
    <w:rsid w:val="00812918"/>
    <w:rsid w:val="00812D9C"/>
    <w:rsid w:val="00813871"/>
    <w:rsid w:val="008138BB"/>
    <w:rsid w:val="0081517F"/>
    <w:rsid w:val="0081534F"/>
    <w:rsid w:val="008153AA"/>
    <w:rsid w:val="008153D5"/>
    <w:rsid w:val="00815788"/>
    <w:rsid w:val="00815CE4"/>
    <w:rsid w:val="00816DDA"/>
    <w:rsid w:val="008170F0"/>
    <w:rsid w:val="0081792F"/>
    <w:rsid w:val="00817BCC"/>
    <w:rsid w:val="008203FB"/>
    <w:rsid w:val="00820726"/>
    <w:rsid w:val="00820B15"/>
    <w:rsid w:val="00820BE2"/>
    <w:rsid w:val="008211D7"/>
    <w:rsid w:val="00821EA1"/>
    <w:rsid w:val="00822EA2"/>
    <w:rsid w:val="00823440"/>
    <w:rsid w:val="0082383B"/>
    <w:rsid w:val="00824CC0"/>
    <w:rsid w:val="00826D47"/>
    <w:rsid w:val="0082700B"/>
    <w:rsid w:val="008270BB"/>
    <w:rsid w:val="0082799D"/>
    <w:rsid w:val="00830446"/>
    <w:rsid w:val="00830760"/>
    <w:rsid w:val="00831784"/>
    <w:rsid w:val="0083185F"/>
    <w:rsid w:val="00832DB8"/>
    <w:rsid w:val="00833182"/>
    <w:rsid w:val="0083492F"/>
    <w:rsid w:val="00835B22"/>
    <w:rsid w:val="00836549"/>
    <w:rsid w:val="008371F4"/>
    <w:rsid w:val="00837347"/>
    <w:rsid w:val="00840183"/>
    <w:rsid w:val="008403A4"/>
    <w:rsid w:val="0084095D"/>
    <w:rsid w:val="0084121F"/>
    <w:rsid w:val="008414A6"/>
    <w:rsid w:val="00841C21"/>
    <w:rsid w:val="008422A1"/>
    <w:rsid w:val="008432D2"/>
    <w:rsid w:val="008436D8"/>
    <w:rsid w:val="008446F7"/>
    <w:rsid w:val="0084493B"/>
    <w:rsid w:val="00844C73"/>
    <w:rsid w:val="008463DA"/>
    <w:rsid w:val="00846B83"/>
    <w:rsid w:val="00847568"/>
    <w:rsid w:val="00847C0A"/>
    <w:rsid w:val="0085018D"/>
    <w:rsid w:val="008506E8"/>
    <w:rsid w:val="00850E6D"/>
    <w:rsid w:val="00850EF3"/>
    <w:rsid w:val="0085215B"/>
    <w:rsid w:val="00852C9A"/>
    <w:rsid w:val="00852F23"/>
    <w:rsid w:val="008533F2"/>
    <w:rsid w:val="008535B2"/>
    <w:rsid w:val="00854612"/>
    <w:rsid w:val="008546F6"/>
    <w:rsid w:val="008552C7"/>
    <w:rsid w:val="00855FE4"/>
    <w:rsid w:val="00856733"/>
    <w:rsid w:val="00856889"/>
    <w:rsid w:val="00856F0B"/>
    <w:rsid w:val="00856F38"/>
    <w:rsid w:val="00857210"/>
    <w:rsid w:val="00857974"/>
    <w:rsid w:val="008610FF"/>
    <w:rsid w:val="008617EA"/>
    <w:rsid w:val="0086259D"/>
    <w:rsid w:val="0086274C"/>
    <w:rsid w:val="008636BE"/>
    <w:rsid w:val="00864FFA"/>
    <w:rsid w:val="00866EA0"/>
    <w:rsid w:val="00867131"/>
    <w:rsid w:val="00867396"/>
    <w:rsid w:val="008676E1"/>
    <w:rsid w:val="00870B53"/>
    <w:rsid w:val="0087137C"/>
    <w:rsid w:val="008725BB"/>
    <w:rsid w:val="008727D6"/>
    <w:rsid w:val="00873960"/>
    <w:rsid w:val="00874B57"/>
    <w:rsid w:val="00874EA1"/>
    <w:rsid w:val="0087730A"/>
    <w:rsid w:val="00880274"/>
    <w:rsid w:val="00880C6B"/>
    <w:rsid w:val="00881178"/>
    <w:rsid w:val="00881A4D"/>
    <w:rsid w:val="00881C38"/>
    <w:rsid w:val="00881F8C"/>
    <w:rsid w:val="00882E1F"/>
    <w:rsid w:val="00884026"/>
    <w:rsid w:val="00884425"/>
    <w:rsid w:val="008847AC"/>
    <w:rsid w:val="00884BE6"/>
    <w:rsid w:val="00885A1F"/>
    <w:rsid w:val="00885B05"/>
    <w:rsid w:val="00885C3E"/>
    <w:rsid w:val="008865A2"/>
    <w:rsid w:val="00890B31"/>
    <w:rsid w:val="00892290"/>
    <w:rsid w:val="00892BBE"/>
    <w:rsid w:val="008939F6"/>
    <w:rsid w:val="00893CD4"/>
    <w:rsid w:val="00894303"/>
    <w:rsid w:val="00894368"/>
    <w:rsid w:val="0089498C"/>
    <w:rsid w:val="00894C97"/>
    <w:rsid w:val="0089512F"/>
    <w:rsid w:val="008956BB"/>
    <w:rsid w:val="00895833"/>
    <w:rsid w:val="00895866"/>
    <w:rsid w:val="00896302"/>
    <w:rsid w:val="00896895"/>
    <w:rsid w:val="00897B7A"/>
    <w:rsid w:val="008A07C8"/>
    <w:rsid w:val="008A1EBE"/>
    <w:rsid w:val="008A366A"/>
    <w:rsid w:val="008A36B7"/>
    <w:rsid w:val="008A3A41"/>
    <w:rsid w:val="008A430C"/>
    <w:rsid w:val="008A59C9"/>
    <w:rsid w:val="008A5C2D"/>
    <w:rsid w:val="008A5CDD"/>
    <w:rsid w:val="008A67BE"/>
    <w:rsid w:val="008A6A02"/>
    <w:rsid w:val="008A6A25"/>
    <w:rsid w:val="008A6FB3"/>
    <w:rsid w:val="008A7AD9"/>
    <w:rsid w:val="008B17BC"/>
    <w:rsid w:val="008B1EB5"/>
    <w:rsid w:val="008B1F91"/>
    <w:rsid w:val="008B2CEF"/>
    <w:rsid w:val="008B2F61"/>
    <w:rsid w:val="008B40DA"/>
    <w:rsid w:val="008B447E"/>
    <w:rsid w:val="008B5471"/>
    <w:rsid w:val="008B5794"/>
    <w:rsid w:val="008B5CCA"/>
    <w:rsid w:val="008B6B6F"/>
    <w:rsid w:val="008B7CBE"/>
    <w:rsid w:val="008C04F9"/>
    <w:rsid w:val="008C09A5"/>
    <w:rsid w:val="008C2E09"/>
    <w:rsid w:val="008C355F"/>
    <w:rsid w:val="008C3C59"/>
    <w:rsid w:val="008C4E2C"/>
    <w:rsid w:val="008C5430"/>
    <w:rsid w:val="008C55D5"/>
    <w:rsid w:val="008C5634"/>
    <w:rsid w:val="008C5C39"/>
    <w:rsid w:val="008C6BE7"/>
    <w:rsid w:val="008C6E54"/>
    <w:rsid w:val="008C7BA4"/>
    <w:rsid w:val="008C7C4B"/>
    <w:rsid w:val="008D0ADF"/>
    <w:rsid w:val="008D0B5E"/>
    <w:rsid w:val="008D122D"/>
    <w:rsid w:val="008D14B5"/>
    <w:rsid w:val="008D1D40"/>
    <w:rsid w:val="008D1ED9"/>
    <w:rsid w:val="008D1F58"/>
    <w:rsid w:val="008D1F89"/>
    <w:rsid w:val="008D25BE"/>
    <w:rsid w:val="008D29A7"/>
    <w:rsid w:val="008D29BF"/>
    <w:rsid w:val="008D3042"/>
    <w:rsid w:val="008D359D"/>
    <w:rsid w:val="008D39E9"/>
    <w:rsid w:val="008D3DB6"/>
    <w:rsid w:val="008D42F6"/>
    <w:rsid w:val="008D45B1"/>
    <w:rsid w:val="008D55FB"/>
    <w:rsid w:val="008D5699"/>
    <w:rsid w:val="008D56C3"/>
    <w:rsid w:val="008D5C46"/>
    <w:rsid w:val="008D6A10"/>
    <w:rsid w:val="008D70AB"/>
    <w:rsid w:val="008D768C"/>
    <w:rsid w:val="008E02C9"/>
    <w:rsid w:val="008E0361"/>
    <w:rsid w:val="008E07BE"/>
    <w:rsid w:val="008E14BF"/>
    <w:rsid w:val="008E170B"/>
    <w:rsid w:val="008E1F3B"/>
    <w:rsid w:val="008E26EF"/>
    <w:rsid w:val="008E32CD"/>
    <w:rsid w:val="008E3DD6"/>
    <w:rsid w:val="008E43F4"/>
    <w:rsid w:val="008E69B8"/>
    <w:rsid w:val="008E6ABD"/>
    <w:rsid w:val="008E709A"/>
    <w:rsid w:val="008E7325"/>
    <w:rsid w:val="008E741F"/>
    <w:rsid w:val="008E757A"/>
    <w:rsid w:val="008E75C6"/>
    <w:rsid w:val="008E7DF7"/>
    <w:rsid w:val="008E7F36"/>
    <w:rsid w:val="008F0ED2"/>
    <w:rsid w:val="008F118F"/>
    <w:rsid w:val="008F1438"/>
    <w:rsid w:val="008F19FD"/>
    <w:rsid w:val="008F2C4C"/>
    <w:rsid w:val="008F2D8F"/>
    <w:rsid w:val="008F32B1"/>
    <w:rsid w:val="008F4104"/>
    <w:rsid w:val="008F4A52"/>
    <w:rsid w:val="008F56F9"/>
    <w:rsid w:val="008F58AB"/>
    <w:rsid w:val="008F60FE"/>
    <w:rsid w:val="008F6AFC"/>
    <w:rsid w:val="008F7000"/>
    <w:rsid w:val="008F7DCC"/>
    <w:rsid w:val="008F7EEC"/>
    <w:rsid w:val="0090119E"/>
    <w:rsid w:val="00901DE1"/>
    <w:rsid w:val="00902C95"/>
    <w:rsid w:val="009031D3"/>
    <w:rsid w:val="009034FD"/>
    <w:rsid w:val="00904370"/>
    <w:rsid w:val="0090518D"/>
    <w:rsid w:val="00905575"/>
    <w:rsid w:val="009057ED"/>
    <w:rsid w:val="00905896"/>
    <w:rsid w:val="0090598A"/>
    <w:rsid w:val="009068B8"/>
    <w:rsid w:val="00907396"/>
    <w:rsid w:val="00907533"/>
    <w:rsid w:val="00910162"/>
    <w:rsid w:val="009102B2"/>
    <w:rsid w:val="00910B85"/>
    <w:rsid w:val="00910DD4"/>
    <w:rsid w:val="009128B5"/>
    <w:rsid w:val="00913329"/>
    <w:rsid w:val="00913E59"/>
    <w:rsid w:val="00914292"/>
    <w:rsid w:val="009146A8"/>
    <w:rsid w:val="00914C5A"/>
    <w:rsid w:val="00914D71"/>
    <w:rsid w:val="009164CB"/>
    <w:rsid w:val="00916964"/>
    <w:rsid w:val="00916D57"/>
    <w:rsid w:val="00916F29"/>
    <w:rsid w:val="009170B0"/>
    <w:rsid w:val="009171FA"/>
    <w:rsid w:val="00920080"/>
    <w:rsid w:val="009217AB"/>
    <w:rsid w:val="0092291A"/>
    <w:rsid w:val="00922E58"/>
    <w:rsid w:val="00923E35"/>
    <w:rsid w:val="00923F6F"/>
    <w:rsid w:val="00924A3F"/>
    <w:rsid w:val="00925F5C"/>
    <w:rsid w:val="00926470"/>
    <w:rsid w:val="0093217C"/>
    <w:rsid w:val="009329B6"/>
    <w:rsid w:val="00932C05"/>
    <w:rsid w:val="00933B3D"/>
    <w:rsid w:val="009341C5"/>
    <w:rsid w:val="009342AA"/>
    <w:rsid w:val="00934BBA"/>
    <w:rsid w:val="009356AC"/>
    <w:rsid w:val="009367B8"/>
    <w:rsid w:val="00936906"/>
    <w:rsid w:val="00936D33"/>
    <w:rsid w:val="0093715D"/>
    <w:rsid w:val="00937837"/>
    <w:rsid w:val="00937C1A"/>
    <w:rsid w:val="0094051C"/>
    <w:rsid w:val="00940C86"/>
    <w:rsid w:val="00941025"/>
    <w:rsid w:val="0094158E"/>
    <w:rsid w:val="009417D1"/>
    <w:rsid w:val="00941CB8"/>
    <w:rsid w:val="0094203B"/>
    <w:rsid w:val="00942459"/>
    <w:rsid w:val="009426A9"/>
    <w:rsid w:val="00942DA1"/>
    <w:rsid w:val="00943070"/>
    <w:rsid w:val="00943168"/>
    <w:rsid w:val="00943916"/>
    <w:rsid w:val="00943A80"/>
    <w:rsid w:val="00943D33"/>
    <w:rsid w:val="009447B6"/>
    <w:rsid w:val="00945D5A"/>
    <w:rsid w:val="009463D7"/>
    <w:rsid w:val="00946651"/>
    <w:rsid w:val="0094666A"/>
    <w:rsid w:val="009468DB"/>
    <w:rsid w:val="00946D13"/>
    <w:rsid w:val="009472C4"/>
    <w:rsid w:val="00947A31"/>
    <w:rsid w:val="00947F1D"/>
    <w:rsid w:val="009509A8"/>
    <w:rsid w:val="009509D7"/>
    <w:rsid w:val="00951C0A"/>
    <w:rsid w:val="00951D73"/>
    <w:rsid w:val="00953A50"/>
    <w:rsid w:val="0095481F"/>
    <w:rsid w:val="00956117"/>
    <w:rsid w:val="00957160"/>
    <w:rsid w:val="009576AA"/>
    <w:rsid w:val="00957BC2"/>
    <w:rsid w:val="00957F00"/>
    <w:rsid w:val="0096178D"/>
    <w:rsid w:val="009619E2"/>
    <w:rsid w:val="009621C3"/>
    <w:rsid w:val="009621F0"/>
    <w:rsid w:val="00962AD3"/>
    <w:rsid w:val="009632D8"/>
    <w:rsid w:val="009633FB"/>
    <w:rsid w:val="00964913"/>
    <w:rsid w:val="00966575"/>
    <w:rsid w:val="0096706E"/>
    <w:rsid w:val="009676DF"/>
    <w:rsid w:val="00970E39"/>
    <w:rsid w:val="009714F1"/>
    <w:rsid w:val="00971509"/>
    <w:rsid w:val="009730A7"/>
    <w:rsid w:val="00973609"/>
    <w:rsid w:val="00974AD4"/>
    <w:rsid w:val="009752E6"/>
    <w:rsid w:val="00975D64"/>
    <w:rsid w:val="00975F03"/>
    <w:rsid w:val="009763F2"/>
    <w:rsid w:val="009768EC"/>
    <w:rsid w:val="00977096"/>
    <w:rsid w:val="009770E9"/>
    <w:rsid w:val="0097786A"/>
    <w:rsid w:val="00977A9B"/>
    <w:rsid w:val="00977D51"/>
    <w:rsid w:val="00980A76"/>
    <w:rsid w:val="00982106"/>
    <w:rsid w:val="00982373"/>
    <w:rsid w:val="00982B73"/>
    <w:rsid w:val="009836BC"/>
    <w:rsid w:val="00983A10"/>
    <w:rsid w:val="00983A58"/>
    <w:rsid w:val="00984103"/>
    <w:rsid w:val="00984957"/>
    <w:rsid w:val="00984D66"/>
    <w:rsid w:val="009863C4"/>
    <w:rsid w:val="009875AA"/>
    <w:rsid w:val="00987BA7"/>
    <w:rsid w:val="00991118"/>
    <w:rsid w:val="009918A1"/>
    <w:rsid w:val="009922A5"/>
    <w:rsid w:val="00992896"/>
    <w:rsid w:val="00992A50"/>
    <w:rsid w:val="00994829"/>
    <w:rsid w:val="00994F5B"/>
    <w:rsid w:val="00995AF9"/>
    <w:rsid w:val="00996EE7"/>
    <w:rsid w:val="00997410"/>
    <w:rsid w:val="00997A52"/>
    <w:rsid w:val="009A0B2E"/>
    <w:rsid w:val="009A0D6F"/>
    <w:rsid w:val="009A0DD8"/>
    <w:rsid w:val="009A14FF"/>
    <w:rsid w:val="009A180C"/>
    <w:rsid w:val="009A1C82"/>
    <w:rsid w:val="009A1F9D"/>
    <w:rsid w:val="009A2523"/>
    <w:rsid w:val="009A26E8"/>
    <w:rsid w:val="009A2AD5"/>
    <w:rsid w:val="009A2C60"/>
    <w:rsid w:val="009A2E5E"/>
    <w:rsid w:val="009A363F"/>
    <w:rsid w:val="009A45C3"/>
    <w:rsid w:val="009A4AAA"/>
    <w:rsid w:val="009A5991"/>
    <w:rsid w:val="009A5D41"/>
    <w:rsid w:val="009A5FA4"/>
    <w:rsid w:val="009A5FA7"/>
    <w:rsid w:val="009A7762"/>
    <w:rsid w:val="009A780A"/>
    <w:rsid w:val="009A7A17"/>
    <w:rsid w:val="009A7B46"/>
    <w:rsid w:val="009B0471"/>
    <w:rsid w:val="009B105B"/>
    <w:rsid w:val="009B1564"/>
    <w:rsid w:val="009B17C9"/>
    <w:rsid w:val="009B1C2E"/>
    <w:rsid w:val="009B2599"/>
    <w:rsid w:val="009B2E14"/>
    <w:rsid w:val="009B3232"/>
    <w:rsid w:val="009B337B"/>
    <w:rsid w:val="009B33B5"/>
    <w:rsid w:val="009B346E"/>
    <w:rsid w:val="009B478D"/>
    <w:rsid w:val="009B579E"/>
    <w:rsid w:val="009B61D5"/>
    <w:rsid w:val="009B7239"/>
    <w:rsid w:val="009B78D3"/>
    <w:rsid w:val="009C0E9D"/>
    <w:rsid w:val="009C11DB"/>
    <w:rsid w:val="009C190C"/>
    <w:rsid w:val="009C1B8B"/>
    <w:rsid w:val="009C1BB0"/>
    <w:rsid w:val="009C1F6B"/>
    <w:rsid w:val="009C240D"/>
    <w:rsid w:val="009C299F"/>
    <w:rsid w:val="009C31B5"/>
    <w:rsid w:val="009C3C0E"/>
    <w:rsid w:val="009C3C0F"/>
    <w:rsid w:val="009C403C"/>
    <w:rsid w:val="009C4211"/>
    <w:rsid w:val="009C4838"/>
    <w:rsid w:val="009C62DE"/>
    <w:rsid w:val="009C6FEE"/>
    <w:rsid w:val="009C76EB"/>
    <w:rsid w:val="009C7866"/>
    <w:rsid w:val="009C7C5D"/>
    <w:rsid w:val="009C7D24"/>
    <w:rsid w:val="009D001D"/>
    <w:rsid w:val="009D05D1"/>
    <w:rsid w:val="009D2A1F"/>
    <w:rsid w:val="009D2E17"/>
    <w:rsid w:val="009D318D"/>
    <w:rsid w:val="009D3F27"/>
    <w:rsid w:val="009D4041"/>
    <w:rsid w:val="009D4748"/>
    <w:rsid w:val="009D54F3"/>
    <w:rsid w:val="009D56DC"/>
    <w:rsid w:val="009D62EB"/>
    <w:rsid w:val="009D74B8"/>
    <w:rsid w:val="009E023B"/>
    <w:rsid w:val="009E0411"/>
    <w:rsid w:val="009E05ED"/>
    <w:rsid w:val="009E0FA7"/>
    <w:rsid w:val="009E11D9"/>
    <w:rsid w:val="009E1330"/>
    <w:rsid w:val="009E51E0"/>
    <w:rsid w:val="009E5971"/>
    <w:rsid w:val="009E6B29"/>
    <w:rsid w:val="009E6EBC"/>
    <w:rsid w:val="009E7936"/>
    <w:rsid w:val="009F19C4"/>
    <w:rsid w:val="009F2036"/>
    <w:rsid w:val="009F2323"/>
    <w:rsid w:val="009F285A"/>
    <w:rsid w:val="009F46B7"/>
    <w:rsid w:val="009F524E"/>
    <w:rsid w:val="009F5565"/>
    <w:rsid w:val="009F6232"/>
    <w:rsid w:val="009F6CB0"/>
    <w:rsid w:val="009F794A"/>
    <w:rsid w:val="00A00DEA"/>
    <w:rsid w:val="00A010F3"/>
    <w:rsid w:val="00A01377"/>
    <w:rsid w:val="00A0338A"/>
    <w:rsid w:val="00A04676"/>
    <w:rsid w:val="00A04838"/>
    <w:rsid w:val="00A05115"/>
    <w:rsid w:val="00A06283"/>
    <w:rsid w:val="00A1025C"/>
    <w:rsid w:val="00A10F45"/>
    <w:rsid w:val="00A111D0"/>
    <w:rsid w:val="00A11480"/>
    <w:rsid w:val="00A12426"/>
    <w:rsid w:val="00A12440"/>
    <w:rsid w:val="00A127A1"/>
    <w:rsid w:val="00A128D7"/>
    <w:rsid w:val="00A12DE8"/>
    <w:rsid w:val="00A131A9"/>
    <w:rsid w:val="00A13431"/>
    <w:rsid w:val="00A13863"/>
    <w:rsid w:val="00A13C56"/>
    <w:rsid w:val="00A15576"/>
    <w:rsid w:val="00A160A1"/>
    <w:rsid w:val="00A20243"/>
    <w:rsid w:val="00A20F4F"/>
    <w:rsid w:val="00A21315"/>
    <w:rsid w:val="00A21FA1"/>
    <w:rsid w:val="00A2230D"/>
    <w:rsid w:val="00A227BC"/>
    <w:rsid w:val="00A22887"/>
    <w:rsid w:val="00A22D61"/>
    <w:rsid w:val="00A230FF"/>
    <w:rsid w:val="00A237B1"/>
    <w:rsid w:val="00A23D1F"/>
    <w:rsid w:val="00A24BAC"/>
    <w:rsid w:val="00A2596D"/>
    <w:rsid w:val="00A26DBE"/>
    <w:rsid w:val="00A27B35"/>
    <w:rsid w:val="00A30655"/>
    <w:rsid w:val="00A309BF"/>
    <w:rsid w:val="00A313DB"/>
    <w:rsid w:val="00A3148B"/>
    <w:rsid w:val="00A32A0A"/>
    <w:rsid w:val="00A33024"/>
    <w:rsid w:val="00A335E0"/>
    <w:rsid w:val="00A336B1"/>
    <w:rsid w:val="00A34067"/>
    <w:rsid w:val="00A34274"/>
    <w:rsid w:val="00A347D0"/>
    <w:rsid w:val="00A350BB"/>
    <w:rsid w:val="00A35D87"/>
    <w:rsid w:val="00A35EAF"/>
    <w:rsid w:val="00A35F1A"/>
    <w:rsid w:val="00A365CC"/>
    <w:rsid w:val="00A36795"/>
    <w:rsid w:val="00A372F2"/>
    <w:rsid w:val="00A3780C"/>
    <w:rsid w:val="00A37C13"/>
    <w:rsid w:val="00A40161"/>
    <w:rsid w:val="00A40311"/>
    <w:rsid w:val="00A406A1"/>
    <w:rsid w:val="00A40E1C"/>
    <w:rsid w:val="00A41248"/>
    <w:rsid w:val="00A416B7"/>
    <w:rsid w:val="00A41AA2"/>
    <w:rsid w:val="00A41C78"/>
    <w:rsid w:val="00A42358"/>
    <w:rsid w:val="00A42FF5"/>
    <w:rsid w:val="00A43728"/>
    <w:rsid w:val="00A44740"/>
    <w:rsid w:val="00A44DB5"/>
    <w:rsid w:val="00A46838"/>
    <w:rsid w:val="00A47885"/>
    <w:rsid w:val="00A50635"/>
    <w:rsid w:val="00A507FF"/>
    <w:rsid w:val="00A51413"/>
    <w:rsid w:val="00A51521"/>
    <w:rsid w:val="00A51C7C"/>
    <w:rsid w:val="00A5523A"/>
    <w:rsid w:val="00A560D0"/>
    <w:rsid w:val="00A567B6"/>
    <w:rsid w:val="00A5709A"/>
    <w:rsid w:val="00A5720A"/>
    <w:rsid w:val="00A5737F"/>
    <w:rsid w:val="00A60ED0"/>
    <w:rsid w:val="00A622A6"/>
    <w:rsid w:val="00A63341"/>
    <w:rsid w:val="00A64142"/>
    <w:rsid w:val="00A64CC9"/>
    <w:rsid w:val="00A65010"/>
    <w:rsid w:val="00A66064"/>
    <w:rsid w:val="00A66EA5"/>
    <w:rsid w:val="00A67568"/>
    <w:rsid w:val="00A706E6"/>
    <w:rsid w:val="00A7138D"/>
    <w:rsid w:val="00A71684"/>
    <w:rsid w:val="00A71CE7"/>
    <w:rsid w:val="00A71EE9"/>
    <w:rsid w:val="00A71FA3"/>
    <w:rsid w:val="00A723FD"/>
    <w:rsid w:val="00A73B0D"/>
    <w:rsid w:val="00A7415D"/>
    <w:rsid w:val="00A74207"/>
    <w:rsid w:val="00A7464F"/>
    <w:rsid w:val="00A7466A"/>
    <w:rsid w:val="00A748F8"/>
    <w:rsid w:val="00A748FD"/>
    <w:rsid w:val="00A75C96"/>
    <w:rsid w:val="00A76EFE"/>
    <w:rsid w:val="00A77A4E"/>
    <w:rsid w:val="00A77D31"/>
    <w:rsid w:val="00A811E5"/>
    <w:rsid w:val="00A811EC"/>
    <w:rsid w:val="00A8161A"/>
    <w:rsid w:val="00A81EE2"/>
    <w:rsid w:val="00A81F0B"/>
    <w:rsid w:val="00A82180"/>
    <w:rsid w:val="00A82215"/>
    <w:rsid w:val="00A840A2"/>
    <w:rsid w:val="00A84837"/>
    <w:rsid w:val="00A84E7B"/>
    <w:rsid w:val="00A85D20"/>
    <w:rsid w:val="00A861C8"/>
    <w:rsid w:val="00A86319"/>
    <w:rsid w:val="00A8703D"/>
    <w:rsid w:val="00A87793"/>
    <w:rsid w:val="00A87D8D"/>
    <w:rsid w:val="00A9017B"/>
    <w:rsid w:val="00A92780"/>
    <w:rsid w:val="00A93729"/>
    <w:rsid w:val="00A9431E"/>
    <w:rsid w:val="00A9604F"/>
    <w:rsid w:val="00A97063"/>
    <w:rsid w:val="00A9726D"/>
    <w:rsid w:val="00A97F04"/>
    <w:rsid w:val="00AA0B49"/>
    <w:rsid w:val="00AA1A28"/>
    <w:rsid w:val="00AA325D"/>
    <w:rsid w:val="00AA37D9"/>
    <w:rsid w:val="00AA5BE2"/>
    <w:rsid w:val="00AA62D4"/>
    <w:rsid w:val="00AA760F"/>
    <w:rsid w:val="00AA7F36"/>
    <w:rsid w:val="00AB096C"/>
    <w:rsid w:val="00AB0BE9"/>
    <w:rsid w:val="00AB0FE2"/>
    <w:rsid w:val="00AB18EE"/>
    <w:rsid w:val="00AB1911"/>
    <w:rsid w:val="00AB5B3F"/>
    <w:rsid w:val="00AB6637"/>
    <w:rsid w:val="00AB6791"/>
    <w:rsid w:val="00AB6CE6"/>
    <w:rsid w:val="00AB743F"/>
    <w:rsid w:val="00AC02B3"/>
    <w:rsid w:val="00AC0633"/>
    <w:rsid w:val="00AC07F4"/>
    <w:rsid w:val="00AC0E6C"/>
    <w:rsid w:val="00AC0F15"/>
    <w:rsid w:val="00AC1201"/>
    <w:rsid w:val="00AC1968"/>
    <w:rsid w:val="00AC1ECE"/>
    <w:rsid w:val="00AC29E7"/>
    <w:rsid w:val="00AC32B9"/>
    <w:rsid w:val="00AC3886"/>
    <w:rsid w:val="00AC4F3D"/>
    <w:rsid w:val="00AC5CE1"/>
    <w:rsid w:val="00AC67B5"/>
    <w:rsid w:val="00AC6A14"/>
    <w:rsid w:val="00AD074E"/>
    <w:rsid w:val="00AD0DD7"/>
    <w:rsid w:val="00AD0DFC"/>
    <w:rsid w:val="00AD2188"/>
    <w:rsid w:val="00AD24F4"/>
    <w:rsid w:val="00AD2AC9"/>
    <w:rsid w:val="00AD2FCF"/>
    <w:rsid w:val="00AD335E"/>
    <w:rsid w:val="00AD3E14"/>
    <w:rsid w:val="00AD52FD"/>
    <w:rsid w:val="00AD5699"/>
    <w:rsid w:val="00AD5A1A"/>
    <w:rsid w:val="00AD5B04"/>
    <w:rsid w:val="00AD5E29"/>
    <w:rsid w:val="00AD6794"/>
    <w:rsid w:val="00AD694E"/>
    <w:rsid w:val="00AD6F4D"/>
    <w:rsid w:val="00AD7AE5"/>
    <w:rsid w:val="00AD7DEC"/>
    <w:rsid w:val="00AE1A80"/>
    <w:rsid w:val="00AE244C"/>
    <w:rsid w:val="00AE260C"/>
    <w:rsid w:val="00AE351C"/>
    <w:rsid w:val="00AE366F"/>
    <w:rsid w:val="00AE36A6"/>
    <w:rsid w:val="00AE475E"/>
    <w:rsid w:val="00AE487E"/>
    <w:rsid w:val="00AE5F45"/>
    <w:rsid w:val="00AE6E3C"/>
    <w:rsid w:val="00AE703C"/>
    <w:rsid w:val="00AF0607"/>
    <w:rsid w:val="00AF1352"/>
    <w:rsid w:val="00AF1E86"/>
    <w:rsid w:val="00AF1E8C"/>
    <w:rsid w:val="00AF20FD"/>
    <w:rsid w:val="00AF29BB"/>
    <w:rsid w:val="00AF2A8B"/>
    <w:rsid w:val="00AF3098"/>
    <w:rsid w:val="00AF325D"/>
    <w:rsid w:val="00AF3ECA"/>
    <w:rsid w:val="00AF409F"/>
    <w:rsid w:val="00AF4DA4"/>
    <w:rsid w:val="00AF4EDB"/>
    <w:rsid w:val="00AF5790"/>
    <w:rsid w:val="00AF60C7"/>
    <w:rsid w:val="00AF66C2"/>
    <w:rsid w:val="00AF7669"/>
    <w:rsid w:val="00B001B3"/>
    <w:rsid w:val="00B00324"/>
    <w:rsid w:val="00B00879"/>
    <w:rsid w:val="00B009AA"/>
    <w:rsid w:val="00B0116E"/>
    <w:rsid w:val="00B01A2C"/>
    <w:rsid w:val="00B026EC"/>
    <w:rsid w:val="00B027AC"/>
    <w:rsid w:val="00B03374"/>
    <w:rsid w:val="00B04640"/>
    <w:rsid w:val="00B04766"/>
    <w:rsid w:val="00B05678"/>
    <w:rsid w:val="00B05693"/>
    <w:rsid w:val="00B06787"/>
    <w:rsid w:val="00B06805"/>
    <w:rsid w:val="00B073A8"/>
    <w:rsid w:val="00B07D99"/>
    <w:rsid w:val="00B106BE"/>
    <w:rsid w:val="00B10853"/>
    <w:rsid w:val="00B11C51"/>
    <w:rsid w:val="00B11D14"/>
    <w:rsid w:val="00B120B7"/>
    <w:rsid w:val="00B12FE4"/>
    <w:rsid w:val="00B13A60"/>
    <w:rsid w:val="00B13D8D"/>
    <w:rsid w:val="00B13EA8"/>
    <w:rsid w:val="00B149D3"/>
    <w:rsid w:val="00B157A2"/>
    <w:rsid w:val="00B159A7"/>
    <w:rsid w:val="00B16388"/>
    <w:rsid w:val="00B16F2C"/>
    <w:rsid w:val="00B204D5"/>
    <w:rsid w:val="00B20590"/>
    <w:rsid w:val="00B206AA"/>
    <w:rsid w:val="00B2156B"/>
    <w:rsid w:val="00B228D6"/>
    <w:rsid w:val="00B2335D"/>
    <w:rsid w:val="00B23416"/>
    <w:rsid w:val="00B237F7"/>
    <w:rsid w:val="00B23D40"/>
    <w:rsid w:val="00B24114"/>
    <w:rsid w:val="00B24CE6"/>
    <w:rsid w:val="00B258AB"/>
    <w:rsid w:val="00B25C0B"/>
    <w:rsid w:val="00B25F2C"/>
    <w:rsid w:val="00B26053"/>
    <w:rsid w:val="00B265E2"/>
    <w:rsid w:val="00B265FC"/>
    <w:rsid w:val="00B30120"/>
    <w:rsid w:val="00B30B83"/>
    <w:rsid w:val="00B31006"/>
    <w:rsid w:val="00B315FE"/>
    <w:rsid w:val="00B31C91"/>
    <w:rsid w:val="00B32695"/>
    <w:rsid w:val="00B32C0B"/>
    <w:rsid w:val="00B32FA1"/>
    <w:rsid w:val="00B33730"/>
    <w:rsid w:val="00B342F7"/>
    <w:rsid w:val="00B34CA4"/>
    <w:rsid w:val="00B352AA"/>
    <w:rsid w:val="00B35737"/>
    <w:rsid w:val="00B35A9B"/>
    <w:rsid w:val="00B36273"/>
    <w:rsid w:val="00B368C8"/>
    <w:rsid w:val="00B3715B"/>
    <w:rsid w:val="00B371E0"/>
    <w:rsid w:val="00B409CA"/>
    <w:rsid w:val="00B40E01"/>
    <w:rsid w:val="00B411A2"/>
    <w:rsid w:val="00B41665"/>
    <w:rsid w:val="00B41AEC"/>
    <w:rsid w:val="00B423DB"/>
    <w:rsid w:val="00B42805"/>
    <w:rsid w:val="00B42EB2"/>
    <w:rsid w:val="00B43068"/>
    <w:rsid w:val="00B4325E"/>
    <w:rsid w:val="00B43523"/>
    <w:rsid w:val="00B43F0F"/>
    <w:rsid w:val="00B45A13"/>
    <w:rsid w:val="00B45AF2"/>
    <w:rsid w:val="00B45C78"/>
    <w:rsid w:val="00B45D39"/>
    <w:rsid w:val="00B45E8D"/>
    <w:rsid w:val="00B46058"/>
    <w:rsid w:val="00B5099A"/>
    <w:rsid w:val="00B509EC"/>
    <w:rsid w:val="00B51083"/>
    <w:rsid w:val="00B51D4B"/>
    <w:rsid w:val="00B533A5"/>
    <w:rsid w:val="00B53408"/>
    <w:rsid w:val="00B537A7"/>
    <w:rsid w:val="00B53E23"/>
    <w:rsid w:val="00B5460F"/>
    <w:rsid w:val="00B5498C"/>
    <w:rsid w:val="00B549BA"/>
    <w:rsid w:val="00B54B9A"/>
    <w:rsid w:val="00B5598C"/>
    <w:rsid w:val="00B560A4"/>
    <w:rsid w:val="00B56D69"/>
    <w:rsid w:val="00B57519"/>
    <w:rsid w:val="00B6044A"/>
    <w:rsid w:val="00B60631"/>
    <w:rsid w:val="00B60D58"/>
    <w:rsid w:val="00B6194F"/>
    <w:rsid w:val="00B62126"/>
    <w:rsid w:val="00B636EC"/>
    <w:rsid w:val="00B639D0"/>
    <w:rsid w:val="00B642A0"/>
    <w:rsid w:val="00B6488D"/>
    <w:rsid w:val="00B6542D"/>
    <w:rsid w:val="00B656E1"/>
    <w:rsid w:val="00B6587D"/>
    <w:rsid w:val="00B65A7C"/>
    <w:rsid w:val="00B663AC"/>
    <w:rsid w:val="00B6658C"/>
    <w:rsid w:val="00B665EB"/>
    <w:rsid w:val="00B66DED"/>
    <w:rsid w:val="00B66F18"/>
    <w:rsid w:val="00B6780A"/>
    <w:rsid w:val="00B67CDE"/>
    <w:rsid w:val="00B702F8"/>
    <w:rsid w:val="00B706B4"/>
    <w:rsid w:val="00B70AC5"/>
    <w:rsid w:val="00B70DEC"/>
    <w:rsid w:val="00B70E8C"/>
    <w:rsid w:val="00B71E49"/>
    <w:rsid w:val="00B7207E"/>
    <w:rsid w:val="00B72678"/>
    <w:rsid w:val="00B729A6"/>
    <w:rsid w:val="00B73F44"/>
    <w:rsid w:val="00B75846"/>
    <w:rsid w:val="00B75ABD"/>
    <w:rsid w:val="00B763F2"/>
    <w:rsid w:val="00B768E4"/>
    <w:rsid w:val="00B80A1D"/>
    <w:rsid w:val="00B80E76"/>
    <w:rsid w:val="00B8428E"/>
    <w:rsid w:val="00B844F4"/>
    <w:rsid w:val="00B845EE"/>
    <w:rsid w:val="00B84D69"/>
    <w:rsid w:val="00B84D96"/>
    <w:rsid w:val="00B855AA"/>
    <w:rsid w:val="00B864D3"/>
    <w:rsid w:val="00B86578"/>
    <w:rsid w:val="00B86628"/>
    <w:rsid w:val="00B86D8C"/>
    <w:rsid w:val="00B873D9"/>
    <w:rsid w:val="00B877D8"/>
    <w:rsid w:val="00B87B01"/>
    <w:rsid w:val="00B90D03"/>
    <w:rsid w:val="00B91BF7"/>
    <w:rsid w:val="00B92B5F"/>
    <w:rsid w:val="00B9325C"/>
    <w:rsid w:val="00B93864"/>
    <w:rsid w:val="00B93B77"/>
    <w:rsid w:val="00B94309"/>
    <w:rsid w:val="00B947AE"/>
    <w:rsid w:val="00B94A99"/>
    <w:rsid w:val="00B94E32"/>
    <w:rsid w:val="00B95474"/>
    <w:rsid w:val="00B95C96"/>
    <w:rsid w:val="00B95EDF"/>
    <w:rsid w:val="00B9767D"/>
    <w:rsid w:val="00B97777"/>
    <w:rsid w:val="00B97D55"/>
    <w:rsid w:val="00B97EB2"/>
    <w:rsid w:val="00B97F6D"/>
    <w:rsid w:val="00B97F94"/>
    <w:rsid w:val="00BA1FC1"/>
    <w:rsid w:val="00BA2ED2"/>
    <w:rsid w:val="00BA345B"/>
    <w:rsid w:val="00BA42D6"/>
    <w:rsid w:val="00BA44F9"/>
    <w:rsid w:val="00BA47CF"/>
    <w:rsid w:val="00BA4C99"/>
    <w:rsid w:val="00BA4DC4"/>
    <w:rsid w:val="00BA5995"/>
    <w:rsid w:val="00BA69DC"/>
    <w:rsid w:val="00BA6BB2"/>
    <w:rsid w:val="00BB02AF"/>
    <w:rsid w:val="00BB06A3"/>
    <w:rsid w:val="00BB1B4E"/>
    <w:rsid w:val="00BB241A"/>
    <w:rsid w:val="00BB298F"/>
    <w:rsid w:val="00BB2E1D"/>
    <w:rsid w:val="00BB4090"/>
    <w:rsid w:val="00BB4320"/>
    <w:rsid w:val="00BB59F1"/>
    <w:rsid w:val="00BB5A77"/>
    <w:rsid w:val="00BB7A53"/>
    <w:rsid w:val="00BC007E"/>
    <w:rsid w:val="00BC118E"/>
    <w:rsid w:val="00BC2162"/>
    <w:rsid w:val="00BC26DB"/>
    <w:rsid w:val="00BC2B29"/>
    <w:rsid w:val="00BC2CBD"/>
    <w:rsid w:val="00BC3188"/>
    <w:rsid w:val="00BC39C9"/>
    <w:rsid w:val="00BC3B0F"/>
    <w:rsid w:val="00BC48CD"/>
    <w:rsid w:val="00BC4D76"/>
    <w:rsid w:val="00BC4FCC"/>
    <w:rsid w:val="00BC5936"/>
    <w:rsid w:val="00BC607C"/>
    <w:rsid w:val="00BC6D49"/>
    <w:rsid w:val="00BC6FDB"/>
    <w:rsid w:val="00BC7133"/>
    <w:rsid w:val="00BC71C3"/>
    <w:rsid w:val="00BC72BA"/>
    <w:rsid w:val="00BC7B83"/>
    <w:rsid w:val="00BD1929"/>
    <w:rsid w:val="00BD2381"/>
    <w:rsid w:val="00BD369A"/>
    <w:rsid w:val="00BD41AD"/>
    <w:rsid w:val="00BD4AA8"/>
    <w:rsid w:val="00BD4EB9"/>
    <w:rsid w:val="00BD536E"/>
    <w:rsid w:val="00BD5414"/>
    <w:rsid w:val="00BD5F48"/>
    <w:rsid w:val="00BD6489"/>
    <w:rsid w:val="00BD6746"/>
    <w:rsid w:val="00BD6CDE"/>
    <w:rsid w:val="00BD74B8"/>
    <w:rsid w:val="00BD76AB"/>
    <w:rsid w:val="00BD7916"/>
    <w:rsid w:val="00BD7B8F"/>
    <w:rsid w:val="00BE0045"/>
    <w:rsid w:val="00BE0681"/>
    <w:rsid w:val="00BE0B8C"/>
    <w:rsid w:val="00BE20C2"/>
    <w:rsid w:val="00BE21E6"/>
    <w:rsid w:val="00BE29CB"/>
    <w:rsid w:val="00BE2CD2"/>
    <w:rsid w:val="00BE33E2"/>
    <w:rsid w:val="00BE38F0"/>
    <w:rsid w:val="00BE4E4B"/>
    <w:rsid w:val="00BE55C3"/>
    <w:rsid w:val="00BE667A"/>
    <w:rsid w:val="00BE66A8"/>
    <w:rsid w:val="00BE684F"/>
    <w:rsid w:val="00BE7AF9"/>
    <w:rsid w:val="00BE7CCC"/>
    <w:rsid w:val="00BE7ED1"/>
    <w:rsid w:val="00BF16F9"/>
    <w:rsid w:val="00BF23CF"/>
    <w:rsid w:val="00BF277D"/>
    <w:rsid w:val="00BF2847"/>
    <w:rsid w:val="00BF28ED"/>
    <w:rsid w:val="00BF4360"/>
    <w:rsid w:val="00BF53F2"/>
    <w:rsid w:val="00BF5560"/>
    <w:rsid w:val="00BF5929"/>
    <w:rsid w:val="00BF5990"/>
    <w:rsid w:val="00BF5A3A"/>
    <w:rsid w:val="00BF639A"/>
    <w:rsid w:val="00BF6953"/>
    <w:rsid w:val="00BF7A4B"/>
    <w:rsid w:val="00C00567"/>
    <w:rsid w:val="00C01632"/>
    <w:rsid w:val="00C018CB"/>
    <w:rsid w:val="00C018D5"/>
    <w:rsid w:val="00C01BF0"/>
    <w:rsid w:val="00C0218C"/>
    <w:rsid w:val="00C02F2E"/>
    <w:rsid w:val="00C030E0"/>
    <w:rsid w:val="00C04857"/>
    <w:rsid w:val="00C048F1"/>
    <w:rsid w:val="00C049E2"/>
    <w:rsid w:val="00C05556"/>
    <w:rsid w:val="00C0556D"/>
    <w:rsid w:val="00C0682E"/>
    <w:rsid w:val="00C06A10"/>
    <w:rsid w:val="00C1030C"/>
    <w:rsid w:val="00C126C1"/>
    <w:rsid w:val="00C134EA"/>
    <w:rsid w:val="00C136A7"/>
    <w:rsid w:val="00C1396E"/>
    <w:rsid w:val="00C13F82"/>
    <w:rsid w:val="00C14341"/>
    <w:rsid w:val="00C14510"/>
    <w:rsid w:val="00C14E92"/>
    <w:rsid w:val="00C15073"/>
    <w:rsid w:val="00C15A0E"/>
    <w:rsid w:val="00C15A53"/>
    <w:rsid w:val="00C165F4"/>
    <w:rsid w:val="00C16688"/>
    <w:rsid w:val="00C17169"/>
    <w:rsid w:val="00C17497"/>
    <w:rsid w:val="00C17605"/>
    <w:rsid w:val="00C20258"/>
    <w:rsid w:val="00C21AE1"/>
    <w:rsid w:val="00C21F2F"/>
    <w:rsid w:val="00C226E1"/>
    <w:rsid w:val="00C23289"/>
    <w:rsid w:val="00C2619F"/>
    <w:rsid w:val="00C2644B"/>
    <w:rsid w:val="00C26E16"/>
    <w:rsid w:val="00C26E71"/>
    <w:rsid w:val="00C26FAE"/>
    <w:rsid w:val="00C2798D"/>
    <w:rsid w:val="00C27A09"/>
    <w:rsid w:val="00C30150"/>
    <w:rsid w:val="00C31A21"/>
    <w:rsid w:val="00C33018"/>
    <w:rsid w:val="00C3308C"/>
    <w:rsid w:val="00C338A1"/>
    <w:rsid w:val="00C34A78"/>
    <w:rsid w:val="00C352A1"/>
    <w:rsid w:val="00C35455"/>
    <w:rsid w:val="00C357A2"/>
    <w:rsid w:val="00C35859"/>
    <w:rsid w:val="00C36751"/>
    <w:rsid w:val="00C36F55"/>
    <w:rsid w:val="00C374AB"/>
    <w:rsid w:val="00C37616"/>
    <w:rsid w:val="00C377AC"/>
    <w:rsid w:val="00C37CE4"/>
    <w:rsid w:val="00C40687"/>
    <w:rsid w:val="00C408D7"/>
    <w:rsid w:val="00C40BE9"/>
    <w:rsid w:val="00C41321"/>
    <w:rsid w:val="00C42583"/>
    <w:rsid w:val="00C43467"/>
    <w:rsid w:val="00C43BE2"/>
    <w:rsid w:val="00C43EA9"/>
    <w:rsid w:val="00C444CF"/>
    <w:rsid w:val="00C44CEF"/>
    <w:rsid w:val="00C4503C"/>
    <w:rsid w:val="00C452AF"/>
    <w:rsid w:val="00C45FDE"/>
    <w:rsid w:val="00C460BB"/>
    <w:rsid w:val="00C47D7C"/>
    <w:rsid w:val="00C47D80"/>
    <w:rsid w:val="00C506B1"/>
    <w:rsid w:val="00C510BC"/>
    <w:rsid w:val="00C51EAD"/>
    <w:rsid w:val="00C52169"/>
    <w:rsid w:val="00C52285"/>
    <w:rsid w:val="00C52922"/>
    <w:rsid w:val="00C54941"/>
    <w:rsid w:val="00C54CFF"/>
    <w:rsid w:val="00C55417"/>
    <w:rsid w:val="00C55B26"/>
    <w:rsid w:val="00C568F9"/>
    <w:rsid w:val="00C573BE"/>
    <w:rsid w:val="00C61F47"/>
    <w:rsid w:val="00C62A83"/>
    <w:rsid w:val="00C66BAA"/>
    <w:rsid w:val="00C672F9"/>
    <w:rsid w:val="00C70502"/>
    <w:rsid w:val="00C70BEC"/>
    <w:rsid w:val="00C71D20"/>
    <w:rsid w:val="00C71F57"/>
    <w:rsid w:val="00C722FA"/>
    <w:rsid w:val="00C72791"/>
    <w:rsid w:val="00C7510B"/>
    <w:rsid w:val="00C756BA"/>
    <w:rsid w:val="00C75D2B"/>
    <w:rsid w:val="00C76127"/>
    <w:rsid w:val="00C76689"/>
    <w:rsid w:val="00C7676A"/>
    <w:rsid w:val="00C771CB"/>
    <w:rsid w:val="00C77903"/>
    <w:rsid w:val="00C77C22"/>
    <w:rsid w:val="00C80AA0"/>
    <w:rsid w:val="00C810AC"/>
    <w:rsid w:val="00C8224B"/>
    <w:rsid w:val="00C83C71"/>
    <w:rsid w:val="00C83CA0"/>
    <w:rsid w:val="00C83FFB"/>
    <w:rsid w:val="00C85EA4"/>
    <w:rsid w:val="00C864AB"/>
    <w:rsid w:val="00C868C0"/>
    <w:rsid w:val="00C906D9"/>
    <w:rsid w:val="00C909FD"/>
    <w:rsid w:val="00C92F5A"/>
    <w:rsid w:val="00C9350F"/>
    <w:rsid w:val="00C943B1"/>
    <w:rsid w:val="00C95D78"/>
    <w:rsid w:val="00C96467"/>
    <w:rsid w:val="00C969B0"/>
    <w:rsid w:val="00CA0549"/>
    <w:rsid w:val="00CA058D"/>
    <w:rsid w:val="00CA088B"/>
    <w:rsid w:val="00CA10D7"/>
    <w:rsid w:val="00CA1649"/>
    <w:rsid w:val="00CA192E"/>
    <w:rsid w:val="00CA1C9D"/>
    <w:rsid w:val="00CA256A"/>
    <w:rsid w:val="00CA2708"/>
    <w:rsid w:val="00CA27BD"/>
    <w:rsid w:val="00CA2910"/>
    <w:rsid w:val="00CA3515"/>
    <w:rsid w:val="00CA355C"/>
    <w:rsid w:val="00CA495C"/>
    <w:rsid w:val="00CA56FD"/>
    <w:rsid w:val="00CA570B"/>
    <w:rsid w:val="00CA59DE"/>
    <w:rsid w:val="00CA67AF"/>
    <w:rsid w:val="00CA7779"/>
    <w:rsid w:val="00CB1BE9"/>
    <w:rsid w:val="00CB1CC7"/>
    <w:rsid w:val="00CB20F4"/>
    <w:rsid w:val="00CB2386"/>
    <w:rsid w:val="00CB451D"/>
    <w:rsid w:val="00CB4D36"/>
    <w:rsid w:val="00CB5298"/>
    <w:rsid w:val="00CB655C"/>
    <w:rsid w:val="00CC0672"/>
    <w:rsid w:val="00CC0FC9"/>
    <w:rsid w:val="00CC160E"/>
    <w:rsid w:val="00CC1F94"/>
    <w:rsid w:val="00CC1FCB"/>
    <w:rsid w:val="00CC237E"/>
    <w:rsid w:val="00CC2D3F"/>
    <w:rsid w:val="00CC45BE"/>
    <w:rsid w:val="00CC53BD"/>
    <w:rsid w:val="00CC578F"/>
    <w:rsid w:val="00CC7A3E"/>
    <w:rsid w:val="00CC7CFC"/>
    <w:rsid w:val="00CD0179"/>
    <w:rsid w:val="00CD08AA"/>
    <w:rsid w:val="00CD0E4F"/>
    <w:rsid w:val="00CD132D"/>
    <w:rsid w:val="00CD1ED0"/>
    <w:rsid w:val="00CD2E08"/>
    <w:rsid w:val="00CD4F44"/>
    <w:rsid w:val="00CD55AB"/>
    <w:rsid w:val="00CD604E"/>
    <w:rsid w:val="00CD74D3"/>
    <w:rsid w:val="00CD7AD7"/>
    <w:rsid w:val="00CE0809"/>
    <w:rsid w:val="00CE097E"/>
    <w:rsid w:val="00CE115C"/>
    <w:rsid w:val="00CE2662"/>
    <w:rsid w:val="00CE2ADC"/>
    <w:rsid w:val="00CE31ED"/>
    <w:rsid w:val="00CE32FB"/>
    <w:rsid w:val="00CE3EB5"/>
    <w:rsid w:val="00CE5871"/>
    <w:rsid w:val="00CE750D"/>
    <w:rsid w:val="00CE7700"/>
    <w:rsid w:val="00CF09B2"/>
    <w:rsid w:val="00CF1C87"/>
    <w:rsid w:val="00CF4D0E"/>
    <w:rsid w:val="00CF4F17"/>
    <w:rsid w:val="00CF5257"/>
    <w:rsid w:val="00CF5335"/>
    <w:rsid w:val="00CF676E"/>
    <w:rsid w:val="00CF6C0C"/>
    <w:rsid w:val="00CF6D90"/>
    <w:rsid w:val="00CF7C8E"/>
    <w:rsid w:val="00CF7F94"/>
    <w:rsid w:val="00D0120D"/>
    <w:rsid w:val="00D0165F"/>
    <w:rsid w:val="00D032B0"/>
    <w:rsid w:val="00D03B66"/>
    <w:rsid w:val="00D03FB0"/>
    <w:rsid w:val="00D04369"/>
    <w:rsid w:val="00D04583"/>
    <w:rsid w:val="00D04C26"/>
    <w:rsid w:val="00D05020"/>
    <w:rsid w:val="00D0510C"/>
    <w:rsid w:val="00D056FD"/>
    <w:rsid w:val="00D05FF7"/>
    <w:rsid w:val="00D067EB"/>
    <w:rsid w:val="00D06836"/>
    <w:rsid w:val="00D06958"/>
    <w:rsid w:val="00D07E54"/>
    <w:rsid w:val="00D1147E"/>
    <w:rsid w:val="00D12D39"/>
    <w:rsid w:val="00D13027"/>
    <w:rsid w:val="00D132D8"/>
    <w:rsid w:val="00D13343"/>
    <w:rsid w:val="00D145AF"/>
    <w:rsid w:val="00D15427"/>
    <w:rsid w:val="00D17252"/>
    <w:rsid w:val="00D20BDD"/>
    <w:rsid w:val="00D210A2"/>
    <w:rsid w:val="00D21833"/>
    <w:rsid w:val="00D21BE0"/>
    <w:rsid w:val="00D21E79"/>
    <w:rsid w:val="00D234D1"/>
    <w:rsid w:val="00D2371F"/>
    <w:rsid w:val="00D2375D"/>
    <w:rsid w:val="00D241FF"/>
    <w:rsid w:val="00D243F1"/>
    <w:rsid w:val="00D24857"/>
    <w:rsid w:val="00D24F85"/>
    <w:rsid w:val="00D26B55"/>
    <w:rsid w:val="00D26EE9"/>
    <w:rsid w:val="00D27026"/>
    <w:rsid w:val="00D27BBA"/>
    <w:rsid w:val="00D27F04"/>
    <w:rsid w:val="00D31179"/>
    <w:rsid w:val="00D31D5E"/>
    <w:rsid w:val="00D32466"/>
    <w:rsid w:val="00D32CAB"/>
    <w:rsid w:val="00D32CDC"/>
    <w:rsid w:val="00D33476"/>
    <w:rsid w:val="00D339C2"/>
    <w:rsid w:val="00D34550"/>
    <w:rsid w:val="00D34997"/>
    <w:rsid w:val="00D35359"/>
    <w:rsid w:val="00D3675D"/>
    <w:rsid w:val="00D36C6F"/>
    <w:rsid w:val="00D4137F"/>
    <w:rsid w:val="00D414BB"/>
    <w:rsid w:val="00D41A15"/>
    <w:rsid w:val="00D424C7"/>
    <w:rsid w:val="00D42D1F"/>
    <w:rsid w:val="00D43590"/>
    <w:rsid w:val="00D4453B"/>
    <w:rsid w:val="00D460F6"/>
    <w:rsid w:val="00D46E92"/>
    <w:rsid w:val="00D502B6"/>
    <w:rsid w:val="00D51172"/>
    <w:rsid w:val="00D52300"/>
    <w:rsid w:val="00D5244F"/>
    <w:rsid w:val="00D53080"/>
    <w:rsid w:val="00D53E1E"/>
    <w:rsid w:val="00D5416D"/>
    <w:rsid w:val="00D54873"/>
    <w:rsid w:val="00D54FC1"/>
    <w:rsid w:val="00D558AE"/>
    <w:rsid w:val="00D55F52"/>
    <w:rsid w:val="00D5603D"/>
    <w:rsid w:val="00D566FE"/>
    <w:rsid w:val="00D56D9B"/>
    <w:rsid w:val="00D56F63"/>
    <w:rsid w:val="00D573E7"/>
    <w:rsid w:val="00D5753D"/>
    <w:rsid w:val="00D60235"/>
    <w:rsid w:val="00D603E6"/>
    <w:rsid w:val="00D6104F"/>
    <w:rsid w:val="00D61249"/>
    <w:rsid w:val="00D62102"/>
    <w:rsid w:val="00D626FE"/>
    <w:rsid w:val="00D628F0"/>
    <w:rsid w:val="00D6351D"/>
    <w:rsid w:val="00D65002"/>
    <w:rsid w:val="00D6530A"/>
    <w:rsid w:val="00D6560E"/>
    <w:rsid w:val="00D658AB"/>
    <w:rsid w:val="00D66106"/>
    <w:rsid w:val="00D663FF"/>
    <w:rsid w:val="00D67131"/>
    <w:rsid w:val="00D672CD"/>
    <w:rsid w:val="00D70193"/>
    <w:rsid w:val="00D715E4"/>
    <w:rsid w:val="00D7177F"/>
    <w:rsid w:val="00D72512"/>
    <w:rsid w:val="00D72EC5"/>
    <w:rsid w:val="00D732A6"/>
    <w:rsid w:val="00D7350E"/>
    <w:rsid w:val="00D73A83"/>
    <w:rsid w:val="00D74172"/>
    <w:rsid w:val="00D74292"/>
    <w:rsid w:val="00D74AC1"/>
    <w:rsid w:val="00D74B7C"/>
    <w:rsid w:val="00D74C35"/>
    <w:rsid w:val="00D75B9C"/>
    <w:rsid w:val="00D75BEB"/>
    <w:rsid w:val="00D766E8"/>
    <w:rsid w:val="00D7689F"/>
    <w:rsid w:val="00D76AA8"/>
    <w:rsid w:val="00D776E7"/>
    <w:rsid w:val="00D803B1"/>
    <w:rsid w:val="00D8082B"/>
    <w:rsid w:val="00D80AE0"/>
    <w:rsid w:val="00D81428"/>
    <w:rsid w:val="00D81A42"/>
    <w:rsid w:val="00D820CA"/>
    <w:rsid w:val="00D825DD"/>
    <w:rsid w:val="00D828D9"/>
    <w:rsid w:val="00D8293C"/>
    <w:rsid w:val="00D82D27"/>
    <w:rsid w:val="00D82FD4"/>
    <w:rsid w:val="00D83053"/>
    <w:rsid w:val="00D8387D"/>
    <w:rsid w:val="00D84BB1"/>
    <w:rsid w:val="00D852BA"/>
    <w:rsid w:val="00D85758"/>
    <w:rsid w:val="00D865E7"/>
    <w:rsid w:val="00D87159"/>
    <w:rsid w:val="00D8735F"/>
    <w:rsid w:val="00D87613"/>
    <w:rsid w:val="00D87912"/>
    <w:rsid w:val="00D90A91"/>
    <w:rsid w:val="00D91C64"/>
    <w:rsid w:val="00D91F2A"/>
    <w:rsid w:val="00D9214E"/>
    <w:rsid w:val="00D9225A"/>
    <w:rsid w:val="00D92BFB"/>
    <w:rsid w:val="00D92FA2"/>
    <w:rsid w:val="00D94055"/>
    <w:rsid w:val="00D95457"/>
    <w:rsid w:val="00D95483"/>
    <w:rsid w:val="00D96775"/>
    <w:rsid w:val="00DA00BA"/>
    <w:rsid w:val="00DA014B"/>
    <w:rsid w:val="00DA0269"/>
    <w:rsid w:val="00DA0707"/>
    <w:rsid w:val="00DA098B"/>
    <w:rsid w:val="00DA0D4F"/>
    <w:rsid w:val="00DA17F9"/>
    <w:rsid w:val="00DA1C0B"/>
    <w:rsid w:val="00DA264C"/>
    <w:rsid w:val="00DA2F36"/>
    <w:rsid w:val="00DA3334"/>
    <w:rsid w:val="00DA3569"/>
    <w:rsid w:val="00DA381E"/>
    <w:rsid w:val="00DA403D"/>
    <w:rsid w:val="00DA436E"/>
    <w:rsid w:val="00DA5974"/>
    <w:rsid w:val="00DA6AA7"/>
    <w:rsid w:val="00DA6CFB"/>
    <w:rsid w:val="00DA78A7"/>
    <w:rsid w:val="00DA7EBC"/>
    <w:rsid w:val="00DB1270"/>
    <w:rsid w:val="00DB2167"/>
    <w:rsid w:val="00DB3231"/>
    <w:rsid w:val="00DB3947"/>
    <w:rsid w:val="00DB3BE8"/>
    <w:rsid w:val="00DB3C79"/>
    <w:rsid w:val="00DB4479"/>
    <w:rsid w:val="00DB453B"/>
    <w:rsid w:val="00DB6308"/>
    <w:rsid w:val="00DB67A7"/>
    <w:rsid w:val="00DB6AA9"/>
    <w:rsid w:val="00DB6E67"/>
    <w:rsid w:val="00DB776C"/>
    <w:rsid w:val="00DB7C88"/>
    <w:rsid w:val="00DC094F"/>
    <w:rsid w:val="00DC10EA"/>
    <w:rsid w:val="00DC1583"/>
    <w:rsid w:val="00DC1687"/>
    <w:rsid w:val="00DC1BAA"/>
    <w:rsid w:val="00DC2B5F"/>
    <w:rsid w:val="00DC438E"/>
    <w:rsid w:val="00DC5F67"/>
    <w:rsid w:val="00DC65F8"/>
    <w:rsid w:val="00DC66E3"/>
    <w:rsid w:val="00DC6740"/>
    <w:rsid w:val="00DC6B43"/>
    <w:rsid w:val="00DC749E"/>
    <w:rsid w:val="00DC7A08"/>
    <w:rsid w:val="00DC7C39"/>
    <w:rsid w:val="00DD08E0"/>
    <w:rsid w:val="00DD0ED0"/>
    <w:rsid w:val="00DD24FE"/>
    <w:rsid w:val="00DD2606"/>
    <w:rsid w:val="00DD277A"/>
    <w:rsid w:val="00DD296C"/>
    <w:rsid w:val="00DD4039"/>
    <w:rsid w:val="00DD471D"/>
    <w:rsid w:val="00DD673B"/>
    <w:rsid w:val="00DD6AA4"/>
    <w:rsid w:val="00DE025E"/>
    <w:rsid w:val="00DE02E8"/>
    <w:rsid w:val="00DE08B1"/>
    <w:rsid w:val="00DE31F1"/>
    <w:rsid w:val="00DE376A"/>
    <w:rsid w:val="00DE39BF"/>
    <w:rsid w:val="00DE4D6C"/>
    <w:rsid w:val="00DE5848"/>
    <w:rsid w:val="00DE5931"/>
    <w:rsid w:val="00DE601E"/>
    <w:rsid w:val="00DE64D8"/>
    <w:rsid w:val="00DE6953"/>
    <w:rsid w:val="00DE6DB8"/>
    <w:rsid w:val="00DE7076"/>
    <w:rsid w:val="00DE72C7"/>
    <w:rsid w:val="00DE76C3"/>
    <w:rsid w:val="00DE7712"/>
    <w:rsid w:val="00DF0CAA"/>
    <w:rsid w:val="00DF149F"/>
    <w:rsid w:val="00DF19C6"/>
    <w:rsid w:val="00DF1B4D"/>
    <w:rsid w:val="00DF51C6"/>
    <w:rsid w:val="00DF5D71"/>
    <w:rsid w:val="00DF725A"/>
    <w:rsid w:val="00DF7D14"/>
    <w:rsid w:val="00E005DE"/>
    <w:rsid w:val="00E0160D"/>
    <w:rsid w:val="00E0194C"/>
    <w:rsid w:val="00E020FF"/>
    <w:rsid w:val="00E0278C"/>
    <w:rsid w:val="00E02C6F"/>
    <w:rsid w:val="00E03E97"/>
    <w:rsid w:val="00E03F05"/>
    <w:rsid w:val="00E03F86"/>
    <w:rsid w:val="00E04EA7"/>
    <w:rsid w:val="00E050DE"/>
    <w:rsid w:val="00E059A5"/>
    <w:rsid w:val="00E05D81"/>
    <w:rsid w:val="00E062A7"/>
    <w:rsid w:val="00E063CD"/>
    <w:rsid w:val="00E06D5B"/>
    <w:rsid w:val="00E06F5B"/>
    <w:rsid w:val="00E07C42"/>
    <w:rsid w:val="00E11660"/>
    <w:rsid w:val="00E1200C"/>
    <w:rsid w:val="00E1203F"/>
    <w:rsid w:val="00E128E3"/>
    <w:rsid w:val="00E130C4"/>
    <w:rsid w:val="00E14AD7"/>
    <w:rsid w:val="00E16EAC"/>
    <w:rsid w:val="00E17691"/>
    <w:rsid w:val="00E17B1C"/>
    <w:rsid w:val="00E17F4A"/>
    <w:rsid w:val="00E209A8"/>
    <w:rsid w:val="00E21187"/>
    <w:rsid w:val="00E21706"/>
    <w:rsid w:val="00E22CB4"/>
    <w:rsid w:val="00E2306D"/>
    <w:rsid w:val="00E2332E"/>
    <w:rsid w:val="00E2381C"/>
    <w:rsid w:val="00E24236"/>
    <w:rsid w:val="00E2522D"/>
    <w:rsid w:val="00E25A75"/>
    <w:rsid w:val="00E25FDF"/>
    <w:rsid w:val="00E26407"/>
    <w:rsid w:val="00E267A0"/>
    <w:rsid w:val="00E26D07"/>
    <w:rsid w:val="00E2715C"/>
    <w:rsid w:val="00E27E2A"/>
    <w:rsid w:val="00E31151"/>
    <w:rsid w:val="00E31518"/>
    <w:rsid w:val="00E320C9"/>
    <w:rsid w:val="00E32FA8"/>
    <w:rsid w:val="00E330A5"/>
    <w:rsid w:val="00E33F54"/>
    <w:rsid w:val="00E35810"/>
    <w:rsid w:val="00E36A02"/>
    <w:rsid w:val="00E370F3"/>
    <w:rsid w:val="00E37375"/>
    <w:rsid w:val="00E4018F"/>
    <w:rsid w:val="00E407A6"/>
    <w:rsid w:val="00E40976"/>
    <w:rsid w:val="00E41590"/>
    <w:rsid w:val="00E416C9"/>
    <w:rsid w:val="00E42685"/>
    <w:rsid w:val="00E42870"/>
    <w:rsid w:val="00E42889"/>
    <w:rsid w:val="00E42C87"/>
    <w:rsid w:val="00E42DE1"/>
    <w:rsid w:val="00E43A64"/>
    <w:rsid w:val="00E43D38"/>
    <w:rsid w:val="00E43D7D"/>
    <w:rsid w:val="00E441ED"/>
    <w:rsid w:val="00E44A15"/>
    <w:rsid w:val="00E45097"/>
    <w:rsid w:val="00E45381"/>
    <w:rsid w:val="00E45F20"/>
    <w:rsid w:val="00E46642"/>
    <w:rsid w:val="00E46BBC"/>
    <w:rsid w:val="00E46E96"/>
    <w:rsid w:val="00E47862"/>
    <w:rsid w:val="00E4786A"/>
    <w:rsid w:val="00E51292"/>
    <w:rsid w:val="00E51A53"/>
    <w:rsid w:val="00E5214A"/>
    <w:rsid w:val="00E525B5"/>
    <w:rsid w:val="00E52726"/>
    <w:rsid w:val="00E52902"/>
    <w:rsid w:val="00E549A6"/>
    <w:rsid w:val="00E564FE"/>
    <w:rsid w:val="00E56753"/>
    <w:rsid w:val="00E56908"/>
    <w:rsid w:val="00E57AF6"/>
    <w:rsid w:val="00E61160"/>
    <w:rsid w:val="00E62163"/>
    <w:rsid w:val="00E624E3"/>
    <w:rsid w:val="00E625D3"/>
    <w:rsid w:val="00E62627"/>
    <w:rsid w:val="00E62944"/>
    <w:rsid w:val="00E62DAC"/>
    <w:rsid w:val="00E631CD"/>
    <w:rsid w:val="00E63A9D"/>
    <w:rsid w:val="00E64934"/>
    <w:rsid w:val="00E64EFD"/>
    <w:rsid w:val="00E658AB"/>
    <w:rsid w:val="00E660D2"/>
    <w:rsid w:val="00E66AA5"/>
    <w:rsid w:val="00E66EB0"/>
    <w:rsid w:val="00E67894"/>
    <w:rsid w:val="00E678F8"/>
    <w:rsid w:val="00E704C0"/>
    <w:rsid w:val="00E70586"/>
    <w:rsid w:val="00E711F6"/>
    <w:rsid w:val="00E71ADB"/>
    <w:rsid w:val="00E72A35"/>
    <w:rsid w:val="00E72FF8"/>
    <w:rsid w:val="00E7322B"/>
    <w:rsid w:val="00E73EF8"/>
    <w:rsid w:val="00E74E6E"/>
    <w:rsid w:val="00E75440"/>
    <w:rsid w:val="00E761F8"/>
    <w:rsid w:val="00E7655D"/>
    <w:rsid w:val="00E765EB"/>
    <w:rsid w:val="00E76A56"/>
    <w:rsid w:val="00E76B6B"/>
    <w:rsid w:val="00E777CF"/>
    <w:rsid w:val="00E808E8"/>
    <w:rsid w:val="00E80CF5"/>
    <w:rsid w:val="00E81082"/>
    <w:rsid w:val="00E815E3"/>
    <w:rsid w:val="00E8192D"/>
    <w:rsid w:val="00E82581"/>
    <w:rsid w:val="00E8271A"/>
    <w:rsid w:val="00E8293C"/>
    <w:rsid w:val="00E82EA8"/>
    <w:rsid w:val="00E83FA1"/>
    <w:rsid w:val="00E84B58"/>
    <w:rsid w:val="00E84D8B"/>
    <w:rsid w:val="00E854D8"/>
    <w:rsid w:val="00E85998"/>
    <w:rsid w:val="00E85A6A"/>
    <w:rsid w:val="00E85A71"/>
    <w:rsid w:val="00E86E2B"/>
    <w:rsid w:val="00E86F54"/>
    <w:rsid w:val="00E8792F"/>
    <w:rsid w:val="00E9066A"/>
    <w:rsid w:val="00E919E6"/>
    <w:rsid w:val="00E92008"/>
    <w:rsid w:val="00E925BC"/>
    <w:rsid w:val="00E928ED"/>
    <w:rsid w:val="00E930BD"/>
    <w:rsid w:val="00E93E78"/>
    <w:rsid w:val="00E94F5D"/>
    <w:rsid w:val="00E9577D"/>
    <w:rsid w:val="00E95B45"/>
    <w:rsid w:val="00E961CD"/>
    <w:rsid w:val="00E963D5"/>
    <w:rsid w:val="00E9688F"/>
    <w:rsid w:val="00E97827"/>
    <w:rsid w:val="00E97953"/>
    <w:rsid w:val="00E97C32"/>
    <w:rsid w:val="00EA044B"/>
    <w:rsid w:val="00EA04EA"/>
    <w:rsid w:val="00EA0C94"/>
    <w:rsid w:val="00EA46E4"/>
    <w:rsid w:val="00EA4B1B"/>
    <w:rsid w:val="00EA4E83"/>
    <w:rsid w:val="00EA52E2"/>
    <w:rsid w:val="00EA5715"/>
    <w:rsid w:val="00EA6213"/>
    <w:rsid w:val="00EA6C1B"/>
    <w:rsid w:val="00EA75E1"/>
    <w:rsid w:val="00EB0222"/>
    <w:rsid w:val="00EB0463"/>
    <w:rsid w:val="00EB085D"/>
    <w:rsid w:val="00EB13FA"/>
    <w:rsid w:val="00EB2B5D"/>
    <w:rsid w:val="00EB30AB"/>
    <w:rsid w:val="00EB33DD"/>
    <w:rsid w:val="00EB36A7"/>
    <w:rsid w:val="00EB381E"/>
    <w:rsid w:val="00EB3AAD"/>
    <w:rsid w:val="00EB3BA3"/>
    <w:rsid w:val="00EB3BAA"/>
    <w:rsid w:val="00EB3D24"/>
    <w:rsid w:val="00EB4933"/>
    <w:rsid w:val="00EB5753"/>
    <w:rsid w:val="00EB6424"/>
    <w:rsid w:val="00EB735B"/>
    <w:rsid w:val="00EB7D36"/>
    <w:rsid w:val="00EC000B"/>
    <w:rsid w:val="00EC02CC"/>
    <w:rsid w:val="00EC0366"/>
    <w:rsid w:val="00EC0CE8"/>
    <w:rsid w:val="00EC0E13"/>
    <w:rsid w:val="00EC1089"/>
    <w:rsid w:val="00EC2A72"/>
    <w:rsid w:val="00EC2C1D"/>
    <w:rsid w:val="00EC3107"/>
    <w:rsid w:val="00EC3571"/>
    <w:rsid w:val="00EC3D8A"/>
    <w:rsid w:val="00EC409E"/>
    <w:rsid w:val="00EC4239"/>
    <w:rsid w:val="00EC578A"/>
    <w:rsid w:val="00EC624D"/>
    <w:rsid w:val="00EC6A64"/>
    <w:rsid w:val="00EC7CE1"/>
    <w:rsid w:val="00EC7FAF"/>
    <w:rsid w:val="00ED05BD"/>
    <w:rsid w:val="00ED1483"/>
    <w:rsid w:val="00ED168C"/>
    <w:rsid w:val="00ED1BAF"/>
    <w:rsid w:val="00ED1F3C"/>
    <w:rsid w:val="00ED2398"/>
    <w:rsid w:val="00ED2A23"/>
    <w:rsid w:val="00ED2DBB"/>
    <w:rsid w:val="00ED2E20"/>
    <w:rsid w:val="00ED31DE"/>
    <w:rsid w:val="00ED3427"/>
    <w:rsid w:val="00ED35E5"/>
    <w:rsid w:val="00ED4661"/>
    <w:rsid w:val="00ED4B74"/>
    <w:rsid w:val="00ED5DD2"/>
    <w:rsid w:val="00ED6CAB"/>
    <w:rsid w:val="00ED7EC6"/>
    <w:rsid w:val="00EE0C4E"/>
    <w:rsid w:val="00EE113C"/>
    <w:rsid w:val="00EE1E5B"/>
    <w:rsid w:val="00EE1EA2"/>
    <w:rsid w:val="00EE2734"/>
    <w:rsid w:val="00EE3199"/>
    <w:rsid w:val="00EE5134"/>
    <w:rsid w:val="00EE582D"/>
    <w:rsid w:val="00EE5D74"/>
    <w:rsid w:val="00EE5DA2"/>
    <w:rsid w:val="00EE67C8"/>
    <w:rsid w:val="00EF0609"/>
    <w:rsid w:val="00EF1B5C"/>
    <w:rsid w:val="00EF2096"/>
    <w:rsid w:val="00EF21FE"/>
    <w:rsid w:val="00EF2762"/>
    <w:rsid w:val="00EF4F9E"/>
    <w:rsid w:val="00EF50FA"/>
    <w:rsid w:val="00EF5253"/>
    <w:rsid w:val="00EF61FB"/>
    <w:rsid w:val="00EF66AF"/>
    <w:rsid w:val="00EF6FDE"/>
    <w:rsid w:val="00F00216"/>
    <w:rsid w:val="00F008B4"/>
    <w:rsid w:val="00F00BDC"/>
    <w:rsid w:val="00F0118F"/>
    <w:rsid w:val="00F018D0"/>
    <w:rsid w:val="00F01A7E"/>
    <w:rsid w:val="00F025C1"/>
    <w:rsid w:val="00F02B35"/>
    <w:rsid w:val="00F02B82"/>
    <w:rsid w:val="00F04373"/>
    <w:rsid w:val="00F04C16"/>
    <w:rsid w:val="00F05374"/>
    <w:rsid w:val="00F05B4F"/>
    <w:rsid w:val="00F06540"/>
    <w:rsid w:val="00F06C96"/>
    <w:rsid w:val="00F06F43"/>
    <w:rsid w:val="00F06FF0"/>
    <w:rsid w:val="00F073C7"/>
    <w:rsid w:val="00F07A5F"/>
    <w:rsid w:val="00F1114D"/>
    <w:rsid w:val="00F114F3"/>
    <w:rsid w:val="00F11669"/>
    <w:rsid w:val="00F11CB9"/>
    <w:rsid w:val="00F11FCD"/>
    <w:rsid w:val="00F12432"/>
    <w:rsid w:val="00F13789"/>
    <w:rsid w:val="00F13929"/>
    <w:rsid w:val="00F1396D"/>
    <w:rsid w:val="00F14483"/>
    <w:rsid w:val="00F145FB"/>
    <w:rsid w:val="00F1472D"/>
    <w:rsid w:val="00F1486A"/>
    <w:rsid w:val="00F149F3"/>
    <w:rsid w:val="00F15A8E"/>
    <w:rsid w:val="00F167D7"/>
    <w:rsid w:val="00F175F7"/>
    <w:rsid w:val="00F1780A"/>
    <w:rsid w:val="00F20F5E"/>
    <w:rsid w:val="00F21837"/>
    <w:rsid w:val="00F22530"/>
    <w:rsid w:val="00F23177"/>
    <w:rsid w:val="00F23DEE"/>
    <w:rsid w:val="00F26BB9"/>
    <w:rsid w:val="00F26FFE"/>
    <w:rsid w:val="00F27200"/>
    <w:rsid w:val="00F27FFB"/>
    <w:rsid w:val="00F303FA"/>
    <w:rsid w:val="00F30A41"/>
    <w:rsid w:val="00F30A77"/>
    <w:rsid w:val="00F312B2"/>
    <w:rsid w:val="00F3198C"/>
    <w:rsid w:val="00F31AB6"/>
    <w:rsid w:val="00F34029"/>
    <w:rsid w:val="00F34450"/>
    <w:rsid w:val="00F34672"/>
    <w:rsid w:val="00F35991"/>
    <w:rsid w:val="00F359B6"/>
    <w:rsid w:val="00F37426"/>
    <w:rsid w:val="00F37873"/>
    <w:rsid w:val="00F37B3C"/>
    <w:rsid w:val="00F37DCB"/>
    <w:rsid w:val="00F4018D"/>
    <w:rsid w:val="00F408B6"/>
    <w:rsid w:val="00F4108D"/>
    <w:rsid w:val="00F41896"/>
    <w:rsid w:val="00F41DF1"/>
    <w:rsid w:val="00F43909"/>
    <w:rsid w:val="00F4467B"/>
    <w:rsid w:val="00F4530E"/>
    <w:rsid w:val="00F47360"/>
    <w:rsid w:val="00F4739D"/>
    <w:rsid w:val="00F47A24"/>
    <w:rsid w:val="00F47B78"/>
    <w:rsid w:val="00F5078A"/>
    <w:rsid w:val="00F50B17"/>
    <w:rsid w:val="00F5256A"/>
    <w:rsid w:val="00F5302E"/>
    <w:rsid w:val="00F53615"/>
    <w:rsid w:val="00F54689"/>
    <w:rsid w:val="00F54CAC"/>
    <w:rsid w:val="00F55EDB"/>
    <w:rsid w:val="00F560BF"/>
    <w:rsid w:val="00F56B8B"/>
    <w:rsid w:val="00F572E8"/>
    <w:rsid w:val="00F57866"/>
    <w:rsid w:val="00F6035D"/>
    <w:rsid w:val="00F605F3"/>
    <w:rsid w:val="00F60C3B"/>
    <w:rsid w:val="00F60FEE"/>
    <w:rsid w:val="00F619AC"/>
    <w:rsid w:val="00F62E5E"/>
    <w:rsid w:val="00F62E7E"/>
    <w:rsid w:val="00F636A9"/>
    <w:rsid w:val="00F63896"/>
    <w:rsid w:val="00F63ED6"/>
    <w:rsid w:val="00F64E76"/>
    <w:rsid w:val="00F65EF6"/>
    <w:rsid w:val="00F66B3C"/>
    <w:rsid w:val="00F66D57"/>
    <w:rsid w:val="00F67322"/>
    <w:rsid w:val="00F7048C"/>
    <w:rsid w:val="00F71484"/>
    <w:rsid w:val="00F71EE8"/>
    <w:rsid w:val="00F71FBA"/>
    <w:rsid w:val="00F7210B"/>
    <w:rsid w:val="00F72619"/>
    <w:rsid w:val="00F73430"/>
    <w:rsid w:val="00F742B7"/>
    <w:rsid w:val="00F74A1B"/>
    <w:rsid w:val="00F75FDA"/>
    <w:rsid w:val="00F76CF7"/>
    <w:rsid w:val="00F77312"/>
    <w:rsid w:val="00F7784A"/>
    <w:rsid w:val="00F77DDD"/>
    <w:rsid w:val="00F8062A"/>
    <w:rsid w:val="00F81F5C"/>
    <w:rsid w:val="00F82704"/>
    <w:rsid w:val="00F83A05"/>
    <w:rsid w:val="00F8438F"/>
    <w:rsid w:val="00F876F7"/>
    <w:rsid w:val="00F9042B"/>
    <w:rsid w:val="00F91D5D"/>
    <w:rsid w:val="00F9234D"/>
    <w:rsid w:val="00F92753"/>
    <w:rsid w:val="00F9300C"/>
    <w:rsid w:val="00F9327C"/>
    <w:rsid w:val="00F93456"/>
    <w:rsid w:val="00F936BA"/>
    <w:rsid w:val="00F93E0F"/>
    <w:rsid w:val="00F94231"/>
    <w:rsid w:val="00F957C7"/>
    <w:rsid w:val="00F95BB9"/>
    <w:rsid w:val="00F960FC"/>
    <w:rsid w:val="00F970E0"/>
    <w:rsid w:val="00F971DA"/>
    <w:rsid w:val="00F9744C"/>
    <w:rsid w:val="00F97A69"/>
    <w:rsid w:val="00FA009A"/>
    <w:rsid w:val="00FA0FC8"/>
    <w:rsid w:val="00FA1191"/>
    <w:rsid w:val="00FA151C"/>
    <w:rsid w:val="00FA19F9"/>
    <w:rsid w:val="00FA3A9B"/>
    <w:rsid w:val="00FA4B0B"/>
    <w:rsid w:val="00FA4C28"/>
    <w:rsid w:val="00FA4C41"/>
    <w:rsid w:val="00FA5A2B"/>
    <w:rsid w:val="00FA6385"/>
    <w:rsid w:val="00FA65B1"/>
    <w:rsid w:val="00FA6911"/>
    <w:rsid w:val="00FA69C6"/>
    <w:rsid w:val="00FA7BA7"/>
    <w:rsid w:val="00FB0732"/>
    <w:rsid w:val="00FB0753"/>
    <w:rsid w:val="00FB07C0"/>
    <w:rsid w:val="00FB09EA"/>
    <w:rsid w:val="00FB0DF3"/>
    <w:rsid w:val="00FB0E06"/>
    <w:rsid w:val="00FB0E4C"/>
    <w:rsid w:val="00FB1030"/>
    <w:rsid w:val="00FB10D5"/>
    <w:rsid w:val="00FB10E8"/>
    <w:rsid w:val="00FB13BC"/>
    <w:rsid w:val="00FB16E1"/>
    <w:rsid w:val="00FB1C70"/>
    <w:rsid w:val="00FB1CF5"/>
    <w:rsid w:val="00FB33B8"/>
    <w:rsid w:val="00FB3D82"/>
    <w:rsid w:val="00FB3E14"/>
    <w:rsid w:val="00FB41A6"/>
    <w:rsid w:val="00FB44F5"/>
    <w:rsid w:val="00FB466B"/>
    <w:rsid w:val="00FB4CFF"/>
    <w:rsid w:val="00FB5F61"/>
    <w:rsid w:val="00FB62BE"/>
    <w:rsid w:val="00FB72C2"/>
    <w:rsid w:val="00FB7FA4"/>
    <w:rsid w:val="00FC0FD2"/>
    <w:rsid w:val="00FC14FD"/>
    <w:rsid w:val="00FC1620"/>
    <w:rsid w:val="00FC172C"/>
    <w:rsid w:val="00FC2841"/>
    <w:rsid w:val="00FC304E"/>
    <w:rsid w:val="00FC531A"/>
    <w:rsid w:val="00FC6491"/>
    <w:rsid w:val="00FC7310"/>
    <w:rsid w:val="00FC7312"/>
    <w:rsid w:val="00FC7B3D"/>
    <w:rsid w:val="00FD1B65"/>
    <w:rsid w:val="00FD21C8"/>
    <w:rsid w:val="00FD26FF"/>
    <w:rsid w:val="00FD2B95"/>
    <w:rsid w:val="00FD3905"/>
    <w:rsid w:val="00FD4410"/>
    <w:rsid w:val="00FD4C32"/>
    <w:rsid w:val="00FD4E97"/>
    <w:rsid w:val="00FD5FA0"/>
    <w:rsid w:val="00FD6869"/>
    <w:rsid w:val="00FD79FE"/>
    <w:rsid w:val="00FE0010"/>
    <w:rsid w:val="00FE0525"/>
    <w:rsid w:val="00FE13B8"/>
    <w:rsid w:val="00FE14CF"/>
    <w:rsid w:val="00FE1C6C"/>
    <w:rsid w:val="00FE27D9"/>
    <w:rsid w:val="00FE2D08"/>
    <w:rsid w:val="00FE43C6"/>
    <w:rsid w:val="00FE4A44"/>
    <w:rsid w:val="00FE4CE3"/>
    <w:rsid w:val="00FE5B38"/>
    <w:rsid w:val="00FE5DE6"/>
    <w:rsid w:val="00FE68CE"/>
    <w:rsid w:val="00FE7C0D"/>
    <w:rsid w:val="00FF02C8"/>
    <w:rsid w:val="00FF0B62"/>
    <w:rsid w:val="00FF1A4D"/>
    <w:rsid w:val="00FF2876"/>
    <w:rsid w:val="00FF2E73"/>
    <w:rsid w:val="00FF3D9A"/>
    <w:rsid w:val="00FF42EA"/>
    <w:rsid w:val="00FF42F8"/>
    <w:rsid w:val="00FF4E3A"/>
    <w:rsid w:val="00FF617C"/>
    <w:rsid w:val="00FF62A4"/>
    <w:rsid w:val="00FF64C2"/>
    <w:rsid w:val="00FF6952"/>
    <w:rsid w:val="00FF6F22"/>
    <w:rsid w:val="00FF7D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B04563"/>
  <w15:docId w15:val="{36570CDA-6B6F-4ECB-A3C4-488DF934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35D87"/>
    <w:pPr>
      <w:jc w:val="both"/>
    </w:pPr>
    <w:rPr>
      <w:sz w:val="24"/>
    </w:rPr>
  </w:style>
  <w:style w:type="paragraph" w:styleId="Titolo1">
    <w:name w:val="heading 1"/>
    <w:aliases w:val="Titolo capitolo"/>
    <w:basedOn w:val="Normale"/>
    <w:next w:val="Normale"/>
    <w:link w:val="Titolo1Carattere"/>
    <w:qFormat/>
    <w:pPr>
      <w:keepNext/>
      <w:jc w:val="center"/>
      <w:outlineLvl w:val="0"/>
    </w:pPr>
    <w:rPr>
      <w:b/>
    </w:rPr>
  </w:style>
  <w:style w:type="paragraph" w:styleId="Titolo2">
    <w:name w:val="heading 2"/>
    <w:basedOn w:val="Normale"/>
    <w:next w:val="Normale"/>
    <w:qFormat/>
    <w:pPr>
      <w:keepNext/>
      <w:outlineLvl w:val="1"/>
    </w:pPr>
    <w:rPr>
      <w:b/>
    </w:rPr>
  </w:style>
  <w:style w:type="paragraph" w:styleId="Titolo3">
    <w:name w:val="heading 3"/>
    <w:basedOn w:val="Normale"/>
    <w:next w:val="Normale"/>
    <w:qFormat/>
    <w:pPr>
      <w:keepNext/>
      <w:outlineLvl w:val="2"/>
    </w:pPr>
    <w:rPr>
      <w:b/>
      <w:sz w:val="22"/>
    </w:rPr>
  </w:style>
  <w:style w:type="paragraph" w:styleId="Titolo4">
    <w:name w:val="heading 4"/>
    <w:basedOn w:val="Normale"/>
    <w:next w:val="Normale"/>
    <w:link w:val="Titolo4Carattere"/>
    <w:qFormat/>
    <w:pPr>
      <w:keepNext/>
      <w:outlineLvl w:val="3"/>
    </w:pPr>
    <w:rPr>
      <w:rFonts w:ascii="Verdana" w:hAnsi="Verdana"/>
      <w:b/>
      <w:sz w:val="20"/>
    </w:rPr>
  </w:style>
  <w:style w:type="paragraph" w:styleId="Titolo5">
    <w:name w:val="heading 5"/>
    <w:basedOn w:val="Normale"/>
    <w:next w:val="Normale"/>
    <w:link w:val="Titolo5Carattere"/>
    <w:qFormat/>
    <w:pPr>
      <w:keepNext/>
      <w:jc w:val="center"/>
      <w:outlineLvl w:val="4"/>
    </w:pPr>
    <w:rPr>
      <w:sz w:val="28"/>
    </w:rPr>
  </w:style>
  <w:style w:type="paragraph" w:styleId="Titolo6">
    <w:name w:val="heading 6"/>
    <w:basedOn w:val="Normale"/>
    <w:next w:val="Normale"/>
    <w:link w:val="Titolo6Carattere"/>
    <w:qFormat/>
    <w:pPr>
      <w:keepNext/>
      <w:jc w:val="left"/>
      <w:outlineLvl w:val="5"/>
    </w:pPr>
    <w:rPr>
      <w:rFonts w:ascii="Arial" w:hAnsi="Arial"/>
      <w:b/>
      <w:snapToGrid w:val="0"/>
      <w:color w:val="000000"/>
      <w:sz w:val="18"/>
    </w:rPr>
  </w:style>
  <w:style w:type="paragraph" w:styleId="Titolo7">
    <w:name w:val="heading 7"/>
    <w:basedOn w:val="Normale"/>
    <w:next w:val="Normale"/>
    <w:qFormat/>
    <w:pPr>
      <w:keepNext/>
      <w:outlineLvl w:val="6"/>
    </w:pPr>
    <w:rPr>
      <w:rFonts w:ascii="Arial" w:hAnsi="Arial"/>
      <w:b/>
      <w:sz w:val="18"/>
    </w:rPr>
  </w:style>
  <w:style w:type="paragraph" w:styleId="Titolo8">
    <w:name w:val="heading 8"/>
    <w:basedOn w:val="Normale"/>
    <w:next w:val="Normale"/>
    <w:qFormat/>
    <w:pPr>
      <w:keepNext/>
      <w:ind w:right="-1"/>
      <w:jc w:val="center"/>
      <w:outlineLvl w:val="7"/>
    </w:pPr>
    <w:rPr>
      <w:rFonts w:ascii="MyriadPro-It" w:hAnsi="MyriadPro-It"/>
      <w:snapToGrid w:val="0"/>
      <w:sz w:val="36"/>
    </w:rPr>
  </w:style>
  <w:style w:type="paragraph" w:styleId="Titolo9">
    <w:name w:val="heading 9"/>
    <w:basedOn w:val="Normale"/>
    <w:next w:val="Normale"/>
    <w:qFormat/>
    <w:pPr>
      <w:keepNext/>
      <w:ind w:right="-1"/>
      <w:jc w:val="center"/>
      <w:outlineLvl w:val="8"/>
    </w:pPr>
    <w:rPr>
      <w:rFonts w:ascii="Arial" w:hAnsi="Arial"/>
      <w:b/>
      <w:snapToGrid w:val="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semiHidden/>
    <w:rPr>
      <w:sz w:val="28"/>
    </w:rPr>
  </w:style>
  <w:style w:type="paragraph" w:styleId="Corpodeltesto2">
    <w:name w:val="Body Text 2"/>
    <w:basedOn w:val="Normale"/>
    <w:semiHidden/>
    <w:rPr>
      <w:sz w:val="26"/>
    </w:rPr>
  </w:style>
  <w:style w:type="paragraph" w:styleId="Titolo">
    <w:name w:val="Title"/>
    <w:basedOn w:val="Normale"/>
    <w:qFormat/>
    <w:pPr>
      <w:jc w:val="center"/>
    </w:pPr>
    <w:rPr>
      <w:i/>
      <w:sz w:val="26"/>
    </w:rPr>
  </w:style>
  <w:style w:type="paragraph" w:styleId="Sottotitolo">
    <w:name w:val="Subtitle"/>
    <w:basedOn w:val="Normale"/>
    <w:link w:val="SottotitoloCarattere"/>
    <w:uiPriority w:val="11"/>
    <w:qFormat/>
    <w:pPr>
      <w:jc w:val="center"/>
    </w:pPr>
    <w:rPr>
      <w:b/>
      <w:sz w:val="32"/>
    </w:rPr>
  </w:style>
  <w:style w:type="character" w:styleId="Collegamentoipertestuale">
    <w:name w:val="Hyperlink"/>
    <w:uiPriority w:val="99"/>
    <w:semiHidden/>
    <w:rPr>
      <w:color w:val="0000FF"/>
      <w:u w:val="single"/>
    </w:rPr>
  </w:style>
  <w:style w:type="paragraph" w:styleId="Mappadocumento">
    <w:name w:val="Document Map"/>
    <w:basedOn w:val="Normale"/>
    <w:semiHidden/>
    <w:pPr>
      <w:shd w:val="clear" w:color="auto" w:fill="000080"/>
    </w:pPr>
    <w:rPr>
      <w:rFonts w:ascii="Tahoma" w:hAnsi="Tahoma"/>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Corpodeltesto3">
    <w:name w:val="Body Text 3"/>
    <w:basedOn w:val="Normale"/>
    <w:semiHidden/>
    <w:rPr>
      <w:i/>
    </w:rPr>
  </w:style>
  <w:style w:type="paragraph" w:customStyle="1" w:styleId="S2">
    <w:name w:val="S2"/>
    <w:basedOn w:val="Normale"/>
    <w:autoRedefine/>
    <w:pPr>
      <w:numPr>
        <w:ilvl w:val="1"/>
        <w:numId w:val="1"/>
      </w:numPr>
      <w:jc w:val="left"/>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pPr>
      <w:jc w:val="left"/>
    </w:pPr>
    <w:rPr>
      <w:sz w:val="20"/>
    </w:rPr>
  </w:style>
  <w:style w:type="character" w:styleId="Rimandonotaapidipagina">
    <w:name w:val="footnote reference"/>
    <w:uiPriority w:val="99"/>
    <w:semiHidden/>
    <w:rPr>
      <w:vertAlign w:val="superscript"/>
    </w:rPr>
  </w:style>
  <w:style w:type="paragraph" w:styleId="Testodelblocco">
    <w:name w:val="Block Text"/>
    <w:basedOn w:val="Normale"/>
    <w:semiHidden/>
    <w:pPr>
      <w:ind w:left="-284" w:right="-285"/>
      <w:jc w:val="center"/>
    </w:pPr>
    <w:rPr>
      <w:rFonts w:ascii="Verdana" w:hAnsi="Verdana"/>
      <w:b/>
      <w:sz w:val="32"/>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pPr>
    <w:rPr>
      <w:rFonts w:eastAsia="Arial Unicode MS"/>
    </w:rPr>
  </w:style>
  <w:style w:type="paragraph" w:styleId="Didascalia">
    <w:name w:val="caption"/>
    <w:basedOn w:val="Normale"/>
    <w:next w:val="Normale"/>
    <w:qFormat/>
    <w:pPr>
      <w:spacing w:after="240"/>
    </w:pPr>
    <w:rPr>
      <w:i/>
      <w:sz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pPr>
    <w:rPr>
      <w:rFonts w:ascii="Courier New" w:hAnsi="Courier New"/>
      <w:sz w:val="20"/>
    </w:rPr>
  </w:style>
  <w:style w:type="paragraph" w:styleId="Sommario4">
    <w:name w:val="toc 4"/>
    <w:basedOn w:val="Normale"/>
    <w:next w:val="Normale"/>
    <w:autoRedefine/>
    <w:semiHidden/>
    <w:pPr>
      <w:spacing w:after="240"/>
      <w:ind w:left="720"/>
    </w:pPr>
  </w:style>
  <w:style w:type="paragraph" w:styleId="Sommario6">
    <w:name w:val="toc 6"/>
    <w:basedOn w:val="Normale"/>
    <w:next w:val="Normale"/>
    <w:autoRedefine/>
    <w:semiHidden/>
    <w:pPr>
      <w:spacing w:after="240"/>
      <w:ind w:left="1200"/>
    </w:pPr>
  </w:style>
  <w:style w:type="paragraph" w:styleId="Sommario3">
    <w:name w:val="toc 3"/>
    <w:basedOn w:val="Normale"/>
    <w:next w:val="Normale"/>
    <w:autoRedefine/>
    <w:semiHidden/>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szCs w:val="24"/>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szCs w:val="24"/>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jc w:val="left"/>
    </w:pPr>
    <w:rPr>
      <w:rFonts w:ascii="Tahoma" w:hAnsi="Tahoma"/>
      <w:b/>
      <w:sz w:val="32"/>
      <w:szCs w:val="24"/>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jc w:val="left"/>
    </w:pPr>
    <w:rPr>
      <w:rFonts w:ascii="Tahoma" w:hAnsi="Tahoma"/>
      <w:sz w:val="28"/>
      <w:szCs w:val="24"/>
    </w:rPr>
  </w:style>
  <w:style w:type="paragraph" w:customStyle="1" w:styleId="Rientrolettere">
    <w:name w:val="Rientro lettere"/>
    <w:basedOn w:val="Normale"/>
    <w:rsid w:val="00B844F4"/>
    <w:pPr>
      <w:numPr>
        <w:numId w:val="2"/>
      </w:numPr>
      <w:jc w:val="left"/>
    </w:pPr>
    <w:rPr>
      <w:sz w:val="20"/>
      <w:szCs w:val="24"/>
    </w:rPr>
  </w:style>
  <w:style w:type="paragraph" w:styleId="Paragrafoelenco">
    <w:name w:val="List Paragraph"/>
    <w:basedOn w:val="Normale"/>
    <w:uiPriority w:val="34"/>
    <w:qFormat/>
    <w:rsid w:val="00B844F4"/>
    <w:pPr>
      <w:spacing w:after="200" w:line="276" w:lineRule="auto"/>
      <w:ind w:left="720"/>
      <w:jc w:val="left"/>
    </w:pPr>
    <w:rPr>
      <w:rFonts w:ascii="Calibri" w:eastAsia="Calibri" w:hAnsi="Calibri"/>
      <w:sz w:val="22"/>
      <w:szCs w:val="24"/>
    </w:rPr>
  </w:style>
  <w:style w:type="character" w:customStyle="1" w:styleId="TestofumettoCarattere">
    <w:name w:val="Testo fumetto Carattere"/>
    <w:link w:val="Testofumetto"/>
    <w:uiPriority w:val="99"/>
    <w:semiHidden/>
    <w:rsid w:val="00B844F4"/>
    <w:rPr>
      <w:rFonts w:ascii="Tahoma" w:hAnsi="Tahoma"/>
      <w:sz w:val="16"/>
      <w:szCs w:val="16"/>
      <w:lang w:val="x-none" w:eastAsia="x-none"/>
    </w:rPr>
  </w:style>
  <w:style w:type="paragraph" w:styleId="Testofumetto">
    <w:name w:val="Balloon Text"/>
    <w:basedOn w:val="Normale"/>
    <w:link w:val="TestofumettoCarattere"/>
    <w:uiPriority w:val="99"/>
    <w:semiHidden/>
    <w:unhideWhenUsed/>
    <w:rsid w:val="00B844F4"/>
    <w:pPr>
      <w:jc w:val="left"/>
    </w:pPr>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semiHidden/>
    <w:unhideWhenUsed/>
    <w:rsid w:val="00B844F4"/>
    <w:pPr>
      <w:spacing w:before="100" w:beforeAutospacing="1" w:after="100" w:afterAutospacing="1"/>
      <w:jc w:val="left"/>
    </w:pPr>
    <w:rPr>
      <w:szCs w:val="24"/>
    </w:r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jc w:val="left"/>
    </w:pPr>
    <w:rPr>
      <w:rFonts w:ascii="Arial Narrow" w:hAnsi="Arial Narrow"/>
      <w:color w:val="000000"/>
    </w:rPr>
  </w:style>
  <w:style w:type="character" w:customStyle="1" w:styleId="IntestazioneCarattere">
    <w:name w:val="Intestazione Carattere"/>
    <w:link w:val="Intestazione"/>
    <w:uiPriority w:val="99"/>
    <w:rsid w:val="0014309F"/>
    <w:rPr>
      <w:sz w:val="24"/>
    </w:rPr>
  </w:style>
  <w:style w:type="character" w:customStyle="1" w:styleId="PidipaginaCarattere">
    <w:name w:val="Piè di pagina Carattere"/>
    <w:link w:val="Pidipagina"/>
    <w:uiPriority w:val="99"/>
    <w:rsid w:val="0014309F"/>
    <w:rPr>
      <w:sz w:val="24"/>
    </w:rPr>
  </w:style>
  <w:style w:type="character" w:customStyle="1" w:styleId="SottotitoloCarattere">
    <w:name w:val="Sottotitolo Carattere"/>
    <w:link w:val="Sottotitolo"/>
    <w:uiPriority w:val="11"/>
    <w:rsid w:val="00704D07"/>
    <w:rPr>
      <w:b/>
      <w:sz w:val="32"/>
    </w:rPr>
  </w:style>
  <w:style w:type="character" w:customStyle="1" w:styleId="Titolo1Carattere">
    <w:name w:val="Titolo 1 Carattere"/>
    <w:aliases w:val="Titolo capitolo Carattere"/>
    <w:basedOn w:val="Carpredefinitoparagrafo"/>
    <w:link w:val="Titolo1"/>
    <w:rsid w:val="00284A80"/>
    <w:rPr>
      <w:b/>
      <w:sz w:val="24"/>
    </w:rPr>
  </w:style>
  <w:style w:type="character" w:styleId="Menzionenonrisolta">
    <w:name w:val="Unresolved Mention"/>
    <w:basedOn w:val="Carpredefinitoparagrafo"/>
    <w:uiPriority w:val="99"/>
    <w:semiHidden/>
    <w:unhideWhenUsed/>
    <w:rsid w:val="00515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80103865">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110563065">
      <w:bodyDiv w:val="1"/>
      <w:marLeft w:val="0"/>
      <w:marRight w:val="0"/>
      <w:marTop w:val="0"/>
      <w:marBottom w:val="0"/>
      <w:divBdr>
        <w:top w:val="none" w:sz="0" w:space="0" w:color="auto"/>
        <w:left w:val="none" w:sz="0" w:space="0" w:color="auto"/>
        <w:bottom w:val="none" w:sz="0" w:space="0" w:color="auto"/>
        <w:right w:val="none" w:sz="0" w:space="0" w:color="auto"/>
      </w:divBdr>
    </w:div>
    <w:div w:id="168915329">
      <w:bodyDiv w:val="1"/>
      <w:marLeft w:val="0"/>
      <w:marRight w:val="0"/>
      <w:marTop w:val="0"/>
      <w:marBottom w:val="0"/>
      <w:divBdr>
        <w:top w:val="none" w:sz="0" w:space="0" w:color="auto"/>
        <w:left w:val="none" w:sz="0" w:space="0" w:color="auto"/>
        <w:bottom w:val="none" w:sz="0" w:space="0" w:color="auto"/>
        <w:right w:val="none" w:sz="0" w:space="0" w:color="auto"/>
      </w:divBdr>
    </w:div>
    <w:div w:id="225343864">
      <w:bodyDiv w:val="1"/>
      <w:marLeft w:val="0"/>
      <w:marRight w:val="0"/>
      <w:marTop w:val="0"/>
      <w:marBottom w:val="0"/>
      <w:divBdr>
        <w:top w:val="none" w:sz="0" w:space="0" w:color="auto"/>
        <w:left w:val="none" w:sz="0" w:space="0" w:color="auto"/>
        <w:bottom w:val="none" w:sz="0" w:space="0" w:color="auto"/>
        <w:right w:val="none" w:sz="0" w:space="0" w:color="auto"/>
      </w:divBdr>
    </w:div>
    <w:div w:id="230315304">
      <w:bodyDiv w:val="1"/>
      <w:marLeft w:val="0"/>
      <w:marRight w:val="0"/>
      <w:marTop w:val="0"/>
      <w:marBottom w:val="0"/>
      <w:divBdr>
        <w:top w:val="none" w:sz="0" w:space="0" w:color="auto"/>
        <w:left w:val="none" w:sz="0" w:space="0" w:color="auto"/>
        <w:bottom w:val="none" w:sz="0" w:space="0" w:color="auto"/>
        <w:right w:val="none" w:sz="0" w:space="0" w:color="auto"/>
      </w:divBdr>
    </w:div>
    <w:div w:id="239608274">
      <w:bodyDiv w:val="1"/>
      <w:marLeft w:val="0"/>
      <w:marRight w:val="0"/>
      <w:marTop w:val="0"/>
      <w:marBottom w:val="0"/>
      <w:divBdr>
        <w:top w:val="none" w:sz="0" w:space="0" w:color="auto"/>
        <w:left w:val="none" w:sz="0" w:space="0" w:color="auto"/>
        <w:bottom w:val="none" w:sz="0" w:space="0" w:color="auto"/>
        <w:right w:val="none" w:sz="0" w:space="0" w:color="auto"/>
      </w:divBdr>
    </w:div>
    <w:div w:id="327556333">
      <w:bodyDiv w:val="1"/>
      <w:marLeft w:val="0"/>
      <w:marRight w:val="0"/>
      <w:marTop w:val="0"/>
      <w:marBottom w:val="0"/>
      <w:divBdr>
        <w:top w:val="none" w:sz="0" w:space="0" w:color="auto"/>
        <w:left w:val="none" w:sz="0" w:space="0" w:color="auto"/>
        <w:bottom w:val="none" w:sz="0" w:space="0" w:color="auto"/>
        <w:right w:val="none" w:sz="0" w:space="0" w:color="auto"/>
      </w:divBdr>
    </w:div>
    <w:div w:id="337195840">
      <w:bodyDiv w:val="1"/>
      <w:marLeft w:val="0"/>
      <w:marRight w:val="0"/>
      <w:marTop w:val="0"/>
      <w:marBottom w:val="0"/>
      <w:divBdr>
        <w:top w:val="none" w:sz="0" w:space="0" w:color="auto"/>
        <w:left w:val="none" w:sz="0" w:space="0" w:color="auto"/>
        <w:bottom w:val="none" w:sz="0" w:space="0" w:color="auto"/>
        <w:right w:val="none" w:sz="0" w:space="0" w:color="auto"/>
      </w:divBdr>
      <w:divsChild>
        <w:div w:id="252472106">
          <w:marLeft w:val="0"/>
          <w:marRight w:val="0"/>
          <w:marTop w:val="0"/>
          <w:marBottom w:val="0"/>
          <w:divBdr>
            <w:top w:val="none" w:sz="0" w:space="0" w:color="auto"/>
            <w:left w:val="none" w:sz="0" w:space="0" w:color="auto"/>
            <w:bottom w:val="none" w:sz="0" w:space="0" w:color="auto"/>
            <w:right w:val="none" w:sz="0" w:space="0" w:color="auto"/>
          </w:divBdr>
        </w:div>
        <w:div w:id="1171019247">
          <w:marLeft w:val="0"/>
          <w:marRight w:val="0"/>
          <w:marTop w:val="0"/>
          <w:marBottom w:val="0"/>
          <w:divBdr>
            <w:top w:val="none" w:sz="0" w:space="0" w:color="auto"/>
            <w:left w:val="none" w:sz="0" w:space="0" w:color="auto"/>
            <w:bottom w:val="none" w:sz="0" w:space="0" w:color="auto"/>
            <w:right w:val="none" w:sz="0" w:space="0" w:color="auto"/>
          </w:divBdr>
        </w:div>
        <w:div w:id="1173036458">
          <w:marLeft w:val="0"/>
          <w:marRight w:val="0"/>
          <w:marTop w:val="0"/>
          <w:marBottom w:val="0"/>
          <w:divBdr>
            <w:top w:val="none" w:sz="0" w:space="0" w:color="auto"/>
            <w:left w:val="none" w:sz="0" w:space="0" w:color="auto"/>
            <w:bottom w:val="none" w:sz="0" w:space="0" w:color="auto"/>
            <w:right w:val="none" w:sz="0" w:space="0" w:color="auto"/>
          </w:divBdr>
        </w:div>
        <w:div w:id="1658530962">
          <w:marLeft w:val="0"/>
          <w:marRight w:val="0"/>
          <w:marTop w:val="0"/>
          <w:marBottom w:val="0"/>
          <w:divBdr>
            <w:top w:val="none" w:sz="0" w:space="0" w:color="auto"/>
            <w:left w:val="none" w:sz="0" w:space="0" w:color="auto"/>
            <w:bottom w:val="none" w:sz="0" w:space="0" w:color="auto"/>
            <w:right w:val="none" w:sz="0" w:space="0" w:color="auto"/>
          </w:divBdr>
        </w:div>
        <w:div w:id="1758594219">
          <w:marLeft w:val="0"/>
          <w:marRight w:val="0"/>
          <w:marTop w:val="0"/>
          <w:marBottom w:val="0"/>
          <w:divBdr>
            <w:top w:val="none" w:sz="0" w:space="0" w:color="auto"/>
            <w:left w:val="none" w:sz="0" w:space="0" w:color="auto"/>
            <w:bottom w:val="none" w:sz="0" w:space="0" w:color="auto"/>
            <w:right w:val="none" w:sz="0" w:space="0" w:color="auto"/>
          </w:divBdr>
        </w:div>
      </w:divsChild>
    </w:div>
    <w:div w:id="348720864">
      <w:bodyDiv w:val="1"/>
      <w:marLeft w:val="0"/>
      <w:marRight w:val="0"/>
      <w:marTop w:val="0"/>
      <w:marBottom w:val="0"/>
      <w:divBdr>
        <w:top w:val="none" w:sz="0" w:space="0" w:color="auto"/>
        <w:left w:val="none" w:sz="0" w:space="0" w:color="auto"/>
        <w:bottom w:val="none" w:sz="0" w:space="0" w:color="auto"/>
        <w:right w:val="none" w:sz="0" w:space="0" w:color="auto"/>
      </w:divBdr>
    </w:div>
    <w:div w:id="361639117">
      <w:bodyDiv w:val="1"/>
      <w:marLeft w:val="0"/>
      <w:marRight w:val="0"/>
      <w:marTop w:val="0"/>
      <w:marBottom w:val="0"/>
      <w:divBdr>
        <w:top w:val="none" w:sz="0" w:space="0" w:color="auto"/>
        <w:left w:val="none" w:sz="0" w:space="0" w:color="auto"/>
        <w:bottom w:val="none" w:sz="0" w:space="0" w:color="auto"/>
        <w:right w:val="none" w:sz="0" w:space="0" w:color="auto"/>
      </w:divBdr>
    </w:div>
    <w:div w:id="410204580">
      <w:bodyDiv w:val="1"/>
      <w:marLeft w:val="0"/>
      <w:marRight w:val="0"/>
      <w:marTop w:val="0"/>
      <w:marBottom w:val="0"/>
      <w:divBdr>
        <w:top w:val="none" w:sz="0" w:space="0" w:color="auto"/>
        <w:left w:val="none" w:sz="0" w:space="0" w:color="auto"/>
        <w:bottom w:val="none" w:sz="0" w:space="0" w:color="auto"/>
        <w:right w:val="none" w:sz="0" w:space="0" w:color="auto"/>
      </w:divBdr>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38650">
      <w:bodyDiv w:val="1"/>
      <w:marLeft w:val="0"/>
      <w:marRight w:val="0"/>
      <w:marTop w:val="0"/>
      <w:marBottom w:val="0"/>
      <w:divBdr>
        <w:top w:val="none" w:sz="0" w:space="0" w:color="auto"/>
        <w:left w:val="none" w:sz="0" w:space="0" w:color="auto"/>
        <w:bottom w:val="none" w:sz="0" w:space="0" w:color="auto"/>
        <w:right w:val="none" w:sz="0" w:space="0" w:color="auto"/>
      </w:divBdr>
    </w:div>
    <w:div w:id="571041582">
      <w:bodyDiv w:val="1"/>
      <w:marLeft w:val="0"/>
      <w:marRight w:val="0"/>
      <w:marTop w:val="0"/>
      <w:marBottom w:val="0"/>
      <w:divBdr>
        <w:top w:val="none" w:sz="0" w:space="0" w:color="auto"/>
        <w:left w:val="none" w:sz="0" w:space="0" w:color="auto"/>
        <w:bottom w:val="none" w:sz="0" w:space="0" w:color="auto"/>
        <w:right w:val="none" w:sz="0" w:space="0" w:color="auto"/>
      </w:divBdr>
    </w:div>
    <w:div w:id="606620971">
      <w:bodyDiv w:val="1"/>
      <w:marLeft w:val="0"/>
      <w:marRight w:val="0"/>
      <w:marTop w:val="0"/>
      <w:marBottom w:val="0"/>
      <w:divBdr>
        <w:top w:val="none" w:sz="0" w:space="0" w:color="auto"/>
        <w:left w:val="none" w:sz="0" w:space="0" w:color="auto"/>
        <w:bottom w:val="none" w:sz="0" w:space="0" w:color="auto"/>
        <w:right w:val="none" w:sz="0" w:space="0" w:color="auto"/>
      </w:divBdr>
    </w:div>
    <w:div w:id="613027191">
      <w:bodyDiv w:val="1"/>
      <w:marLeft w:val="0"/>
      <w:marRight w:val="0"/>
      <w:marTop w:val="0"/>
      <w:marBottom w:val="0"/>
      <w:divBdr>
        <w:top w:val="none" w:sz="0" w:space="0" w:color="auto"/>
        <w:left w:val="none" w:sz="0" w:space="0" w:color="auto"/>
        <w:bottom w:val="none" w:sz="0" w:space="0" w:color="auto"/>
        <w:right w:val="none" w:sz="0" w:space="0" w:color="auto"/>
      </w:divBdr>
    </w:div>
    <w:div w:id="632368101">
      <w:bodyDiv w:val="1"/>
      <w:marLeft w:val="0"/>
      <w:marRight w:val="0"/>
      <w:marTop w:val="0"/>
      <w:marBottom w:val="0"/>
      <w:divBdr>
        <w:top w:val="none" w:sz="0" w:space="0" w:color="auto"/>
        <w:left w:val="none" w:sz="0" w:space="0" w:color="auto"/>
        <w:bottom w:val="none" w:sz="0" w:space="0" w:color="auto"/>
        <w:right w:val="none" w:sz="0" w:space="0" w:color="auto"/>
      </w:divBdr>
    </w:div>
    <w:div w:id="702292850">
      <w:bodyDiv w:val="1"/>
      <w:marLeft w:val="0"/>
      <w:marRight w:val="0"/>
      <w:marTop w:val="0"/>
      <w:marBottom w:val="0"/>
      <w:divBdr>
        <w:top w:val="none" w:sz="0" w:space="0" w:color="auto"/>
        <w:left w:val="none" w:sz="0" w:space="0" w:color="auto"/>
        <w:bottom w:val="none" w:sz="0" w:space="0" w:color="auto"/>
        <w:right w:val="none" w:sz="0" w:space="0" w:color="auto"/>
      </w:divBdr>
    </w:div>
    <w:div w:id="708800856">
      <w:bodyDiv w:val="1"/>
      <w:marLeft w:val="0"/>
      <w:marRight w:val="0"/>
      <w:marTop w:val="0"/>
      <w:marBottom w:val="0"/>
      <w:divBdr>
        <w:top w:val="none" w:sz="0" w:space="0" w:color="auto"/>
        <w:left w:val="none" w:sz="0" w:space="0" w:color="auto"/>
        <w:bottom w:val="none" w:sz="0" w:space="0" w:color="auto"/>
        <w:right w:val="none" w:sz="0" w:space="0" w:color="auto"/>
      </w:divBdr>
    </w:div>
    <w:div w:id="711541801">
      <w:bodyDiv w:val="1"/>
      <w:marLeft w:val="0"/>
      <w:marRight w:val="0"/>
      <w:marTop w:val="0"/>
      <w:marBottom w:val="0"/>
      <w:divBdr>
        <w:top w:val="none" w:sz="0" w:space="0" w:color="auto"/>
        <w:left w:val="none" w:sz="0" w:space="0" w:color="auto"/>
        <w:bottom w:val="none" w:sz="0" w:space="0" w:color="auto"/>
        <w:right w:val="none" w:sz="0" w:space="0" w:color="auto"/>
      </w:divBdr>
      <w:divsChild>
        <w:div w:id="140924208">
          <w:marLeft w:val="0"/>
          <w:marRight w:val="0"/>
          <w:marTop w:val="0"/>
          <w:marBottom w:val="0"/>
          <w:divBdr>
            <w:top w:val="none" w:sz="0" w:space="0" w:color="auto"/>
            <w:left w:val="none" w:sz="0" w:space="0" w:color="auto"/>
            <w:bottom w:val="none" w:sz="0" w:space="0" w:color="auto"/>
            <w:right w:val="none" w:sz="0" w:space="0" w:color="auto"/>
          </w:divBdr>
        </w:div>
        <w:div w:id="375929827">
          <w:marLeft w:val="0"/>
          <w:marRight w:val="0"/>
          <w:marTop w:val="0"/>
          <w:marBottom w:val="0"/>
          <w:divBdr>
            <w:top w:val="none" w:sz="0" w:space="0" w:color="auto"/>
            <w:left w:val="none" w:sz="0" w:space="0" w:color="auto"/>
            <w:bottom w:val="none" w:sz="0" w:space="0" w:color="auto"/>
            <w:right w:val="none" w:sz="0" w:space="0" w:color="auto"/>
          </w:divBdr>
        </w:div>
        <w:div w:id="674891118">
          <w:marLeft w:val="0"/>
          <w:marRight w:val="0"/>
          <w:marTop w:val="0"/>
          <w:marBottom w:val="0"/>
          <w:divBdr>
            <w:top w:val="none" w:sz="0" w:space="0" w:color="auto"/>
            <w:left w:val="none" w:sz="0" w:space="0" w:color="auto"/>
            <w:bottom w:val="none" w:sz="0" w:space="0" w:color="auto"/>
            <w:right w:val="none" w:sz="0" w:space="0" w:color="auto"/>
          </w:divBdr>
        </w:div>
        <w:div w:id="972059360">
          <w:marLeft w:val="0"/>
          <w:marRight w:val="0"/>
          <w:marTop w:val="0"/>
          <w:marBottom w:val="0"/>
          <w:divBdr>
            <w:top w:val="none" w:sz="0" w:space="0" w:color="auto"/>
            <w:left w:val="none" w:sz="0" w:space="0" w:color="auto"/>
            <w:bottom w:val="none" w:sz="0" w:space="0" w:color="auto"/>
            <w:right w:val="none" w:sz="0" w:space="0" w:color="auto"/>
          </w:divBdr>
        </w:div>
        <w:div w:id="1348748709">
          <w:marLeft w:val="0"/>
          <w:marRight w:val="0"/>
          <w:marTop w:val="0"/>
          <w:marBottom w:val="0"/>
          <w:divBdr>
            <w:top w:val="none" w:sz="0" w:space="0" w:color="auto"/>
            <w:left w:val="none" w:sz="0" w:space="0" w:color="auto"/>
            <w:bottom w:val="none" w:sz="0" w:space="0" w:color="auto"/>
            <w:right w:val="none" w:sz="0" w:space="0" w:color="auto"/>
          </w:divBdr>
        </w:div>
        <w:div w:id="1622833749">
          <w:marLeft w:val="0"/>
          <w:marRight w:val="0"/>
          <w:marTop w:val="0"/>
          <w:marBottom w:val="0"/>
          <w:divBdr>
            <w:top w:val="none" w:sz="0" w:space="0" w:color="auto"/>
            <w:left w:val="none" w:sz="0" w:space="0" w:color="auto"/>
            <w:bottom w:val="none" w:sz="0" w:space="0" w:color="auto"/>
            <w:right w:val="none" w:sz="0" w:space="0" w:color="auto"/>
          </w:divBdr>
        </w:div>
        <w:div w:id="1650207843">
          <w:marLeft w:val="0"/>
          <w:marRight w:val="0"/>
          <w:marTop w:val="0"/>
          <w:marBottom w:val="0"/>
          <w:divBdr>
            <w:top w:val="none" w:sz="0" w:space="0" w:color="auto"/>
            <w:left w:val="none" w:sz="0" w:space="0" w:color="auto"/>
            <w:bottom w:val="none" w:sz="0" w:space="0" w:color="auto"/>
            <w:right w:val="none" w:sz="0" w:space="0" w:color="auto"/>
          </w:divBdr>
        </w:div>
        <w:div w:id="1736929861">
          <w:marLeft w:val="0"/>
          <w:marRight w:val="0"/>
          <w:marTop w:val="0"/>
          <w:marBottom w:val="0"/>
          <w:divBdr>
            <w:top w:val="none" w:sz="0" w:space="0" w:color="auto"/>
            <w:left w:val="none" w:sz="0" w:space="0" w:color="auto"/>
            <w:bottom w:val="none" w:sz="0" w:space="0" w:color="auto"/>
            <w:right w:val="none" w:sz="0" w:space="0" w:color="auto"/>
          </w:divBdr>
        </w:div>
        <w:div w:id="1840928600">
          <w:marLeft w:val="0"/>
          <w:marRight w:val="0"/>
          <w:marTop w:val="0"/>
          <w:marBottom w:val="0"/>
          <w:divBdr>
            <w:top w:val="none" w:sz="0" w:space="0" w:color="auto"/>
            <w:left w:val="none" w:sz="0" w:space="0" w:color="auto"/>
            <w:bottom w:val="none" w:sz="0" w:space="0" w:color="auto"/>
            <w:right w:val="none" w:sz="0" w:space="0" w:color="auto"/>
          </w:divBdr>
        </w:div>
        <w:div w:id="2025016716">
          <w:marLeft w:val="0"/>
          <w:marRight w:val="0"/>
          <w:marTop w:val="0"/>
          <w:marBottom w:val="0"/>
          <w:divBdr>
            <w:top w:val="none" w:sz="0" w:space="0" w:color="auto"/>
            <w:left w:val="none" w:sz="0" w:space="0" w:color="auto"/>
            <w:bottom w:val="none" w:sz="0" w:space="0" w:color="auto"/>
            <w:right w:val="none" w:sz="0" w:space="0" w:color="auto"/>
          </w:divBdr>
        </w:div>
      </w:divsChild>
    </w:div>
    <w:div w:id="715349337">
      <w:bodyDiv w:val="1"/>
      <w:marLeft w:val="0"/>
      <w:marRight w:val="0"/>
      <w:marTop w:val="0"/>
      <w:marBottom w:val="0"/>
      <w:divBdr>
        <w:top w:val="none" w:sz="0" w:space="0" w:color="auto"/>
        <w:left w:val="none" w:sz="0" w:space="0" w:color="auto"/>
        <w:bottom w:val="none" w:sz="0" w:space="0" w:color="auto"/>
        <w:right w:val="none" w:sz="0" w:space="0" w:color="auto"/>
      </w:divBdr>
    </w:div>
    <w:div w:id="743375062">
      <w:bodyDiv w:val="1"/>
      <w:marLeft w:val="0"/>
      <w:marRight w:val="0"/>
      <w:marTop w:val="0"/>
      <w:marBottom w:val="0"/>
      <w:divBdr>
        <w:top w:val="none" w:sz="0" w:space="0" w:color="auto"/>
        <w:left w:val="none" w:sz="0" w:space="0" w:color="auto"/>
        <w:bottom w:val="none" w:sz="0" w:space="0" w:color="auto"/>
        <w:right w:val="none" w:sz="0" w:space="0" w:color="auto"/>
      </w:divBdr>
    </w:div>
    <w:div w:id="816721927">
      <w:bodyDiv w:val="1"/>
      <w:marLeft w:val="0"/>
      <w:marRight w:val="0"/>
      <w:marTop w:val="0"/>
      <w:marBottom w:val="0"/>
      <w:divBdr>
        <w:top w:val="none" w:sz="0" w:space="0" w:color="auto"/>
        <w:left w:val="none" w:sz="0" w:space="0" w:color="auto"/>
        <w:bottom w:val="none" w:sz="0" w:space="0" w:color="auto"/>
        <w:right w:val="none" w:sz="0" w:space="0" w:color="auto"/>
      </w:divBdr>
    </w:div>
    <w:div w:id="870611672">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900680141">
      <w:bodyDiv w:val="1"/>
      <w:marLeft w:val="0"/>
      <w:marRight w:val="0"/>
      <w:marTop w:val="0"/>
      <w:marBottom w:val="0"/>
      <w:divBdr>
        <w:top w:val="none" w:sz="0" w:space="0" w:color="auto"/>
        <w:left w:val="none" w:sz="0" w:space="0" w:color="auto"/>
        <w:bottom w:val="none" w:sz="0" w:space="0" w:color="auto"/>
        <w:right w:val="none" w:sz="0" w:space="0" w:color="auto"/>
      </w:divBdr>
    </w:div>
    <w:div w:id="1030032154">
      <w:bodyDiv w:val="1"/>
      <w:marLeft w:val="0"/>
      <w:marRight w:val="0"/>
      <w:marTop w:val="0"/>
      <w:marBottom w:val="0"/>
      <w:divBdr>
        <w:top w:val="none" w:sz="0" w:space="0" w:color="auto"/>
        <w:left w:val="none" w:sz="0" w:space="0" w:color="auto"/>
        <w:bottom w:val="none" w:sz="0" w:space="0" w:color="auto"/>
        <w:right w:val="none" w:sz="0" w:space="0" w:color="auto"/>
      </w:divBdr>
    </w:div>
    <w:div w:id="1160577428">
      <w:bodyDiv w:val="1"/>
      <w:marLeft w:val="0"/>
      <w:marRight w:val="0"/>
      <w:marTop w:val="0"/>
      <w:marBottom w:val="0"/>
      <w:divBdr>
        <w:top w:val="none" w:sz="0" w:space="0" w:color="auto"/>
        <w:left w:val="none" w:sz="0" w:space="0" w:color="auto"/>
        <w:bottom w:val="none" w:sz="0" w:space="0" w:color="auto"/>
        <w:right w:val="none" w:sz="0" w:space="0" w:color="auto"/>
      </w:divBdr>
    </w:div>
    <w:div w:id="1236432513">
      <w:bodyDiv w:val="1"/>
      <w:marLeft w:val="0"/>
      <w:marRight w:val="0"/>
      <w:marTop w:val="0"/>
      <w:marBottom w:val="0"/>
      <w:divBdr>
        <w:top w:val="none" w:sz="0" w:space="0" w:color="auto"/>
        <w:left w:val="none" w:sz="0" w:space="0" w:color="auto"/>
        <w:bottom w:val="none" w:sz="0" w:space="0" w:color="auto"/>
        <w:right w:val="none" w:sz="0" w:space="0" w:color="auto"/>
      </w:divBdr>
    </w:div>
    <w:div w:id="1279527438">
      <w:bodyDiv w:val="1"/>
      <w:marLeft w:val="0"/>
      <w:marRight w:val="0"/>
      <w:marTop w:val="0"/>
      <w:marBottom w:val="0"/>
      <w:divBdr>
        <w:top w:val="none" w:sz="0" w:space="0" w:color="auto"/>
        <w:left w:val="none" w:sz="0" w:space="0" w:color="auto"/>
        <w:bottom w:val="none" w:sz="0" w:space="0" w:color="auto"/>
        <w:right w:val="none" w:sz="0" w:space="0" w:color="auto"/>
      </w:divBdr>
    </w:div>
    <w:div w:id="1282230354">
      <w:bodyDiv w:val="1"/>
      <w:marLeft w:val="0"/>
      <w:marRight w:val="0"/>
      <w:marTop w:val="0"/>
      <w:marBottom w:val="0"/>
      <w:divBdr>
        <w:top w:val="none" w:sz="0" w:space="0" w:color="auto"/>
        <w:left w:val="none" w:sz="0" w:space="0" w:color="auto"/>
        <w:bottom w:val="none" w:sz="0" w:space="0" w:color="auto"/>
        <w:right w:val="none" w:sz="0" w:space="0" w:color="auto"/>
      </w:divBdr>
    </w:div>
    <w:div w:id="1341541470">
      <w:bodyDiv w:val="1"/>
      <w:marLeft w:val="0"/>
      <w:marRight w:val="0"/>
      <w:marTop w:val="0"/>
      <w:marBottom w:val="0"/>
      <w:divBdr>
        <w:top w:val="none" w:sz="0" w:space="0" w:color="auto"/>
        <w:left w:val="none" w:sz="0" w:space="0" w:color="auto"/>
        <w:bottom w:val="none" w:sz="0" w:space="0" w:color="auto"/>
        <w:right w:val="none" w:sz="0" w:space="0" w:color="auto"/>
      </w:divBdr>
    </w:div>
    <w:div w:id="1345018206">
      <w:bodyDiv w:val="1"/>
      <w:marLeft w:val="0"/>
      <w:marRight w:val="0"/>
      <w:marTop w:val="0"/>
      <w:marBottom w:val="0"/>
      <w:divBdr>
        <w:top w:val="none" w:sz="0" w:space="0" w:color="auto"/>
        <w:left w:val="none" w:sz="0" w:space="0" w:color="auto"/>
        <w:bottom w:val="none" w:sz="0" w:space="0" w:color="auto"/>
        <w:right w:val="none" w:sz="0" w:space="0" w:color="auto"/>
      </w:divBdr>
    </w:div>
    <w:div w:id="1376854046">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471482438">
      <w:bodyDiv w:val="1"/>
      <w:marLeft w:val="0"/>
      <w:marRight w:val="0"/>
      <w:marTop w:val="0"/>
      <w:marBottom w:val="0"/>
      <w:divBdr>
        <w:top w:val="none" w:sz="0" w:space="0" w:color="auto"/>
        <w:left w:val="none" w:sz="0" w:space="0" w:color="auto"/>
        <w:bottom w:val="none" w:sz="0" w:space="0" w:color="auto"/>
        <w:right w:val="none" w:sz="0" w:space="0" w:color="auto"/>
      </w:divBdr>
    </w:div>
    <w:div w:id="1510296389">
      <w:bodyDiv w:val="1"/>
      <w:marLeft w:val="0"/>
      <w:marRight w:val="0"/>
      <w:marTop w:val="0"/>
      <w:marBottom w:val="0"/>
      <w:divBdr>
        <w:top w:val="none" w:sz="0" w:space="0" w:color="auto"/>
        <w:left w:val="none" w:sz="0" w:space="0" w:color="auto"/>
        <w:bottom w:val="none" w:sz="0" w:space="0" w:color="auto"/>
        <w:right w:val="none" w:sz="0" w:space="0" w:color="auto"/>
      </w:divBdr>
    </w:div>
    <w:div w:id="1513370428">
      <w:bodyDiv w:val="1"/>
      <w:marLeft w:val="0"/>
      <w:marRight w:val="0"/>
      <w:marTop w:val="0"/>
      <w:marBottom w:val="0"/>
      <w:divBdr>
        <w:top w:val="none" w:sz="0" w:space="0" w:color="auto"/>
        <w:left w:val="none" w:sz="0" w:space="0" w:color="auto"/>
        <w:bottom w:val="none" w:sz="0" w:space="0" w:color="auto"/>
        <w:right w:val="none" w:sz="0" w:space="0" w:color="auto"/>
      </w:divBdr>
    </w:div>
    <w:div w:id="1526671255">
      <w:bodyDiv w:val="1"/>
      <w:marLeft w:val="0"/>
      <w:marRight w:val="0"/>
      <w:marTop w:val="0"/>
      <w:marBottom w:val="0"/>
      <w:divBdr>
        <w:top w:val="none" w:sz="0" w:space="0" w:color="auto"/>
        <w:left w:val="none" w:sz="0" w:space="0" w:color="auto"/>
        <w:bottom w:val="none" w:sz="0" w:space="0" w:color="auto"/>
        <w:right w:val="none" w:sz="0" w:space="0" w:color="auto"/>
      </w:divBdr>
    </w:div>
    <w:div w:id="1592814663">
      <w:bodyDiv w:val="1"/>
      <w:marLeft w:val="0"/>
      <w:marRight w:val="0"/>
      <w:marTop w:val="0"/>
      <w:marBottom w:val="0"/>
      <w:divBdr>
        <w:top w:val="none" w:sz="0" w:space="0" w:color="auto"/>
        <w:left w:val="none" w:sz="0" w:space="0" w:color="auto"/>
        <w:bottom w:val="none" w:sz="0" w:space="0" w:color="auto"/>
        <w:right w:val="none" w:sz="0" w:space="0" w:color="auto"/>
      </w:divBdr>
    </w:div>
    <w:div w:id="1624386496">
      <w:bodyDiv w:val="1"/>
      <w:marLeft w:val="0"/>
      <w:marRight w:val="0"/>
      <w:marTop w:val="0"/>
      <w:marBottom w:val="0"/>
      <w:divBdr>
        <w:top w:val="none" w:sz="0" w:space="0" w:color="auto"/>
        <w:left w:val="none" w:sz="0" w:space="0" w:color="auto"/>
        <w:bottom w:val="none" w:sz="0" w:space="0" w:color="auto"/>
        <w:right w:val="none" w:sz="0" w:space="0" w:color="auto"/>
      </w:divBdr>
    </w:div>
    <w:div w:id="1640190504">
      <w:bodyDiv w:val="1"/>
      <w:marLeft w:val="0"/>
      <w:marRight w:val="0"/>
      <w:marTop w:val="0"/>
      <w:marBottom w:val="0"/>
      <w:divBdr>
        <w:top w:val="none" w:sz="0" w:space="0" w:color="auto"/>
        <w:left w:val="none" w:sz="0" w:space="0" w:color="auto"/>
        <w:bottom w:val="none" w:sz="0" w:space="0" w:color="auto"/>
        <w:right w:val="none" w:sz="0" w:space="0" w:color="auto"/>
      </w:divBdr>
    </w:div>
    <w:div w:id="1659764910">
      <w:bodyDiv w:val="1"/>
      <w:marLeft w:val="0"/>
      <w:marRight w:val="0"/>
      <w:marTop w:val="0"/>
      <w:marBottom w:val="0"/>
      <w:divBdr>
        <w:top w:val="none" w:sz="0" w:space="0" w:color="auto"/>
        <w:left w:val="none" w:sz="0" w:space="0" w:color="auto"/>
        <w:bottom w:val="none" w:sz="0" w:space="0" w:color="auto"/>
        <w:right w:val="none" w:sz="0" w:space="0" w:color="auto"/>
      </w:divBdr>
      <w:divsChild>
        <w:div w:id="1013845970">
          <w:marLeft w:val="0"/>
          <w:marRight w:val="0"/>
          <w:marTop w:val="0"/>
          <w:marBottom w:val="0"/>
          <w:divBdr>
            <w:top w:val="none" w:sz="0" w:space="0" w:color="auto"/>
            <w:left w:val="none" w:sz="0" w:space="0" w:color="auto"/>
            <w:bottom w:val="none" w:sz="0" w:space="0" w:color="auto"/>
            <w:right w:val="none" w:sz="0" w:space="0" w:color="auto"/>
          </w:divBdr>
        </w:div>
        <w:div w:id="1015503239">
          <w:marLeft w:val="0"/>
          <w:marRight w:val="0"/>
          <w:marTop w:val="0"/>
          <w:marBottom w:val="0"/>
          <w:divBdr>
            <w:top w:val="none" w:sz="0" w:space="0" w:color="auto"/>
            <w:left w:val="none" w:sz="0" w:space="0" w:color="auto"/>
            <w:bottom w:val="none" w:sz="0" w:space="0" w:color="auto"/>
            <w:right w:val="none" w:sz="0" w:space="0" w:color="auto"/>
          </w:divBdr>
          <w:divsChild>
            <w:div w:id="580871597">
              <w:marLeft w:val="0"/>
              <w:marRight w:val="0"/>
              <w:marTop w:val="0"/>
              <w:marBottom w:val="0"/>
              <w:divBdr>
                <w:top w:val="none" w:sz="0" w:space="0" w:color="auto"/>
                <w:left w:val="none" w:sz="0" w:space="0" w:color="auto"/>
                <w:bottom w:val="none" w:sz="0" w:space="0" w:color="auto"/>
                <w:right w:val="none" w:sz="0" w:space="0" w:color="auto"/>
              </w:divBdr>
              <w:divsChild>
                <w:div w:id="201865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2165">
          <w:marLeft w:val="0"/>
          <w:marRight w:val="0"/>
          <w:marTop w:val="0"/>
          <w:marBottom w:val="0"/>
          <w:divBdr>
            <w:top w:val="none" w:sz="0" w:space="0" w:color="auto"/>
            <w:left w:val="none" w:sz="0" w:space="0" w:color="auto"/>
            <w:bottom w:val="none" w:sz="0" w:space="0" w:color="auto"/>
            <w:right w:val="none" w:sz="0" w:space="0" w:color="auto"/>
          </w:divBdr>
        </w:div>
        <w:div w:id="488254700">
          <w:marLeft w:val="0"/>
          <w:marRight w:val="0"/>
          <w:marTop w:val="0"/>
          <w:marBottom w:val="0"/>
          <w:divBdr>
            <w:top w:val="none" w:sz="0" w:space="0" w:color="auto"/>
            <w:left w:val="none" w:sz="0" w:space="0" w:color="auto"/>
            <w:bottom w:val="none" w:sz="0" w:space="0" w:color="auto"/>
            <w:right w:val="none" w:sz="0" w:space="0" w:color="auto"/>
          </w:divBdr>
          <w:divsChild>
            <w:div w:id="1963880393">
              <w:marLeft w:val="0"/>
              <w:marRight w:val="0"/>
              <w:marTop w:val="0"/>
              <w:marBottom w:val="0"/>
              <w:divBdr>
                <w:top w:val="none" w:sz="0" w:space="0" w:color="auto"/>
                <w:left w:val="none" w:sz="0" w:space="0" w:color="auto"/>
                <w:bottom w:val="none" w:sz="0" w:space="0" w:color="auto"/>
                <w:right w:val="none" w:sz="0" w:space="0" w:color="auto"/>
              </w:divBdr>
              <w:divsChild>
                <w:div w:id="909971407">
                  <w:marLeft w:val="0"/>
                  <w:marRight w:val="0"/>
                  <w:marTop w:val="0"/>
                  <w:marBottom w:val="0"/>
                  <w:divBdr>
                    <w:top w:val="none" w:sz="0" w:space="0" w:color="auto"/>
                    <w:left w:val="none" w:sz="0" w:space="0" w:color="auto"/>
                    <w:bottom w:val="none" w:sz="0" w:space="0" w:color="auto"/>
                    <w:right w:val="none" w:sz="0" w:space="0" w:color="auto"/>
                  </w:divBdr>
                  <w:divsChild>
                    <w:div w:id="142757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001522">
      <w:bodyDiv w:val="1"/>
      <w:marLeft w:val="0"/>
      <w:marRight w:val="0"/>
      <w:marTop w:val="0"/>
      <w:marBottom w:val="0"/>
      <w:divBdr>
        <w:top w:val="none" w:sz="0" w:space="0" w:color="auto"/>
        <w:left w:val="none" w:sz="0" w:space="0" w:color="auto"/>
        <w:bottom w:val="none" w:sz="0" w:space="0" w:color="auto"/>
        <w:right w:val="none" w:sz="0" w:space="0" w:color="auto"/>
      </w:divBdr>
    </w:div>
    <w:div w:id="1787041232">
      <w:bodyDiv w:val="1"/>
      <w:marLeft w:val="0"/>
      <w:marRight w:val="0"/>
      <w:marTop w:val="0"/>
      <w:marBottom w:val="0"/>
      <w:divBdr>
        <w:top w:val="none" w:sz="0" w:space="0" w:color="auto"/>
        <w:left w:val="none" w:sz="0" w:space="0" w:color="auto"/>
        <w:bottom w:val="none" w:sz="0" w:space="0" w:color="auto"/>
        <w:right w:val="none" w:sz="0" w:space="0" w:color="auto"/>
      </w:divBdr>
    </w:div>
    <w:div w:id="1847287982">
      <w:bodyDiv w:val="1"/>
      <w:marLeft w:val="0"/>
      <w:marRight w:val="0"/>
      <w:marTop w:val="0"/>
      <w:marBottom w:val="0"/>
      <w:divBdr>
        <w:top w:val="none" w:sz="0" w:space="0" w:color="auto"/>
        <w:left w:val="none" w:sz="0" w:space="0" w:color="auto"/>
        <w:bottom w:val="none" w:sz="0" w:space="0" w:color="auto"/>
        <w:right w:val="none" w:sz="0" w:space="0" w:color="auto"/>
      </w:divBdr>
    </w:div>
    <w:div w:id="1849829109">
      <w:bodyDiv w:val="1"/>
      <w:marLeft w:val="0"/>
      <w:marRight w:val="0"/>
      <w:marTop w:val="0"/>
      <w:marBottom w:val="0"/>
      <w:divBdr>
        <w:top w:val="none" w:sz="0" w:space="0" w:color="auto"/>
        <w:left w:val="none" w:sz="0" w:space="0" w:color="auto"/>
        <w:bottom w:val="none" w:sz="0" w:space="0" w:color="auto"/>
        <w:right w:val="none" w:sz="0" w:space="0" w:color="auto"/>
      </w:divBdr>
    </w:div>
    <w:div w:id="1913808866">
      <w:bodyDiv w:val="1"/>
      <w:marLeft w:val="0"/>
      <w:marRight w:val="0"/>
      <w:marTop w:val="0"/>
      <w:marBottom w:val="0"/>
      <w:divBdr>
        <w:top w:val="none" w:sz="0" w:space="0" w:color="auto"/>
        <w:left w:val="none" w:sz="0" w:space="0" w:color="auto"/>
        <w:bottom w:val="none" w:sz="0" w:space="0" w:color="auto"/>
        <w:right w:val="none" w:sz="0" w:space="0" w:color="auto"/>
      </w:divBdr>
    </w:div>
    <w:div w:id="1928806618">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1403604">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 w:id="205411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emf"/><Relationship Id="rId17" Type="http://schemas.openxmlformats.org/officeDocument/2006/relationships/image" Target="media/image9.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ilvia.trevisan@tb.camcom.it" TargetMode="External"/><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mailto:statistica@tb.camcom.it" TargetMode="Externa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image" Target="media/image17.jpeg"/><Relationship Id="rId3" Type="http://schemas.openxmlformats.org/officeDocument/2006/relationships/hyperlink" Target="mailto:ufficio.stampa@tb.camcom.it" TargetMode="External"/><Relationship Id="rId7" Type="http://schemas.openxmlformats.org/officeDocument/2006/relationships/hyperlink" Target="https://twitter.com/TrevisoBelluno" TargetMode="External"/><Relationship Id="rId2" Type="http://schemas.openxmlformats.org/officeDocument/2006/relationships/image" Target="media/image14.jpeg"/><Relationship Id="rId1" Type="http://schemas.openxmlformats.org/officeDocument/2006/relationships/hyperlink" Target="http://www.tb.camcom.gov.it/" TargetMode="External"/><Relationship Id="rId6" Type="http://schemas.openxmlformats.org/officeDocument/2006/relationships/image" Target="media/image16.png"/><Relationship Id="rId5" Type="http://schemas.openxmlformats.org/officeDocument/2006/relationships/hyperlink" Target="http://www.facebook.com/trevisobellunosystem" TargetMode="External"/><Relationship Id="rId10" Type="http://schemas.openxmlformats.org/officeDocument/2006/relationships/image" Target="media/image18.png"/><Relationship Id="rId4" Type="http://schemas.openxmlformats.org/officeDocument/2006/relationships/image" Target="media/image15.jpeg"/><Relationship Id="rId9" Type="http://schemas.openxmlformats.org/officeDocument/2006/relationships/hyperlink" Target="https://www.youtube.com/channel/UCgeCM6Sy9Bc4nUFy_x8Dq9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header2.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FB453-32D4-406C-B28B-7F5B43742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1427</Words>
  <Characters>35823</Characters>
  <Application>Microsoft Office Word</Application>
  <DocSecurity>0</DocSecurity>
  <Lines>431</Lines>
  <Paragraphs>6</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37244</CharactersWithSpaces>
  <SharedDoc>false</SharedDoc>
  <HLinks>
    <vt:vector size="30" baseType="variant">
      <vt:variant>
        <vt:i4>4063251</vt:i4>
      </vt:variant>
      <vt:variant>
        <vt:i4>18</vt:i4>
      </vt:variant>
      <vt:variant>
        <vt:i4>0</vt:i4>
      </vt:variant>
      <vt:variant>
        <vt:i4>5</vt:i4>
      </vt:variant>
      <vt:variant>
        <vt:lpwstr>https://www.youtube.com/channel/UCgeCM6Sy9Bc4nUFy_x8Dq9Q</vt:lpwstr>
      </vt:variant>
      <vt:variant>
        <vt:lpwstr/>
      </vt:variant>
      <vt:variant>
        <vt:i4>7995429</vt:i4>
      </vt:variant>
      <vt:variant>
        <vt:i4>15</vt:i4>
      </vt:variant>
      <vt:variant>
        <vt:i4>0</vt:i4>
      </vt:variant>
      <vt:variant>
        <vt:i4>5</vt:i4>
      </vt:variant>
      <vt:variant>
        <vt:lpwstr>https://twitter.com/TrevisoBelluno</vt:lpwstr>
      </vt:variant>
      <vt:variant>
        <vt:lpwstr/>
      </vt:variant>
      <vt:variant>
        <vt:i4>5111883</vt:i4>
      </vt:variant>
      <vt:variant>
        <vt:i4>9</vt:i4>
      </vt:variant>
      <vt:variant>
        <vt:i4>0</vt:i4>
      </vt:variant>
      <vt:variant>
        <vt:i4>5</vt:i4>
      </vt:variant>
      <vt:variant>
        <vt:lpwstr>http://www.facebook.com/trevisobellunosystem</vt:lpwstr>
      </vt:variant>
      <vt:variant>
        <vt:lpwstr/>
      </vt:variant>
      <vt:variant>
        <vt:i4>393254</vt:i4>
      </vt:variant>
      <vt:variant>
        <vt:i4>6</vt:i4>
      </vt:variant>
      <vt:variant>
        <vt:i4>0</vt:i4>
      </vt:variant>
      <vt:variant>
        <vt:i4>5</vt:i4>
      </vt:variant>
      <vt:variant>
        <vt:lpwstr>mailto:ufficio.stampa@tb.camcom.it</vt:lpwstr>
      </vt:variant>
      <vt:variant>
        <vt:lpwstr/>
      </vt:variant>
      <vt:variant>
        <vt:i4>4784200</vt:i4>
      </vt:variant>
      <vt:variant>
        <vt:i4>3</vt:i4>
      </vt:variant>
      <vt:variant>
        <vt:i4>0</vt:i4>
      </vt:variant>
      <vt:variant>
        <vt:i4>5</vt:i4>
      </vt:variant>
      <vt:variant>
        <vt:lpwstr>http://www.tb.camcom.gov.it/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Ufficio Stampa</dc:creator>
  <cp:lastModifiedBy>silvia trevisan</cp:lastModifiedBy>
  <cp:revision>2</cp:revision>
  <cp:lastPrinted>2024-11-15T14:53:00Z</cp:lastPrinted>
  <dcterms:created xsi:type="dcterms:W3CDTF">2024-11-19T10:08:00Z</dcterms:created>
  <dcterms:modified xsi:type="dcterms:W3CDTF">2024-11-19T10:08:00Z</dcterms:modified>
</cp:coreProperties>
</file>